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08C39" w14:textId="77777777" w:rsidR="000608B6" w:rsidRPr="000608B6" w:rsidRDefault="000608B6" w:rsidP="000608B6">
      <w:pPr>
        <w:pStyle w:val="p1"/>
        <w:spacing w:before="0" w:beforeAutospacing="0" w:after="0" w:afterAutospacing="0" w:line="276" w:lineRule="auto"/>
        <w:ind w:left="-567" w:right="-526"/>
        <w:jc w:val="center"/>
        <w:rPr>
          <w:rFonts w:ascii="Verdana" w:hAnsi="Verdana" w:cstheme="minorHAnsi"/>
          <w:color w:val="0070C0"/>
          <w:sz w:val="20"/>
          <w:szCs w:val="20"/>
        </w:rPr>
      </w:pPr>
      <w:r w:rsidRPr="000608B6">
        <w:rPr>
          <w:rStyle w:val="s4"/>
          <w:rFonts w:ascii="Verdana" w:hAnsi="Verdana" w:cstheme="minorHAnsi"/>
          <w:b/>
          <w:bCs/>
          <w:color w:val="0070C0"/>
          <w:sz w:val="20"/>
          <w:szCs w:val="20"/>
        </w:rPr>
        <w:t>ΠΕΡΙΛΗΨΗ ΕΚΘΕΣΗΣ ΓΙΑ ΤΟ ΕΥΡΩΠΑΙΚΟ ΗΛΕΚΤΡΟΝΙΚΟ ΕΜΠΟΡΙΟ 2023</w:t>
      </w:r>
    </w:p>
    <w:p w14:paraId="797018FB" w14:textId="77777777" w:rsidR="000608B6" w:rsidRPr="000608B6" w:rsidRDefault="000608B6" w:rsidP="000608B6">
      <w:pPr>
        <w:pStyle w:val="p2"/>
        <w:spacing w:before="0" w:beforeAutospacing="0" w:after="0" w:afterAutospacing="0" w:line="276" w:lineRule="auto"/>
        <w:ind w:left="-567" w:right="-526"/>
        <w:jc w:val="both"/>
        <w:rPr>
          <w:rFonts w:ascii="Verdana" w:hAnsi="Verdana" w:cstheme="minorHAnsi"/>
          <w:sz w:val="20"/>
          <w:szCs w:val="20"/>
        </w:rPr>
      </w:pPr>
    </w:p>
    <w:p w14:paraId="5C7B50D0" w14:textId="77777777" w:rsidR="000608B6" w:rsidRPr="000608B6" w:rsidRDefault="000608B6" w:rsidP="000608B6">
      <w:pPr>
        <w:pStyle w:val="p1"/>
        <w:spacing w:before="0" w:beforeAutospacing="0" w:after="0" w:afterAutospacing="0" w:line="276" w:lineRule="auto"/>
        <w:ind w:left="-567" w:right="-526"/>
        <w:jc w:val="both"/>
        <w:rPr>
          <w:rFonts w:ascii="Verdana" w:hAnsi="Verdana" w:cstheme="minorHAnsi"/>
          <w:sz w:val="20"/>
          <w:szCs w:val="20"/>
        </w:rPr>
      </w:pPr>
      <w:r w:rsidRPr="000608B6">
        <w:rPr>
          <w:rStyle w:val="s2"/>
          <w:rFonts w:ascii="Verdana" w:hAnsi="Verdana" w:cstheme="minorHAnsi"/>
          <w:sz w:val="20"/>
          <w:szCs w:val="20"/>
        </w:rPr>
        <w:t>Η Έκθεση για το Ευρωπαϊκό ηλεκτρονικό εμπόριο για το 2023 περιλαμβάνει 37 χώρες στην ευρωπαϊκή ήπειρο και αποκαλύπτει πληροφορίες βάσει δεδομένων για το τρέχον και το προβλεπόμενο μέγεθος των ψηφιακών αγορών τους και τις τάσεις των καταναλωτών στη χρήση του Διαδικτύου και τις ηλεκτρονικές αγορές. Η έκθεση περιλαμβάνει τα πιο πρόσφατα δεδομένα και τάσεις σχετικά με τη διείσδυση του Διαδικτύου, τη διείσδυση των ηλεκτρονικών αγοραστών και τον κύκλο εργασιών του ηλεκτρονικού εμπορίου B2C και για τις 37 χώρες, με μια πρόσθετη εις βάθος ματιά στα δεδομένα για την ΕΕ-27. Αυτή η εκτελεστική περίληψη υπογραμμίζει τα σημαντικότερα πορίσματα της έκθεσης.</w:t>
      </w:r>
    </w:p>
    <w:p w14:paraId="01D830AE" w14:textId="77777777" w:rsidR="000608B6" w:rsidRPr="000608B6" w:rsidRDefault="000608B6" w:rsidP="000608B6">
      <w:pPr>
        <w:pStyle w:val="p2"/>
        <w:spacing w:before="0" w:beforeAutospacing="0" w:after="0" w:afterAutospacing="0" w:line="276" w:lineRule="auto"/>
        <w:ind w:left="-567" w:right="-526"/>
        <w:jc w:val="both"/>
        <w:rPr>
          <w:rFonts w:ascii="Verdana" w:hAnsi="Verdana" w:cstheme="minorHAnsi"/>
          <w:sz w:val="20"/>
          <w:szCs w:val="20"/>
        </w:rPr>
      </w:pPr>
    </w:p>
    <w:p w14:paraId="5DD03304" w14:textId="77777777" w:rsidR="000608B6" w:rsidRPr="000608B6" w:rsidRDefault="000608B6" w:rsidP="000608B6">
      <w:pPr>
        <w:pStyle w:val="li1"/>
        <w:numPr>
          <w:ilvl w:val="0"/>
          <w:numId w:val="2"/>
        </w:numPr>
        <w:spacing w:before="0" w:beforeAutospacing="0" w:after="0" w:afterAutospacing="0" w:line="276" w:lineRule="auto"/>
        <w:ind w:left="-284" w:right="-526" w:hanging="283"/>
        <w:jc w:val="both"/>
        <w:rPr>
          <w:rFonts w:ascii="Verdana" w:eastAsia="Times New Roman" w:hAnsi="Verdana" w:cstheme="minorHAnsi"/>
          <w:sz w:val="20"/>
          <w:szCs w:val="20"/>
        </w:rPr>
      </w:pPr>
      <w:r w:rsidRPr="000608B6">
        <w:rPr>
          <w:rStyle w:val="s1"/>
          <w:rFonts w:ascii="Verdana" w:eastAsia="Times New Roman" w:hAnsi="Verdana" w:cstheme="minorHAnsi"/>
          <w:b/>
          <w:bCs/>
          <w:sz w:val="20"/>
          <w:szCs w:val="20"/>
        </w:rPr>
        <w:t>Ονομαστική ανάπτυξη και επερχόμενες αγορές</w:t>
      </w:r>
    </w:p>
    <w:p w14:paraId="1741F5F4" w14:textId="77777777" w:rsidR="000608B6" w:rsidRDefault="000608B6" w:rsidP="000608B6">
      <w:pPr>
        <w:pStyle w:val="p1"/>
        <w:spacing w:before="0" w:beforeAutospacing="0" w:after="0" w:afterAutospacing="0" w:line="276" w:lineRule="auto"/>
        <w:ind w:left="-567" w:right="-526"/>
        <w:jc w:val="both"/>
        <w:rPr>
          <w:rStyle w:val="s2"/>
          <w:rFonts w:ascii="Verdana" w:hAnsi="Verdana" w:cstheme="minorHAnsi"/>
          <w:sz w:val="20"/>
          <w:szCs w:val="20"/>
        </w:rPr>
      </w:pPr>
      <w:r w:rsidRPr="000608B6">
        <w:rPr>
          <w:rStyle w:val="s2"/>
          <w:rFonts w:ascii="Verdana" w:hAnsi="Verdana" w:cstheme="minorHAnsi"/>
          <w:sz w:val="20"/>
          <w:szCs w:val="20"/>
        </w:rPr>
        <w:t>Το 2022, το συνολικό ευρωπαϊκό ηλεκτρονικό εμπόριο B2C αυξήθηκε σε 899 δισ. ευρώ, με ρυθμό ανάπτυξης 6%. Αυτό είναι υψηλότερο από 849 δισ. ευρώ το 2021. Ο ρυθμός ανάπτυξης μειώθηκε από 12% το 2021, γεγονός που μπορεί να αποδοθεί στον κορεσμό στις αγορές ηλεκτρονικού εμπορίου μετά την εξασθένιση της πανδημίας Covid-19 το 2022. Η πρόβλεψη για τον κύκλο εργασιών του 2023 με B2C αντικατοπτρίζει ότι το ηλεκτρονικό εμπόριο θα αυξηθεί κατά 8%.Η Δυτική Ευρώπη είναι, μακράν, η μεγαλύτερη περιοχή, κατέχοντας το 67% του συνολικού κύκλου εργασιών B2C στην Ευρώπη για το 2022. Ακολουθεί η Νότια Ευρώπη, με μερίδιο μόλις 16%. Η Κεντρική Ευρώπη (8%), η Βόρεια Ευρώπη (7%) και η Ανατολική Ευρώπη (2%) έχουν σημαντικά χαμηλότερο μερίδιο στον συνολικό κύκλο εργασιών B2C ηλεκτρονικού εμπορίου. Το 2022, η Δυτική Ευρώπη διαπραγματεύτηκε 603 δις ευρώ διαδικτυακά, η Νότια Ευρώπη 146 δις ευρώ και η Κεντρική Ευρώπη 72 δις ευρώ. Η Βόρεια Ευρώπη ήταν ακριβώς πίσω από την Κεντρική Ευρώπη με 65 δισ. ευρώ, ακολουθούμενη από την Ανατολική Ευρώπη με 14 δισ. ευρώ σε κύκλο εργασιών. Οι κορυφαίες χώρες στον κύκλο εργασιών του ηλεκτρονικού εμπορίου B2C είναι το Ηνωμένο Βασίλειο (291 δισ. ευρώ), η Γαλλία (146 δισ. ευρώ), η Γερμανία (102 δισ. ευρώ) και η Ισπανία (72 δισ. ευρώ). Οι υψηλότεροι ρυθμοί ανάπτυξης (μη προσαρμοσμένοι για τον πληθωρισμό) στον κύκλο εργασιών του ηλεκτρονικού εμπορίου σημειώθηκαν στην Εσθονία (106%), στη Ρουμανία (51%), στη Βουλγαρία (31%), στην Ισπανία (31%) και στο Βέλγιο (22%).</w:t>
      </w:r>
    </w:p>
    <w:p w14:paraId="5F27C37E" w14:textId="77777777" w:rsidR="000608B6" w:rsidRPr="000608B6" w:rsidRDefault="000608B6" w:rsidP="000608B6">
      <w:pPr>
        <w:pStyle w:val="p1"/>
        <w:spacing w:before="0" w:beforeAutospacing="0" w:after="0" w:afterAutospacing="0" w:line="276" w:lineRule="auto"/>
        <w:ind w:left="-567" w:right="-526"/>
        <w:jc w:val="both"/>
        <w:rPr>
          <w:rFonts w:ascii="Verdana" w:hAnsi="Verdana" w:cstheme="minorHAnsi"/>
          <w:sz w:val="20"/>
          <w:szCs w:val="20"/>
        </w:rPr>
      </w:pPr>
    </w:p>
    <w:p w14:paraId="58853F6C" w14:textId="77777777" w:rsidR="000608B6" w:rsidRPr="000608B6" w:rsidRDefault="000608B6" w:rsidP="000608B6">
      <w:pPr>
        <w:pStyle w:val="li1"/>
        <w:numPr>
          <w:ilvl w:val="0"/>
          <w:numId w:val="2"/>
        </w:numPr>
        <w:spacing w:before="0" w:beforeAutospacing="0" w:after="0" w:afterAutospacing="0" w:line="276" w:lineRule="auto"/>
        <w:ind w:left="-284" w:right="-526" w:hanging="283"/>
        <w:jc w:val="both"/>
        <w:rPr>
          <w:rFonts w:ascii="Verdana" w:eastAsia="Times New Roman" w:hAnsi="Verdana" w:cstheme="minorHAnsi"/>
          <w:sz w:val="20"/>
          <w:szCs w:val="20"/>
        </w:rPr>
      </w:pPr>
      <w:r w:rsidRPr="000608B6">
        <w:rPr>
          <w:rStyle w:val="s1"/>
          <w:rFonts w:ascii="Verdana" w:eastAsia="Times New Roman" w:hAnsi="Verdana" w:cstheme="minorHAnsi"/>
          <w:b/>
          <w:bCs/>
          <w:sz w:val="20"/>
          <w:szCs w:val="20"/>
        </w:rPr>
        <w:t>Ο αντίκτυπος του πληθωρισμού</w:t>
      </w:r>
    </w:p>
    <w:p w14:paraId="0ADEEB67" w14:textId="77777777" w:rsidR="000608B6" w:rsidRDefault="000608B6" w:rsidP="000608B6">
      <w:pPr>
        <w:pStyle w:val="p1"/>
        <w:spacing w:before="0" w:beforeAutospacing="0" w:after="0" w:afterAutospacing="0" w:line="276" w:lineRule="auto"/>
        <w:ind w:left="-567" w:right="-526"/>
        <w:jc w:val="both"/>
        <w:rPr>
          <w:rStyle w:val="s2"/>
          <w:rFonts w:ascii="Verdana" w:hAnsi="Verdana" w:cstheme="minorHAnsi"/>
          <w:sz w:val="20"/>
          <w:szCs w:val="20"/>
        </w:rPr>
      </w:pPr>
      <w:r w:rsidRPr="000608B6">
        <w:rPr>
          <w:rStyle w:val="s2"/>
          <w:rFonts w:ascii="Verdana" w:hAnsi="Verdana" w:cstheme="minorHAnsi"/>
          <w:sz w:val="20"/>
          <w:szCs w:val="20"/>
        </w:rPr>
        <w:t>Όταν προσαρμόζουμε αυτά τα ονομαστικά μεγέθη ανάπτυξης για τον πληθωρισμό, έχουμε μια πιο διαφοροποιημένη εικόνα της ισχύος του ευρωπαϊκού ηλεκτρονικού εμπορίου από την αρχή της κρίσης κόστους ζωής. Το 2021, η ανάπτυξη του ευρωπαϊκού ηλεκτρονικού εμπορίου ήταν ακόμα πολύ ισχυρή (+9%), αλλά μειώθηκε με κρατήρες το 2022 λόγω πληθωριστικών κραδασμών (-2%), συρρικνώνοντας για πρώτη φορά ποτέ. Οι μόνες περιοχές χωρίς πτώση του ηλεκτρονικού εμπορίου το 2022 ήταν η Ανατολική Ευρώπη (+5%) και η Νότια Ευρώπη (+13%). Το 2023, καθώς τα επίπεδα του πληθωρισμού μειώθηκαν, το ηλεκτρονικό εμπόριο άρχισε να ανακάμπτει, οδηγώντας μας να προβλέψουμε επιστροφή στην ανάπτυξη (+2%) το 2023.</w:t>
      </w:r>
    </w:p>
    <w:p w14:paraId="399982D6" w14:textId="77777777" w:rsidR="000608B6" w:rsidRPr="000608B6" w:rsidRDefault="000608B6" w:rsidP="000608B6">
      <w:pPr>
        <w:pStyle w:val="p1"/>
        <w:spacing w:before="0" w:beforeAutospacing="0" w:after="0" w:afterAutospacing="0" w:line="276" w:lineRule="auto"/>
        <w:ind w:left="-567" w:right="-526"/>
        <w:jc w:val="both"/>
        <w:rPr>
          <w:rFonts w:ascii="Verdana" w:hAnsi="Verdana" w:cstheme="minorHAnsi"/>
          <w:sz w:val="20"/>
          <w:szCs w:val="20"/>
        </w:rPr>
      </w:pPr>
    </w:p>
    <w:p w14:paraId="24F987BD" w14:textId="77777777" w:rsidR="000608B6" w:rsidRPr="000608B6" w:rsidRDefault="000608B6" w:rsidP="000608B6">
      <w:pPr>
        <w:pStyle w:val="li1"/>
        <w:numPr>
          <w:ilvl w:val="0"/>
          <w:numId w:val="2"/>
        </w:numPr>
        <w:spacing w:before="0" w:beforeAutospacing="0" w:after="0" w:afterAutospacing="0" w:line="276" w:lineRule="auto"/>
        <w:ind w:left="-284" w:right="-526" w:hanging="283"/>
        <w:jc w:val="both"/>
        <w:rPr>
          <w:rFonts w:ascii="Verdana" w:eastAsia="Times New Roman" w:hAnsi="Verdana" w:cstheme="minorHAnsi"/>
          <w:sz w:val="20"/>
          <w:szCs w:val="20"/>
        </w:rPr>
      </w:pPr>
      <w:r w:rsidRPr="000608B6">
        <w:rPr>
          <w:rStyle w:val="s1"/>
          <w:rFonts w:ascii="Verdana" w:eastAsia="Times New Roman" w:hAnsi="Verdana" w:cstheme="minorHAnsi"/>
          <w:b/>
          <w:bCs/>
          <w:sz w:val="20"/>
          <w:szCs w:val="20"/>
        </w:rPr>
        <w:t>Διείσδυση Διαδικτύου</w:t>
      </w:r>
    </w:p>
    <w:p w14:paraId="13D935C7" w14:textId="77777777" w:rsidR="000608B6" w:rsidRDefault="000608B6" w:rsidP="000608B6">
      <w:pPr>
        <w:pStyle w:val="p1"/>
        <w:spacing w:before="0" w:beforeAutospacing="0" w:after="0" w:afterAutospacing="0" w:line="276" w:lineRule="auto"/>
        <w:ind w:left="-567" w:right="-526"/>
        <w:jc w:val="both"/>
        <w:rPr>
          <w:rStyle w:val="s2"/>
          <w:rFonts w:ascii="Verdana" w:hAnsi="Verdana" w:cstheme="minorHAnsi"/>
          <w:sz w:val="20"/>
          <w:szCs w:val="20"/>
        </w:rPr>
      </w:pPr>
      <w:r w:rsidRPr="000608B6">
        <w:rPr>
          <w:rStyle w:val="s2"/>
          <w:rFonts w:ascii="Verdana" w:hAnsi="Verdana" w:cstheme="minorHAnsi"/>
          <w:sz w:val="20"/>
          <w:szCs w:val="20"/>
        </w:rPr>
        <w:t xml:space="preserve">Η διείσδυση του Διαδικτύου στην Ευρώπη είναι 92% το 2022 σε σύγκριση με 90% το 2021. Η χρήση του Διαδικτύου στη Νότια και Ανατολική Ευρώπη εξακολουθεί να υστερεί, μόλις 89% και 88%, αντίστοιχα. Οι περισσότερες χώρες της Ανατολικής Ευρώπης είναι πολύ κάτω από τον ευρωπαϊκό μέσο όρο, ιδιαίτερα η Αλβανία (79%), η Βοσνία-Ερζεγοβίνη (80%) και η Κροατία και η Βουλγαρία (83%). Όπως συμβαίνει συνήθως, η Βόρεια Ευρώπη και η Δυτική Ευρώπη διαθέτουν τα υψηλότερα ποσοστά χρηστών του διαδικτύου, με 97% και 95%, αντίστοιχα. Η υψηλή χρήση του Διαδικτύου στη Βόρεια και Δυτική Ευρώπη αντικατοπτρίζεται στις υψηλές βαθμολογίες τους στις διεθνείς κατατάξεις. Η Γαλλία έλαβε την τέταρτη θέση στο 2022 </w:t>
      </w:r>
      <w:proofErr w:type="spellStart"/>
      <w:r w:rsidRPr="000608B6">
        <w:rPr>
          <w:rStyle w:val="s2"/>
          <w:rFonts w:ascii="Verdana" w:hAnsi="Verdana" w:cstheme="minorHAnsi"/>
          <w:sz w:val="20"/>
          <w:szCs w:val="20"/>
        </w:rPr>
        <w:t>Inclusive</w:t>
      </w:r>
      <w:proofErr w:type="spellEnd"/>
      <w:r w:rsidRPr="000608B6">
        <w:rPr>
          <w:rStyle w:val="s2"/>
          <w:rFonts w:ascii="Verdana" w:hAnsi="Verdana" w:cstheme="minorHAnsi"/>
          <w:sz w:val="20"/>
          <w:szCs w:val="20"/>
        </w:rPr>
        <w:t xml:space="preserve"> Internet </w:t>
      </w:r>
      <w:proofErr w:type="spellStart"/>
      <w:r w:rsidRPr="000608B6">
        <w:rPr>
          <w:rStyle w:val="s2"/>
          <w:rFonts w:ascii="Verdana" w:hAnsi="Verdana" w:cstheme="minorHAnsi"/>
          <w:sz w:val="20"/>
          <w:szCs w:val="20"/>
        </w:rPr>
        <w:t>Index</w:t>
      </w:r>
      <w:proofErr w:type="spellEnd"/>
      <w:r w:rsidRPr="000608B6">
        <w:rPr>
          <w:rStyle w:val="s2"/>
          <w:rFonts w:ascii="Verdana" w:hAnsi="Verdana" w:cstheme="minorHAnsi"/>
          <w:sz w:val="20"/>
          <w:szCs w:val="20"/>
        </w:rPr>
        <w:t xml:space="preserve">, ενώ η Δανία κατατάσσεται πρώτη στον Δείκτη Ανάπτυξης Ηλεκτρονικής Διακυβέρνησης και στον Δείκτη Περιβαλλοντικής Απόδοσης. Επιπλέον, η Φινλανδία κατέχει κορυφαία θέση στον δείκτη απόδοσης </w:t>
      </w:r>
      <w:proofErr w:type="spellStart"/>
      <w:r w:rsidRPr="000608B6">
        <w:rPr>
          <w:rStyle w:val="s2"/>
          <w:rFonts w:ascii="Verdana" w:hAnsi="Verdana" w:cstheme="minorHAnsi"/>
          <w:sz w:val="20"/>
          <w:szCs w:val="20"/>
        </w:rPr>
        <w:t>Logistics</w:t>
      </w:r>
      <w:proofErr w:type="spellEnd"/>
      <w:r w:rsidRPr="000608B6">
        <w:rPr>
          <w:rStyle w:val="s2"/>
          <w:rFonts w:ascii="Verdana" w:hAnsi="Verdana" w:cstheme="minorHAnsi"/>
          <w:sz w:val="20"/>
          <w:szCs w:val="20"/>
        </w:rPr>
        <w:t xml:space="preserve"> και SDG.</w:t>
      </w:r>
    </w:p>
    <w:p w14:paraId="32647077" w14:textId="77777777" w:rsidR="000608B6" w:rsidRPr="000608B6" w:rsidRDefault="000608B6" w:rsidP="000608B6">
      <w:pPr>
        <w:pStyle w:val="p1"/>
        <w:spacing w:before="0" w:beforeAutospacing="0" w:after="0" w:afterAutospacing="0" w:line="276" w:lineRule="auto"/>
        <w:ind w:left="-567" w:right="-526"/>
        <w:jc w:val="both"/>
        <w:rPr>
          <w:rFonts w:ascii="Verdana" w:hAnsi="Verdana" w:cstheme="minorHAnsi"/>
          <w:sz w:val="20"/>
          <w:szCs w:val="20"/>
        </w:rPr>
      </w:pPr>
    </w:p>
    <w:p w14:paraId="0EF0DE26" w14:textId="77777777" w:rsidR="000608B6" w:rsidRPr="000608B6" w:rsidRDefault="000608B6" w:rsidP="000608B6">
      <w:pPr>
        <w:pStyle w:val="li1"/>
        <w:numPr>
          <w:ilvl w:val="0"/>
          <w:numId w:val="2"/>
        </w:numPr>
        <w:spacing w:before="0" w:beforeAutospacing="0" w:after="0" w:afterAutospacing="0" w:line="276" w:lineRule="auto"/>
        <w:ind w:left="-284" w:right="-526" w:hanging="283"/>
        <w:jc w:val="both"/>
        <w:rPr>
          <w:rStyle w:val="s1"/>
          <w:b/>
          <w:bCs/>
        </w:rPr>
      </w:pPr>
      <w:r w:rsidRPr="000608B6">
        <w:rPr>
          <w:rStyle w:val="s1"/>
          <w:rFonts w:ascii="Verdana" w:eastAsia="Times New Roman" w:hAnsi="Verdana" w:cstheme="minorHAnsi"/>
          <w:b/>
          <w:bCs/>
          <w:sz w:val="20"/>
          <w:szCs w:val="20"/>
        </w:rPr>
        <w:t>Διείσδυση e-</w:t>
      </w:r>
      <w:proofErr w:type="spellStart"/>
      <w:r w:rsidRPr="000608B6">
        <w:rPr>
          <w:rStyle w:val="s1"/>
          <w:rFonts w:ascii="Verdana" w:eastAsia="Times New Roman" w:hAnsi="Verdana" w:cstheme="minorHAnsi"/>
          <w:b/>
          <w:bCs/>
          <w:sz w:val="20"/>
          <w:szCs w:val="20"/>
        </w:rPr>
        <w:t>shopper</w:t>
      </w:r>
      <w:proofErr w:type="spellEnd"/>
    </w:p>
    <w:p w14:paraId="49871CE3" w14:textId="77777777" w:rsidR="000608B6" w:rsidRDefault="000608B6" w:rsidP="000608B6">
      <w:pPr>
        <w:pStyle w:val="p1"/>
        <w:spacing w:before="0" w:beforeAutospacing="0" w:after="0" w:afterAutospacing="0" w:line="276" w:lineRule="auto"/>
        <w:ind w:left="-567" w:right="-526"/>
        <w:jc w:val="both"/>
        <w:rPr>
          <w:rFonts w:ascii="Verdana" w:hAnsi="Verdana" w:cstheme="minorHAnsi"/>
          <w:sz w:val="20"/>
          <w:szCs w:val="20"/>
        </w:rPr>
      </w:pPr>
      <w:r w:rsidRPr="000608B6">
        <w:rPr>
          <w:rStyle w:val="s2"/>
          <w:rFonts w:ascii="Verdana" w:hAnsi="Verdana" w:cstheme="minorHAnsi"/>
          <w:sz w:val="20"/>
          <w:szCs w:val="20"/>
        </w:rPr>
        <w:t xml:space="preserve">Το 2022, το ποσοστό του διαδικτυακού πληθυσμού της Ευρώπης παρέμεινε σταθερό, στο 76%. Αναμενόταν χαλάρωση των διαδικτυακών πωλήσεων μετά την </w:t>
      </w:r>
      <w:proofErr w:type="spellStart"/>
      <w:r w:rsidRPr="000608B6">
        <w:rPr>
          <w:rStyle w:val="s2"/>
          <w:rFonts w:ascii="Verdana" w:hAnsi="Verdana" w:cstheme="minorHAnsi"/>
          <w:sz w:val="20"/>
          <w:szCs w:val="20"/>
        </w:rPr>
        <w:t>υπερ</w:t>
      </w:r>
      <w:proofErr w:type="spellEnd"/>
      <w:r w:rsidRPr="000608B6">
        <w:rPr>
          <w:rStyle w:val="s2"/>
          <w:rFonts w:ascii="Verdana" w:hAnsi="Verdana" w:cstheme="minorHAnsi"/>
          <w:sz w:val="20"/>
          <w:szCs w:val="20"/>
        </w:rPr>
        <w:t>-ανάπτυξη που προκλήθηκε από τα μέτρα πανδημίας του Covid-19 που έλαβαν οι ευρωπαϊκές κυβερνήσεις, όπως τα lockdown. Αρκετές εθνικές ενώσεις ηλεκτρονικού εμπορίου ανέφεραν μείωση των ηλεκτρονικών αγορών στη χώρα τους λόγω του αυξανόμενου πληθωρισμού, κάνοντας τους καταναλωτές πιο προσεκτικούς στις δαπάνες. </w:t>
      </w:r>
      <w:r w:rsidRPr="000608B6">
        <w:rPr>
          <w:rFonts w:ascii="Verdana" w:hAnsi="Verdana" w:cstheme="minorHAnsi"/>
          <w:sz w:val="20"/>
          <w:szCs w:val="20"/>
        </w:rPr>
        <w:t xml:space="preserve">Η Δυτική Ευρώπη έχει το υψηλότερο μερίδιο ηλεκτρονικών αγορών, με το 87% των χρηστών του Διαδικτύου να πραγματοποιούν αγορές μέσω Διαδικτύου το 2022. Η Δυτική Ευρώπη ακολουθεί τη Βόρεια Ευρώπη, με 85%, ενώ η Κεντρική Ευρώπη έχει 77%. Η Ανατολική Ευρώπη, η οποία περιλαμβάνει σημαντικό αριθμό χωρών εκτός Ευρωπαϊκής Ένωσης, έχει παρουσιάσει μια πολλά υποσχόμενη αύξηση έξι ποσοστιαίων μονάδων στη διείσδυση των ηλεκτρονικών αγοραστών από 41% το 2021 σε 48% το 2022. Το Ηνωμένο Βασίλειο κατέχει σήμερα το υψηλότερο μερίδιο ηλεκτρονικών αγορών (95%), ακολουθούμενο από την Ολλανδία (92%), τη Νορβηγία (92%), τη Δανία (90%) και την Ελβετία (90%). Το χαμηλότερο μερίδιο των </w:t>
      </w:r>
      <w:proofErr w:type="spellStart"/>
      <w:r w:rsidRPr="000608B6">
        <w:rPr>
          <w:rFonts w:ascii="Verdana" w:hAnsi="Verdana" w:cstheme="minorHAnsi"/>
          <w:sz w:val="20"/>
          <w:szCs w:val="20"/>
        </w:rPr>
        <w:t>online</w:t>
      </w:r>
      <w:proofErr w:type="spellEnd"/>
      <w:r w:rsidRPr="000608B6">
        <w:rPr>
          <w:rFonts w:ascii="Verdana" w:hAnsi="Verdana" w:cstheme="minorHAnsi"/>
          <w:sz w:val="20"/>
          <w:szCs w:val="20"/>
        </w:rPr>
        <w:t xml:space="preserve"> αγοραστών βρέθηκε στο Μαυροβούνιο (31%), τη Βοσνία-Ερζεγοβίνη (39%), την Αλβανία (49%) και τη Βουλγαρία (49%).</w:t>
      </w:r>
    </w:p>
    <w:p w14:paraId="4925B972" w14:textId="77777777" w:rsidR="000608B6" w:rsidRPr="000608B6" w:rsidRDefault="000608B6" w:rsidP="000608B6">
      <w:pPr>
        <w:pStyle w:val="p1"/>
        <w:spacing w:before="0" w:beforeAutospacing="0" w:after="0" w:afterAutospacing="0" w:line="276" w:lineRule="auto"/>
        <w:ind w:left="-567" w:right="-526"/>
        <w:jc w:val="both"/>
        <w:rPr>
          <w:rFonts w:ascii="Verdana" w:hAnsi="Verdana" w:cstheme="minorHAnsi"/>
          <w:sz w:val="20"/>
          <w:szCs w:val="20"/>
        </w:rPr>
      </w:pPr>
    </w:p>
    <w:p w14:paraId="5F6C1C6F" w14:textId="77777777" w:rsidR="000608B6" w:rsidRPr="000608B6" w:rsidRDefault="000608B6" w:rsidP="000608B6">
      <w:pPr>
        <w:pStyle w:val="li1"/>
        <w:numPr>
          <w:ilvl w:val="0"/>
          <w:numId w:val="2"/>
        </w:numPr>
        <w:spacing w:before="0" w:beforeAutospacing="0" w:after="0" w:afterAutospacing="0" w:line="276" w:lineRule="auto"/>
        <w:ind w:left="-284" w:right="-526" w:hanging="283"/>
        <w:jc w:val="both"/>
        <w:rPr>
          <w:rStyle w:val="s1"/>
          <w:b/>
          <w:bCs/>
        </w:rPr>
      </w:pPr>
      <w:r w:rsidRPr="000608B6">
        <w:rPr>
          <w:rStyle w:val="s1"/>
          <w:rFonts w:ascii="Verdana" w:eastAsia="Times New Roman" w:hAnsi="Verdana" w:cstheme="minorHAnsi"/>
          <w:b/>
          <w:bCs/>
          <w:sz w:val="20"/>
          <w:szCs w:val="20"/>
        </w:rPr>
        <w:t>Ευκαιρίες και προκλήσεις</w:t>
      </w:r>
    </w:p>
    <w:p w14:paraId="518BC4B6" w14:textId="77777777" w:rsidR="000608B6" w:rsidRPr="000608B6" w:rsidRDefault="000608B6" w:rsidP="000608B6">
      <w:pPr>
        <w:pStyle w:val="p1"/>
        <w:spacing w:before="0" w:beforeAutospacing="0" w:after="0" w:afterAutospacing="0" w:line="276" w:lineRule="auto"/>
        <w:ind w:left="-567" w:right="-526"/>
        <w:jc w:val="both"/>
        <w:rPr>
          <w:rFonts w:ascii="Verdana" w:hAnsi="Verdana" w:cstheme="minorHAnsi"/>
          <w:sz w:val="20"/>
          <w:szCs w:val="20"/>
        </w:rPr>
      </w:pPr>
      <w:r w:rsidRPr="000608B6">
        <w:rPr>
          <w:rStyle w:val="s2"/>
          <w:rFonts w:ascii="Verdana" w:hAnsi="Verdana" w:cstheme="minorHAnsi"/>
          <w:sz w:val="20"/>
          <w:szCs w:val="20"/>
        </w:rPr>
        <w:t>Το 2022, η κύρια πρόκληση για τις ευρωπαϊκές αγορές ηλεκτρονικού εμπορίου ήταν ο πόλεμος στην Ουκρανία, ο οποίος αύξησε τις τιμές της ενέργειας και άλλων εμπορευμάτων. Αυτό είχε σημαντικό αντίκτυπο στην αγοραστική δύναμη των καταναλωτών. Για πολλές ευρωπαϊκές χώρες, η αύξηση του κύκλου εργασιών του ηλεκτρονικού εμπορίου οφείλεται κυρίως στις υψηλότερες τιμές (πληθωρισμός) και όχι στον όγκο. Η μείωση του όγκου αντισταθμίζεται κάπως από την αύξηση των αγορών διαδικτυακών υπηρεσιών – όπως ταξίδια και αναψυχή – μετά το lockdown Covid-19. </w:t>
      </w:r>
      <w:r w:rsidRPr="000608B6">
        <w:rPr>
          <w:rFonts w:ascii="Verdana" w:hAnsi="Verdana" w:cstheme="minorHAnsi"/>
          <w:sz w:val="20"/>
          <w:szCs w:val="20"/>
        </w:rPr>
        <w:t xml:space="preserve">Το ψηφιακό χάσμα μεταξύ των ΜΜΕ και των μεγαλύτερων εταιρειών ηλεκτρονικού εμπορίου μπορεί να αυξηθεί με τις τεχνολογικές εξελίξεις, καθώς οι τελευταίες διαθέτουν περισσότερους πόρους για την εφαρμογή των πιο πρόσφατων τεχνολογιών. Ως εκ τούτου, ορισμένες ευρωπαϊκές κυβερνήσεις έχουν δημιουργήσει ειδική νομοθεσία για την ψηφιακή καινοτομία από τις </w:t>
      </w:r>
      <w:proofErr w:type="spellStart"/>
      <w:r w:rsidRPr="000608B6">
        <w:rPr>
          <w:rFonts w:ascii="Verdana" w:hAnsi="Verdana" w:cstheme="minorHAnsi"/>
          <w:sz w:val="20"/>
          <w:szCs w:val="20"/>
        </w:rPr>
        <w:t>ΜμΕ</w:t>
      </w:r>
      <w:proofErr w:type="spellEnd"/>
      <w:r w:rsidRPr="000608B6">
        <w:rPr>
          <w:rFonts w:ascii="Verdana" w:hAnsi="Verdana" w:cstheme="minorHAnsi"/>
          <w:sz w:val="20"/>
          <w:szCs w:val="20"/>
        </w:rPr>
        <w:t xml:space="preserve">, με την Ιρλανδία, για παράδειγμα, να δημιουργεί ειδική πίστωση φόρου ψηφιακής τεχνολογίας για τις ΜΜΕ για να επιτρέψει μεγαλύτερη προσαρμογή της τεχνολογίας. Άλλοι κανονισμοί έχουν εγκριθεί σε επίπεδο ΕΕ, όπως ο νόμος για τις ψηφιακές υπηρεσίες και ο νόμος για τις ψηφιακές αγορές, οι οποίοι επηρεάζουν επίσης το ηλεκτρονικό εμπόριο στην Ευρώπη. Εκτός από τους κανονισμούς, η τεχνολογία βοηθά το ηλεκτρονικό εμπόριο να αναπτυχθεί. Η τεχνολογία (οπτική ίνα, </w:t>
      </w:r>
      <w:proofErr w:type="spellStart"/>
      <w:r w:rsidRPr="000608B6">
        <w:rPr>
          <w:rFonts w:ascii="Verdana" w:hAnsi="Verdana" w:cstheme="minorHAnsi"/>
          <w:sz w:val="20"/>
          <w:szCs w:val="20"/>
        </w:rPr>
        <w:t>ευρυζωνική</w:t>
      </w:r>
      <w:proofErr w:type="spellEnd"/>
      <w:r w:rsidRPr="000608B6">
        <w:rPr>
          <w:rFonts w:ascii="Verdana" w:hAnsi="Verdana" w:cstheme="minorHAnsi"/>
          <w:sz w:val="20"/>
          <w:szCs w:val="20"/>
        </w:rPr>
        <w:t xml:space="preserve"> συνδεσιμότητα, 5G) και οι λύσεις καταστημάτων </w:t>
      </w:r>
      <w:proofErr w:type="spellStart"/>
      <w:r w:rsidRPr="000608B6">
        <w:rPr>
          <w:rFonts w:ascii="Verdana" w:hAnsi="Verdana" w:cstheme="minorHAnsi"/>
          <w:sz w:val="20"/>
          <w:szCs w:val="20"/>
        </w:rPr>
        <w:t>SaaS</w:t>
      </w:r>
      <w:proofErr w:type="spellEnd"/>
      <w:r w:rsidRPr="000608B6">
        <w:rPr>
          <w:rFonts w:ascii="Verdana" w:hAnsi="Verdana" w:cstheme="minorHAnsi"/>
          <w:sz w:val="20"/>
          <w:szCs w:val="20"/>
        </w:rPr>
        <w:t xml:space="preserve">, όπως το </w:t>
      </w:r>
      <w:proofErr w:type="spellStart"/>
      <w:r w:rsidRPr="000608B6">
        <w:rPr>
          <w:rFonts w:ascii="Verdana" w:hAnsi="Verdana" w:cstheme="minorHAnsi"/>
          <w:sz w:val="20"/>
          <w:szCs w:val="20"/>
        </w:rPr>
        <w:t>Shopify</w:t>
      </w:r>
      <w:proofErr w:type="spellEnd"/>
      <w:r w:rsidRPr="000608B6">
        <w:rPr>
          <w:rFonts w:ascii="Verdana" w:hAnsi="Verdana" w:cstheme="minorHAnsi"/>
          <w:sz w:val="20"/>
          <w:szCs w:val="20"/>
        </w:rPr>
        <w:t>, θα συνεχίσουν να προωθούν τη διείσδυση του ηλεκτρονικού εμπορίου μεταξύ των καθυστερημένων (</w:t>
      </w:r>
      <w:proofErr w:type="spellStart"/>
      <w:r w:rsidRPr="000608B6">
        <w:rPr>
          <w:rFonts w:ascii="Verdana" w:hAnsi="Verdana" w:cstheme="minorHAnsi"/>
          <w:sz w:val="20"/>
          <w:szCs w:val="20"/>
        </w:rPr>
        <w:t>ΜμΕ</w:t>
      </w:r>
      <w:proofErr w:type="spellEnd"/>
      <w:r w:rsidRPr="000608B6">
        <w:rPr>
          <w:rFonts w:ascii="Verdana" w:hAnsi="Verdana" w:cstheme="minorHAnsi"/>
          <w:sz w:val="20"/>
          <w:szCs w:val="20"/>
        </w:rPr>
        <w:t xml:space="preserve"> και λιανοπωλητές στην Ανατολική και Νότια Ευρώπη). Η προσαρμογή της νέας τεχνολογίας (AI, </w:t>
      </w:r>
      <w:proofErr w:type="spellStart"/>
      <w:r w:rsidRPr="000608B6">
        <w:rPr>
          <w:rFonts w:ascii="Verdana" w:hAnsi="Verdana" w:cstheme="minorHAnsi"/>
          <w:sz w:val="20"/>
          <w:szCs w:val="20"/>
        </w:rPr>
        <w:t>ChatGPT</w:t>
      </w:r>
      <w:proofErr w:type="spellEnd"/>
      <w:r w:rsidRPr="000608B6">
        <w:rPr>
          <w:rFonts w:ascii="Verdana" w:hAnsi="Verdana" w:cstheme="minorHAnsi"/>
          <w:sz w:val="20"/>
          <w:szCs w:val="20"/>
        </w:rPr>
        <w:t xml:space="preserve">, AR/VR) έχει τη δυνατότητα να αυξήσει περαιτέρω τις δραστηριότητες ηλεκτρονικού εμπορίου, επιτρέποντας καλύτερες εμπειρίες μάρκετινγκ, εξυπηρέτησης πελατών και αγορών. Η άνοδος των πληρωμών μέσω </w:t>
      </w:r>
      <w:proofErr w:type="spellStart"/>
      <w:r w:rsidRPr="000608B6">
        <w:rPr>
          <w:rFonts w:ascii="Verdana" w:hAnsi="Verdana" w:cstheme="minorHAnsi"/>
          <w:sz w:val="20"/>
          <w:szCs w:val="20"/>
        </w:rPr>
        <w:t>smartphone</w:t>
      </w:r>
      <w:proofErr w:type="spellEnd"/>
      <w:r w:rsidRPr="000608B6">
        <w:rPr>
          <w:rFonts w:ascii="Verdana" w:hAnsi="Verdana" w:cstheme="minorHAnsi"/>
          <w:sz w:val="20"/>
          <w:szCs w:val="20"/>
        </w:rPr>
        <w:t xml:space="preserve"> (ψηφιακά πορτοφόλια) και οι τεχνολογίες απρόσκοπτης πληρωμής θεωρούνται επίσης σημαντικοί μοχλοί για το ηλεκτρονικό εμπόριο. Υπάρχουν ακόμη ευκαιρίες για βελτίωση της παράδοσης των αγαθών. Όλο και περισσότερες χώρες επικεντρώνονται στην ανάπτυξη ενός δικτύου σημείων παραλαβής και θυρίδων. Η προσπάθεια για βιωσιμότητα συνεχίζεται από όλες τις κατευθύνσεις: νομοθεσία (Δικαίωμα επισκευής, αποτύπωμα άνθρακα), συμπεριφορά των καταναλωτών (επιλέγοντας </w:t>
      </w:r>
      <w:proofErr w:type="spellStart"/>
      <w:r w:rsidRPr="000608B6">
        <w:rPr>
          <w:rFonts w:ascii="Verdana" w:hAnsi="Verdana" w:cstheme="minorHAnsi"/>
          <w:sz w:val="20"/>
          <w:szCs w:val="20"/>
        </w:rPr>
        <w:t>Green</w:t>
      </w:r>
      <w:proofErr w:type="spellEnd"/>
      <w:r w:rsidRPr="000608B6">
        <w:rPr>
          <w:rFonts w:ascii="Verdana" w:hAnsi="Verdana" w:cstheme="minorHAnsi"/>
          <w:sz w:val="20"/>
          <w:szCs w:val="20"/>
        </w:rPr>
        <w:t xml:space="preserve"> </w:t>
      </w:r>
      <w:proofErr w:type="spellStart"/>
      <w:r w:rsidRPr="000608B6">
        <w:rPr>
          <w:rFonts w:ascii="Verdana" w:hAnsi="Verdana" w:cstheme="minorHAnsi"/>
          <w:sz w:val="20"/>
          <w:szCs w:val="20"/>
        </w:rPr>
        <w:t>Products</w:t>
      </w:r>
      <w:proofErr w:type="spellEnd"/>
      <w:r w:rsidRPr="000608B6">
        <w:rPr>
          <w:rFonts w:ascii="Verdana" w:hAnsi="Verdana" w:cstheme="minorHAnsi"/>
          <w:sz w:val="20"/>
          <w:szCs w:val="20"/>
        </w:rPr>
        <w:t>) και εταιρείες που κάνουν την επιχείρησή τους πιο βιώσιμη (π.χ. μετατροπή ενός στόλου σε EV, βιώσιμο υλικό συσκευασίας). Οι εθνικές ενώσεις ηλεκτρονικού εμπορίου σε όλη την Ευρώπη ανέφεραν τις «επιστροφές» ως σημαντική πρόκληση για την επίτευξη βιωσιμότητας. Οι ηλεκτρονικοί λιανοπωλητές μοχθούν με πιθανούς τρόπους περιορισμού των επιστροφών χρησιμοποιώντας τεχνολογία (AR/VR, βελτιστοποίηση γραφημάτων μεγεθών) ή ακόμη και χρέωση των πελατών για την επιστροφή (είτε συμβολικά είτε πλήρως).</w:t>
      </w:r>
    </w:p>
    <w:p w14:paraId="7409BD48" w14:textId="462EE501" w:rsidR="00213E87" w:rsidRPr="000608B6" w:rsidRDefault="00213E87" w:rsidP="000608B6">
      <w:pPr>
        <w:ind w:left="-567" w:right="-526"/>
        <w:jc w:val="both"/>
        <w:rPr>
          <w:rFonts w:ascii="Verdana" w:hAnsi="Verdana" w:cstheme="minorHAnsi"/>
          <w:sz w:val="20"/>
          <w:szCs w:val="20"/>
        </w:rPr>
      </w:pPr>
    </w:p>
    <w:sectPr w:rsidR="00213E87" w:rsidRPr="000608B6" w:rsidSect="00D541B4">
      <w:headerReference w:type="default" r:id="rId7"/>
      <w:pgSz w:w="11906" w:h="16838"/>
      <w:pgMar w:top="1440" w:right="1800" w:bottom="709"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84F9E" w14:textId="77777777" w:rsidR="00544CDC" w:rsidRDefault="00544CDC" w:rsidP="00E23730">
      <w:pPr>
        <w:spacing w:after="0" w:line="240" w:lineRule="auto"/>
      </w:pPr>
      <w:r>
        <w:separator/>
      </w:r>
    </w:p>
  </w:endnote>
  <w:endnote w:type="continuationSeparator" w:id="0">
    <w:p w14:paraId="7B5CC45A" w14:textId="77777777" w:rsidR="00544CDC" w:rsidRDefault="00544CDC" w:rsidP="00E23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1"/>
    <w:family w:val="swiss"/>
    <w:pitch w:val="variable"/>
    <w:sig w:usb0="A00006FF" w:usb1="4000205B" w:usb2="00000010" w:usb3="00000000" w:csb0="0000019F"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0329A" w14:textId="77777777" w:rsidR="00544CDC" w:rsidRDefault="00544CDC" w:rsidP="00E23730">
      <w:pPr>
        <w:spacing w:after="0" w:line="240" w:lineRule="auto"/>
      </w:pPr>
      <w:r>
        <w:separator/>
      </w:r>
    </w:p>
  </w:footnote>
  <w:footnote w:type="continuationSeparator" w:id="0">
    <w:p w14:paraId="56F23E3E" w14:textId="77777777" w:rsidR="00544CDC" w:rsidRDefault="00544CDC" w:rsidP="00E237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5" w:type="dxa"/>
      <w:tblInd w:w="-601" w:type="dxa"/>
      <w:tblBorders>
        <w:bottom w:val="single" w:sz="12" w:space="0" w:color="276399"/>
      </w:tblBorders>
      <w:tblLayout w:type="fixed"/>
      <w:tblLook w:val="04A0" w:firstRow="1" w:lastRow="0" w:firstColumn="1" w:lastColumn="0" w:noHBand="0" w:noVBand="1"/>
    </w:tblPr>
    <w:tblGrid>
      <w:gridCol w:w="1546"/>
      <w:gridCol w:w="5256"/>
      <w:gridCol w:w="1276"/>
      <w:gridCol w:w="1417"/>
    </w:tblGrid>
    <w:tr w:rsidR="00E23730" w:rsidRPr="003C11C7" w14:paraId="693A5627" w14:textId="77777777" w:rsidTr="00095E15">
      <w:trPr>
        <w:trHeight w:val="1190"/>
      </w:trPr>
      <w:tc>
        <w:tcPr>
          <w:tcW w:w="1547" w:type="dxa"/>
          <w:tcBorders>
            <w:top w:val="nil"/>
            <w:left w:val="nil"/>
            <w:bottom w:val="single" w:sz="12" w:space="0" w:color="276399"/>
            <w:right w:val="nil"/>
          </w:tcBorders>
          <w:vAlign w:val="center"/>
          <w:hideMark/>
        </w:tcPr>
        <w:p w14:paraId="34DB3DDE" w14:textId="77777777" w:rsidR="00E23730" w:rsidRPr="003C11C7" w:rsidRDefault="00E23730" w:rsidP="00E23730">
          <w:pPr>
            <w:spacing w:after="0" w:line="240" w:lineRule="auto"/>
            <w:ind w:left="-108" w:right="-108"/>
            <w:jc w:val="center"/>
            <w:rPr>
              <w:rFonts w:ascii="Times New Roman" w:eastAsia="Times New Roman" w:hAnsi="Times New Roman" w:cs="Times New Roman"/>
              <w:kern w:val="0"/>
              <w:sz w:val="20"/>
              <w:szCs w:val="20"/>
              <w:lang w:eastAsia="el-GR"/>
              <w14:ligatures w14:val="none"/>
            </w:rPr>
          </w:pPr>
          <w:r w:rsidRPr="003C11C7">
            <w:rPr>
              <w:rFonts w:ascii="Times New Roman" w:eastAsia="Times New Roman" w:hAnsi="Times New Roman" w:cs="Times New Roman"/>
              <w:noProof/>
              <w:color w:val="0000FF"/>
              <w:kern w:val="0"/>
              <w:sz w:val="20"/>
              <w:szCs w:val="20"/>
              <w:lang w:eastAsia="el-GR"/>
              <w14:ligatures w14:val="none"/>
            </w:rPr>
            <w:drawing>
              <wp:inline distT="0" distB="0" distL="0" distR="0" wp14:anchorId="7E07F938" wp14:editId="12F0DE7F">
                <wp:extent cx="822960" cy="640080"/>
                <wp:effectExtent l="0" t="0" r="15240" b="7620"/>
                <wp:docPr id="978667609" name="Εικόνα 97866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22960" cy="640080"/>
                        </a:xfrm>
                        <a:prstGeom prst="rect">
                          <a:avLst/>
                        </a:prstGeom>
                        <a:noFill/>
                        <a:ln>
                          <a:noFill/>
                        </a:ln>
                      </pic:spPr>
                    </pic:pic>
                  </a:graphicData>
                </a:graphic>
              </wp:inline>
            </w:drawing>
          </w:r>
        </w:p>
      </w:tc>
      <w:tc>
        <w:tcPr>
          <w:tcW w:w="5258" w:type="dxa"/>
          <w:tcBorders>
            <w:top w:val="nil"/>
            <w:left w:val="nil"/>
            <w:bottom w:val="single" w:sz="12" w:space="0" w:color="276399"/>
            <w:right w:val="nil"/>
          </w:tcBorders>
          <w:vAlign w:val="center"/>
        </w:tcPr>
        <w:p w14:paraId="59E148C3" w14:textId="77777777" w:rsidR="00E23730" w:rsidRPr="003C11C7" w:rsidRDefault="00E23730" w:rsidP="00E23730">
          <w:pPr>
            <w:spacing w:after="0" w:line="240" w:lineRule="auto"/>
            <w:ind w:right="-508"/>
            <w:jc w:val="center"/>
            <w:rPr>
              <w:rFonts w:ascii="Cambria" w:eastAsia="Times New Roman" w:hAnsi="Cambria" w:cs="Arial"/>
              <w:color w:val="000000"/>
              <w:kern w:val="0"/>
              <w:sz w:val="20"/>
              <w:szCs w:val="20"/>
              <w:u w:val="single"/>
              <w:lang w:eastAsia="el-GR"/>
              <w14:ligatures w14:val="none"/>
            </w:rPr>
          </w:pPr>
        </w:p>
      </w:tc>
      <w:tc>
        <w:tcPr>
          <w:tcW w:w="1276" w:type="dxa"/>
          <w:tcBorders>
            <w:top w:val="nil"/>
            <w:left w:val="nil"/>
            <w:bottom w:val="single" w:sz="12" w:space="0" w:color="276399"/>
            <w:right w:val="nil"/>
          </w:tcBorders>
          <w:vAlign w:val="center"/>
          <w:hideMark/>
        </w:tcPr>
        <w:p w14:paraId="32B135E2" w14:textId="77777777" w:rsidR="00E23730" w:rsidRPr="003C11C7" w:rsidRDefault="00E23730" w:rsidP="00E23730">
          <w:pPr>
            <w:spacing w:after="0" w:line="240" w:lineRule="auto"/>
            <w:ind w:left="-250" w:right="-249"/>
            <w:jc w:val="center"/>
            <w:rPr>
              <w:rFonts w:ascii="Cambria" w:eastAsia="Times New Roman" w:hAnsi="Cambria" w:cs="Times New Roman"/>
              <w:b/>
              <w:kern w:val="0"/>
              <w:sz w:val="20"/>
              <w:szCs w:val="20"/>
              <w:lang w:eastAsia="el-GR"/>
              <w14:ligatures w14:val="none"/>
            </w:rPr>
          </w:pPr>
          <w:r w:rsidRPr="003C11C7">
            <w:rPr>
              <w:rFonts w:ascii="Cambria" w:eastAsia="Times New Roman" w:hAnsi="Cambria" w:cs="Times New Roman"/>
              <w:b/>
              <w:noProof/>
              <w:kern w:val="0"/>
              <w:sz w:val="20"/>
              <w:szCs w:val="20"/>
              <w:lang w:eastAsia="el-GR"/>
              <w14:ligatures w14:val="none"/>
            </w:rPr>
            <w:drawing>
              <wp:inline distT="0" distB="0" distL="0" distR="0" wp14:anchorId="3D945912" wp14:editId="7F29E472">
                <wp:extent cx="594360" cy="662940"/>
                <wp:effectExtent l="0" t="0" r="0" b="3810"/>
                <wp:docPr id="1151377514" name="Εικόνα 1151377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4360" cy="662940"/>
                        </a:xfrm>
                        <a:prstGeom prst="rect">
                          <a:avLst/>
                        </a:prstGeom>
                        <a:noFill/>
                        <a:ln>
                          <a:noFill/>
                        </a:ln>
                      </pic:spPr>
                    </pic:pic>
                  </a:graphicData>
                </a:graphic>
              </wp:inline>
            </w:drawing>
          </w:r>
        </w:p>
      </w:tc>
      <w:tc>
        <w:tcPr>
          <w:tcW w:w="1417" w:type="dxa"/>
          <w:tcBorders>
            <w:top w:val="nil"/>
            <w:left w:val="nil"/>
            <w:bottom w:val="single" w:sz="12" w:space="0" w:color="276399"/>
            <w:right w:val="nil"/>
          </w:tcBorders>
          <w:vAlign w:val="center"/>
          <w:hideMark/>
        </w:tcPr>
        <w:p w14:paraId="536CFF29" w14:textId="77777777" w:rsidR="00E23730" w:rsidRPr="003C11C7" w:rsidRDefault="00E23730" w:rsidP="00E23730">
          <w:pPr>
            <w:tabs>
              <w:tab w:val="center" w:pos="4536"/>
              <w:tab w:val="right" w:pos="9072"/>
            </w:tabs>
            <w:spacing w:after="0" w:line="240" w:lineRule="auto"/>
            <w:ind w:left="-113" w:right="-108"/>
            <w:rPr>
              <w:rFonts w:ascii="Cambria" w:eastAsia="Times New Roman" w:hAnsi="Cambria" w:cs="Times New Roman"/>
              <w:b/>
              <w:color w:val="276399"/>
              <w:kern w:val="0"/>
              <w:sz w:val="18"/>
              <w:szCs w:val="18"/>
              <w:lang w:eastAsia="el-GR"/>
              <w14:ligatures w14:val="none"/>
            </w:rPr>
          </w:pPr>
          <w:r w:rsidRPr="003C11C7">
            <w:rPr>
              <w:rFonts w:ascii="Cambria" w:eastAsia="Times New Roman" w:hAnsi="Cambria" w:cs="Times New Roman"/>
              <w:b/>
              <w:color w:val="276399"/>
              <w:kern w:val="0"/>
              <w:sz w:val="18"/>
              <w:szCs w:val="18"/>
              <w:lang w:eastAsia="el-GR"/>
              <w14:ligatures w14:val="none"/>
            </w:rPr>
            <w:t xml:space="preserve">ΕΜΠΟΡΙΚΟ &amp; </w:t>
          </w:r>
        </w:p>
        <w:p w14:paraId="17859C7E" w14:textId="77777777" w:rsidR="00E23730" w:rsidRPr="003C11C7" w:rsidRDefault="00E23730" w:rsidP="00E23730">
          <w:pPr>
            <w:tabs>
              <w:tab w:val="center" w:pos="4536"/>
              <w:tab w:val="right" w:pos="9072"/>
            </w:tabs>
            <w:spacing w:after="0" w:line="240" w:lineRule="auto"/>
            <w:ind w:left="-113" w:right="-108"/>
            <w:rPr>
              <w:rFonts w:ascii="Cambria" w:eastAsia="Times New Roman" w:hAnsi="Cambria" w:cs="Times New Roman"/>
              <w:b/>
              <w:color w:val="276399"/>
              <w:kern w:val="0"/>
              <w:sz w:val="18"/>
              <w:szCs w:val="18"/>
              <w:lang w:eastAsia="el-GR"/>
              <w14:ligatures w14:val="none"/>
            </w:rPr>
          </w:pPr>
          <w:r w:rsidRPr="003C11C7">
            <w:rPr>
              <w:rFonts w:ascii="Cambria" w:eastAsia="Times New Roman" w:hAnsi="Cambria" w:cs="Times New Roman"/>
              <w:b/>
              <w:color w:val="276399"/>
              <w:kern w:val="0"/>
              <w:sz w:val="18"/>
              <w:szCs w:val="18"/>
              <w:lang w:eastAsia="el-GR"/>
              <w14:ligatures w14:val="none"/>
            </w:rPr>
            <w:t>ΒΙΟΜΗΧΑΝΙΚΟ</w:t>
          </w:r>
        </w:p>
        <w:p w14:paraId="7BD14405" w14:textId="77777777" w:rsidR="00E23730" w:rsidRPr="003C11C7" w:rsidRDefault="00E23730" w:rsidP="00E23730">
          <w:pPr>
            <w:tabs>
              <w:tab w:val="center" w:pos="4536"/>
              <w:tab w:val="right" w:pos="9072"/>
            </w:tabs>
            <w:spacing w:after="0" w:line="240" w:lineRule="auto"/>
            <w:ind w:left="-113" w:right="-108"/>
            <w:rPr>
              <w:rFonts w:ascii="Cambria" w:eastAsia="Times New Roman" w:hAnsi="Cambria" w:cs="Times New Roman"/>
              <w:b/>
              <w:color w:val="276399"/>
              <w:kern w:val="0"/>
              <w:sz w:val="18"/>
              <w:szCs w:val="18"/>
              <w:lang w:eastAsia="el-GR"/>
              <w14:ligatures w14:val="none"/>
            </w:rPr>
          </w:pPr>
          <w:r w:rsidRPr="003C11C7">
            <w:rPr>
              <w:rFonts w:ascii="Cambria" w:eastAsia="Times New Roman" w:hAnsi="Cambria" w:cs="Times New Roman"/>
              <w:b/>
              <w:color w:val="276399"/>
              <w:kern w:val="0"/>
              <w:sz w:val="18"/>
              <w:szCs w:val="18"/>
              <w:lang w:eastAsia="el-GR"/>
              <w14:ligatures w14:val="none"/>
            </w:rPr>
            <w:t xml:space="preserve">ΕΠΙΜΕΛΗΤΗΡΙΟ </w:t>
          </w:r>
        </w:p>
        <w:p w14:paraId="262B6124" w14:textId="77777777" w:rsidR="00E23730" w:rsidRPr="003C11C7" w:rsidRDefault="00E23730" w:rsidP="00E23730">
          <w:pPr>
            <w:tabs>
              <w:tab w:val="center" w:pos="4536"/>
              <w:tab w:val="right" w:pos="9072"/>
            </w:tabs>
            <w:spacing w:after="0" w:line="240" w:lineRule="auto"/>
            <w:ind w:left="-113" w:right="-108"/>
            <w:rPr>
              <w:rFonts w:ascii="Cambria" w:eastAsia="Times New Roman" w:hAnsi="Cambria" w:cs="Times New Roman"/>
              <w:b/>
              <w:color w:val="1F3864"/>
              <w:kern w:val="0"/>
              <w:sz w:val="20"/>
              <w:szCs w:val="20"/>
              <w:lang w:val="x-none" w:eastAsia="el-GR"/>
              <w14:ligatures w14:val="none"/>
            </w:rPr>
          </w:pPr>
          <w:r w:rsidRPr="003C11C7">
            <w:rPr>
              <w:rFonts w:ascii="Cambria" w:eastAsia="Times New Roman" w:hAnsi="Cambria" w:cs="Times New Roman"/>
              <w:b/>
              <w:color w:val="276399"/>
              <w:kern w:val="0"/>
              <w:sz w:val="18"/>
              <w:szCs w:val="18"/>
              <w:lang w:eastAsia="el-GR"/>
              <w14:ligatures w14:val="none"/>
            </w:rPr>
            <w:t>ΠΕΙΡΑΙΩΣ</w:t>
          </w:r>
          <w:r w:rsidRPr="003C11C7">
            <w:rPr>
              <w:rFonts w:ascii="Cambria" w:eastAsia="Times New Roman" w:hAnsi="Cambria" w:cs="Times New Roman"/>
              <w:b/>
              <w:color w:val="1F3864"/>
              <w:kern w:val="0"/>
              <w:sz w:val="20"/>
              <w:szCs w:val="20"/>
              <w:lang w:val="x-none" w:eastAsia="el-GR"/>
              <w14:ligatures w14:val="none"/>
            </w:rPr>
            <w:t xml:space="preserve">  </w:t>
          </w:r>
        </w:p>
      </w:tc>
    </w:tr>
  </w:tbl>
  <w:p w14:paraId="6E55F8EB" w14:textId="77777777" w:rsidR="00E23730" w:rsidRDefault="00E237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1FBD"/>
    <w:multiLevelType w:val="hybridMultilevel"/>
    <w:tmpl w:val="8640AA9A"/>
    <w:lvl w:ilvl="0" w:tplc="034CFA4A">
      <w:start w:val="25"/>
      <w:numFmt w:val="bullet"/>
      <w:lvlText w:val=""/>
      <w:lvlJc w:val="left"/>
      <w:pPr>
        <w:ind w:left="-207" w:hanging="360"/>
      </w:pPr>
      <w:rPr>
        <w:rFonts w:ascii="Symbol" w:eastAsiaTheme="minorHAnsi" w:hAnsi="Symbol" w:cs="Calibri" w:hint="default"/>
        <w:i/>
      </w:rPr>
    </w:lvl>
    <w:lvl w:ilvl="1" w:tplc="04080003" w:tentative="1">
      <w:start w:val="1"/>
      <w:numFmt w:val="bullet"/>
      <w:lvlText w:val="o"/>
      <w:lvlJc w:val="left"/>
      <w:pPr>
        <w:ind w:left="513" w:hanging="360"/>
      </w:pPr>
      <w:rPr>
        <w:rFonts w:ascii="Courier New" w:hAnsi="Courier New" w:cs="Courier New" w:hint="default"/>
      </w:rPr>
    </w:lvl>
    <w:lvl w:ilvl="2" w:tplc="04080005" w:tentative="1">
      <w:start w:val="1"/>
      <w:numFmt w:val="bullet"/>
      <w:lvlText w:val=""/>
      <w:lvlJc w:val="left"/>
      <w:pPr>
        <w:ind w:left="1233" w:hanging="360"/>
      </w:pPr>
      <w:rPr>
        <w:rFonts w:ascii="Wingdings" w:hAnsi="Wingdings" w:hint="default"/>
      </w:rPr>
    </w:lvl>
    <w:lvl w:ilvl="3" w:tplc="04080001" w:tentative="1">
      <w:start w:val="1"/>
      <w:numFmt w:val="bullet"/>
      <w:lvlText w:val=""/>
      <w:lvlJc w:val="left"/>
      <w:pPr>
        <w:ind w:left="1953" w:hanging="360"/>
      </w:pPr>
      <w:rPr>
        <w:rFonts w:ascii="Symbol" w:hAnsi="Symbol" w:hint="default"/>
      </w:rPr>
    </w:lvl>
    <w:lvl w:ilvl="4" w:tplc="04080003" w:tentative="1">
      <w:start w:val="1"/>
      <w:numFmt w:val="bullet"/>
      <w:lvlText w:val="o"/>
      <w:lvlJc w:val="left"/>
      <w:pPr>
        <w:ind w:left="2673" w:hanging="360"/>
      </w:pPr>
      <w:rPr>
        <w:rFonts w:ascii="Courier New" w:hAnsi="Courier New" w:cs="Courier New" w:hint="default"/>
      </w:rPr>
    </w:lvl>
    <w:lvl w:ilvl="5" w:tplc="04080005" w:tentative="1">
      <w:start w:val="1"/>
      <w:numFmt w:val="bullet"/>
      <w:lvlText w:val=""/>
      <w:lvlJc w:val="left"/>
      <w:pPr>
        <w:ind w:left="3393" w:hanging="360"/>
      </w:pPr>
      <w:rPr>
        <w:rFonts w:ascii="Wingdings" w:hAnsi="Wingdings" w:hint="default"/>
      </w:rPr>
    </w:lvl>
    <w:lvl w:ilvl="6" w:tplc="04080001" w:tentative="1">
      <w:start w:val="1"/>
      <w:numFmt w:val="bullet"/>
      <w:lvlText w:val=""/>
      <w:lvlJc w:val="left"/>
      <w:pPr>
        <w:ind w:left="4113" w:hanging="360"/>
      </w:pPr>
      <w:rPr>
        <w:rFonts w:ascii="Symbol" w:hAnsi="Symbol" w:hint="default"/>
      </w:rPr>
    </w:lvl>
    <w:lvl w:ilvl="7" w:tplc="04080003" w:tentative="1">
      <w:start w:val="1"/>
      <w:numFmt w:val="bullet"/>
      <w:lvlText w:val="o"/>
      <w:lvlJc w:val="left"/>
      <w:pPr>
        <w:ind w:left="4833" w:hanging="360"/>
      </w:pPr>
      <w:rPr>
        <w:rFonts w:ascii="Courier New" w:hAnsi="Courier New" w:cs="Courier New" w:hint="default"/>
      </w:rPr>
    </w:lvl>
    <w:lvl w:ilvl="8" w:tplc="04080005" w:tentative="1">
      <w:start w:val="1"/>
      <w:numFmt w:val="bullet"/>
      <w:lvlText w:val=""/>
      <w:lvlJc w:val="left"/>
      <w:pPr>
        <w:ind w:left="5553" w:hanging="360"/>
      </w:pPr>
      <w:rPr>
        <w:rFonts w:ascii="Wingdings" w:hAnsi="Wingdings" w:hint="default"/>
      </w:rPr>
    </w:lvl>
  </w:abstractNum>
  <w:abstractNum w:abstractNumId="1" w15:restartNumberingAfterBreak="0">
    <w:nsid w:val="02D42A87"/>
    <w:multiLevelType w:val="multilevel"/>
    <w:tmpl w:val="621AD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D235E"/>
    <w:multiLevelType w:val="multilevel"/>
    <w:tmpl w:val="06B0C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24303F"/>
    <w:multiLevelType w:val="multilevel"/>
    <w:tmpl w:val="5C9E9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956312"/>
    <w:multiLevelType w:val="multilevel"/>
    <w:tmpl w:val="FE0A7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F252AA"/>
    <w:multiLevelType w:val="multilevel"/>
    <w:tmpl w:val="15FA6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92943037">
    <w:abstractNumId w:val="0"/>
  </w:num>
  <w:num w:numId="2" w16cid:durableId="435515318">
    <w:abstractNumId w:val="1"/>
    <w:lvlOverride w:ilvl="0"/>
    <w:lvlOverride w:ilvl="1"/>
    <w:lvlOverride w:ilvl="2"/>
    <w:lvlOverride w:ilvl="3"/>
    <w:lvlOverride w:ilvl="4"/>
    <w:lvlOverride w:ilvl="5"/>
    <w:lvlOverride w:ilvl="6"/>
    <w:lvlOverride w:ilvl="7"/>
    <w:lvlOverride w:ilvl="8"/>
  </w:num>
  <w:num w:numId="3" w16cid:durableId="1123882153">
    <w:abstractNumId w:val="5"/>
    <w:lvlOverride w:ilvl="0"/>
    <w:lvlOverride w:ilvl="1"/>
    <w:lvlOverride w:ilvl="2"/>
    <w:lvlOverride w:ilvl="3"/>
    <w:lvlOverride w:ilvl="4"/>
    <w:lvlOverride w:ilvl="5"/>
    <w:lvlOverride w:ilvl="6"/>
    <w:lvlOverride w:ilvl="7"/>
    <w:lvlOverride w:ilvl="8"/>
  </w:num>
  <w:num w:numId="4" w16cid:durableId="1336572768">
    <w:abstractNumId w:val="3"/>
    <w:lvlOverride w:ilvl="0"/>
    <w:lvlOverride w:ilvl="1"/>
    <w:lvlOverride w:ilvl="2"/>
    <w:lvlOverride w:ilvl="3"/>
    <w:lvlOverride w:ilvl="4"/>
    <w:lvlOverride w:ilvl="5"/>
    <w:lvlOverride w:ilvl="6"/>
    <w:lvlOverride w:ilvl="7"/>
    <w:lvlOverride w:ilvl="8"/>
  </w:num>
  <w:num w:numId="5" w16cid:durableId="969634589">
    <w:abstractNumId w:val="2"/>
    <w:lvlOverride w:ilvl="0"/>
    <w:lvlOverride w:ilvl="1"/>
    <w:lvlOverride w:ilvl="2"/>
    <w:lvlOverride w:ilvl="3"/>
    <w:lvlOverride w:ilvl="4"/>
    <w:lvlOverride w:ilvl="5"/>
    <w:lvlOverride w:ilvl="6"/>
    <w:lvlOverride w:ilvl="7"/>
    <w:lvlOverride w:ilvl="8"/>
  </w:num>
  <w:num w:numId="6" w16cid:durableId="370963380">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2B5"/>
    <w:rsid w:val="00012AE4"/>
    <w:rsid w:val="000608B6"/>
    <w:rsid w:val="000C6ADA"/>
    <w:rsid w:val="00105CE5"/>
    <w:rsid w:val="00122AE4"/>
    <w:rsid w:val="00127FEB"/>
    <w:rsid w:val="0018391F"/>
    <w:rsid w:val="00192525"/>
    <w:rsid w:val="001A3679"/>
    <w:rsid w:val="00213E87"/>
    <w:rsid w:val="0023662F"/>
    <w:rsid w:val="002570EE"/>
    <w:rsid w:val="002841BE"/>
    <w:rsid w:val="0034423B"/>
    <w:rsid w:val="003806F8"/>
    <w:rsid w:val="003B3032"/>
    <w:rsid w:val="003D196C"/>
    <w:rsid w:val="003E1617"/>
    <w:rsid w:val="003E439A"/>
    <w:rsid w:val="00402710"/>
    <w:rsid w:val="00465F17"/>
    <w:rsid w:val="00477362"/>
    <w:rsid w:val="004805D2"/>
    <w:rsid w:val="004A6507"/>
    <w:rsid w:val="004D068C"/>
    <w:rsid w:val="004E132C"/>
    <w:rsid w:val="005160A3"/>
    <w:rsid w:val="00516362"/>
    <w:rsid w:val="00544CDC"/>
    <w:rsid w:val="005C291F"/>
    <w:rsid w:val="006270B6"/>
    <w:rsid w:val="006272B5"/>
    <w:rsid w:val="00644F4D"/>
    <w:rsid w:val="006F22EF"/>
    <w:rsid w:val="006F253C"/>
    <w:rsid w:val="0070240A"/>
    <w:rsid w:val="00725E37"/>
    <w:rsid w:val="00730183"/>
    <w:rsid w:val="0074722E"/>
    <w:rsid w:val="007766A6"/>
    <w:rsid w:val="007E0C29"/>
    <w:rsid w:val="007E2884"/>
    <w:rsid w:val="00852333"/>
    <w:rsid w:val="00854A3B"/>
    <w:rsid w:val="00864407"/>
    <w:rsid w:val="00961D04"/>
    <w:rsid w:val="00980844"/>
    <w:rsid w:val="0098644D"/>
    <w:rsid w:val="009946F5"/>
    <w:rsid w:val="009C480C"/>
    <w:rsid w:val="009D0F77"/>
    <w:rsid w:val="00A57A1F"/>
    <w:rsid w:val="00A820D2"/>
    <w:rsid w:val="00A941C6"/>
    <w:rsid w:val="00A97571"/>
    <w:rsid w:val="00AB58D6"/>
    <w:rsid w:val="00B00FA6"/>
    <w:rsid w:val="00B35E36"/>
    <w:rsid w:val="00B84F2E"/>
    <w:rsid w:val="00B9610E"/>
    <w:rsid w:val="00BA19A8"/>
    <w:rsid w:val="00BE45A5"/>
    <w:rsid w:val="00C326CB"/>
    <w:rsid w:val="00C75CB6"/>
    <w:rsid w:val="00C76D34"/>
    <w:rsid w:val="00C873C8"/>
    <w:rsid w:val="00CA7649"/>
    <w:rsid w:val="00D065B9"/>
    <w:rsid w:val="00D33D6D"/>
    <w:rsid w:val="00D541B4"/>
    <w:rsid w:val="00D6335A"/>
    <w:rsid w:val="00DC1735"/>
    <w:rsid w:val="00E05CD5"/>
    <w:rsid w:val="00E23730"/>
    <w:rsid w:val="00E55B4A"/>
    <w:rsid w:val="00E668E9"/>
    <w:rsid w:val="00EA5D0B"/>
    <w:rsid w:val="00ED52A9"/>
    <w:rsid w:val="00EE36C0"/>
    <w:rsid w:val="00F00F59"/>
    <w:rsid w:val="00FA04F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E0EBF24"/>
  <w15:chartTrackingRefBased/>
  <w15:docId w15:val="{1332E7E0-39E9-42D7-9F62-A184F055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23730"/>
    <w:pPr>
      <w:tabs>
        <w:tab w:val="center" w:pos="4153"/>
        <w:tab w:val="right" w:pos="8306"/>
      </w:tabs>
      <w:spacing w:after="0" w:line="240" w:lineRule="auto"/>
    </w:pPr>
  </w:style>
  <w:style w:type="character" w:customStyle="1" w:styleId="Char">
    <w:name w:val="Κεφαλίδα Char"/>
    <w:basedOn w:val="a0"/>
    <w:link w:val="a3"/>
    <w:uiPriority w:val="99"/>
    <w:rsid w:val="00E23730"/>
  </w:style>
  <w:style w:type="paragraph" w:styleId="a4">
    <w:name w:val="footer"/>
    <w:basedOn w:val="a"/>
    <w:link w:val="Char0"/>
    <w:uiPriority w:val="99"/>
    <w:unhideWhenUsed/>
    <w:rsid w:val="00E23730"/>
    <w:pPr>
      <w:tabs>
        <w:tab w:val="center" w:pos="4153"/>
        <w:tab w:val="right" w:pos="8306"/>
      </w:tabs>
      <w:spacing w:after="0" w:line="240" w:lineRule="auto"/>
    </w:pPr>
  </w:style>
  <w:style w:type="character" w:customStyle="1" w:styleId="Char0">
    <w:name w:val="Υποσέλιδο Char"/>
    <w:basedOn w:val="a0"/>
    <w:link w:val="a4"/>
    <w:uiPriority w:val="99"/>
    <w:rsid w:val="00E23730"/>
  </w:style>
  <w:style w:type="table" w:styleId="a5">
    <w:name w:val="Table Grid"/>
    <w:basedOn w:val="a1"/>
    <w:uiPriority w:val="39"/>
    <w:rsid w:val="00980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97571"/>
    <w:pPr>
      <w:ind w:left="720"/>
      <w:contextualSpacing/>
    </w:pPr>
  </w:style>
  <w:style w:type="character" w:styleId="-">
    <w:name w:val="Hyperlink"/>
    <w:basedOn w:val="a0"/>
    <w:uiPriority w:val="99"/>
    <w:unhideWhenUsed/>
    <w:rsid w:val="00DC1735"/>
    <w:rPr>
      <w:color w:val="0563C1" w:themeColor="hyperlink"/>
      <w:u w:val="single"/>
    </w:rPr>
  </w:style>
  <w:style w:type="character" w:styleId="a7">
    <w:name w:val="Unresolved Mention"/>
    <w:basedOn w:val="a0"/>
    <w:uiPriority w:val="99"/>
    <w:semiHidden/>
    <w:unhideWhenUsed/>
    <w:rsid w:val="00DC1735"/>
    <w:rPr>
      <w:color w:val="605E5C"/>
      <w:shd w:val="clear" w:color="auto" w:fill="E1DFDD"/>
    </w:rPr>
  </w:style>
  <w:style w:type="paragraph" w:customStyle="1" w:styleId="p1">
    <w:name w:val="p1"/>
    <w:basedOn w:val="a"/>
    <w:rsid w:val="005C291F"/>
    <w:pPr>
      <w:spacing w:before="100" w:beforeAutospacing="1" w:after="100" w:afterAutospacing="1" w:line="240" w:lineRule="auto"/>
    </w:pPr>
    <w:rPr>
      <w:rFonts w:ascii="Calibri" w:hAnsi="Calibri" w:cs="Calibri"/>
      <w:kern w:val="0"/>
      <w:lang w:eastAsia="el-GR"/>
      <w14:ligatures w14:val="none"/>
    </w:rPr>
  </w:style>
  <w:style w:type="paragraph" w:customStyle="1" w:styleId="p2">
    <w:name w:val="p2"/>
    <w:basedOn w:val="a"/>
    <w:rsid w:val="005C291F"/>
    <w:pPr>
      <w:spacing w:before="100" w:beforeAutospacing="1" w:after="100" w:afterAutospacing="1" w:line="240" w:lineRule="auto"/>
    </w:pPr>
    <w:rPr>
      <w:rFonts w:ascii="Calibri" w:hAnsi="Calibri" w:cs="Calibri"/>
      <w:kern w:val="0"/>
      <w:lang w:eastAsia="el-GR"/>
      <w14:ligatures w14:val="none"/>
    </w:rPr>
  </w:style>
  <w:style w:type="character" w:customStyle="1" w:styleId="s1">
    <w:name w:val="s1"/>
    <w:basedOn w:val="a0"/>
    <w:rsid w:val="005C291F"/>
  </w:style>
  <w:style w:type="character" w:customStyle="1" w:styleId="s2">
    <w:name w:val="s2"/>
    <w:basedOn w:val="a0"/>
    <w:rsid w:val="005C291F"/>
  </w:style>
  <w:style w:type="character" w:customStyle="1" w:styleId="s3">
    <w:name w:val="s3"/>
    <w:basedOn w:val="a0"/>
    <w:rsid w:val="00516362"/>
  </w:style>
  <w:style w:type="paragraph" w:customStyle="1" w:styleId="li1">
    <w:name w:val="li1"/>
    <w:basedOn w:val="a"/>
    <w:rsid w:val="000608B6"/>
    <w:pPr>
      <w:spacing w:before="100" w:beforeAutospacing="1" w:after="100" w:afterAutospacing="1" w:line="240" w:lineRule="auto"/>
    </w:pPr>
    <w:rPr>
      <w:rFonts w:ascii="Calibri" w:hAnsi="Calibri" w:cs="Calibri"/>
      <w:kern w:val="0"/>
      <w:lang w:eastAsia="el-GR"/>
      <w14:ligatures w14:val="none"/>
    </w:rPr>
  </w:style>
  <w:style w:type="character" w:customStyle="1" w:styleId="s4">
    <w:name w:val="s4"/>
    <w:basedOn w:val="a0"/>
    <w:rsid w:val="00060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236542">
      <w:bodyDiv w:val="1"/>
      <w:marLeft w:val="0"/>
      <w:marRight w:val="0"/>
      <w:marTop w:val="0"/>
      <w:marBottom w:val="0"/>
      <w:divBdr>
        <w:top w:val="none" w:sz="0" w:space="0" w:color="auto"/>
        <w:left w:val="none" w:sz="0" w:space="0" w:color="auto"/>
        <w:bottom w:val="none" w:sz="0" w:space="0" w:color="auto"/>
        <w:right w:val="none" w:sz="0" w:space="0" w:color="auto"/>
      </w:divBdr>
    </w:div>
    <w:div w:id="408770857">
      <w:bodyDiv w:val="1"/>
      <w:marLeft w:val="0"/>
      <w:marRight w:val="0"/>
      <w:marTop w:val="0"/>
      <w:marBottom w:val="0"/>
      <w:divBdr>
        <w:top w:val="none" w:sz="0" w:space="0" w:color="auto"/>
        <w:left w:val="none" w:sz="0" w:space="0" w:color="auto"/>
        <w:bottom w:val="none" w:sz="0" w:space="0" w:color="auto"/>
        <w:right w:val="none" w:sz="0" w:space="0" w:color="auto"/>
      </w:divBdr>
    </w:div>
    <w:div w:id="415982771">
      <w:bodyDiv w:val="1"/>
      <w:marLeft w:val="0"/>
      <w:marRight w:val="0"/>
      <w:marTop w:val="0"/>
      <w:marBottom w:val="0"/>
      <w:divBdr>
        <w:top w:val="none" w:sz="0" w:space="0" w:color="auto"/>
        <w:left w:val="none" w:sz="0" w:space="0" w:color="auto"/>
        <w:bottom w:val="none" w:sz="0" w:space="0" w:color="auto"/>
        <w:right w:val="none" w:sz="0" w:space="0" w:color="auto"/>
      </w:divBdr>
    </w:div>
    <w:div w:id="516389965">
      <w:bodyDiv w:val="1"/>
      <w:marLeft w:val="0"/>
      <w:marRight w:val="0"/>
      <w:marTop w:val="0"/>
      <w:marBottom w:val="0"/>
      <w:divBdr>
        <w:top w:val="none" w:sz="0" w:space="0" w:color="auto"/>
        <w:left w:val="none" w:sz="0" w:space="0" w:color="auto"/>
        <w:bottom w:val="none" w:sz="0" w:space="0" w:color="auto"/>
        <w:right w:val="none" w:sz="0" w:space="0" w:color="auto"/>
      </w:divBdr>
    </w:div>
    <w:div w:id="736705717">
      <w:bodyDiv w:val="1"/>
      <w:marLeft w:val="0"/>
      <w:marRight w:val="0"/>
      <w:marTop w:val="0"/>
      <w:marBottom w:val="0"/>
      <w:divBdr>
        <w:top w:val="none" w:sz="0" w:space="0" w:color="auto"/>
        <w:left w:val="none" w:sz="0" w:space="0" w:color="auto"/>
        <w:bottom w:val="none" w:sz="0" w:space="0" w:color="auto"/>
        <w:right w:val="none" w:sz="0" w:space="0" w:color="auto"/>
      </w:divBdr>
    </w:div>
    <w:div w:id="754131888">
      <w:bodyDiv w:val="1"/>
      <w:marLeft w:val="0"/>
      <w:marRight w:val="0"/>
      <w:marTop w:val="0"/>
      <w:marBottom w:val="0"/>
      <w:divBdr>
        <w:top w:val="none" w:sz="0" w:space="0" w:color="auto"/>
        <w:left w:val="none" w:sz="0" w:space="0" w:color="auto"/>
        <w:bottom w:val="none" w:sz="0" w:space="0" w:color="auto"/>
        <w:right w:val="none" w:sz="0" w:space="0" w:color="auto"/>
      </w:divBdr>
    </w:div>
    <w:div w:id="758211419">
      <w:bodyDiv w:val="1"/>
      <w:marLeft w:val="0"/>
      <w:marRight w:val="0"/>
      <w:marTop w:val="0"/>
      <w:marBottom w:val="0"/>
      <w:divBdr>
        <w:top w:val="none" w:sz="0" w:space="0" w:color="auto"/>
        <w:left w:val="none" w:sz="0" w:space="0" w:color="auto"/>
        <w:bottom w:val="none" w:sz="0" w:space="0" w:color="auto"/>
        <w:right w:val="none" w:sz="0" w:space="0" w:color="auto"/>
      </w:divBdr>
    </w:div>
    <w:div w:id="880752030">
      <w:bodyDiv w:val="1"/>
      <w:marLeft w:val="0"/>
      <w:marRight w:val="0"/>
      <w:marTop w:val="0"/>
      <w:marBottom w:val="0"/>
      <w:divBdr>
        <w:top w:val="none" w:sz="0" w:space="0" w:color="auto"/>
        <w:left w:val="none" w:sz="0" w:space="0" w:color="auto"/>
        <w:bottom w:val="none" w:sz="0" w:space="0" w:color="auto"/>
        <w:right w:val="none" w:sz="0" w:space="0" w:color="auto"/>
      </w:divBdr>
    </w:div>
    <w:div w:id="890191752">
      <w:bodyDiv w:val="1"/>
      <w:marLeft w:val="0"/>
      <w:marRight w:val="0"/>
      <w:marTop w:val="0"/>
      <w:marBottom w:val="0"/>
      <w:divBdr>
        <w:top w:val="none" w:sz="0" w:space="0" w:color="auto"/>
        <w:left w:val="none" w:sz="0" w:space="0" w:color="auto"/>
        <w:bottom w:val="none" w:sz="0" w:space="0" w:color="auto"/>
        <w:right w:val="none" w:sz="0" w:space="0" w:color="auto"/>
      </w:divBdr>
    </w:div>
    <w:div w:id="1000279060">
      <w:bodyDiv w:val="1"/>
      <w:marLeft w:val="0"/>
      <w:marRight w:val="0"/>
      <w:marTop w:val="0"/>
      <w:marBottom w:val="0"/>
      <w:divBdr>
        <w:top w:val="none" w:sz="0" w:space="0" w:color="auto"/>
        <w:left w:val="none" w:sz="0" w:space="0" w:color="auto"/>
        <w:bottom w:val="none" w:sz="0" w:space="0" w:color="auto"/>
        <w:right w:val="none" w:sz="0" w:space="0" w:color="auto"/>
      </w:divBdr>
    </w:div>
    <w:div w:id="1261641839">
      <w:bodyDiv w:val="1"/>
      <w:marLeft w:val="0"/>
      <w:marRight w:val="0"/>
      <w:marTop w:val="0"/>
      <w:marBottom w:val="0"/>
      <w:divBdr>
        <w:top w:val="none" w:sz="0" w:space="0" w:color="auto"/>
        <w:left w:val="none" w:sz="0" w:space="0" w:color="auto"/>
        <w:bottom w:val="none" w:sz="0" w:space="0" w:color="auto"/>
        <w:right w:val="none" w:sz="0" w:space="0" w:color="auto"/>
      </w:divBdr>
    </w:div>
    <w:div w:id="1373260997">
      <w:bodyDiv w:val="1"/>
      <w:marLeft w:val="0"/>
      <w:marRight w:val="0"/>
      <w:marTop w:val="0"/>
      <w:marBottom w:val="0"/>
      <w:divBdr>
        <w:top w:val="none" w:sz="0" w:space="0" w:color="auto"/>
        <w:left w:val="none" w:sz="0" w:space="0" w:color="auto"/>
        <w:bottom w:val="none" w:sz="0" w:space="0" w:color="auto"/>
        <w:right w:val="none" w:sz="0" w:space="0" w:color="auto"/>
      </w:divBdr>
    </w:div>
    <w:div w:id="1704329730">
      <w:bodyDiv w:val="1"/>
      <w:marLeft w:val="0"/>
      <w:marRight w:val="0"/>
      <w:marTop w:val="0"/>
      <w:marBottom w:val="0"/>
      <w:divBdr>
        <w:top w:val="none" w:sz="0" w:space="0" w:color="auto"/>
        <w:left w:val="none" w:sz="0" w:space="0" w:color="auto"/>
        <w:bottom w:val="none" w:sz="0" w:space="0" w:color="auto"/>
        <w:right w:val="none" w:sz="0" w:space="0" w:color="auto"/>
      </w:divBdr>
    </w:div>
    <w:div w:id="1806580164">
      <w:bodyDiv w:val="1"/>
      <w:marLeft w:val="0"/>
      <w:marRight w:val="0"/>
      <w:marTop w:val="0"/>
      <w:marBottom w:val="0"/>
      <w:divBdr>
        <w:top w:val="none" w:sz="0" w:space="0" w:color="auto"/>
        <w:left w:val="none" w:sz="0" w:space="0" w:color="auto"/>
        <w:bottom w:val="none" w:sz="0" w:space="0" w:color="auto"/>
        <w:right w:val="none" w:sz="0" w:space="0" w:color="auto"/>
      </w:divBdr>
    </w:div>
    <w:div w:id="1915234641">
      <w:bodyDiv w:val="1"/>
      <w:marLeft w:val="0"/>
      <w:marRight w:val="0"/>
      <w:marTop w:val="0"/>
      <w:marBottom w:val="0"/>
      <w:divBdr>
        <w:top w:val="none" w:sz="0" w:space="0" w:color="auto"/>
        <w:left w:val="none" w:sz="0" w:space="0" w:color="auto"/>
        <w:bottom w:val="none" w:sz="0" w:space="0" w:color="auto"/>
        <w:right w:val="none" w:sz="0" w:space="0" w:color="auto"/>
      </w:divBdr>
    </w:div>
    <w:div w:id="1964923655">
      <w:bodyDiv w:val="1"/>
      <w:marLeft w:val="0"/>
      <w:marRight w:val="0"/>
      <w:marTop w:val="0"/>
      <w:marBottom w:val="0"/>
      <w:divBdr>
        <w:top w:val="none" w:sz="0" w:space="0" w:color="auto"/>
        <w:left w:val="none" w:sz="0" w:space="0" w:color="auto"/>
        <w:bottom w:val="none" w:sz="0" w:space="0" w:color="auto"/>
        <w:right w:val="none" w:sz="0" w:space="0" w:color="auto"/>
      </w:divBdr>
    </w:div>
    <w:div w:id="202370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http://1.bp.blogspot.com/-8_EEhjC7X_M/U00yWeu76kI/AAAAAAAAEGI/Co_CooXphv4/s1600/gr_parliament.png" TargetMode="External"/><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1245</Words>
  <Characters>6727</Characters>
  <Application>Microsoft Office Word</Application>
  <DocSecurity>0</DocSecurity>
  <Lines>56</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tz Lazarou</dc:creator>
  <cp:keywords/>
  <dc:description/>
  <cp:lastModifiedBy>ΜΑΡΙΝΑ ΠΟΘΟΥ</cp:lastModifiedBy>
  <cp:revision>2</cp:revision>
  <cp:lastPrinted>2023-09-26T09:07:00Z</cp:lastPrinted>
  <dcterms:created xsi:type="dcterms:W3CDTF">2023-09-26T09:09:00Z</dcterms:created>
  <dcterms:modified xsi:type="dcterms:W3CDTF">2023-09-26T09:09:00Z</dcterms:modified>
</cp:coreProperties>
</file>