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E1F" w:rsidRDefault="00453E1F" w:rsidP="00453E1F">
      <w:pPr>
        <w:spacing w:after="0" w:line="240" w:lineRule="auto"/>
        <w:jc w:val="center"/>
        <w:rPr>
          <w:b/>
          <w:noProof/>
          <w:color w:val="FFFFFF" w:themeColor="background1"/>
          <w:sz w:val="72"/>
          <w:szCs w:val="160"/>
          <w:lang w:eastAsia="en-GB"/>
        </w:rPr>
      </w:pPr>
      <w:bookmarkStart w:id="0" w:name="_Hlk484093027"/>
      <w:bookmarkEnd w:id="0"/>
      <w:r w:rsidRPr="00911531">
        <w:rPr>
          <w:b/>
          <w:noProof/>
          <w:color w:val="FFFFFF" w:themeColor="background1"/>
          <w:sz w:val="32"/>
          <w:szCs w:val="24"/>
          <w:lang w:eastAsia="el-G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593725</wp:posOffset>
            </wp:positionH>
            <wp:positionV relativeFrom="paragraph">
              <wp:posOffset>-1270</wp:posOffset>
            </wp:positionV>
            <wp:extent cx="3988435" cy="648970"/>
            <wp:effectExtent l="19050" t="0" r="0" b="0"/>
            <wp:wrapSquare wrapText="bothSides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8435" cy="64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3E1F" w:rsidRDefault="00453E1F" w:rsidP="00453E1F">
      <w:pPr>
        <w:spacing w:after="0" w:line="240" w:lineRule="auto"/>
        <w:jc w:val="center"/>
        <w:rPr>
          <w:b/>
          <w:noProof/>
          <w:color w:val="FFFFFF" w:themeColor="background1"/>
          <w:sz w:val="72"/>
          <w:szCs w:val="160"/>
          <w:lang w:eastAsia="en-GB"/>
        </w:rPr>
      </w:pPr>
    </w:p>
    <w:p w:rsidR="00453E1F" w:rsidRDefault="009B4535" w:rsidP="00453E1F">
      <w:pPr>
        <w:shd w:val="clear" w:color="auto" w:fill="F79646" w:themeFill="accent6"/>
        <w:spacing w:after="0" w:line="240" w:lineRule="auto"/>
        <w:jc w:val="center"/>
        <w:rPr>
          <w:b/>
          <w:noProof/>
          <w:color w:val="F79646" w:themeColor="accent6"/>
          <w:sz w:val="72"/>
          <w:szCs w:val="160"/>
          <w:lang w:eastAsia="en-GB"/>
        </w:rPr>
      </w:pPr>
      <w:r>
        <w:rPr>
          <w:b/>
          <w:noProof/>
          <w:color w:val="FFFFFF" w:themeColor="background1"/>
          <w:sz w:val="72"/>
          <w:szCs w:val="160"/>
          <w:lang w:eastAsia="el-GR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-4523740</wp:posOffset>
                </wp:positionH>
                <wp:positionV relativeFrom="paragraph">
                  <wp:posOffset>33655</wp:posOffset>
                </wp:positionV>
                <wp:extent cx="11503660" cy="7397750"/>
                <wp:effectExtent l="635" t="0" r="1905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03660" cy="7397750"/>
                        </a:xfrm>
                        <a:prstGeom prst="rect">
                          <a:avLst/>
                        </a:prstGeom>
                        <a:solidFill>
                          <a:srgbClr val="2C72B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4DB097" id="Rectangle 5" o:spid="_x0000_s1026" style="position:absolute;margin-left:-356.2pt;margin-top:2.65pt;width:905.8pt;height:582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" fillcolor="#2c72b9" stroked="f" strokeweight="2pt">
                <v:path arrowok="t"/>
              </v:rect>
            </w:pict>
          </mc:Fallback>
        </mc:AlternateContent>
      </w:r>
    </w:p>
    <w:p w:rsidR="00453E1F" w:rsidRPr="003C0134" w:rsidRDefault="00453E1F" w:rsidP="00453E1F">
      <w:pPr>
        <w:shd w:val="clear" w:color="auto" w:fill="F79646" w:themeFill="accent6"/>
        <w:spacing w:after="0" w:line="240" w:lineRule="auto"/>
        <w:jc w:val="center"/>
        <w:rPr>
          <w:b/>
          <w:noProof/>
          <w:color w:val="365F91" w:themeColor="accent1" w:themeShade="BF"/>
          <w:sz w:val="60"/>
          <w:szCs w:val="60"/>
          <w:lang w:eastAsia="en-GB"/>
        </w:rPr>
      </w:pPr>
      <w:r w:rsidRPr="003C0134">
        <w:rPr>
          <w:b/>
          <w:noProof/>
          <w:color w:val="365F91" w:themeColor="accent1" w:themeShade="BF"/>
          <w:sz w:val="60"/>
          <w:szCs w:val="60"/>
          <w:lang w:eastAsia="en-GB"/>
        </w:rPr>
        <w:t xml:space="preserve">Εξελίξεις στην Οικονομία </w:t>
      </w:r>
    </w:p>
    <w:p w:rsidR="00453E1F" w:rsidRPr="003C0134" w:rsidRDefault="00453E1F" w:rsidP="00453E1F">
      <w:pPr>
        <w:shd w:val="clear" w:color="auto" w:fill="F79646" w:themeFill="accent6"/>
        <w:spacing w:after="0" w:line="240" w:lineRule="auto"/>
        <w:jc w:val="center"/>
        <w:rPr>
          <w:b/>
          <w:noProof/>
          <w:color w:val="365F91" w:themeColor="accent1" w:themeShade="BF"/>
          <w:sz w:val="60"/>
          <w:szCs w:val="60"/>
          <w:lang w:eastAsia="en-GB"/>
        </w:rPr>
      </w:pPr>
      <w:r w:rsidRPr="003C0134">
        <w:rPr>
          <w:b/>
          <w:noProof/>
          <w:color w:val="365F91" w:themeColor="accent1" w:themeShade="BF"/>
          <w:sz w:val="60"/>
          <w:szCs w:val="60"/>
          <w:lang w:eastAsia="en-GB"/>
        </w:rPr>
        <w:t>&amp; στο Εμπόριο</w:t>
      </w:r>
    </w:p>
    <w:p w:rsidR="00453E1F" w:rsidRPr="00E543C6" w:rsidRDefault="00453E1F" w:rsidP="00453E1F">
      <w:pPr>
        <w:shd w:val="clear" w:color="auto" w:fill="F79646" w:themeFill="accent6"/>
        <w:tabs>
          <w:tab w:val="left" w:pos="6430"/>
        </w:tabs>
        <w:spacing w:after="0" w:line="240" w:lineRule="auto"/>
        <w:jc w:val="both"/>
        <w:rPr>
          <w:b/>
          <w:color w:val="FFFFFF" w:themeColor="background1"/>
          <w:sz w:val="200"/>
          <w:szCs w:val="24"/>
        </w:rPr>
      </w:pPr>
      <w:r w:rsidRPr="00695194">
        <w:rPr>
          <w:b/>
          <w:color w:val="FFFFFF" w:themeColor="background1"/>
          <w:sz w:val="200"/>
          <w:szCs w:val="24"/>
        </w:rPr>
        <w:t xml:space="preserve"> </w:t>
      </w:r>
    </w:p>
    <w:p w:rsidR="00453E1F" w:rsidRDefault="00453E1F" w:rsidP="00453E1F">
      <w:pPr>
        <w:shd w:val="clear" w:color="auto" w:fill="F79646" w:themeFill="accent6"/>
        <w:spacing w:after="0" w:line="240" w:lineRule="auto"/>
        <w:jc w:val="center"/>
        <w:rPr>
          <w:b/>
          <w:color w:val="FFFFFF" w:themeColor="background1"/>
          <w:sz w:val="48"/>
          <w:szCs w:val="44"/>
        </w:rPr>
      </w:pPr>
      <w:r>
        <w:rPr>
          <w:b/>
          <w:color w:val="FFFFFF" w:themeColor="background1"/>
          <w:sz w:val="48"/>
          <w:szCs w:val="44"/>
        </w:rPr>
        <w:t xml:space="preserve">ΤΡΙΜΗΝΙΑΙΟ </w:t>
      </w:r>
      <w:r w:rsidRPr="00695194">
        <w:rPr>
          <w:b/>
          <w:color w:val="FFFFFF" w:themeColor="background1"/>
          <w:sz w:val="48"/>
          <w:szCs w:val="44"/>
        </w:rPr>
        <w:t>ΕΝΗΜΕΡΩΤΙΚΟ ΔΕΛΤΙΟ</w:t>
      </w:r>
    </w:p>
    <w:p w:rsidR="00453E1F" w:rsidRDefault="00453E1F" w:rsidP="00453E1F">
      <w:pPr>
        <w:shd w:val="clear" w:color="auto" w:fill="F79646" w:themeFill="accent6"/>
        <w:spacing w:after="0" w:line="240" w:lineRule="auto"/>
        <w:jc w:val="center"/>
        <w:rPr>
          <w:b/>
          <w:color w:val="FFFFFF" w:themeColor="background1"/>
          <w:sz w:val="48"/>
          <w:szCs w:val="44"/>
        </w:rPr>
      </w:pPr>
      <w:r w:rsidRPr="00695194">
        <w:rPr>
          <w:b/>
          <w:color w:val="FFFFFF" w:themeColor="background1"/>
          <w:sz w:val="48"/>
          <w:szCs w:val="44"/>
        </w:rPr>
        <w:t xml:space="preserve">ΙΝΕΜΥ </w:t>
      </w:r>
      <w:r>
        <w:rPr>
          <w:b/>
          <w:color w:val="FFFFFF" w:themeColor="background1"/>
          <w:sz w:val="48"/>
          <w:szCs w:val="44"/>
        </w:rPr>
        <w:t>–</w:t>
      </w:r>
      <w:r w:rsidRPr="00695194">
        <w:rPr>
          <w:b/>
          <w:color w:val="FFFFFF" w:themeColor="background1"/>
          <w:sz w:val="48"/>
          <w:szCs w:val="44"/>
        </w:rPr>
        <w:t xml:space="preserve"> ΕΣΕΕ</w:t>
      </w:r>
    </w:p>
    <w:p w:rsidR="00453E1F" w:rsidRDefault="00453E1F" w:rsidP="00453E1F">
      <w:pPr>
        <w:shd w:val="clear" w:color="auto" w:fill="F79646" w:themeFill="accent6"/>
        <w:spacing w:after="0" w:line="240" w:lineRule="auto"/>
        <w:jc w:val="center"/>
        <w:rPr>
          <w:b/>
          <w:color w:val="FFFFFF" w:themeColor="background1"/>
          <w:sz w:val="48"/>
          <w:szCs w:val="44"/>
        </w:rPr>
      </w:pPr>
    </w:p>
    <w:p w:rsidR="00453E1F" w:rsidRDefault="00453E1F" w:rsidP="00453E1F">
      <w:pPr>
        <w:shd w:val="clear" w:color="auto" w:fill="F79646" w:themeFill="accent6"/>
        <w:spacing w:after="0" w:line="240" w:lineRule="auto"/>
        <w:jc w:val="center"/>
        <w:rPr>
          <w:b/>
          <w:color w:val="FFFFFF" w:themeColor="background1"/>
          <w:sz w:val="40"/>
          <w:szCs w:val="40"/>
        </w:rPr>
      </w:pPr>
    </w:p>
    <w:p w:rsidR="00453E1F" w:rsidRDefault="00453E1F" w:rsidP="00453E1F">
      <w:pPr>
        <w:shd w:val="clear" w:color="auto" w:fill="F79646" w:themeFill="accent6"/>
        <w:tabs>
          <w:tab w:val="left" w:pos="5291"/>
        </w:tabs>
        <w:spacing w:after="0" w:line="240" w:lineRule="auto"/>
        <w:rPr>
          <w:b/>
          <w:color w:val="FFFFFF" w:themeColor="background1"/>
          <w:sz w:val="40"/>
          <w:szCs w:val="40"/>
        </w:rPr>
      </w:pPr>
      <w:r>
        <w:rPr>
          <w:b/>
          <w:color w:val="FFFFFF" w:themeColor="background1"/>
          <w:sz w:val="40"/>
          <w:szCs w:val="40"/>
        </w:rPr>
        <w:tab/>
      </w:r>
    </w:p>
    <w:p w:rsidR="00453E1F" w:rsidRDefault="00453E1F" w:rsidP="00453E1F">
      <w:pPr>
        <w:shd w:val="clear" w:color="auto" w:fill="F79646" w:themeFill="accent6"/>
        <w:spacing w:after="0" w:line="240" w:lineRule="auto"/>
        <w:rPr>
          <w:b/>
          <w:color w:val="FFFFFF" w:themeColor="background1"/>
          <w:sz w:val="40"/>
          <w:szCs w:val="40"/>
        </w:rPr>
      </w:pPr>
    </w:p>
    <w:p w:rsidR="00453E1F" w:rsidRDefault="00453E1F" w:rsidP="00453E1F">
      <w:pPr>
        <w:shd w:val="clear" w:color="auto" w:fill="F79646" w:themeFill="accent6"/>
        <w:spacing w:after="0" w:line="240" w:lineRule="auto"/>
        <w:rPr>
          <w:b/>
          <w:color w:val="FFFFFF" w:themeColor="background1"/>
          <w:sz w:val="36"/>
          <w:szCs w:val="36"/>
        </w:rPr>
      </w:pPr>
    </w:p>
    <w:p w:rsidR="00453E1F" w:rsidRDefault="00453E1F" w:rsidP="00453E1F">
      <w:pPr>
        <w:shd w:val="clear" w:color="auto" w:fill="F79646" w:themeFill="accent6"/>
        <w:spacing w:after="0" w:line="240" w:lineRule="auto"/>
        <w:rPr>
          <w:b/>
          <w:color w:val="FFFFFF" w:themeColor="background1"/>
          <w:sz w:val="36"/>
          <w:szCs w:val="36"/>
        </w:rPr>
      </w:pPr>
    </w:p>
    <w:p w:rsidR="00453E1F" w:rsidRPr="00373CE8" w:rsidRDefault="00453E1F" w:rsidP="00453E1F">
      <w:pPr>
        <w:spacing w:after="0" w:line="240" w:lineRule="auto"/>
        <w:rPr>
          <w:b/>
          <w:color w:val="FFFFFF" w:themeColor="background1"/>
          <w:sz w:val="36"/>
          <w:szCs w:val="36"/>
        </w:rPr>
      </w:pPr>
      <w:r w:rsidRPr="00373CE8">
        <w:rPr>
          <w:b/>
          <w:color w:val="FFFFFF" w:themeColor="background1"/>
          <w:sz w:val="36"/>
          <w:szCs w:val="36"/>
        </w:rPr>
        <w:t xml:space="preserve">ΔΕΛΤΙΟ </w:t>
      </w:r>
      <w:r w:rsidR="00121FD4" w:rsidRPr="00121FD4">
        <w:rPr>
          <w:b/>
          <w:color w:val="FFFFFF" w:themeColor="background1"/>
          <w:sz w:val="36"/>
          <w:szCs w:val="36"/>
        </w:rPr>
        <w:t>3</w:t>
      </w:r>
      <w:r w:rsidRPr="00373CE8">
        <w:rPr>
          <w:b/>
          <w:color w:val="FFFFFF" w:themeColor="background1"/>
          <w:sz w:val="36"/>
          <w:szCs w:val="36"/>
        </w:rPr>
        <w:t xml:space="preserve">  </w:t>
      </w:r>
      <w:r w:rsidRPr="00373CE8">
        <w:rPr>
          <w:b/>
          <w:color w:val="E36C0A" w:themeColor="accent6" w:themeShade="BF"/>
          <w:sz w:val="36"/>
          <w:szCs w:val="36"/>
          <w:lang w:val="en-US"/>
        </w:rPr>
        <w:t>l</w:t>
      </w:r>
      <w:r w:rsidRPr="00373CE8">
        <w:rPr>
          <w:b/>
          <w:color w:val="FFFFFF" w:themeColor="background1"/>
          <w:sz w:val="36"/>
          <w:szCs w:val="36"/>
        </w:rPr>
        <w:t xml:space="preserve">  </w:t>
      </w:r>
      <w:r w:rsidR="00121FD4">
        <w:rPr>
          <w:b/>
          <w:color w:val="FFFFFF" w:themeColor="background1"/>
          <w:sz w:val="36"/>
          <w:szCs w:val="36"/>
        </w:rPr>
        <w:t>ΙΑΝΟΥΑΡΙΟ</w:t>
      </w:r>
      <w:r w:rsidR="004B2042">
        <w:rPr>
          <w:b/>
          <w:color w:val="FFFFFF" w:themeColor="background1"/>
          <w:sz w:val="36"/>
          <w:szCs w:val="36"/>
        </w:rPr>
        <w:t>Σ</w:t>
      </w:r>
      <w:r w:rsidRPr="00373CE8">
        <w:rPr>
          <w:b/>
          <w:color w:val="FFFFFF" w:themeColor="background1"/>
          <w:sz w:val="36"/>
          <w:szCs w:val="36"/>
        </w:rPr>
        <w:t xml:space="preserve"> 201</w:t>
      </w:r>
      <w:r w:rsidR="00121FD4">
        <w:rPr>
          <w:b/>
          <w:color w:val="FFFFFF" w:themeColor="background1"/>
          <w:sz w:val="36"/>
          <w:szCs w:val="36"/>
        </w:rPr>
        <w:t>8</w:t>
      </w:r>
    </w:p>
    <w:p w:rsidR="00453E1F" w:rsidRDefault="00453E1F" w:rsidP="00453E1F">
      <w:pPr>
        <w:spacing w:after="120"/>
        <w:jc w:val="center"/>
        <w:rPr>
          <w:b/>
          <w:color w:val="FFFFFF" w:themeColor="background1"/>
          <w:sz w:val="48"/>
          <w:szCs w:val="44"/>
        </w:rPr>
      </w:pPr>
    </w:p>
    <w:p w:rsidR="003C0134" w:rsidRDefault="00453E1F" w:rsidP="003C0134">
      <w:pPr>
        <w:spacing w:after="120"/>
        <w:jc w:val="center"/>
        <w:rPr>
          <w:rFonts w:cstheme="minorHAnsi"/>
          <w:bCs/>
          <w:i/>
          <w:iCs/>
          <w:sz w:val="24"/>
          <w:szCs w:val="24"/>
        </w:rPr>
      </w:pPr>
      <w:r w:rsidRPr="0059324E">
        <w:rPr>
          <w:rFonts w:cstheme="minorHAnsi"/>
          <w:bCs/>
          <w:i/>
          <w:iCs/>
          <w:sz w:val="24"/>
          <w:szCs w:val="24"/>
        </w:rPr>
        <w:t>«Οι απόψεις στο παρόν Δελτίο είναι των συγγραφέων και όχι απαραίτητα</w:t>
      </w:r>
    </w:p>
    <w:p w:rsidR="003C0134" w:rsidRDefault="00453E1F" w:rsidP="003C0134">
      <w:pPr>
        <w:spacing w:after="120"/>
        <w:jc w:val="center"/>
        <w:rPr>
          <w:rFonts w:cstheme="minorHAnsi"/>
          <w:bCs/>
          <w:i/>
          <w:iCs/>
          <w:sz w:val="24"/>
          <w:szCs w:val="24"/>
        </w:rPr>
      </w:pPr>
      <w:r w:rsidRPr="0059324E">
        <w:rPr>
          <w:rFonts w:cstheme="minorHAnsi"/>
          <w:bCs/>
          <w:i/>
          <w:iCs/>
          <w:sz w:val="24"/>
          <w:szCs w:val="24"/>
        </w:rPr>
        <w:t>της ΕΣΕΕ.Η ΕΣΕΕ δε φέρει καμία ευθύνη για την ακρίβεια και την πληρότητα</w:t>
      </w:r>
    </w:p>
    <w:p w:rsidR="00453E1F" w:rsidRPr="0059324E" w:rsidRDefault="00453E1F" w:rsidP="003C0134">
      <w:pPr>
        <w:tabs>
          <w:tab w:val="left" w:pos="1560"/>
        </w:tabs>
        <w:spacing w:after="120"/>
        <w:jc w:val="center"/>
        <w:rPr>
          <w:rFonts w:cstheme="minorHAnsi"/>
          <w:bCs/>
          <w:i/>
          <w:iCs/>
          <w:sz w:val="24"/>
          <w:szCs w:val="24"/>
        </w:rPr>
      </w:pPr>
      <w:r w:rsidRPr="0059324E">
        <w:rPr>
          <w:rFonts w:cstheme="minorHAnsi"/>
          <w:bCs/>
          <w:i/>
          <w:iCs/>
          <w:sz w:val="24"/>
          <w:szCs w:val="24"/>
        </w:rPr>
        <w:t>των πληροφοριών που περιλαμβάνει το Δελτίο</w:t>
      </w:r>
      <w:r w:rsidR="003C0134">
        <w:rPr>
          <w:rFonts w:cstheme="minorHAnsi"/>
          <w:bCs/>
          <w:i/>
          <w:iCs/>
          <w:sz w:val="24"/>
          <w:szCs w:val="24"/>
        </w:rPr>
        <w:t>»</w:t>
      </w:r>
      <w:r w:rsidRPr="0059324E">
        <w:rPr>
          <w:rFonts w:cstheme="minorHAnsi"/>
          <w:bCs/>
          <w:i/>
          <w:iCs/>
          <w:sz w:val="24"/>
          <w:szCs w:val="24"/>
        </w:rPr>
        <w:t>.</w:t>
      </w:r>
    </w:p>
    <w:p w:rsidR="00453E1F" w:rsidRDefault="00453E1F" w:rsidP="00B818D1">
      <w:pPr>
        <w:spacing w:after="120"/>
        <w:ind w:right="-58"/>
        <w:jc w:val="both"/>
        <w:rPr>
          <w:rFonts w:ascii="Cambria" w:hAnsi="Cambria"/>
          <w:sz w:val="26"/>
          <w:szCs w:val="26"/>
        </w:rPr>
      </w:pPr>
    </w:p>
    <w:p w:rsidR="00B27120" w:rsidRPr="00C55F5C" w:rsidRDefault="00EF5DC6" w:rsidP="00507E67">
      <w:pPr>
        <w:spacing w:after="0" w:line="340" w:lineRule="atLeast"/>
        <w:ind w:right="-58"/>
        <w:jc w:val="both"/>
        <w:rPr>
          <w:b/>
          <w:i/>
          <w:color w:val="1F497D" w:themeColor="text2"/>
          <w:sz w:val="36"/>
          <w:szCs w:val="36"/>
        </w:rPr>
      </w:pPr>
      <w:r>
        <w:rPr>
          <w:b/>
          <w:i/>
          <w:color w:val="1F497D" w:themeColor="text2"/>
          <w:sz w:val="36"/>
          <w:szCs w:val="36"/>
        </w:rPr>
        <w:lastRenderedPageBreak/>
        <w:t xml:space="preserve">Ενθαρρυντικές οι ενδείξεις </w:t>
      </w:r>
      <w:r w:rsidR="00832B55">
        <w:rPr>
          <w:b/>
          <w:i/>
          <w:color w:val="1F497D" w:themeColor="text2"/>
          <w:sz w:val="36"/>
          <w:szCs w:val="36"/>
        </w:rPr>
        <w:t xml:space="preserve">για την οικονομία </w:t>
      </w:r>
      <w:r>
        <w:rPr>
          <w:b/>
          <w:i/>
          <w:color w:val="1F497D" w:themeColor="text2"/>
          <w:sz w:val="36"/>
          <w:szCs w:val="36"/>
        </w:rPr>
        <w:t>με τις προκλήσεις</w:t>
      </w:r>
      <w:r w:rsidR="009B4535">
        <w:rPr>
          <w:b/>
          <w:i/>
          <w:color w:val="1F497D" w:themeColor="text2"/>
          <w:sz w:val="36"/>
          <w:szCs w:val="36"/>
        </w:rPr>
        <w:t xml:space="preserve"> των υποχρεώσεων</w:t>
      </w:r>
      <w:bookmarkStart w:id="1" w:name="_GoBack"/>
      <w:bookmarkEnd w:id="1"/>
      <w:r>
        <w:rPr>
          <w:b/>
          <w:i/>
          <w:color w:val="1F497D" w:themeColor="text2"/>
          <w:sz w:val="36"/>
          <w:szCs w:val="36"/>
        </w:rPr>
        <w:t xml:space="preserve"> όμως να </w:t>
      </w:r>
      <w:r w:rsidR="00832B55">
        <w:rPr>
          <w:b/>
          <w:i/>
          <w:color w:val="1F497D" w:themeColor="text2"/>
          <w:sz w:val="36"/>
          <w:szCs w:val="36"/>
        </w:rPr>
        <w:t>επι</w:t>
      </w:r>
      <w:r w:rsidR="000774F4" w:rsidRPr="00C55F5C">
        <w:rPr>
          <w:b/>
          <w:i/>
          <w:color w:val="1F497D" w:themeColor="text2"/>
          <w:sz w:val="36"/>
          <w:szCs w:val="36"/>
        </w:rPr>
        <w:t>μένουν</w:t>
      </w:r>
    </w:p>
    <w:p w:rsidR="00B27120" w:rsidRPr="0036607B" w:rsidRDefault="00B27120" w:rsidP="00507E67">
      <w:pPr>
        <w:spacing w:after="0" w:line="340" w:lineRule="atLeast"/>
        <w:ind w:right="-58"/>
        <w:jc w:val="both"/>
        <w:rPr>
          <w:sz w:val="26"/>
          <w:szCs w:val="26"/>
        </w:rPr>
      </w:pPr>
    </w:p>
    <w:p w:rsidR="00B27120" w:rsidRPr="00B27120" w:rsidRDefault="00B27120" w:rsidP="00507E67">
      <w:pPr>
        <w:spacing w:after="0" w:line="340" w:lineRule="atLeast"/>
        <w:ind w:right="-58"/>
        <w:jc w:val="both"/>
        <w:rPr>
          <w:sz w:val="26"/>
          <w:szCs w:val="26"/>
        </w:rPr>
      </w:pPr>
      <w:r w:rsidRPr="00B27120">
        <w:rPr>
          <w:sz w:val="26"/>
          <w:szCs w:val="26"/>
        </w:rPr>
        <w:t xml:space="preserve">Σύμφωνα με το τριμηνιαίο δελτίο του ΙΝ.ΕΜ.Υ. της ΕΣΕΕ, οι κυριότερες οικονομικές εξελίξεις κατά το </w:t>
      </w:r>
      <w:r w:rsidR="00917C10">
        <w:rPr>
          <w:sz w:val="26"/>
          <w:szCs w:val="26"/>
        </w:rPr>
        <w:t xml:space="preserve">τελευταίο διαθέσιμο </w:t>
      </w:r>
      <w:r w:rsidRPr="00B27120">
        <w:rPr>
          <w:sz w:val="26"/>
          <w:szCs w:val="26"/>
        </w:rPr>
        <w:t>τρίμηνο του έτους, τόσο στον κλάδο του Εμπορίου όσο και στην ελληνική οικονομία εν γένει,  συνοψίζονται ως εξής:</w:t>
      </w:r>
    </w:p>
    <w:p w:rsidR="00B27120" w:rsidRPr="00B27120" w:rsidRDefault="00B27120" w:rsidP="00507E67">
      <w:pPr>
        <w:spacing w:after="0" w:line="340" w:lineRule="atLeast"/>
        <w:ind w:right="-58"/>
        <w:jc w:val="both"/>
        <w:rPr>
          <w:sz w:val="26"/>
          <w:szCs w:val="26"/>
        </w:rPr>
      </w:pPr>
    </w:p>
    <w:p w:rsidR="00F27875" w:rsidRPr="00C470BD" w:rsidRDefault="0036607B" w:rsidP="00507E67">
      <w:pPr>
        <w:pStyle w:val="a4"/>
        <w:numPr>
          <w:ilvl w:val="0"/>
          <w:numId w:val="9"/>
        </w:numPr>
        <w:tabs>
          <w:tab w:val="left" w:pos="1993"/>
        </w:tabs>
        <w:spacing w:after="0" w:line="340" w:lineRule="atLeast"/>
        <w:ind w:left="0" w:right="-57" w:hanging="284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Ενθαρρυντικ</w:t>
      </w:r>
      <w:r w:rsidR="00AC1011">
        <w:rPr>
          <w:sz w:val="26"/>
          <w:szCs w:val="26"/>
        </w:rPr>
        <w:t>ά</w:t>
      </w:r>
      <w:r w:rsidR="00F27875">
        <w:rPr>
          <w:sz w:val="26"/>
          <w:szCs w:val="26"/>
        </w:rPr>
        <w:t xml:space="preserve"> χαρακτηρίζονται</w:t>
      </w:r>
      <w:r w:rsidR="00AC1011">
        <w:rPr>
          <w:sz w:val="26"/>
          <w:szCs w:val="26"/>
        </w:rPr>
        <w:t xml:space="preserve"> τα νέα </w:t>
      </w:r>
      <w:r w:rsidR="00F27875">
        <w:rPr>
          <w:sz w:val="26"/>
          <w:szCs w:val="26"/>
        </w:rPr>
        <w:t xml:space="preserve">από </w:t>
      </w:r>
      <w:r>
        <w:rPr>
          <w:sz w:val="26"/>
          <w:szCs w:val="26"/>
        </w:rPr>
        <w:t>την ενίσχυση του ΑΕΠ σε τριμηνιαία</w:t>
      </w:r>
      <w:r w:rsidR="0081700D">
        <w:rPr>
          <w:sz w:val="26"/>
          <w:szCs w:val="26"/>
        </w:rPr>
        <w:t xml:space="preserve"> αλλά και σε ετήσια</w:t>
      </w:r>
      <w:r>
        <w:rPr>
          <w:sz w:val="26"/>
          <w:szCs w:val="26"/>
        </w:rPr>
        <w:t xml:space="preserve"> </w:t>
      </w:r>
      <w:r w:rsidR="00F27875">
        <w:rPr>
          <w:sz w:val="26"/>
          <w:szCs w:val="26"/>
        </w:rPr>
        <w:t>βάση.</w:t>
      </w:r>
      <w:r w:rsidR="00F27875" w:rsidRPr="00C470BD">
        <w:rPr>
          <w:sz w:val="26"/>
          <w:szCs w:val="26"/>
        </w:rPr>
        <w:t xml:space="preserve"> Εντούτοις, </w:t>
      </w:r>
      <w:r w:rsidR="00817C70">
        <w:rPr>
          <w:sz w:val="26"/>
          <w:szCs w:val="26"/>
        </w:rPr>
        <w:t>προβληματισμό προκαλεί το γεγονός ότι οι</w:t>
      </w:r>
      <w:r w:rsidR="00F27875" w:rsidRPr="00C470BD">
        <w:rPr>
          <w:sz w:val="26"/>
          <w:szCs w:val="26"/>
        </w:rPr>
        <w:t xml:space="preserve"> επενδύσεις παγίου κεφαλαίου υποχώρησαν συγκριτικά με το προηγούμενο τρίμηνο</w:t>
      </w:r>
      <w:r w:rsidR="008D1DA6">
        <w:rPr>
          <w:sz w:val="26"/>
          <w:szCs w:val="26"/>
        </w:rPr>
        <w:t xml:space="preserve"> αλλά και σε σχέση με πέρυσι.</w:t>
      </w:r>
    </w:p>
    <w:p w:rsidR="004F6404" w:rsidRDefault="00C470BD" w:rsidP="00507E67">
      <w:pPr>
        <w:pStyle w:val="a4"/>
        <w:numPr>
          <w:ilvl w:val="0"/>
          <w:numId w:val="16"/>
        </w:numPr>
        <w:spacing w:after="0" w:line="340" w:lineRule="atLeast"/>
        <w:ind w:left="0" w:right="-58" w:hanging="425"/>
        <w:contextualSpacing w:val="0"/>
        <w:jc w:val="both"/>
        <w:rPr>
          <w:sz w:val="26"/>
          <w:szCs w:val="26"/>
        </w:rPr>
      </w:pPr>
      <w:r w:rsidRPr="00C470BD">
        <w:rPr>
          <w:sz w:val="26"/>
          <w:szCs w:val="26"/>
        </w:rPr>
        <w:t xml:space="preserve">Στη διάρκεια του </w:t>
      </w:r>
      <w:r w:rsidR="00C822B8">
        <w:rPr>
          <w:sz w:val="26"/>
          <w:szCs w:val="26"/>
        </w:rPr>
        <w:t>τελευταίου τριμήνου</w:t>
      </w:r>
      <w:r w:rsidRPr="00C470BD">
        <w:rPr>
          <w:sz w:val="26"/>
          <w:szCs w:val="26"/>
        </w:rPr>
        <w:t xml:space="preserve"> του 2017 το επίπεδο των τιμών </w:t>
      </w:r>
      <w:r w:rsidR="00C822B8">
        <w:rPr>
          <w:sz w:val="26"/>
          <w:szCs w:val="26"/>
        </w:rPr>
        <w:t xml:space="preserve">(Εν.ΔΤΚ) παρέμεινε υποτονικό σε </w:t>
      </w:r>
      <w:r w:rsidR="008D1DA6">
        <w:rPr>
          <w:sz w:val="26"/>
          <w:szCs w:val="26"/>
        </w:rPr>
        <w:t>ετήσια</w:t>
      </w:r>
      <w:r w:rsidR="00C822B8">
        <w:rPr>
          <w:sz w:val="26"/>
          <w:szCs w:val="26"/>
        </w:rPr>
        <w:t xml:space="preserve"> βάση αλλά αμετάβλητο σε </w:t>
      </w:r>
      <w:r w:rsidR="008D1DA6">
        <w:rPr>
          <w:sz w:val="26"/>
          <w:szCs w:val="26"/>
        </w:rPr>
        <w:t>μηνιαία</w:t>
      </w:r>
      <w:r w:rsidR="00C822B8">
        <w:rPr>
          <w:sz w:val="26"/>
          <w:szCs w:val="26"/>
        </w:rPr>
        <w:t xml:space="preserve">. </w:t>
      </w:r>
    </w:p>
    <w:p w:rsidR="004F6404" w:rsidRPr="004F6404" w:rsidRDefault="009A0A7C" w:rsidP="00507E67">
      <w:pPr>
        <w:pStyle w:val="a4"/>
        <w:numPr>
          <w:ilvl w:val="0"/>
          <w:numId w:val="16"/>
        </w:numPr>
        <w:spacing w:after="0" w:line="340" w:lineRule="atLeast"/>
        <w:ind w:left="0" w:right="-58" w:hanging="426"/>
        <w:contextualSpacing w:val="0"/>
        <w:jc w:val="both"/>
        <w:rPr>
          <w:sz w:val="26"/>
          <w:szCs w:val="26"/>
        </w:rPr>
      </w:pPr>
      <w:r w:rsidRPr="004F6404">
        <w:rPr>
          <w:sz w:val="26"/>
          <w:szCs w:val="26"/>
        </w:rPr>
        <w:t xml:space="preserve">Στα ίδια περίπου επίπεδα με εκείνα του </w:t>
      </w:r>
      <w:r w:rsidR="00C822B8">
        <w:rPr>
          <w:sz w:val="26"/>
          <w:szCs w:val="26"/>
        </w:rPr>
        <w:t>Β</w:t>
      </w:r>
      <w:r w:rsidRPr="004F6404">
        <w:rPr>
          <w:sz w:val="26"/>
          <w:szCs w:val="26"/>
        </w:rPr>
        <w:t>΄ Τριμήνου κινήθηκε ο Δείκτης Κύκλου Εργασιών στο Λιανικό εμπόριο</w:t>
      </w:r>
      <w:r w:rsidR="00817C70">
        <w:rPr>
          <w:sz w:val="26"/>
          <w:szCs w:val="26"/>
        </w:rPr>
        <w:t xml:space="preserve"> εκτός καυσίμων και λιπαντικών</w:t>
      </w:r>
      <w:r w:rsidR="004F6404" w:rsidRPr="004F6404">
        <w:rPr>
          <w:sz w:val="26"/>
          <w:szCs w:val="26"/>
        </w:rPr>
        <w:t>,</w:t>
      </w:r>
      <w:r w:rsidR="00817C70">
        <w:rPr>
          <w:sz w:val="26"/>
          <w:szCs w:val="26"/>
        </w:rPr>
        <w:t xml:space="preserve"> ενώ ο αντίστοιχος Δείκτης Όγκου παρουσίασε ελαφρώς ισχυρότερη άνοδο. </w:t>
      </w:r>
      <w:r w:rsidR="004F6404" w:rsidRPr="004F6404">
        <w:rPr>
          <w:sz w:val="26"/>
          <w:szCs w:val="26"/>
        </w:rPr>
        <w:t xml:space="preserve">Ωστόσο, </w:t>
      </w:r>
      <w:r w:rsidR="00515E0C">
        <w:rPr>
          <w:sz w:val="26"/>
          <w:szCs w:val="26"/>
        </w:rPr>
        <w:t>πολύ πιο δυναμική άνοδο</w:t>
      </w:r>
      <w:r w:rsidR="004F6404" w:rsidRPr="004F6404">
        <w:rPr>
          <w:sz w:val="26"/>
          <w:szCs w:val="26"/>
        </w:rPr>
        <w:t xml:space="preserve"> σημείωσε τόσο ο εποχικά διορθωμένος ΔΚΕ στο Χονδρικό εμπόριο, </w:t>
      </w:r>
      <w:r w:rsidR="004F6404">
        <w:rPr>
          <w:sz w:val="26"/>
          <w:szCs w:val="26"/>
        </w:rPr>
        <w:t xml:space="preserve">όσο και ο αντίστοιχος δείκτης </w:t>
      </w:r>
      <w:r w:rsidR="002E2A3B">
        <w:rPr>
          <w:sz w:val="26"/>
          <w:szCs w:val="26"/>
        </w:rPr>
        <w:t xml:space="preserve">στα </w:t>
      </w:r>
      <w:r w:rsidR="008E5DE6">
        <w:rPr>
          <w:sz w:val="26"/>
          <w:szCs w:val="26"/>
        </w:rPr>
        <w:t>Αυτοκίνητα.</w:t>
      </w:r>
    </w:p>
    <w:p w:rsidR="009A0A7C" w:rsidRDefault="007E129B" w:rsidP="00507E67">
      <w:pPr>
        <w:pStyle w:val="a4"/>
        <w:numPr>
          <w:ilvl w:val="0"/>
          <w:numId w:val="16"/>
        </w:numPr>
        <w:spacing w:after="0" w:line="340" w:lineRule="atLeast"/>
        <w:ind w:left="0" w:right="-58" w:hanging="425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Στην αγορά εργασίας, η</w:t>
      </w:r>
      <w:r w:rsidR="008E5DE6" w:rsidRPr="008E5DE6">
        <w:rPr>
          <w:sz w:val="26"/>
          <w:szCs w:val="26"/>
        </w:rPr>
        <w:t xml:space="preserve"> διατήρηση της πτωτικής τάσης του ποσοστού ανεργίας αποτελεί αναμφίβολα θετική εξέλιξη</w:t>
      </w:r>
      <w:r w:rsidR="007E3C8D">
        <w:rPr>
          <w:sz w:val="26"/>
          <w:szCs w:val="26"/>
        </w:rPr>
        <w:t>.</w:t>
      </w:r>
    </w:p>
    <w:p w:rsidR="004F6404" w:rsidRDefault="008E5DE6" w:rsidP="00507E67">
      <w:pPr>
        <w:pStyle w:val="a4"/>
        <w:numPr>
          <w:ilvl w:val="0"/>
          <w:numId w:val="16"/>
        </w:numPr>
        <w:spacing w:after="0" w:line="340" w:lineRule="atLeast"/>
        <w:ind w:left="0" w:right="-58" w:hanging="425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Τ</w:t>
      </w:r>
      <w:r w:rsidRPr="008E5DE6">
        <w:rPr>
          <w:sz w:val="26"/>
          <w:szCs w:val="26"/>
        </w:rPr>
        <w:t>ο θετικό ισοζύγιο προσλήψεων/αποχωρήσεων</w:t>
      </w:r>
      <w:r>
        <w:rPr>
          <w:sz w:val="26"/>
          <w:szCs w:val="26"/>
        </w:rPr>
        <w:t xml:space="preserve"> </w:t>
      </w:r>
      <w:r w:rsidR="00515E0C">
        <w:rPr>
          <w:sz w:val="26"/>
          <w:szCs w:val="26"/>
        </w:rPr>
        <w:t xml:space="preserve">καθ’ όλη τη διάρκεια </w:t>
      </w:r>
      <w:r w:rsidRPr="008E5DE6">
        <w:rPr>
          <w:sz w:val="26"/>
          <w:szCs w:val="26"/>
        </w:rPr>
        <w:t>του 2017 αποτελεί την υψηλότερη επίδοση από το 2001 μέχρι και σήμερα</w:t>
      </w:r>
      <w:r w:rsidR="000774F4">
        <w:rPr>
          <w:sz w:val="26"/>
          <w:szCs w:val="26"/>
        </w:rPr>
        <w:t xml:space="preserve">. </w:t>
      </w:r>
    </w:p>
    <w:p w:rsidR="000774F4" w:rsidRPr="000774F4" w:rsidRDefault="000774F4" w:rsidP="00507E67">
      <w:pPr>
        <w:pStyle w:val="a4"/>
        <w:numPr>
          <w:ilvl w:val="0"/>
          <w:numId w:val="16"/>
        </w:numPr>
        <w:spacing w:after="0" w:line="340" w:lineRule="atLeast"/>
        <w:ind w:left="0" w:right="-57" w:hanging="426"/>
        <w:contextualSpacing w:val="0"/>
        <w:jc w:val="both"/>
        <w:rPr>
          <w:sz w:val="26"/>
          <w:szCs w:val="26"/>
        </w:rPr>
      </w:pPr>
      <w:r w:rsidRPr="000774F4">
        <w:rPr>
          <w:sz w:val="26"/>
          <w:szCs w:val="26"/>
        </w:rPr>
        <w:t xml:space="preserve">Στο Εμπόριο οι πολύ μικρές (“micro”) επιχειρήσεις εμφανίζουν υψηλότερα ποσοστά πλήρους απασχόλησης σε σχέση με τις μεγαλύτερες, σε αντίθεση με το σύνολο της οικονομίας. </w:t>
      </w:r>
    </w:p>
    <w:p w:rsidR="00B27120" w:rsidRPr="00515E0C" w:rsidRDefault="00515E0C" w:rsidP="00507E67">
      <w:pPr>
        <w:pStyle w:val="a4"/>
        <w:numPr>
          <w:ilvl w:val="0"/>
          <w:numId w:val="16"/>
        </w:numPr>
        <w:spacing w:after="0" w:line="340" w:lineRule="atLeast"/>
        <w:ind w:left="0" w:right="-58" w:hanging="425"/>
        <w:contextualSpacing w:val="0"/>
        <w:jc w:val="both"/>
        <w:rPr>
          <w:sz w:val="26"/>
          <w:szCs w:val="26"/>
        </w:rPr>
      </w:pPr>
      <w:r w:rsidRPr="00515E0C">
        <w:rPr>
          <w:sz w:val="26"/>
          <w:szCs w:val="26"/>
        </w:rPr>
        <w:t xml:space="preserve">Εξαιρετική βελτίωση σε τριμηνιαία συγκριτική βάση σημείωσε το ισοζύγιο τρεχουσών συναλλαγών (Γ΄/Β΄ Τρίμηνο 2017: +5,01 δισ. €), όπως ήταν άλλωστε αναμενόμενο λόγω της εποχικότητας, με αποτέλεσμα τη διαμόρφωση πλεονάσματος της τάξεως των 4,58 δισ. €. </w:t>
      </w:r>
    </w:p>
    <w:p w:rsidR="00B27120" w:rsidRDefault="00515E0C" w:rsidP="00507E67">
      <w:pPr>
        <w:spacing w:after="0" w:line="340" w:lineRule="atLeast"/>
        <w:ind w:right="-5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Η ελληνική οικονομία εμφανίζει θετική εικόνα με </w:t>
      </w:r>
      <w:r w:rsidR="00AC1011">
        <w:rPr>
          <w:sz w:val="26"/>
          <w:szCs w:val="26"/>
        </w:rPr>
        <w:t>ενδείξεις ανάκαμψης</w:t>
      </w:r>
      <w:r>
        <w:rPr>
          <w:sz w:val="26"/>
          <w:szCs w:val="26"/>
        </w:rPr>
        <w:t>, οι οποίες ωστόσο</w:t>
      </w:r>
      <w:r w:rsidR="00835F17">
        <w:rPr>
          <w:sz w:val="26"/>
          <w:szCs w:val="26"/>
        </w:rPr>
        <w:t xml:space="preserve"> για την ώρα</w:t>
      </w:r>
      <w:r>
        <w:rPr>
          <w:sz w:val="26"/>
          <w:szCs w:val="26"/>
        </w:rPr>
        <w:t xml:space="preserve"> δεν δείχνουν ούτε ώριμες αλλά ούτε και </w:t>
      </w:r>
      <w:r w:rsidR="00835F17">
        <w:rPr>
          <w:sz w:val="26"/>
          <w:szCs w:val="26"/>
        </w:rPr>
        <w:t xml:space="preserve">αρκετά </w:t>
      </w:r>
      <w:r>
        <w:rPr>
          <w:sz w:val="26"/>
          <w:szCs w:val="26"/>
        </w:rPr>
        <w:t xml:space="preserve">ισχυρές για την απογείωση και την οριστική απεμπλοκή της από τα μνημόνια. </w:t>
      </w:r>
      <w:r w:rsidR="00835F17">
        <w:rPr>
          <w:sz w:val="26"/>
          <w:szCs w:val="26"/>
        </w:rPr>
        <w:t>Επιπρόσθετα, ο υψηλός δανεισμός της χώρας και η αυξημένη χρηματοδότηση από το ευρωσύστημα απομακρύνει το ενδεχόμενο της πολυπόθητης «καθαρής» εξόδου στις αγορές. Αντίθετα, εντείνονται οι πιέσεις για ένα ακόμα πρόγραμμα, είτε αυτό είναι μια γραμμή προληπτικής εποπτείας (</w:t>
      </w:r>
      <w:r w:rsidR="00835F17">
        <w:rPr>
          <w:sz w:val="26"/>
          <w:szCs w:val="26"/>
          <w:lang w:val="en-US"/>
        </w:rPr>
        <w:t>Precautionary</w:t>
      </w:r>
      <w:r w:rsidR="00835F17" w:rsidRPr="00835F17">
        <w:rPr>
          <w:sz w:val="26"/>
          <w:szCs w:val="26"/>
        </w:rPr>
        <w:t xml:space="preserve"> </w:t>
      </w:r>
      <w:r w:rsidR="00835F17">
        <w:rPr>
          <w:sz w:val="26"/>
          <w:szCs w:val="26"/>
          <w:lang w:val="en-US"/>
        </w:rPr>
        <w:t>Condition</w:t>
      </w:r>
      <w:r w:rsidR="00835F17" w:rsidRPr="00835F17">
        <w:rPr>
          <w:sz w:val="26"/>
          <w:szCs w:val="26"/>
        </w:rPr>
        <w:t xml:space="preserve"> </w:t>
      </w:r>
      <w:r w:rsidR="00835F17">
        <w:rPr>
          <w:sz w:val="26"/>
          <w:szCs w:val="26"/>
          <w:lang w:val="en-US"/>
        </w:rPr>
        <w:t>Credit</w:t>
      </w:r>
      <w:r w:rsidR="00835F17" w:rsidRPr="00835F17">
        <w:rPr>
          <w:sz w:val="26"/>
          <w:szCs w:val="26"/>
        </w:rPr>
        <w:t xml:space="preserve"> </w:t>
      </w:r>
      <w:r w:rsidR="00835F17">
        <w:rPr>
          <w:sz w:val="26"/>
          <w:szCs w:val="26"/>
          <w:lang w:val="en-US"/>
        </w:rPr>
        <w:t>Line</w:t>
      </w:r>
      <w:r w:rsidR="00835F17">
        <w:rPr>
          <w:sz w:val="26"/>
          <w:szCs w:val="26"/>
        </w:rPr>
        <w:t xml:space="preserve"> – </w:t>
      </w:r>
      <w:r w:rsidR="00835F17">
        <w:rPr>
          <w:sz w:val="26"/>
          <w:szCs w:val="26"/>
          <w:lang w:val="en-US"/>
        </w:rPr>
        <w:t>PCCL</w:t>
      </w:r>
      <w:r w:rsidR="00835F17" w:rsidRPr="00835F17">
        <w:rPr>
          <w:sz w:val="26"/>
          <w:szCs w:val="26"/>
        </w:rPr>
        <w:t>)</w:t>
      </w:r>
      <w:r w:rsidR="00835F17">
        <w:rPr>
          <w:sz w:val="26"/>
          <w:szCs w:val="26"/>
        </w:rPr>
        <w:t>,</w:t>
      </w:r>
      <w:r w:rsidR="00835F17" w:rsidRPr="00835F17">
        <w:rPr>
          <w:sz w:val="26"/>
          <w:szCs w:val="26"/>
        </w:rPr>
        <w:t xml:space="preserve"> </w:t>
      </w:r>
      <w:r w:rsidR="00835F17">
        <w:rPr>
          <w:sz w:val="26"/>
          <w:szCs w:val="26"/>
        </w:rPr>
        <w:t>είτε αυξημένη εποπτεία (</w:t>
      </w:r>
      <w:r w:rsidR="00835F17">
        <w:rPr>
          <w:sz w:val="26"/>
          <w:szCs w:val="26"/>
          <w:lang w:val="en-US"/>
        </w:rPr>
        <w:t>Enhanced</w:t>
      </w:r>
      <w:r w:rsidR="00835F17" w:rsidRPr="00835F17">
        <w:rPr>
          <w:sz w:val="26"/>
          <w:szCs w:val="26"/>
        </w:rPr>
        <w:t xml:space="preserve"> </w:t>
      </w:r>
      <w:r w:rsidR="00835F17">
        <w:rPr>
          <w:sz w:val="26"/>
          <w:szCs w:val="26"/>
          <w:lang w:val="en-US"/>
        </w:rPr>
        <w:t>Condition</w:t>
      </w:r>
      <w:r w:rsidR="00835F17" w:rsidRPr="00835F17">
        <w:rPr>
          <w:sz w:val="26"/>
          <w:szCs w:val="26"/>
        </w:rPr>
        <w:t xml:space="preserve"> </w:t>
      </w:r>
      <w:r w:rsidR="00835F17">
        <w:rPr>
          <w:sz w:val="26"/>
          <w:szCs w:val="26"/>
          <w:lang w:val="en-US"/>
        </w:rPr>
        <w:t>Line</w:t>
      </w:r>
      <w:r w:rsidR="00835F17" w:rsidRPr="00835F17">
        <w:rPr>
          <w:sz w:val="26"/>
          <w:szCs w:val="26"/>
        </w:rPr>
        <w:t xml:space="preserve"> </w:t>
      </w:r>
      <w:r w:rsidR="00835F17">
        <w:rPr>
          <w:sz w:val="26"/>
          <w:szCs w:val="26"/>
        </w:rPr>
        <w:t>–</w:t>
      </w:r>
      <w:r w:rsidR="00835F17" w:rsidRPr="00835F17">
        <w:rPr>
          <w:sz w:val="26"/>
          <w:szCs w:val="26"/>
        </w:rPr>
        <w:t xml:space="preserve"> </w:t>
      </w:r>
      <w:r w:rsidR="00835F17">
        <w:rPr>
          <w:sz w:val="26"/>
          <w:szCs w:val="26"/>
          <w:lang w:val="en-US"/>
        </w:rPr>
        <w:t>ECCL</w:t>
      </w:r>
      <w:r w:rsidR="00835F17" w:rsidRPr="00835F17">
        <w:rPr>
          <w:sz w:val="26"/>
          <w:szCs w:val="26"/>
        </w:rPr>
        <w:t>)</w:t>
      </w:r>
      <w:r w:rsidR="00835F17">
        <w:rPr>
          <w:sz w:val="26"/>
          <w:szCs w:val="26"/>
        </w:rPr>
        <w:t>,</w:t>
      </w:r>
      <w:r w:rsidR="00835F17" w:rsidRPr="00835F17">
        <w:rPr>
          <w:sz w:val="26"/>
          <w:szCs w:val="26"/>
        </w:rPr>
        <w:t xml:space="preserve"> </w:t>
      </w:r>
      <w:r w:rsidR="00835F17">
        <w:rPr>
          <w:sz w:val="26"/>
          <w:szCs w:val="26"/>
        </w:rPr>
        <w:t xml:space="preserve">είτε </w:t>
      </w:r>
      <w:r w:rsidR="0036737B">
        <w:rPr>
          <w:sz w:val="26"/>
          <w:szCs w:val="26"/>
        </w:rPr>
        <w:t xml:space="preserve">ένα υβριδικό σχήμα. </w:t>
      </w:r>
      <w:r w:rsidR="00507E67">
        <w:rPr>
          <w:sz w:val="26"/>
          <w:szCs w:val="26"/>
        </w:rPr>
        <w:t xml:space="preserve"> </w:t>
      </w:r>
      <w:r w:rsidR="00AC1011">
        <w:rPr>
          <w:sz w:val="26"/>
          <w:szCs w:val="26"/>
        </w:rPr>
        <w:t xml:space="preserve"> </w:t>
      </w:r>
    </w:p>
    <w:p w:rsidR="00697EFF" w:rsidRPr="00E516DB" w:rsidRDefault="00465697" w:rsidP="00B27120">
      <w:pPr>
        <w:spacing w:after="0" w:line="360" w:lineRule="atLeast"/>
        <w:ind w:right="-57"/>
        <w:jc w:val="both"/>
        <w:rPr>
          <w:sz w:val="26"/>
          <w:szCs w:val="26"/>
        </w:rPr>
      </w:pPr>
      <w:r w:rsidRPr="00E516DB">
        <w:rPr>
          <w:sz w:val="26"/>
          <w:szCs w:val="26"/>
        </w:rPr>
        <w:lastRenderedPageBreak/>
        <w:t>Στον Πίνακα</w:t>
      </w:r>
      <w:r w:rsidR="00EA122F">
        <w:rPr>
          <w:sz w:val="26"/>
          <w:szCs w:val="26"/>
        </w:rPr>
        <w:t xml:space="preserve"> 1</w:t>
      </w:r>
      <w:r w:rsidR="552FDA89" w:rsidRPr="00E516DB">
        <w:rPr>
          <w:sz w:val="26"/>
          <w:szCs w:val="26"/>
        </w:rPr>
        <w:t xml:space="preserve"> που ακολουθεί γίνεται μία προσπάθεια </w:t>
      </w:r>
      <w:r w:rsidR="552FDA89" w:rsidRPr="00E516DB">
        <w:rPr>
          <w:b/>
          <w:sz w:val="26"/>
          <w:szCs w:val="26"/>
        </w:rPr>
        <w:t>ευσύνοπτης</w:t>
      </w:r>
      <w:r w:rsidR="552FDA89" w:rsidRPr="00E516DB">
        <w:rPr>
          <w:sz w:val="26"/>
          <w:szCs w:val="26"/>
        </w:rPr>
        <w:t xml:space="preserve"> αποτύπωσης των κυριότερων </w:t>
      </w:r>
      <w:r w:rsidR="00176232">
        <w:rPr>
          <w:sz w:val="26"/>
          <w:szCs w:val="26"/>
        </w:rPr>
        <w:t xml:space="preserve">εξελίξεων </w:t>
      </w:r>
      <w:r w:rsidR="552FDA89" w:rsidRPr="00E516DB">
        <w:rPr>
          <w:sz w:val="26"/>
          <w:szCs w:val="26"/>
        </w:rPr>
        <w:t xml:space="preserve">που </w:t>
      </w:r>
      <w:r w:rsidR="00176232">
        <w:rPr>
          <w:b/>
          <w:sz w:val="26"/>
          <w:szCs w:val="26"/>
        </w:rPr>
        <w:t xml:space="preserve">σημειώθηκαν </w:t>
      </w:r>
      <w:r w:rsidR="00176232">
        <w:rPr>
          <w:sz w:val="26"/>
          <w:szCs w:val="26"/>
        </w:rPr>
        <w:t>τελευταία</w:t>
      </w:r>
      <w:r w:rsidR="00176232">
        <w:rPr>
          <w:b/>
          <w:sz w:val="26"/>
          <w:szCs w:val="26"/>
        </w:rPr>
        <w:t xml:space="preserve"> </w:t>
      </w:r>
      <w:r w:rsidR="552FDA89" w:rsidRPr="00E516DB">
        <w:rPr>
          <w:sz w:val="26"/>
          <w:szCs w:val="26"/>
        </w:rPr>
        <w:t xml:space="preserve">στην ελληνική οικονομία και στον κλάδο του Εμπορίου, μέσω </w:t>
      </w:r>
      <w:r w:rsidR="005607BE" w:rsidRPr="00E516DB">
        <w:rPr>
          <w:sz w:val="26"/>
          <w:szCs w:val="26"/>
        </w:rPr>
        <w:t xml:space="preserve">της </w:t>
      </w:r>
      <w:r w:rsidR="552FDA89" w:rsidRPr="00E516DB">
        <w:rPr>
          <w:b/>
          <w:sz w:val="26"/>
          <w:szCs w:val="26"/>
        </w:rPr>
        <w:t>σ</w:t>
      </w:r>
      <w:r w:rsidR="00176232">
        <w:rPr>
          <w:b/>
          <w:sz w:val="26"/>
          <w:szCs w:val="26"/>
        </w:rPr>
        <w:t xml:space="preserve">υγκέντρωσης </w:t>
      </w:r>
      <w:r w:rsidR="552FDA89" w:rsidRPr="00E516DB">
        <w:rPr>
          <w:sz w:val="26"/>
          <w:szCs w:val="26"/>
        </w:rPr>
        <w:t>βασικών</w:t>
      </w:r>
      <w:r w:rsidR="005607BE" w:rsidRPr="00E516DB">
        <w:rPr>
          <w:sz w:val="26"/>
          <w:szCs w:val="26"/>
        </w:rPr>
        <w:t xml:space="preserve"> </w:t>
      </w:r>
      <w:r w:rsidR="005607BE" w:rsidRPr="00E516DB">
        <w:rPr>
          <w:b/>
          <w:sz w:val="26"/>
          <w:szCs w:val="26"/>
        </w:rPr>
        <w:t>μακροοικονομικών</w:t>
      </w:r>
      <w:r w:rsidR="552FDA89" w:rsidRPr="00E516DB">
        <w:rPr>
          <w:sz w:val="26"/>
          <w:szCs w:val="26"/>
        </w:rPr>
        <w:t xml:space="preserve"> </w:t>
      </w:r>
      <w:r w:rsidR="00176232">
        <w:rPr>
          <w:sz w:val="26"/>
          <w:szCs w:val="26"/>
        </w:rPr>
        <w:t xml:space="preserve">και λοιπών </w:t>
      </w:r>
      <w:r w:rsidR="552FDA89" w:rsidRPr="00E516DB">
        <w:rPr>
          <w:sz w:val="26"/>
          <w:szCs w:val="26"/>
        </w:rPr>
        <w:t xml:space="preserve">οικονομικών μεγεθών. Τα μεγέθη αυτά αλληλεπιδρούν και λειτουργούν πολλαπλασιαστικά τόσο στο σύνολο των κλάδων της εγχώριας οικονομίας, όσο και στο Εμπόριο ειδικότερα.  </w:t>
      </w:r>
    </w:p>
    <w:p w:rsidR="00465697" w:rsidRDefault="00465697" w:rsidP="00B27120">
      <w:pPr>
        <w:spacing w:after="0" w:line="360" w:lineRule="atLeast"/>
        <w:ind w:right="-57"/>
        <w:jc w:val="both"/>
        <w:rPr>
          <w:rFonts w:ascii="Cambria" w:hAnsi="Cambria"/>
          <w:sz w:val="26"/>
          <w:szCs w:val="26"/>
        </w:rPr>
      </w:pPr>
    </w:p>
    <w:tbl>
      <w:tblPr>
        <w:tblStyle w:val="a3"/>
        <w:tblW w:w="10632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2268"/>
        <w:gridCol w:w="1417"/>
        <w:gridCol w:w="1559"/>
      </w:tblGrid>
      <w:tr w:rsidR="00CA3544" w:rsidRPr="0057789A" w:rsidTr="00410192">
        <w:trPr>
          <w:trHeight w:val="796"/>
        </w:trPr>
        <w:tc>
          <w:tcPr>
            <w:tcW w:w="10632" w:type="dxa"/>
            <w:gridSpan w:val="4"/>
            <w:shd w:val="clear" w:color="auto" w:fill="2C72BA"/>
            <w:vAlign w:val="center"/>
          </w:tcPr>
          <w:p w:rsidR="00CA3544" w:rsidRPr="0057789A" w:rsidRDefault="00EA122F" w:rsidP="00AC1011">
            <w:pPr>
              <w:spacing w:after="0" w:line="240" w:lineRule="auto"/>
              <w:ind w:right="-57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EA122F">
              <w:rPr>
                <w:b/>
                <w:color w:val="FFFFFF" w:themeColor="background1"/>
                <w:sz w:val="24"/>
                <w:szCs w:val="24"/>
              </w:rPr>
              <w:t xml:space="preserve">Πίνακας 1: </w:t>
            </w:r>
            <w:r w:rsidR="00CA3544" w:rsidRPr="0057789A">
              <w:rPr>
                <w:b/>
                <w:color w:val="FFFFFF" w:themeColor="background1"/>
                <w:sz w:val="24"/>
                <w:szCs w:val="24"/>
              </w:rPr>
              <w:t xml:space="preserve">Συνοπτική απεικόνιση των βασικότερων μεγεθών της ελληνικής </w:t>
            </w:r>
          </w:p>
          <w:p w:rsidR="00CA3544" w:rsidRPr="0057789A" w:rsidRDefault="00CA3544" w:rsidP="00AC1011">
            <w:pPr>
              <w:spacing w:after="0" w:line="240" w:lineRule="auto"/>
              <w:ind w:right="-57"/>
              <w:jc w:val="center"/>
              <w:rPr>
                <w:b/>
                <w:color w:val="FFFFFF" w:themeColor="background1"/>
                <w:sz w:val="26"/>
                <w:szCs w:val="26"/>
              </w:rPr>
            </w:pPr>
            <w:r w:rsidRPr="0057789A">
              <w:rPr>
                <w:b/>
                <w:color w:val="FFFFFF" w:themeColor="background1"/>
                <w:sz w:val="24"/>
                <w:szCs w:val="24"/>
              </w:rPr>
              <w:t xml:space="preserve">Οικονομίας  και του Εμπορίου  </w:t>
            </w:r>
            <w:r w:rsidRPr="0057789A">
              <w:rPr>
                <w:i/>
                <w:color w:val="FFFFFF" w:themeColor="background1"/>
              </w:rPr>
              <w:t>(</w:t>
            </w:r>
            <w:r w:rsidR="00B818D1">
              <w:rPr>
                <w:i/>
                <w:color w:val="FFFFFF" w:themeColor="background1"/>
              </w:rPr>
              <w:t>περιλαμβάνονται τα πλέον πρόσφατα στατιστικά δεδομέ</w:t>
            </w:r>
            <w:r w:rsidRPr="0057789A">
              <w:rPr>
                <w:i/>
                <w:color w:val="FFFFFF" w:themeColor="background1"/>
              </w:rPr>
              <w:t>ν</w:t>
            </w:r>
            <w:r w:rsidR="00B818D1">
              <w:rPr>
                <w:i/>
                <w:color w:val="FFFFFF" w:themeColor="background1"/>
              </w:rPr>
              <w:t>α</w:t>
            </w:r>
            <w:r w:rsidRPr="0057789A">
              <w:rPr>
                <w:i/>
                <w:color w:val="FFFFFF" w:themeColor="background1"/>
              </w:rPr>
              <w:t>)</w:t>
            </w:r>
          </w:p>
        </w:tc>
      </w:tr>
      <w:tr w:rsidR="00CA3544" w:rsidTr="00410192">
        <w:trPr>
          <w:trHeight w:val="718"/>
        </w:trPr>
        <w:tc>
          <w:tcPr>
            <w:tcW w:w="5388" w:type="dxa"/>
            <w:shd w:val="clear" w:color="auto" w:fill="B8CCE4" w:themeFill="accent1" w:themeFillTint="66"/>
          </w:tcPr>
          <w:p w:rsidR="00CA3544" w:rsidRPr="000D2945" w:rsidRDefault="00CA3544" w:rsidP="00AC1011">
            <w:pPr>
              <w:spacing w:after="0" w:line="240" w:lineRule="auto"/>
              <w:ind w:right="-57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B8CCE4" w:themeFill="accent1" w:themeFillTint="66"/>
            <w:vAlign w:val="center"/>
          </w:tcPr>
          <w:p w:rsidR="00CA3544" w:rsidRPr="000B5257" w:rsidRDefault="00CA3544" w:rsidP="00AC1011">
            <w:pPr>
              <w:spacing w:after="0" w:line="240" w:lineRule="auto"/>
              <w:ind w:right="-57"/>
              <w:jc w:val="center"/>
              <w:rPr>
                <w:b/>
                <w:sz w:val="20"/>
                <w:szCs w:val="20"/>
              </w:rPr>
            </w:pPr>
            <w:r w:rsidRPr="000B5257">
              <w:rPr>
                <w:b/>
                <w:sz w:val="20"/>
                <w:szCs w:val="20"/>
              </w:rPr>
              <w:t>Περίοδος αναφοράς</w:t>
            </w:r>
          </w:p>
          <w:p w:rsidR="00CA3544" w:rsidRPr="000B5257" w:rsidRDefault="00CA3544" w:rsidP="00AC1011">
            <w:pPr>
              <w:tabs>
                <w:tab w:val="left" w:pos="459"/>
              </w:tabs>
              <w:spacing w:after="0" w:line="240" w:lineRule="auto"/>
              <w:ind w:right="-57" w:hanging="284"/>
              <w:jc w:val="center"/>
              <w:rPr>
                <w:b/>
                <w:sz w:val="20"/>
                <w:szCs w:val="20"/>
              </w:rPr>
            </w:pPr>
            <w:r w:rsidRPr="000B5257">
              <w:rPr>
                <w:b/>
                <w:sz w:val="20"/>
                <w:szCs w:val="20"/>
              </w:rPr>
              <w:t>δημοσιευμένων        στοιχείων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:rsidR="00CA3544" w:rsidRPr="000B5257" w:rsidRDefault="00CA3544" w:rsidP="00AC1011">
            <w:pPr>
              <w:spacing w:after="0" w:line="240" w:lineRule="auto"/>
              <w:ind w:right="-57" w:hanging="176"/>
              <w:jc w:val="center"/>
              <w:rPr>
                <w:b/>
                <w:sz w:val="20"/>
                <w:szCs w:val="20"/>
              </w:rPr>
            </w:pPr>
            <w:r w:rsidRPr="000B5257">
              <w:rPr>
                <w:b/>
                <w:sz w:val="20"/>
                <w:szCs w:val="20"/>
              </w:rPr>
              <w:t>Μεταβολή</w:t>
            </w:r>
          </w:p>
          <w:p w:rsidR="00CA3544" w:rsidRPr="000B5257" w:rsidRDefault="00CA3544" w:rsidP="00AC1011">
            <w:pPr>
              <w:spacing w:after="0" w:line="240" w:lineRule="auto"/>
              <w:ind w:right="-57" w:hanging="176"/>
              <w:jc w:val="center"/>
              <w:rPr>
                <w:b/>
                <w:sz w:val="20"/>
                <w:szCs w:val="20"/>
              </w:rPr>
            </w:pPr>
            <w:r w:rsidRPr="000B5257">
              <w:rPr>
                <w:b/>
                <w:sz w:val="20"/>
                <w:szCs w:val="20"/>
              </w:rPr>
              <w:t>προηγούμενης</w:t>
            </w:r>
          </w:p>
          <w:p w:rsidR="00CA3544" w:rsidRPr="000B5257" w:rsidRDefault="00CA3544" w:rsidP="00AC1011">
            <w:pPr>
              <w:spacing w:after="0" w:line="240" w:lineRule="auto"/>
              <w:ind w:right="-57" w:hanging="176"/>
              <w:jc w:val="center"/>
              <w:rPr>
                <w:b/>
                <w:sz w:val="20"/>
                <w:szCs w:val="20"/>
                <w:lang w:val="en-US"/>
              </w:rPr>
            </w:pPr>
            <w:r w:rsidRPr="000B5257">
              <w:rPr>
                <w:b/>
                <w:sz w:val="20"/>
                <w:szCs w:val="20"/>
              </w:rPr>
              <w:t>περιόδου</w:t>
            </w:r>
          </w:p>
        </w:tc>
        <w:tc>
          <w:tcPr>
            <w:tcW w:w="1559" w:type="dxa"/>
            <w:shd w:val="clear" w:color="auto" w:fill="B8CCE4" w:themeFill="accent1" w:themeFillTint="66"/>
            <w:vAlign w:val="center"/>
          </w:tcPr>
          <w:p w:rsidR="00CA3544" w:rsidRPr="006C3B39" w:rsidRDefault="00CA3544" w:rsidP="00AC1011">
            <w:pPr>
              <w:spacing w:after="0" w:line="240" w:lineRule="auto"/>
              <w:ind w:right="-57" w:hanging="33"/>
              <w:jc w:val="center"/>
              <w:rPr>
                <w:b/>
                <w:sz w:val="20"/>
                <w:szCs w:val="20"/>
              </w:rPr>
            </w:pPr>
            <w:r w:rsidRPr="000B5257">
              <w:rPr>
                <w:b/>
                <w:sz w:val="20"/>
                <w:szCs w:val="20"/>
              </w:rPr>
              <w:t>Ετήσια     μεταβολή</w:t>
            </w:r>
          </w:p>
          <w:p w:rsidR="00CA3544" w:rsidRPr="006C3B39" w:rsidRDefault="00CA3544" w:rsidP="00AC1011">
            <w:pPr>
              <w:spacing w:after="0" w:line="240" w:lineRule="auto"/>
              <w:ind w:right="-57" w:hanging="33"/>
              <w:jc w:val="center"/>
              <w:rPr>
                <w:b/>
                <w:sz w:val="20"/>
                <w:szCs w:val="20"/>
              </w:rPr>
            </w:pPr>
            <w:r w:rsidRPr="006C3B39">
              <w:rPr>
                <w:b/>
                <w:sz w:val="20"/>
                <w:szCs w:val="20"/>
              </w:rPr>
              <w:t>(</w:t>
            </w:r>
            <w:r w:rsidRPr="000B5257">
              <w:rPr>
                <w:b/>
                <w:sz w:val="20"/>
                <w:szCs w:val="20"/>
                <w:lang w:val="en-US"/>
              </w:rPr>
              <w:t>y</w:t>
            </w:r>
            <w:r w:rsidRPr="006C3B39">
              <w:rPr>
                <w:b/>
                <w:sz w:val="20"/>
                <w:szCs w:val="20"/>
              </w:rPr>
              <w:t>-</w:t>
            </w:r>
            <w:r w:rsidRPr="000B5257">
              <w:rPr>
                <w:b/>
                <w:sz w:val="20"/>
                <w:szCs w:val="20"/>
                <w:lang w:val="en-US"/>
              </w:rPr>
              <w:t>o</w:t>
            </w:r>
            <w:r w:rsidRPr="006C3B39">
              <w:rPr>
                <w:b/>
                <w:sz w:val="20"/>
                <w:szCs w:val="20"/>
              </w:rPr>
              <w:t>-</w:t>
            </w:r>
            <w:r w:rsidRPr="000B5257">
              <w:rPr>
                <w:b/>
                <w:sz w:val="20"/>
                <w:szCs w:val="20"/>
                <w:lang w:val="en-US"/>
              </w:rPr>
              <w:t>y</w:t>
            </w:r>
            <w:r w:rsidRPr="006C3B39">
              <w:rPr>
                <w:b/>
                <w:sz w:val="20"/>
                <w:szCs w:val="20"/>
              </w:rPr>
              <w:t>)</w:t>
            </w:r>
          </w:p>
        </w:tc>
      </w:tr>
      <w:tr w:rsidR="00CA3544" w:rsidTr="00410192">
        <w:trPr>
          <w:trHeight w:val="485"/>
        </w:trPr>
        <w:tc>
          <w:tcPr>
            <w:tcW w:w="5388" w:type="dxa"/>
            <w:tcBorders>
              <w:top w:val="single" w:sz="8" w:space="0" w:color="4F81BD" w:themeColor="accent1"/>
              <w:bottom w:val="single" w:sz="8" w:space="0" w:color="4F81BD" w:themeColor="accent1"/>
            </w:tcBorders>
            <w:shd w:val="clear" w:color="auto" w:fill="auto"/>
          </w:tcPr>
          <w:p w:rsidR="00CA3544" w:rsidRDefault="00CA3544" w:rsidP="00AC101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right="-5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ΑΕΠ      </w:t>
            </w:r>
            <w:r w:rsidRPr="0008726B">
              <w:t>(</w:t>
            </w:r>
            <w:r w:rsidRPr="0008726B">
              <w:rPr>
                <w:i/>
              </w:rPr>
              <w:t>ΕΛ.ΣΤΑΤ</w:t>
            </w:r>
            <w:r w:rsidRPr="0008726B">
              <w:t>.)</w:t>
            </w:r>
          </w:p>
          <w:p w:rsidR="00CA3544" w:rsidRPr="001E5886" w:rsidRDefault="00CA3544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08726B">
              <w:t>(Εποχικά</w:t>
            </w:r>
            <w:r w:rsidR="00675C08">
              <w:t xml:space="preserve"> &amp; ημερολογιακά</w:t>
            </w:r>
            <w:r w:rsidRPr="0008726B">
              <w:t xml:space="preserve"> διορθωμένα στοιχεία</w:t>
            </w:r>
            <w:r>
              <w:t xml:space="preserve">, </w:t>
            </w:r>
            <w:r w:rsidRPr="0008726B">
              <w:t>αλυσωτοί δείκτες όγκου</w:t>
            </w:r>
            <w:r>
              <w:t>)</w:t>
            </w:r>
          </w:p>
        </w:tc>
        <w:tc>
          <w:tcPr>
            <w:tcW w:w="2268" w:type="dxa"/>
            <w:tcBorders>
              <w:top w:val="single" w:sz="8" w:space="0" w:color="4F81BD" w:themeColor="accent1"/>
              <w:bottom w:val="single" w:sz="8" w:space="0" w:color="4F81BD" w:themeColor="accent1"/>
            </w:tcBorders>
            <w:shd w:val="clear" w:color="auto" w:fill="auto"/>
            <w:vAlign w:val="center"/>
          </w:tcPr>
          <w:p w:rsidR="00CA3544" w:rsidRPr="000B5257" w:rsidRDefault="00CA3544" w:rsidP="00675C08">
            <w:pPr>
              <w:spacing w:after="0" w:line="240" w:lineRule="auto"/>
              <w:ind w:right="-57"/>
              <w:rPr>
                <w:b/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675C08">
              <w:rPr>
                <w:sz w:val="24"/>
                <w:szCs w:val="24"/>
              </w:rPr>
              <w:t>Γ</w:t>
            </w:r>
            <w:r w:rsidR="00E543C6">
              <w:rPr>
                <w:sz w:val="24"/>
                <w:szCs w:val="24"/>
              </w:rPr>
              <w:t>΄</w:t>
            </w:r>
            <w:r>
              <w:rPr>
                <w:sz w:val="24"/>
                <w:szCs w:val="24"/>
              </w:rPr>
              <w:t xml:space="preserve"> τρίμηνο</w:t>
            </w:r>
            <w:r w:rsidRPr="007C4699">
              <w:rPr>
                <w:sz w:val="24"/>
                <w:szCs w:val="24"/>
              </w:rPr>
              <w:t xml:space="preserve"> 2017</w:t>
            </w:r>
          </w:p>
        </w:tc>
        <w:tc>
          <w:tcPr>
            <w:tcW w:w="1417" w:type="dxa"/>
            <w:tcBorders>
              <w:top w:val="single" w:sz="8" w:space="0" w:color="4F81BD" w:themeColor="accent1"/>
              <w:bottom w:val="single" w:sz="8" w:space="0" w:color="4F81BD" w:themeColor="accent1"/>
            </w:tcBorders>
            <w:shd w:val="clear" w:color="auto" w:fill="auto"/>
            <w:vAlign w:val="center"/>
          </w:tcPr>
          <w:p w:rsidR="00CA3544" w:rsidRPr="0008726B" w:rsidRDefault="00CA3544" w:rsidP="00675C08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08726B">
              <w:rPr>
                <w:b/>
                <w:sz w:val="24"/>
                <w:szCs w:val="24"/>
              </w:rPr>
              <w:t>0,</w:t>
            </w:r>
            <w:r w:rsidR="00675C08">
              <w:rPr>
                <w:b/>
                <w:sz w:val="24"/>
                <w:szCs w:val="24"/>
              </w:rPr>
              <w:t>3</w:t>
            </w:r>
            <w:r w:rsidRPr="0008726B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single" w:sz="8" w:space="0" w:color="4F81BD" w:themeColor="accent1"/>
              <w:bottom w:val="single" w:sz="8" w:space="0" w:color="4F81BD" w:themeColor="accent1"/>
            </w:tcBorders>
            <w:shd w:val="clear" w:color="auto" w:fill="auto"/>
            <w:vAlign w:val="center"/>
          </w:tcPr>
          <w:p w:rsidR="00CA3544" w:rsidRPr="0008726B" w:rsidRDefault="00CA3544" w:rsidP="00675C08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675C08">
              <w:rPr>
                <w:b/>
                <w:sz w:val="24"/>
                <w:szCs w:val="24"/>
              </w:rPr>
              <w:t>1,3</w:t>
            </w:r>
            <w:r w:rsidRPr="0008726B">
              <w:rPr>
                <w:b/>
                <w:sz w:val="24"/>
                <w:szCs w:val="24"/>
              </w:rPr>
              <w:t>%</w:t>
            </w:r>
          </w:p>
        </w:tc>
      </w:tr>
      <w:tr w:rsidR="00CA3544" w:rsidRPr="00C56D7F" w:rsidTr="00410192">
        <w:trPr>
          <w:trHeight w:val="263"/>
        </w:trPr>
        <w:tc>
          <w:tcPr>
            <w:tcW w:w="5388" w:type="dxa"/>
            <w:tcBorders>
              <w:bottom w:val="single" w:sz="4" w:space="0" w:color="4F81BD" w:themeColor="accent1"/>
            </w:tcBorders>
            <w:vAlign w:val="center"/>
          </w:tcPr>
          <w:p w:rsidR="00CA3544" w:rsidRPr="0057789A" w:rsidRDefault="00CA3544" w:rsidP="00EB3E5C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7C4699">
              <w:rPr>
                <w:b/>
                <w:sz w:val="26"/>
                <w:szCs w:val="26"/>
              </w:rPr>
              <w:t xml:space="preserve">. </w:t>
            </w:r>
            <w:r w:rsidRPr="007C4699">
              <w:rPr>
                <w:b/>
                <w:sz w:val="24"/>
                <w:szCs w:val="24"/>
              </w:rPr>
              <w:t>Εναρμονισμένος Δ</w:t>
            </w:r>
            <w:r>
              <w:rPr>
                <w:b/>
                <w:sz w:val="24"/>
                <w:szCs w:val="24"/>
              </w:rPr>
              <w:t>τ</w:t>
            </w:r>
            <w:r w:rsidRPr="007C4699">
              <w:rPr>
                <w:b/>
                <w:sz w:val="24"/>
                <w:szCs w:val="24"/>
              </w:rPr>
              <w:t xml:space="preserve">Κ </w:t>
            </w:r>
            <w:r w:rsidRPr="002B2EAF">
              <w:rPr>
                <w:i/>
              </w:rPr>
              <w:t>(</w:t>
            </w:r>
            <w:r w:rsidR="00EB3E5C">
              <w:rPr>
                <w:i/>
              </w:rPr>
              <w:t>ΤτΕ</w:t>
            </w:r>
            <w:r w:rsidRPr="002B2EAF">
              <w:rPr>
                <w:i/>
              </w:rPr>
              <w:t>)</w:t>
            </w:r>
          </w:p>
        </w:tc>
        <w:tc>
          <w:tcPr>
            <w:tcW w:w="2268" w:type="dxa"/>
            <w:tcBorders>
              <w:bottom w:val="single" w:sz="4" w:space="0" w:color="4F81BD" w:themeColor="accent1"/>
            </w:tcBorders>
            <w:vAlign w:val="center"/>
          </w:tcPr>
          <w:p w:rsidR="00CA3544" w:rsidRPr="007C4699" w:rsidRDefault="00CA3544" w:rsidP="00C822B8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7C4699">
              <w:rPr>
                <w:sz w:val="24"/>
                <w:szCs w:val="24"/>
              </w:rPr>
              <w:t xml:space="preserve">     </w:t>
            </w:r>
            <w:r w:rsidR="00C822B8">
              <w:rPr>
                <w:sz w:val="24"/>
                <w:szCs w:val="24"/>
              </w:rPr>
              <w:t>Οκτ. – Δεκ. 2017</w:t>
            </w:r>
          </w:p>
        </w:tc>
        <w:tc>
          <w:tcPr>
            <w:tcW w:w="1417" w:type="dxa"/>
            <w:tcBorders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23704" w:rsidRDefault="00CA3544" w:rsidP="00C822B8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723704">
              <w:rPr>
                <w:b/>
                <w:sz w:val="26"/>
                <w:szCs w:val="26"/>
              </w:rPr>
              <w:t xml:space="preserve">     </w:t>
            </w:r>
            <w:r w:rsidRPr="00723704">
              <w:rPr>
                <w:b/>
                <w:sz w:val="24"/>
                <w:szCs w:val="24"/>
              </w:rPr>
              <w:t>0,</w:t>
            </w:r>
            <w:r w:rsidR="00C822B8">
              <w:rPr>
                <w:b/>
                <w:sz w:val="24"/>
                <w:szCs w:val="24"/>
              </w:rPr>
              <w:t>0</w:t>
            </w:r>
            <w:r w:rsidRPr="00723704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23704" w:rsidRDefault="00CA3544" w:rsidP="00C822B8">
            <w:pPr>
              <w:tabs>
                <w:tab w:val="left" w:pos="351"/>
                <w:tab w:val="left" w:pos="499"/>
              </w:tabs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723704">
              <w:rPr>
                <w:b/>
                <w:sz w:val="24"/>
                <w:szCs w:val="24"/>
              </w:rPr>
              <w:t xml:space="preserve">       </w:t>
            </w:r>
            <w:r w:rsidR="00C822B8">
              <w:rPr>
                <w:b/>
                <w:sz w:val="24"/>
                <w:szCs w:val="24"/>
              </w:rPr>
              <w:t>0,8</w:t>
            </w:r>
            <w:r w:rsidRPr="00723704">
              <w:rPr>
                <w:b/>
                <w:sz w:val="24"/>
                <w:szCs w:val="24"/>
              </w:rPr>
              <w:t>%</w:t>
            </w:r>
          </w:p>
        </w:tc>
      </w:tr>
      <w:tr w:rsidR="00842D1A" w:rsidRPr="00C56D7F" w:rsidTr="00410192">
        <w:trPr>
          <w:trHeight w:val="449"/>
        </w:trPr>
        <w:tc>
          <w:tcPr>
            <w:tcW w:w="5388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842D1A" w:rsidRPr="007C4699" w:rsidRDefault="00842D1A" w:rsidP="00AC1011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90164F">
              <w:rPr>
                <w:b/>
                <w:sz w:val="24"/>
                <w:szCs w:val="24"/>
              </w:rPr>
              <w:t>α.</w:t>
            </w:r>
            <w:r w:rsidR="00EB3E5C">
              <w:rPr>
                <w:b/>
                <w:sz w:val="24"/>
                <w:szCs w:val="24"/>
              </w:rPr>
              <w:t xml:space="preserve"> Απόλυτες Μεταβολές</w:t>
            </w:r>
            <w:r w:rsidRPr="007C4699">
              <w:rPr>
                <w:b/>
                <w:sz w:val="24"/>
                <w:szCs w:val="24"/>
              </w:rPr>
              <w:t xml:space="preserve"> Απασχολουμένων</w:t>
            </w:r>
          </w:p>
          <w:p w:rsidR="00842D1A" w:rsidRPr="007C4699" w:rsidRDefault="00842D1A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90164F">
              <w:t xml:space="preserve"> (</w:t>
            </w:r>
            <w:r>
              <w:t>Τριμηνι</w:t>
            </w:r>
            <w:r w:rsidRPr="0090164F">
              <w:t xml:space="preserve">αία Έρευνα Εργατικού Δυναμικού - </w:t>
            </w:r>
            <w:r w:rsidRPr="0008726B">
              <w:rPr>
                <w:i/>
              </w:rPr>
              <w:t>ΕΛ.ΣΤΑΤ</w:t>
            </w:r>
            <w:r w:rsidRPr="0090164F">
              <w:t>.)</w:t>
            </w:r>
          </w:p>
        </w:tc>
        <w:tc>
          <w:tcPr>
            <w:tcW w:w="2268" w:type="dxa"/>
            <w:vMerge w:val="restart"/>
            <w:tcBorders>
              <w:top w:val="single" w:sz="4" w:space="0" w:color="4F81BD" w:themeColor="accent1"/>
            </w:tcBorders>
            <w:vAlign w:val="center"/>
          </w:tcPr>
          <w:p w:rsidR="00842D1A" w:rsidRPr="007C4699" w:rsidRDefault="00842D1A" w:rsidP="00DA798A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7C4699">
              <w:rPr>
                <w:sz w:val="24"/>
                <w:szCs w:val="24"/>
              </w:rPr>
              <w:t xml:space="preserve">    </w:t>
            </w:r>
            <w:r w:rsidR="00DA798A">
              <w:rPr>
                <w:sz w:val="24"/>
                <w:szCs w:val="24"/>
              </w:rPr>
              <w:t>Γ</w:t>
            </w:r>
            <w:r w:rsidR="00E543C6">
              <w:rPr>
                <w:sz w:val="24"/>
                <w:szCs w:val="24"/>
              </w:rPr>
              <w:t>΄</w:t>
            </w:r>
            <w:r>
              <w:rPr>
                <w:sz w:val="24"/>
                <w:szCs w:val="24"/>
              </w:rPr>
              <w:t xml:space="preserve"> τρίμηνο</w:t>
            </w:r>
            <w:r w:rsidRPr="007C4699">
              <w:rPr>
                <w:sz w:val="24"/>
                <w:szCs w:val="24"/>
              </w:rPr>
              <w:t xml:space="preserve"> 2017</w:t>
            </w: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842D1A" w:rsidRPr="007C4699" w:rsidRDefault="00842D1A" w:rsidP="00AC1011">
            <w:pPr>
              <w:spacing w:after="0" w:line="240" w:lineRule="auto"/>
              <w:ind w:right="-57" w:hanging="284"/>
              <w:jc w:val="center"/>
              <w:rPr>
                <w:b/>
                <w:sz w:val="24"/>
                <w:szCs w:val="24"/>
              </w:rPr>
            </w:pPr>
            <w:r w:rsidRPr="007C4699">
              <w:rPr>
                <w:b/>
                <w:sz w:val="24"/>
                <w:szCs w:val="24"/>
              </w:rPr>
              <w:t xml:space="preserve">+ </w:t>
            </w:r>
            <w:r w:rsidR="00B818D1">
              <w:rPr>
                <w:b/>
                <w:sz w:val="24"/>
                <w:szCs w:val="24"/>
              </w:rPr>
              <w:t xml:space="preserve">  </w:t>
            </w:r>
            <w:r w:rsidR="0084132B">
              <w:rPr>
                <w:b/>
                <w:sz w:val="24"/>
                <w:szCs w:val="24"/>
              </w:rPr>
              <w:t>32.297</w:t>
            </w:r>
          </w:p>
          <w:p w:rsidR="00842D1A" w:rsidRPr="007C4699" w:rsidRDefault="00842D1A" w:rsidP="00AC1011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 w:rsidRPr="0090164F">
              <w:t>άτομα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842D1A" w:rsidRPr="007C4699" w:rsidRDefault="00842D1A" w:rsidP="00AC1011">
            <w:pPr>
              <w:spacing w:after="0" w:line="240" w:lineRule="auto"/>
              <w:ind w:right="-57" w:hanging="284"/>
              <w:jc w:val="center"/>
              <w:rPr>
                <w:b/>
                <w:sz w:val="24"/>
                <w:szCs w:val="24"/>
              </w:rPr>
            </w:pPr>
            <w:r w:rsidRPr="007C4699">
              <w:rPr>
                <w:b/>
                <w:sz w:val="24"/>
                <w:szCs w:val="24"/>
              </w:rPr>
              <w:t xml:space="preserve">+ </w:t>
            </w:r>
            <w:r w:rsidR="0084132B">
              <w:rPr>
                <w:b/>
                <w:sz w:val="24"/>
                <w:szCs w:val="24"/>
              </w:rPr>
              <w:t>86.990</w:t>
            </w:r>
          </w:p>
          <w:p w:rsidR="00842D1A" w:rsidRPr="007C4699" w:rsidRDefault="00B818D1" w:rsidP="00AC1011">
            <w:pPr>
              <w:spacing w:after="0" w:line="240" w:lineRule="auto"/>
              <w:ind w:right="-57" w:hanging="720"/>
              <w:jc w:val="center"/>
              <w:rPr>
                <w:b/>
                <w:sz w:val="26"/>
                <w:szCs w:val="26"/>
              </w:rPr>
            </w:pPr>
            <w:r>
              <w:t xml:space="preserve">            </w:t>
            </w:r>
            <w:r w:rsidR="00842D1A" w:rsidRPr="0090164F">
              <w:t>άτομα</w:t>
            </w:r>
          </w:p>
        </w:tc>
      </w:tr>
      <w:tr w:rsidR="00842D1A" w:rsidRPr="00C56D7F" w:rsidTr="00410192">
        <w:trPr>
          <w:trHeight w:val="971"/>
        </w:trPr>
        <w:tc>
          <w:tcPr>
            <w:tcW w:w="5388" w:type="dxa"/>
            <w:tcBorders>
              <w:top w:val="single" w:sz="4" w:space="0" w:color="4F81BD" w:themeColor="accent1"/>
              <w:bottom w:val="single" w:sz="8" w:space="0" w:color="4F81BD" w:themeColor="accent1"/>
            </w:tcBorders>
            <w:vAlign w:val="center"/>
          </w:tcPr>
          <w:p w:rsidR="00842D1A" w:rsidRPr="007C4699" w:rsidRDefault="00842D1A" w:rsidP="00AC1011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90164F">
              <w:rPr>
                <w:b/>
                <w:sz w:val="24"/>
                <w:szCs w:val="24"/>
              </w:rPr>
              <w:t>β.</w:t>
            </w:r>
            <w:r w:rsidRPr="007C4699">
              <w:rPr>
                <w:b/>
                <w:sz w:val="26"/>
                <w:szCs w:val="26"/>
              </w:rPr>
              <w:t xml:space="preserve"> </w:t>
            </w:r>
            <w:r w:rsidR="00EB3E5C">
              <w:rPr>
                <w:b/>
                <w:sz w:val="26"/>
                <w:szCs w:val="26"/>
              </w:rPr>
              <w:t>Απόλυτες Μεταβολές</w:t>
            </w:r>
            <w:r w:rsidRPr="007C4699">
              <w:rPr>
                <w:b/>
                <w:sz w:val="24"/>
                <w:szCs w:val="24"/>
              </w:rPr>
              <w:t xml:space="preserve"> Ανέργων</w:t>
            </w:r>
          </w:p>
          <w:p w:rsidR="00842D1A" w:rsidRPr="00842D1A" w:rsidRDefault="00842D1A" w:rsidP="00AC1011">
            <w:pPr>
              <w:spacing w:after="0" w:line="240" w:lineRule="auto"/>
              <w:ind w:right="-57"/>
            </w:pPr>
            <w:r w:rsidRPr="0090164F">
              <w:t xml:space="preserve"> (</w:t>
            </w:r>
            <w:r>
              <w:t>Τριμηνιαί</w:t>
            </w:r>
            <w:r w:rsidRPr="0090164F">
              <w:t xml:space="preserve">α Έρευνα Εργατικού Δυναμικού - </w:t>
            </w:r>
            <w:r w:rsidRPr="0008726B">
              <w:rPr>
                <w:i/>
              </w:rPr>
              <w:t>ΕΛ.ΣΤΑΤ</w:t>
            </w:r>
            <w:r w:rsidRPr="0090164F">
              <w:t>.)</w:t>
            </w:r>
          </w:p>
        </w:tc>
        <w:tc>
          <w:tcPr>
            <w:tcW w:w="2268" w:type="dxa"/>
            <w:vMerge/>
            <w:vAlign w:val="center"/>
          </w:tcPr>
          <w:p w:rsidR="00842D1A" w:rsidRPr="007C4699" w:rsidRDefault="00842D1A" w:rsidP="00AC1011">
            <w:pPr>
              <w:spacing w:after="0" w:line="240" w:lineRule="auto"/>
              <w:ind w:right="-57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8" w:space="0" w:color="4F81BD" w:themeColor="accent1"/>
            </w:tcBorders>
            <w:shd w:val="clear" w:color="auto" w:fill="auto"/>
            <w:vAlign w:val="center"/>
          </w:tcPr>
          <w:p w:rsidR="00842D1A" w:rsidRPr="007C4699" w:rsidRDefault="00842D1A" w:rsidP="00AC1011">
            <w:pPr>
              <w:spacing w:after="0" w:line="240" w:lineRule="auto"/>
              <w:ind w:right="-57" w:hanging="284"/>
              <w:jc w:val="center"/>
              <w:rPr>
                <w:b/>
                <w:sz w:val="24"/>
                <w:szCs w:val="24"/>
              </w:rPr>
            </w:pPr>
            <w:r w:rsidRPr="007C4699">
              <w:rPr>
                <w:b/>
                <w:sz w:val="24"/>
                <w:szCs w:val="24"/>
              </w:rPr>
              <w:t xml:space="preserve">- </w:t>
            </w:r>
            <w:r w:rsidR="0084132B">
              <w:rPr>
                <w:b/>
                <w:sz w:val="24"/>
                <w:szCs w:val="24"/>
              </w:rPr>
              <w:t>46.509</w:t>
            </w:r>
          </w:p>
          <w:p w:rsidR="00842D1A" w:rsidRPr="007C4699" w:rsidRDefault="00842D1A" w:rsidP="00AC1011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 w:rsidRPr="0090164F">
              <w:t>άτομα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8" w:space="0" w:color="4F81BD" w:themeColor="accent1"/>
            </w:tcBorders>
            <w:shd w:val="clear" w:color="auto" w:fill="auto"/>
            <w:vAlign w:val="center"/>
          </w:tcPr>
          <w:p w:rsidR="00842D1A" w:rsidRPr="007C4699" w:rsidRDefault="00842D1A" w:rsidP="00AC1011">
            <w:pPr>
              <w:spacing w:after="0" w:line="240" w:lineRule="auto"/>
              <w:ind w:right="-57" w:hanging="284"/>
              <w:jc w:val="center"/>
              <w:rPr>
                <w:b/>
                <w:sz w:val="24"/>
                <w:szCs w:val="24"/>
              </w:rPr>
            </w:pPr>
            <w:r w:rsidRPr="007C4699">
              <w:rPr>
                <w:b/>
                <w:sz w:val="24"/>
                <w:szCs w:val="24"/>
              </w:rPr>
              <w:t xml:space="preserve">- </w:t>
            </w:r>
            <w:r w:rsidR="0084132B">
              <w:rPr>
                <w:b/>
                <w:sz w:val="24"/>
                <w:szCs w:val="24"/>
              </w:rPr>
              <w:t>122.527</w:t>
            </w:r>
          </w:p>
          <w:p w:rsidR="00842D1A" w:rsidRPr="007C4699" w:rsidRDefault="00842D1A" w:rsidP="00AC1011">
            <w:pPr>
              <w:spacing w:after="0" w:line="240" w:lineRule="auto"/>
              <w:ind w:right="-57" w:hanging="284"/>
              <w:jc w:val="center"/>
              <w:rPr>
                <w:b/>
                <w:sz w:val="24"/>
                <w:szCs w:val="24"/>
              </w:rPr>
            </w:pPr>
            <w:r w:rsidRPr="00842D1A">
              <w:t>ά</w:t>
            </w:r>
            <w:r w:rsidRPr="0090164F">
              <w:t>τομα</w:t>
            </w:r>
          </w:p>
        </w:tc>
      </w:tr>
      <w:tr w:rsidR="00842D1A" w:rsidRPr="00842D1A" w:rsidTr="00410192">
        <w:trPr>
          <w:trHeight w:val="730"/>
        </w:trPr>
        <w:tc>
          <w:tcPr>
            <w:tcW w:w="5388" w:type="dxa"/>
            <w:tcBorders>
              <w:top w:val="single" w:sz="8" w:space="0" w:color="4F81BD" w:themeColor="accent1"/>
              <w:bottom w:val="single" w:sz="4" w:space="0" w:color="4F81BD" w:themeColor="accent1"/>
            </w:tcBorders>
            <w:vAlign w:val="center"/>
          </w:tcPr>
          <w:p w:rsidR="00842D1A" w:rsidRDefault="00842D1A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3.γ Ποσοστό Ανεργίας</w:t>
            </w:r>
          </w:p>
          <w:p w:rsidR="00842D1A" w:rsidRDefault="00842D1A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90164F">
              <w:t>(</w:t>
            </w:r>
            <w:r>
              <w:t>Τριμηνιαί</w:t>
            </w:r>
            <w:r w:rsidRPr="0090164F">
              <w:t xml:space="preserve">α Έρευνα Εργατικού Δυναμικού - </w:t>
            </w:r>
            <w:r w:rsidRPr="0008726B">
              <w:rPr>
                <w:i/>
              </w:rPr>
              <w:t>ΕΛ.ΣΤΑΤ</w:t>
            </w:r>
            <w:r w:rsidRPr="0090164F">
              <w:t>.)</w:t>
            </w:r>
          </w:p>
        </w:tc>
        <w:tc>
          <w:tcPr>
            <w:tcW w:w="2268" w:type="dxa"/>
            <w:vMerge/>
            <w:tcBorders>
              <w:bottom w:val="single" w:sz="4" w:space="0" w:color="4F81BD" w:themeColor="accent1"/>
            </w:tcBorders>
            <w:vAlign w:val="center"/>
          </w:tcPr>
          <w:p w:rsidR="00842D1A" w:rsidRPr="007C4699" w:rsidRDefault="00842D1A" w:rsidP="00AC1011">
            <w:pPr>
              <w:spacing w:after="0" w:line="240" w:lineRule="auto"/>
              <w:ind w:right="-57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842D1A" w:rsidRPr="00453E1F" w:rsidRDefault="00842D1A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8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842D1A" w:rsidRPr="00453E1F" w:rsidRDefault="00842D1A" w:rsidP="0084132B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453E1F">
              <w:rPr>
                <w:b/>
                <w:sz w:val="26"/>
                <w:szCs w:val="26"/>
              </w:rPr>
              <w:t>2</w:t>
            </w:r>
            <w:r w:rsidR="0084132B">
              <w:rPr>
                <w:b/>
                <w:sz w:val="26"/>
                <w:szCs w:val="26"/>
              </w:rPr>
              <w:t>0,2</w:t>
            </w:r>
            <w:r w:rsidRPr="00453E1F">
              <w:rPr>
                <w:b/>
                <w:sz w:val="26"/>
                <w:szCs w:val="26"/>
              </w:rPr>
              <w:t>%</w:t>
            </w:r>
          </w:p>
        </w:tc>
      </w:tr>
      <w:tr w:rsidR="00CA3544" w:rsidRPr="00C56D7F" w:rsidTr="00410192">
        <w:trPr>
          <w:trHeight w:val="449"/>
        </w:trPr>
        <w:tc>
          <w:tcPr>
            <w:tcW w:w="5388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C56D7F" w:rsidRDefault="00CA3544" w:rsidP="00AC1011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90164F">
              <w:rPr>
                <w:b/>
                <w:sz w:val="24"/>
                <w:szCs w:val="24"/>
              </w:rPr>
              <w:t>α</w:t>
            </w:r>
            <w:r w:rsidRPr="00182660">
              <w:rPr>
                <w:sz w:val="24"/>
                <w:szCs w:val="24"/>
              </w:rPr>
              <w:t>.</w:t>
            </w:r>
            <w:r w:rsidRPr="00C56D7F">
              <w:rPr>
                <w:b/>
                <w:sz w:val="24"/>
                <w:szCs w:val="24"/>
              </w:rPr>
              <w:t xml:space="preserve"> </w:t>
            </w:r>
            <w:r w:rsidRPr="00DB129D">
              <w:rPr>
                <w:b/>
                <w:sz w:val="24"/>
                <w:szCs w:val="24"/>
              </w:rPr>
              <w:t xml:space="preserve"> </w:t>
            </w:r>
            <w:r w:rsidRPr="00C56D7F">
              <w:rPr>
                <w:b/>
                <w:sz w:val="24"/>
                <w:szCs w:val="24"/>
              </w:rPr>
              <w:t>Δ</w:t>
            </w:r>
            <w:r>
              <w:rPr>
                <w:b/>
                <w:sz w:val="24"/>
                <w:szCs w:val="24"/>
              </w:rPr>
              <w:t xml:space="preserve">είκτης </w:t>
            </w:r>
            <w:r w:rsidRPr="00C56D7F">
              <w:rPr>
                <w:b/>
                <w:sz w:val="24"/>
                <w:szCs w:val="24"/>
              </w:rPr>
              <w:t>Κ</w:t>
            </w:r>
            <w:r>
              <w:rPr>
                <w:b/>
                <w:sz w:val="24"/>
                <w:szCs w:val="24"/>
              </w:rPr>
              <w:t>ύκλου Εργασιών</w:t>
            </w:r>
            <w:r w:rsidRPr="00C56D7F">
              <w:rPr>
                <w:b/>
                <w:sz w:val="24"/>
                <w:szCs w:val="24"/>
              </w:rPr>
              <w:t xml:space="preserve"> στο </w:t>
            </w:r>
            <w:r>
              <w:rPr>
                <w:b/>
                <w:sz w:val="24"/>
                <w:szCs w:val="24"/>
              </w:rPr>
              <w:t>Λ</w:t>
            </w:r>
            <w:r w:rsidRPr="00C56D7F">
              <w:rPr>
                <w:b/>
                <w:sz w:val="24"/>
                <w:szCs w:val="24"/>
              </w:rPr>
              <w:t>ιανικό Εμπόριο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90164F">
              <w:t xml:space="preserve">(Εποχικά διορθωμένος, εκτός καυσίμων - </w:t>
            </w:r>
            <w:r w:rsidRPr="0008726B">
              <w:rPr>
                <w:i/>
              </w:rPr>
              <w:t>ΕΛ.ΣΤΑΤ</w:t>
            </w:r>
            <w:r w:rsidRPr="0090164F">
              <w:t>.)</w:t>
            </w:r>
          </w:p>
        </w:tc>
        <w:tc>
          <w:tcPr>
            <w:tcW w:w="2268" w:type="dxa"/>
            <w:vMerge w:val="restart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Default="00CA3544" w:rsidP="00AC1011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DB129D">
              <w:rPr>
                <w:sz w:val="24"/>
                <w:szCs w:val="24"/>
              </w:rPr>
              <w:t xml:space="preserve">     </w:t>
            </w:r>
            <w:r w:rsidR="00C01C99">
              <w:rPr>
                <w:sz w:val="24"/>
                <w:szCs w:val="24"/>
              </w:rPr>
              <w:t xml:space="preserve">Ιούλ. </w:t>
            </w:r>
            <w:r w:rsidR="00124261">
              <w:rPr>
                <w:sz w:val="24"/>
                <w:szCs w:val="24"/>
              </w:rPr>
              <w:t xml:space="preserve">– </w:t>
            </w:r>
            <w:r w:rsidR="00C01C99">
              <w:rPr>
                <w:sz w:val="24"/>
                <w:szCs w:val="24"/>
              </w:rPr>
              <w:t>Σεπ.</w:t>
            </w:r>
          </w:p>
          <w:p w:rsidR="00CA3544" w:rsidRDefault="00CA3544" w:rsidP="00AC1011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C56D7F">
              <w:rPr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C56D7F" w:rsidRDefault="00CA3544" w:rsidP="00F9442B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 w:rsidRPr="002937EE">
              <w:rPr>
                <w:b/>
                <w:sz w:val="26"/>
                <w:szCs w:val="26"/>
              </w:rPr>
              <w:t>0,</w:t>
            </w:r>
            <w:r w:rsidR="00F9442B">
              <w:rPr>
                <w:b/>
                <w:sz w:val="26"/>
                <w:szCs w:val="26"/>
              </w:rPr>
              <w:t>1</w:t>
            </w:r>
            <w:r w:rsidRPr="002937EE">
              <w:rPr>
                <w:b/>
                <w:sz w:val="26"/>
                <w:szCs w:val="26"/>
              </w:rPr>
              <w:t>%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C56D7F" w:rsidRDefault="00F9442B" w:rsidP="00F9442B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 w:rsidR="00D22C28">
              <w:rPr>
                <w:b/>
                <w:sz w:val="26"/>
                <w:szCs w:val="26"/>
              </w:rPr>
              <w:t>0,</w:t>
            </w:r>
            <w:r>
              <w:rPr>
                <w:b/>
                <w:sz w:val="26"/>
                <w:szCs w:val="26"/>
              </w:rPr>
              <w:t>2</w:t>
            </w:r>
            <w:r w:rsidR="00CA3544" w:rsidRPr="002937EE">
              <w:rPr>
                <w:b/>
                <w:sz w:val="26"/>
                <w:szCs w:val="26"/>
              </w:rPr>
              <w:t>%</w:t>
            </w:r>
          </w:p>
        </w:tc>
      </w:tr>
      <w:tr w:rsidR="00CA3544" w:rsidRPr="00C56D7F" w:rsidTr="00410192">
        <w:trPr>
          <w:trHeight w:val="449"/>
        </w:trPr>
        <w:tc>
          <w:tcPr>
            <w:tcW w:w="5388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C56D7F" w:rsidRDefault="00CA3544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90164F">
              <w:rPr>
                <w:b/>
                <w:sz w:val="24"/>
                <w:szCs w:val="24"/>
              </w:rPr>
              <w:t>β.</w:t>
            </w:r>
            <w:r w:rsidRPr="00C56D7F">
              <w:rPr>
                <w:b/>
                <w:sz w:val="24"/>
                <w:szCs w:val="24"/>
              </w:rPr>
              <w:t xml:space="preserve"> </w:t>
            </w:r>
            <w:r w:rsidRPr="0090164F">
              <w:rPr>
                <w:b/>
                <w:sz w:val="24"/>
                <w:szCs w:val="24"/>
              </w:rPr>
              <w:t xml:space="preserve"> </w:t>
            </w:r>
            <w:r w:rsidRPr="00C56D7F">
              <w:rPr>
                <w:b/>
                <w:sz w:val="24"/>
                <w:szCs w:val="24"/>
              </w:rPr>
              <w:t>Δ</w:t>
            </w:r>
            <w:r>
              <w:rPr>
                <w:b/>
                <w:sz w:val="24"/>
                <w:szCs w:val="24"/>
              </w:rPr>
              <w:t xml:space="preserve">είκτης Όγκου </w:t>
            </w:r>
            <w:r w:rsidRPr="00C56D7F">
              <w:rPr>
                <w:b/>
                <w:sz w:val="24"/>
                <w:szCs w:val="24"/>
              </w:rPr>
              <w:t xml:space="preserve">στο </w:t>
            </w:r>
            <w:r>
              <w:rPr>
                <w:b/>
                <w:sz w:val="24"/>
                <w:szCs w:val="24"/>
              </w:rPr>
              <w:t>Λ</w:t>
            </w:r>
            <w:r w:rsidRPr="00C56D7F">
              <w:rPr>
                <w:b/>
                <w:sz w:val="24"/>
                <w:szCs w:val="24"/>
              </w:rPr>
              <w:t>ιανικό Εμπόριο</w:t>
            </w:r>
            <w:r>
              <w:rPr>
                <w:b/>
                <w:sz w:val="24"/>
                <w:szCs w:val="24"/>
              </w:rPr>
              <w:t xml:space="preserve">                 </w:t>
            </w:r>
            <w:r w:rsidRPr="0090164F">
              <w:t xml:space="preserve">(Εποχικά διορθωμένος, εκτός καυσίμων - </w:t>
            </w:r>
            <w:r w:rsidRPr="0008726B">
              <w:rPr>
                <w:i/>
              </w:rPr>
              <w:t>ΕΛ.ΣΤΑΤ</w:t>
            </w:r>
            <w:r w:rsidRPr="0090164F">
              <w:t>.)</w:t>
            </w:r>
          </w:p>
        </w:tc>
        <w:tc>
          <w:tcPr>
            <w:tcW w:w="2268" w:type="dxa"/>
            <w:vMerge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Default="00CA3544" w:rsidP="00AC1011">
            <w:pPr>
              <w:spacing w:after="0" w:line="240" w:lineRule="auto"/>
              <w:ind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C56D7F" w:rsidRDefault="00D275C2" w:rsidP="004E3EEB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4E3EEB">
              <w:rPr>
                <w:b/>
                <w:sz w:val="26"/>
                <w:szCs w:val="26"/>
              </w:rPr>
              <w:t>3</w:t>
            </w:r>
            <w:r w:rsidR="00CA3544" w:rsidRPr="002937EE">
              <w:rPr>
                <w:b/>
                <w:sz w:val="26"/>
                <w:szCs w:val="26"/>
              </w:rPr>
              <w:t>%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C56D7F" w:rsidRDefault="00D275C2" w:rsidP="00515E0C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515E0C">
              <w:rPr>
                <w:b/>
                <w:sz w:val="26"/>
                <w:szCs w:val="26"/>
              </w:rPr>
              <w:t>6</w:t>
            </w:r>
            <w:r w:rsidR="00CA3544" w:rsidRPr="002937EE">
              <w:rPr>
                <w:b/>
                <w:sz w:val="26"/>
                <w:szCs w:val="26"/>
              </w:rPr>
              <w:t>%</w:t>
            </w:r>
          </w:p>
        </w:tc>
      </w:tr>
      <w:tr w:rsidR="00CA3544" w:rsidRPr="00B818D1" w:rsidTr="00410192">
        <w:trPr>
          <w:trHeight w:val="299"/>
        </w:trPr>
        <w:tc>
          <w:tcPr>
            <w:tcW w:w="5388" w:type="dxa"/>
            <w:tcBorders>
              <w:top w:val="single" w:sz="4" w:space="0" w:color="4F81BD" w:themeColor="accent1"/>
              <w:bottom w:val="single" w:sz="8" w:space="0" w:color="4F81BD" w:themeColor="accent1"/>
            </w:tcBorders>
            <w:vAlign w:val="center"/>
          </w:tcPr>
          <w:p w:rsidR="00CA3544" w:rsidRPr="007C4699" w:rsidRDefault="00CA3544" w:rsidP="00D22C28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5. </w:t>
            </w:r>
            <w:r w:rsidRPr="00C46B51">
              <w:rPr>
                <w:b/>
                <w:sz w:val="24"/>
                <w:szCs w:val="24"/>
              </w:rPr>
              <w:t>Δείκτ</w:t>
            </w:r>
            <w:r>
              <w:rPr>
                <w:b/>
                <w:sz w:val="24"/>
                <w:szCs w:val="24"/>
              </w:rPr>
              <w:t>η</w:t>
            </w:r>
            <w:r w:rsidRPr="00C46B51">
              <w:rPr>
                <w:b/>
                <w:sz w:val="24"/>
                <w:szCs w:val="24"/>
              </w:rPr>
              <w:t xml:space="preserve">ς </w:t>
            </w:r>
            <w:r>
              <w:rPr>
                <w:b/>
                <w:sz w:val="24"/>
                <w:szCs w:val="24"/>
              </w:rPr>
              <w:t xml:space="preserve">Κύκλου Εργασιών στο Χονδρικό Εμπόριο </w:t>
            </w:r>
            <w:r w:rsidRPr="0090164F">
              <w:t>(Εποχικά διορθωμένος</w:t>
            </w:r>
            <w:r w:rsidR="00D22C28">
              <w:t xml:space="preserve"> </w:t>
            </w:r>
            <w:r w:rsidRPr="0090164F">
              <w:t xml:space="preserve">  - </w:t>
            </w:r>
            <w:r w:rsidRPr="0008726B">
              <w:rPr>
                <w:i/>
              </w:rPr>
              <w:t>ΕΛ.ΣΤΑΤ</w:t>
            </w:r>
            <w:r w:rsidRPr="0090164F">
              <w:t>.)</w:t>
            </w:r>
          </w:p>
        </w:tc>
        <w:tc>
          <w:tcPr>
            <w:tcW w:w="2268" w:type="dxa"/>
            <w:tcBorders>
              <w:top w:val="single" w:sz="4" w:space="0" w:color="4F81BD" w:themeColor="accent1"/>
              <w:bottom w:val="single" w:sz="8" w:space="0" w:color="4F81BD" w:themeColor="accent1"/>
            </w:tcBorders>
            <w:vAlign w:val="center"/>
          </w:tcPr>
          <w:p w:rsidR="00CA3544" w:rsidRPr="007C4699" w:rsidRDefault="00CA3544" w:rsidP="00D22C28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7C4699">
              <w:rPr>
                <w:sz w:val="24"/>
                <w:szCs w:val="24"/>
              </w:rPr>
              <w:t xml:space="preserve">       </w:t>
            </w:r>
            <w:r w:rsidR="00D22C28">
              <w:rPr>
                <w:sz w:val="24"/>
                <w:szCs w:val="24"/>
              </w:rPr>
              <w:t>Γ</w:t>
            </w:r>
            <w:r w:rsidR="00E543C6">
              <w:rPr>
                <w:sz w:val="24"/>
                <w:szCs w:val="24"/>
              </w:rPr>
              <w:t>΄</w:t>
            </w:r>
            <w:r>
              <w:rPr>
                <w:sz w:val="24"/>
                <w:szCs w:val="24"/>
              </w:rPr>
              <w:t xml:space="preserve"> τρίμηνο</w:t>
            </w:r>
            <w:r w:rsidRPr="007C4699">
              <w:rPr>
                <w:sz w:val="24"/>
                <w:szCs w:val="24"/>
              </w:rPr>
              <w:t xml:space="preserve"> 2017</w:t>
            </w: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C4699" w:rsidRDefault="00D275C2" w:rsidP="00AC1011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  <w:r w:rsidR="00CA3544">
              <w:rPr>
                <w:b/>
                <w:sz w:val="26"/>
                <w:szCs w:val="26"/>
              </w:rPr>
              <w:t>%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B818D1" w:rsidRDefault="00D275C2" w:rsidP="00D275C2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</w:t>
            </w:r>
            <w:r w:rsidR="00CA3544" w:rsidRPr="00B818D1">
              <w:rPr>
                <w:b/>
                <w:sz w:val="26"/>
                <w:szCs w:val="26"/>
              </w:rPr>
              <w:t>%</w:t>
            </w:r>
          </w:p>
        </w:tc>
      </w:tr>
      <w:tr w:rsidR="00CA3544" w:rsidRPr="00C56D7F" w:rsidTr="00410192">
        <w:trPr>
          <w:trHeight w:val="155"/>
        </w:trPr>
        <w:tc>
          <w:tcPr>
            <w:tcW w:w="5388" w:type="dxa"/>
            <w:tcBorders>
              <w:top w:val="single" w:sz="8" w:space="0" w:color="4F81BD" w:themeColor="accent1"/>
              <w:bottom w:val="single" w:sz="8" w:space="0" w:color="4F81BD" w:themeColor="accent1"/>
            </w:tcBorders>
            <w:vAlign w:val="center"/>
          </w:tcPr>
          <w:p w:rsidR="00CA3544" w:rsidRDefault="00CA3544" w:rsidP="00AC1011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 w:rsidRPr="00C46B51">
              <w:rPr>
                <w:b/>
                <w:sz w:val="24"/>
                <w:szCs w:val="24"/>
              </w:rPr>
              <w:t>6. Δείκτ</w:t>
            </w:r>
            <w:r>
              <w:rPr>
                <w:b/>
                <w:sz w:val="24"/>
                <w:szCs w:val="24"/>
              </w:rPr>
              <w:t>η</w:t>
            </w:r>
            <w:r w:rsidRPr="00C46B51">
              <w:rPr>
                <w:b/>
                <w:sz w:val="24"/>
                <w:szCs w:val="24"/>
              </w:rPr>
              <w:t xml:space="preserve">ς </w:t>
            </w:r>
            <w:r>
              <w:rPr>
                <w:b/>
                <w:sz w:val="24"/>
                <w:szCs w:val="24"/>
              </w:rPr>
              <w:t>Κύκλου Εργασιών στα Αυτοκίνητα</w:t>
            </w:r>
          </w:p>
          <w:p w:rsidR="00CA3544" w:rsidRPr="007C4699" w:rsidRDefault="00CA3544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90164F">
              <w:t>(</w:t>
            </w:r>
            <w:r>
              <w:t xml:space="preserve">Κλάδος 45 – </w:t>
            </w:r>
            <w:r w:rsidRPr="0090164F">
              <w:t>Εποχικά διορθωμένος</w:t>
            </w:r>
            <w:r>
              <w:t xml:space="preserve"> </w:t>
            </w:r>
            <w:r w:rsidRPr="0090164F">
              <w:t xml:space="preserve">- </w:t>
            </w:r>
            <w:r w:rsidRPr="0008726B">
              <w:rPr>
                <w:i/>
              </w:rPr>
              <w:t>ΕΛ.ΣΤΑΤ</w:t>
            </w:r>
            <w:r w:rsidRPr="0090164F">
              <w:t>.)</w:t>
            </w:r>
          </w:p>
        </w:tc>
        <w:tc>
          <w:tcPr>
            <w:tcW w:w="2268" w:type="dxa"/>
            <w:tcBorders>
              <w:top w:val="single" w:sz="8" w:space="0" w:color="4F81BD" w:themeColor="accent1"/>
              <w:bottom w:val="single" w:sz="8" w:space="0" w:color="4F81BD" w:themeColor="accent1"/>
            </w:tcBorders>
            <w:vAlign w:val="center"/>
          </w:tcPr>
          <w:p w:rsidR="00CA3544" w:rsidRPr="007C4699" w:rsidRDefault="00CA3544" w:rsidP="00AC1011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1D5B18">
              <w:rPr>
                <w:sz w:val="24"/>
                <w:szCs w:val="24"/>
                <w:lang w:val="en-US"/>
              </w:rPr>
              <w:t>B</w:t>
            </w:r>
            <w:r w:rsidR="00E543C6">
              <w:rPr>
                <w:sz w:val="24"/>
                <w:szCs w:val="24"/>
              </w:rPr>
              <w:t xml:space="preserve">΄ </w:t>
            </w:r>
            <w:r>
              <w:rPr>
                <w:sz w:val="24"/>
                <w:szCs w:val="24"/>
              </w:rPr>
              <w:t>τρίμηνο</w:t>
            </w:r>
            <w:r w:rsidRPr="007C4699">
              <w:rPr>
                <w:sz w:val="24"/>
                <w:szCs w:val="24"/>
              </w:rPr>
              <w:t xml:space="preserve"> 2017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8" w:space="0" w:color="4F81BD" w:themeColor="accent1"/>
            </w:tcBorders>
            <w:shd w:val="clear" w:color="auto" w:fill="auto"/>
            <w:vAlign w:val="center"/>
          </w:tcPr>
          <w:p w:rsidR="00CA3544" w:rsidRPr="007C4699" w:rsidRDefault="001D5B18" w:rsidP="00D275C2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en-US"/>
              </w:rPr>
              <w:t>2,</w:t>
            </w:r>
            <w:r w:rsidR="00D275C2">
              <w:rPr>
                <w:b/>
                <w:sz w:val="26"/>
                <w:szCs w:val="26"/>
              </w:rPr>
              <w:t>8</w:t>
            </w:r>
            <w:r w:rsidR="00CA3544">
              <w:rPr>
                <w:b/>
                <w:sz w:val="26"/>
                <w:szCs w:val="26"/>
              </w:rPr>
              <w:t>%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C4699" w:rsidRDefault="00D275C2" w:rsidP="00D275C2">
            <w:pPr>
              <w:spacing w:after="0" w:line="240" w:lineRule="auto"/>
              <w:ind w:right="-5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</w:rPr>
              <w:t>3,7</w:t>
            </w:r>
            <w:r w:rsidR="00CA3544" w:rsidRPr="00B818D1">
              <w:rPr>
                <w:b/>
                <w:sz w:val="26"/>
                <w:szCs w:val="26"/>
              </w:rPr>
              <w:t>%</w:t>
            </w:r>
          </w:p>
        </w:tc>
      </w:tr>
      <w:tr w:rsidR="00CA3544" w:rsidRPr="003E17AD" w:rsidTr="00410192">
        <w:trPr>
          <w:trHeight w:val="305"/>
        </w:trPr>
        <w:tc>
          <w:tcPr>
            <w:tcW w:w="5388" w:type="dxa"/>
            <w:tcBorders>
              <w:top w:val="single" w:sz="8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C46B51" w:rsidRDefault="00CA3544" w:rsidP="002B1033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  <w:r w:rsidRPr="007C4699">
              <w:rPr>
                <w:b/>
                <w:sz w:val="26"/>
                <w:szCs w:val="26"/>
              </w:rPr>
              <w:t xml:space="preserve">. </w:t>
            </w:r>
            <w:r w:rsidR="002B1033">
              <w:rPr>
                <w:b/>
                <w:sz w:val="24"/>
                <w:szCs w:val="24"/>
              </w:rPr>
              <w:t xml:space="preserve">Ισοζύγιο </w:t>
            </w:r>
            <w:r w:rsidRPr="007C4699">
              <w:rPr>
                <w:b/>
                <w:sz w:val="24"/>
                <w:szCs w:val="24"/>
              </w:rPr>
              <w:t>Αγαθών</w:t>
            </w:r>
            <w:r w:rsidR="00682F7F">
              <w:rPr>
                <w:b/>
                <w:sz w:val="24"/>
                <w:szCs w:val="24"/>
              </w:rPr>
              <w:t xml:space="preserve"> &amp; Υπηρεσιών</w:t>
            </w:r>
            <w:r w:rsidRPr="007C4699">
              <w:rPr>
                <w:b/>
                <w:sz w:val="24"/>
                <w:szCs w:val="24"/>
              </w:rPr>
              <w:t xml:space="preserve"> </w:t>
            </w:r>
            <w:r w:rsidRPr="007C4699">
              <w:rPr>
                <w:i/>
                <w:sz w:val="24"/>
                <w:szCs w:val="24"/>
              </w:rPr>
              <w:t>(ΤτΕ)</w:t>
            </w:r>
          </w:p>
        </w:tc>
        <w:tc>
          <w:tcPr>
            <w:tcW w:w="2268" w:type="dxa"/>
            <w:tcBorders>
              <w:top w:val="single" w:sz="8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Default="00CA3544" w:rsidP="00AC1011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682F7F">
              <w:rPr>
                <w:sz w:val="24"/>
                <w:szCs w:val="24"/>
              </w:rPr>
              <w:t>Ιούλ. – Σεπ.</w:t>
            </w:r>
          </w:p>
          <w:p w:rsidR="00CA3544" w:rsidRPr="007C4699" w:rsidRDefault="00CA3544" w:rsidP="00AC1011">
            <w:pPr>
              <w:tabs>
                <w:tab w:val="left" w:pos="308"/>
              </w:tabs>
              <w:spacing w:after="0" w:line="240" w:lineRule="auto"/>
              <w:ind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C56D7F">
              <w:rPr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8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3E17AD" w:rsidRDefault="003E17AD" w:rsidP="003E17AD">
            <w:pPr>
              <w:spacing w:after="0" w:line="240" w:lineRule="auto"/>
              <w:ind w:left="-109" w:right="-57"/>
              <w:jc w:val="center"/>
              <w:rPr>
                <w:b/>
              </w:rPr>
            </w:pPr>
            <w:r w:rsidRPr="003E17AD">
              <w:rPr>
                <w:b/>
                <w:lang w:val="en-US"/>
              </w:rPr>
              <w:t>+</w:t>
            </w:r>
            <w:r w:rsidR="002B1033" w:rsidRPr="003E17AD">
              <w:rPr>
                <w:b/>
              </w:rPr>
              <w:t xml:space="preserve">5.274,4 εκ. € 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3E17AD" w:rsidRDefault="003E17AD" w:rsidP="00682F7F">
            <w:pPr>
              <w:spacing w:after="0" w:line="240" w:lineRule="auto"/>
              <w:ind w:right="-57"/>
              <w:jc w:val="center"/>
              <w:rPr>
                <w:b/>
              </w:rPr>
            </w:pPr>
            <w:r w:rsidRPr="003E17AD">
              <w:rPr>
                <w:b/>
                <w:lang w:val="en-US"/>
              </w:rPr>
              <w:t>+</w:t>
            </w:r>
            <w:r w:rsidR="002B1033" w:rsidRPr="003E17AD">
              <w:rPr>
                <w:b/>
              </w:rPr>
              <w:t>537,4 εκ. €</w:t>
            </w:r>
          </w:p>
        </w:tc>
      </w:tr>
      <w:tr w:rsidR="00CA3544" w:rsidRPr="00C56D7F" w:rsidTr="00410192">
        <w:trPr>
          <w:trHeight w:val="602"/>
        </w:trPr>
        <w:tc>
          <w:tcPr>
            <w:tcW w:w="5388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90164F" w:rsidRDefault="00CA3544" w:rsidP="00AC1011">
            <w:pPr>
              <w:spacing w:after="0" w:line="240" w:lineRule="auto"/>
              <w:ind w:right="-57"/>
            </w:pPr>
            <w:r>
              <w:rPr>
                <w:b/>
                <w:sz w:val="26"/>
                <w:szCs w:val="26"/>
              </w:rPr>
              <w:t>8</w:t>
            </w:r>
            <w:r w:rsidRPr="007C4699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4"/>
                <w:szCs w:val="24"/>
              </w:rPr>
              <w:t xml:space="preserve">  Ισοζύγιο Προσλήψεων – </w:t>
            </w:r>
            <w:r w:rsidRPr="007C4699">
              <w:rPr>
                <w:b/>
                <w:sz w:val="24"/>
                <w:szCs w:val="24"/>
              </w:rPr>
              <w:t xml:space="preserve">Απολύσεων στο Λιανικό Εμπόριο </w:t>
            </w:r>
            <w:r w:rsidRPr="0090164F">
              <w:t>(</w:t>
            </w:r>
            <w:r>
              <w:t>εξέλιξη</w:t>
            </w:r>
            <w:r w:rsidRPr="0090164F">
              <w:t xml:space="preserve"> ισοζυγίου</w:t>
            </w:r>
            <w:r>
              <w:t xml:space="preserve"> </w:t>
            </w:r>
            <w:r w:rsidRPr="0090164F">
              <w:t>-</w:t>
            </w:r>
            <w:r>
              <w:t xml:space="preserve"> </w:t>
            </w:r>
            <w:r w:rsidRPr="0008726B">
              <w:rPr>
                <w:i/>
              </w:rPr>
              <w:t>Εργάνη</w:t>
            </w:r>
            <w:r w:rsidRPr="0090164F">
              <w:t>)</w:t>
            </w:r>
          </w:p>
        </w:tc>
        <w:tc>
          <w:tcPr>
            <w:tcW w:w="2268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Default="00CA3544" w:rsidP="00AC1011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7C4699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Ιαν. – </w:t>
            </w:r>
            <w:r w:rsidR="00E45DD2">
              <w:rPr>
                <w:sz w:val="24"/>
                <w:szCs w:val="24"/>
              </w:rPr>
              <w:t>Δεκ</w:t>
            </w:r>
            <w:r>
              <w:rPr>
                <w:sz w:val="24"/>
                <w:szCs w:val="24"/>
              </w:rPr>
              <w:t>.</w:t>
            </w:r>
          </w:p>
          <w:p w:rsidR="00CA3544" w:rsidRPr="007C4699" w:rsidRDefault="00CA3544" w:rsidP="00654F32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654F32">
              <w:rPr>
                <w:sz w:val="24"/>
                <w:szCs w:val="24"/>
              </w:rPr>
              <w:t xml:space="preserve"> 2016 – </w:t>
            </w:r>
            <w:r w:rsidRPr="007C4699">
              <w:rPr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C4699" w:rsidRDefault="00654F32" w:rsidP="00AC1011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+20.393</w:t>
            </w:r>
            <w:r w:rsidR="00CA3544" w:rsidRPr="007C4699">
              <w:rPr>
                <w:b/>
                <w:sz w:val="24"/>
                <w:szCs w:val="24"/>
              </w:rPr>
              <w:t xml:space="preserve">   </w:t>
            </w:r>
          </w:p>
          <w:p w:rsidR="00CA3544" w:rsidRPr="007C4699" w:rsidRDefault="00CA3544" w:rsidP="00654F32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562638">
              <w:t>ά</w:t>
            </w:r>
            <w:r w:rsidRPr="004A146D">
              <w:t>τομα</w:t>
            </w:r>
            <w:r w:rsidR="00654F32">
              <w:t xml:space="preserve"> (2016)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C4699" w:rsidRDefault="00CA3544" w:rsidP="00AC1011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 w:rsidRPr="007C4699">
              <w:rPr>
                <w:b/>
                <w:sz w:val="24"/>
                <w:szCs w:val="24"/>
              </w:rPr>
              <w:t xml:space="preserve">  </w:t>
            </w:r>
            <w:r w:rsidRPr="00F77E15">
              <w:rPr>
                <w:b/>
                <w:sz w:val="24"/>
                <w:szCs w:val="24"/>
              </w:rPr>
              <w:t xml:space="preserve"> </w:t>
            </w:r>
            <w:r w:rsidRPr="007C4699">
              <w:rPr>
                <w:b/>
                <w:sz w:val="24"/>
                <w:szCs w:val="24"/>
              </w:rPr>
              <w:t xml:space="preserve"> </w:t>
            </w:r>
            <w:r w:rsidR="00654F32">
              <w:rPr>
                <w:b/>
                <w:sz w:val="24"/>
                <w:szCs w:val="24"/>
              </w:rPr>
              <w:t>+16.973</w:t>
            </w:r>
            <w:r w:rsidRPr="007C4699">
              <w:rPr>
                <w:b/>
                <w:sz w:val="24"/>
                <w:szCs w:val="24"/>
              </w:rPr>
              <w:t xml:space="preserve">   </w:t>
            </w:r>
          </w:p>
          <w:p w:rsidR="00CA3544" w:rsidRPr="007C4699" w:rsidRDefault="00CA3544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7C4699">
              <w:rPr>
                <w:b/>
                <w:sz w:val="24"/>
                <w:szCs w:val="24"/>
              </w:rPr>
              <w:t xml:space="preserve"> </w:t>
            </w:r>
            <w:r w:rsidR="00562638">
              <w:t>ά</w:t>
            </w:r>
            <w:r w:rsidRPr="004A146D">
              <w:t>τομα</w:t>
            </w:r>
            <w:r w:rsidR="00562638">
              <w:t xml:space="preserve"> (2017)</w:t>
            </w:r>
            <w:r w:rsidRPr="004A146D">
              <w:t xml:space="preserve"> </w:t>
            </w:r>
          </w:p>
        </w:tc>
      </w:tr>
      <w:tr w:rsidR="00CA3544" w:rsidRPr="00C56D7F" w:rsidTr="00410192">
        <w:trPr>
          <w:trHeight w:val="529"/>
        </w:trPr>
        <w:tc>
          <w:tcPr>
            <w:tcW w:w="5388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7C4699" w:rsidRDefault="00CA3544" w:rsidP="00AC1011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</w:rPr>
              <w:t>9</w:t>
            </w:r>
            <w:r w:rsidRPr="00DB129D">
              <w:rPr>
                <w:b/>
                <w:sz w:val="24"/>
                <w:szCs w:val="24"/>
              </w:rPr>
              <w:t>α.</w:t>
            </w:r>
            <w:r w:rsidRPr="007C4699">
              <w:rPr>
                <w:sz w:val="24"/>
                <w:szCs w:val="24"/>
              </w:rPr>
              <w:t xml:space="preserve">  </w:t>
            </w:r>
            <w:r w:rsidRPr="007C4699">
              <w:rPr>
                <w:b/>
                <w:sz w:val="24"/>
                <w:szCs w:val="24"/>
              </w:rPr>
              <w:t>Αξία ακ</w:t>
            </w:r>
            <w:r w:rsidRPr="001E5886">
              <w:rPr>
                <w:b/>
                <w:sz w:val="24"/>
                <w:szCs w:val="24"/>
              </w:rPr>
              <w:t>άλυπτων</w:t>
            </w:r>
            <w:r w:rsidRPr="007C4699">
              <w:rPr>
                <w:b/>
                <w:sz w:val="24"/>
                <w:szCs w:val="24"/>
              </w:rPr>
              <w:t xml:space="preserve"> επιταγών </w:t>
            </w:r>
          </w:p>
          <w:p w:rsidR="00CA3544" w:rsidRPr="002B2EAF" w:rsidRDefault="00CA3544" w:rsidP="00AC1011">
            <w:pPr>
              <w:spacing w:after="0" w:line="240" w:lineRule="auto"/>
              <w:ind w:right="-57"/>
              <w:rPr>
                <w:b/>
                <w:i/>
                <w:sz w:val="26"/>
                <w:szCs w:val="26"/>
              </w:rPr>
            </w:pPr>
            <w:r w:rsidRPr="0090164F">
              <w:t>(Τειρεσίας - ποσά σε €)</w:t>
            </w:r>
          </w:p>
        </w:tc>
        <w:tc>
          <w:tcPr>
            <w:tcW w:w="2268" w:type="dxa"/>
            <w:vMerge w:val="restart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Default="00CA3544" w:rsidP="00AC1011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7C4699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Ιαν. – </w:t>
            </w:r>
            <w:r w:rsidR="00562638">
              <w:rPr>
                <w:sz w:val="24"/>
                <w:szCs w:val="24"/>
              </w:rPr>
              <w:t>Δεκ.</w:t>
            </w:r>
          </w:p>
          <w:p w:rsidR="00CA3544" w:rsidRPr="007C4699" w:rsidRDefault="00CA3544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7C4699">
              <w:rPr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562638" w:rsidRPr="00885991" w:rsidRDefault="00673A73" w:rsidP="00673A73">
            <w:pPr>
              <w:spacing w:after="0" w:line="240" w:lineRule="auto"/>
              <w:ind w:right="-57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-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885991" w:rsidRDefault="00673A73" w:rsidP="00673A73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72,3%</w:t>
            </w:r>
          </w:p>
        </w:tc>
      </w:tr>
      <w:tr w:rsidR="00CA3544" w:rsidRPr="00C56D7F" w:rsidTr="00410192">
        <w:trPr>
          <w:trHeight w:val="534"/>
        </w:trPr>
        <w:tc>
          <w:tcPr>
            <w:tcW w:w="5388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7C4699" w:rsidRDefault="00CA3544" w:rsidP="00AC1011">
            <w:pPr>
              <w:spacing w:after="0" w:line="240" w:lineRule="auto"/>
              <w:ind w:right="-57"/>
              <w:rPr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</w:rPr>
              <w:t>9</w:t>
            </w:r>
            <w:r w:rsidRPr="00DB129D">
              <w:rPr>
                <w:b/>
                <w:sz w:val="24"/>
                <w:szCs w:val="24"/>
              </w:rPr>
              <w:t>β.</w:t>
            </w:r>
            <w:r w:rsidRPr="007C4699">
              <w:rPr>
                <w:b/>
                <w:sz w:val="26"/>
                <w:szCs w:val="26"/>
              </w:rPr>
              <w:t xml:space="preserve">  </w:t>
            </w:r>
            <w:r w:rsidRPr="007C4699">
              <w:rPr>
                <w:b/>
                <w:sz w:val="24"/>
                <w:szCs w:val="24"/>
              </w:rPr>
              <w:t xml:space="preserve">Αξία απλήρωτων συναλλαγματικών </w:t>
            </w:r>
          </w:p>
          <w:p w:rsidR="00CA3544" w:rsidRPr="007C4699" w:rsidRDefault="00CA3544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90164F">
              <w:t>(Τειρεσίας - ποσά σε €)</w:t>
            </w:r>
          </w:p>
        </w:tc>
        <w:tc>
          <w:tcPr>
            <w:tcW w:w="2268" w:type="dxa"/>
            <w:vMerge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7C4699" w:rsidRDefault="00CA3544" w:rsidP="00AC1011">
            <w:pPr>
              <w:spacing w:after="0" w:line="240" w:lineRule="auto"/>
              <w:ind w:right="-57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C4699" w:rsidRDefault="00CA3544" w:rsidP="00673A73">
            <w:pPr>
              <w:spacing w:after="0" w:line="240" w:lineRule="auto"/>
              <w:ind w:right="-57"/>
              <w:jc w:val="right"/>
              <w:rPr>
                <w:b/>
                <w:sz w:val="26"/>
                <w:szCs w:val="26"/>
              </w:rPr>
            </w:pPr>
            <w:r w:rsidRPr="002937EE"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C4699" w:rsidRDefault="00673A73" w:rsidP="00673A73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24,4%</w:t>
            </w:r>
          </w:p>
        </w:tc>
      </w:tr>
      <w:tr w:rsidR="00CA3544" w:rsidRPr="00C56D7F" w:rsidTr="00410192">
        <w:trPr>
          <w:trHeight w:val="335"/>
        </w:trPr>
        <w:tc>
          <w:tcPr>
            <w:tcW w:w="5388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7C4699" w:rsidRDefault="00CA3544" w:rsidP="00AC1011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 w:rsidRPr="007C4699">
              <w:rPr>
                <w:b/>
                <w:sz w:val="26"/>
                <w:szCs w:val="26"/>
              </w:rPr>
              <w:t xml:space="preserve">.  </w:t>
            </w:r>
            <w:r w:rsidRPr="007C4699">
              <w:rPr>
                <w:b/>
                <w:sz w:val="24"/>
                <w:szCs w:val="24"/>
              </w:rPr>
              <w:t xml:space="preserve">Καταθέσεις/ρέπος Ιδιωτικού τομέα </w:t>
            </w:r>
            <w:r w:rsidRPr="0090164F">
              <w:t>(</w:t>
            </w:r>
            <w:r w:rsidRPr="0008726B">
              <w:rPr>
                <w:i/>
              </w:rPr>
              <w:t>ΤτΕ</w:t>
            </w:r>
            <w:r w:rsidRPr="0090164F"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7C4699" w:rsidRDefault="00CA3544" w:rsidP="00306D3B">
            <w:pPr>
              <w:spacing w:after="0" w:line="240" w:lineRule="auto"/>
              <w:ind w:right="-57"/>
              <w:rPr>
                <w:b/>
                <w:sz w:val="26"/>
                <w:szCs w:val="26"/>
              </w:rPr>
            </w:pPr>
            <w:r w:rsidRPr="007C4699">
              <w:rPr>
                <w:sz w:val="24"/>
                <w:szCs w:val="24"/>
              </w:rPr>
              <w:t xml:space="preserve">       </w:t>
            </w:r>
            <w:r w:rsidR="00306D3B">
              <w:rPr>
                <w:sz w:val="24"/>
                <w:szCs w:val="24"/>
              </w:rPr>
              <w:t>Δεκέμβριος</w:t>
            </w:r>
            <w:r>
              <w:rPr>
                <w:sz w:val="24"/>
                <w:szCs w:val="24"/>
              </w:rPr>
              <w:t xml:space="preserve"> </w:t>
            </w:r>
            <w:r w:rsidRPr="007C4699">
              <w:rPr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C4699" w:rsidRDefault="00306D3B" w:rsidP="00AC1011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4"/>
                <w:szCs w:val="24"/>
              </w:rPr>
              <w:t xml:space="preserve">+1.271 </w:t>
            </w:r>
            <w:r w:rsidR="00CA3544" w:rsidRPr="007C4699">
              <w:rPr>
                <w:b/>
                <w:sz w:val="24"/>
                <w:szCs w:val="24"/>
              </w:rPr>
              <w:t>εκ. €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7C4699" w:rsidRDefault="00306D3B" w:rsidP="00306D3B">
            <w:pPr>
              <w:spacing w:after="0" w:line="240" w:lineRule="auto"/>
              <w:ind w:right="-5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+3.298</w:t>
            </w:r>
            <w:r w:rsidR="003371CA">
              <w:rPr>
                <w:b/>
                <w:sz w:val="24"/>
                <w:szCs w:val="24"/>
              </w:rPr>
              <w:t xml:space="preserve"> </w:t>
            </w:r>
            <w:r w:rsidR="003371CA" w:rsidRPr="007C4699">
              <w:rPr>
                <w:b/>
                <w:sz w:val="24"/>
                <w:szCs w:val="24"/>
              </w:rPr>
              <w:t>εκ.</w:t>
            </w:r>
            <w:r w:rsidR="00CA3544" w:rsidRPr="007C4699">
              <w:rPr>
                <w:b/>
                <w:sz w:val="24"/>
                <w:szCs w:val="24"/>
              </w:rPr>
              <w:t xml:space="preserve"> €</w:t>
            </w:r>
          </w:p>
        </w:tc>
      </w:tr>
      <w:tr w:rsidR="00CA3544" w:rsidRPr="00C56D7F" w:rsidTr="00410192">
        <w:trPr>
          <w:trHeight w:val="294"/>
        </w:trPr>
        <w:tc>
          <w:tcPr>
            <w:tcW w:w="5388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7C4699" w:rsidRDefault="00CA3544" w:rsidP="00AC1011">
            <w:pPr>
              <w:spacing w:after="0" w:line="240" w:lineRule="auto"/>
              <w:ind w:right="-57"/>
              <w:rPr>
                <w:sz w:val="26"/>
                <w:szCs w:val="26"/>
              </w:rPr>
            </w:pPr>
            <w:r w:rsidRPr="0090164F">
              <w:t>α. Μη χρηματοπιστωτικών επιχειρήσεων</w:t>
            </w:r>
          </w:p>
        </w:tc>
        <w:tc>
          <w:tcPr>
            <w:tcW w:w="2268" w:type="dxa"/>
            <w:vMerge/>
            <w:tcBorders>
              <w:top w:val="single" w:sz="4" w:space="0" w:color="4F81BD" w:themeColor="accent1"/>
              <w:bottom w:val="single" w:sz="4" w:space="0" w:color="4F81BD" w:themeColor="accent1"/>
            </w:tcBorders>
            <w:vAlign w:val="center"/>
          </w:tcPr>
          <w:p w:rsidR="00CA3544" w:rsidRPr="007C4699" w:rsidRDefault="00CA3544" w:rsidP="00AC1011">
            <w:pPr>
              <w:spacing w:after="0" w:line="240" w:lineRule="auto"/>
              <w:ind w:right="-57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90164F" w:rsidRDefault="00F54A66" w:rsidP="00F54A66">
            <w:pPr>
              <w:spacing w:after="0" w:line="240" w:lineRule="auto"/>
              <w:ind w:right="-57"/>
              <w:jc w:val="center"/>
            </w:pPr>
            <w:r>
              <w:rPr>
                <w:lang w:val="en-US"/>
              </w:rPr>
              <w:t>+485</w:t>
            </w:r>
            <w:r w:rsidR="00CA3544" w:rsidRPr="0090164F">
              <w:t xml:space="preserve"> εκ. €</w:t>
            </w:r>
          </w:p>
        </w:tc>
        <w:tc>
          <w:tcPr>
            <w:tcW w:w="1559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auto"/>
            <w:vAlign w:val="center"/>
          </w:tcPr>
          <w:p w:rsidR="00CA3544" w:rsidRPr="0090164F" w:rsidRDefault="00F54A66" w:rsidP="00F54A66">
            <w:pPr>
              <w:spacing w:after="0" w:line="240" w:lineRule="auto"/>
              <w:ind w:right="-57"/>
              <w:jc w:val="center"/>
            </w:pPr>
            <w:r>
              <w:rPr>
                <w:lang w:val="en-US"/>
              </w:rPr>
              <w:t>+1.975</w:t>
            </w:r>
            <w:r w:rsidR="00CA3544" w:rsidRPr="0090164F">
              <w:t xml:space="preserve"> </w:t>
            </w:r>
            <w:r w:rsidR="003371CA">
              <w:t>εκ.</w:t>
            </w:r>
            <w:r w:rsidR="00CA3544" w:rsidRPr="0090164F">
              <w:t xml:space="preserve"> €</w:t>
            </w:r>
          </w:p>
        </w:tc>
      </w:tr>
    </w:tbl>
    <w:p w:rsidR="00E45DD2" w:rsidRDefault="00E45DD2" w:rsidP="00723704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</w:rPr>
      </w:pPr>
    </w:p>
    <w:p w:rsidR="004A27B4" w:rsidRDefault="004A27B4" w:rsidP="004A27B4">
      <w:pPr>
        <w:tabs>
          <w:tab w:val="left" w:pos="2545"/>
        </w:tabs>
        <w:ind w:right="-58"/>
        <w:jc w:val="both"/>
        <w:rPr>
          <w:sz w:val="24"/>
          <w:szCs w:val="24"/>
        </w:rPr>
      </w:pPr>
      <w:r w:rsidRPr="00537D8D">
        <w:rPr>
          <w:b/>
          <w:color w:val="EB6A20"/>
          <w:sz w:val="26"/>
          <w:szCs w:val="26"/>
        </w:rPr>
        <w:lastRenderedPageBreak/>
        <w:t>Διάγραμμα 1</w:t>
      </w:r>
      <w:r w:rsidRPr="00537D8D">
        <w:rPr>
          <w:b/>
          <w:color w:val="EB6A20"/>
          <w:sz w:val="24"/>
          <w:szCs w:val="24"/>
        </w:rPr>
        <w:t xml:space="preserve">: </w:t>
      </w:r>
      <w:r w:rsidRPr="00537D8D">
        <w:rPr>
          <w:b/>
          <w:sz w:val="24"/>
          <w:szCs w:val="24"/>
        </w:rPr>
        <w:t>Τριμηνιαία εξέλιξη ΑΕΠ - Ιδιωτικής Κατανάλωσης (εποχικά διορθωμένοι δείκτες, αλυσωτοί δείκτες όγκου 2010) – (</w:t>
      </w:r>
      <w:r w:rsidRPr="00537D8D">
        <w:rPr>
          <w:b/>
          <w:i/>
          <w:sz w:val="24"/>
          <w:szCs w:val="24"/>
        </w:rPr>
        <w:t>πηγή: ΕΛ.ΣΤΑΤ.)</w:t>
      </w:r>
      <w:r w:rsidRPr="00BD055B">
        <w:rPr>
          <w:noProof/>
          <w:sz w:val="24"/>
          <w:szCs w:val="24"/>
          <w:lang w:eastAsia="el-GR"/>
        </w:rPr>
        <w:drawing>
          <wp:inline distT="0" distB="0" distL="0" distR="0">
            <wp:extent cx="5382290" cy="3391786"/>
            <wp:effectExtent l="19050" t="0" r="27910" b="0"/>
            <wp:docPr id="3" name="Γράφημα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A27B4" w:rsidRPr="00280C04" w:rsidRDefault="004A27B4" w:rsidP="004A27B4">
      <w:pPr>
        <w:pStyle w:val="a4"/>
        <w:numPr>
          <w:ilvl w:val="0"/>
          <w:numId w:val="9"/>
        </w:numPr>
        <w:tabs>
          <w:tab w:val="left" w:pos="1993"/>
        </w:tabs>
        <w:spacing w:after="120" w:line="360" w:lineRule="atLeast"/>
        <w:ind w:left="0" w:right="-57" w:hanging="284"/>
        <w:contextualSpacing w:val="0"/>
        <w:jc w:val="both"/>
        <w:rPr>
          <w:sz w:val="24"/>
          <w:szCs w:val="24"/>
        </w:rPr>
      </w:pPr>
      <w:r w:rsidRPr="00280C04">
        <w:rPr>
          <w:sz w:val="24"/>
          <w:szCs w:val="24"/>
        </w:rPr>
        <w:t>Το ΑΕΠ συνέχισε για 3</w:t>
      </w:r>
      <w:r w:rsidRPr="00280C04">
        <w:rPr>
          <w:sz w:val="24"/>
          <w:szCs w:val="24"/>
          <w:vertAlign w:val="superscript"/>
        </w:rPr>
        <w:t>ο</w:t>
      </w:r>
      <w:r w:rsidRPr="00280C04">
        <w:rPr>
          <w:sz w:val="24"/>
          <w:szCs w:val="24"/>
        </w:rPr>
        <w:t xml:space="preserve"> συναπτό τρίμηνο την ανοδική του πορεία</w:t>
      </w:r>
      <w:r w:rsidR="00280C04" w:rsidRPr="00280C04">
        <w:rPr>
          <w:sz w:val="24"/>
          <w:szCs w:val="24"/>
        </w:rPr>
        <w:t xml:space="preserve"> σε πραγματικούς όρους</w:t>
      </w:r>
      <w:r w:rsidRPr="00280C04">
        <w:rPr>
          <w:sz w:val="24"/>
          <w:szCs w:val="24"/>
        </w:rPr>
        <w:t xml:space="preserve">, τόσο σε ετήσια (Γ΄ τρίμηνο 2017/2016: </w:t>
      </w:r>
      <w:r w:rsidR="00280C04" w:rsidRPr="00280C04">
        <w:rPr>
          <w:sz w:val="24"/>
          <w:szCs w:val="24"/>
        </w:rPr>
        <w:t>+1,3%) όσο και σε τριμηνιαία</w:t>
      </w:r>
      <w:r w:rsidRPr="00280C04">
        <w:rPr>
          <w:sz w:val="24"/>
          <w:szCs w:val="24"/>
        </w:rPr>
        <w:t xml:space="preserve"> βάση (Γ΄/Β΄ τρίμηνο 2017: +0,3%). Η τάση μάλιστα αυτή ενδέχεται να ενισχυθεί περαιτέρω με τη δημοσίευση των οριστικών στοιχείων για το Γ΄ τρίμηνο του 2017. </w:t>
      </w:r>
    </w:p>
    <w:p w:rsidR="004A27B4" w:rsidRPr="00280C04" w:rsidRDefault="004A27B4" w:rsidP="004A27B4">
      <w:pPr>
        <w:pStyle w:val="a4"/>
        <w:numPr>
          <w:ilvl w:val="0"/>
          <w:numId w:val="9"/>
        </w:numPr>
        <w:tabs>
          <w:tab w:val="left" w:pos="1993"/>
        </w:tabs>
        <w:spacing w:after="120" w:line="360" w:lineRule="atLeast"/>
        <w:ind w:left="0" w:right="-57" w:hanging="284"/>
        <w:contextualSpacing w:val="0"/>
        <w:jc w:val="both"/>
        <w:rPr>
          <w:sz w:val="24"/>
          <w:szCs w:val="24"/>
        </w:rPr>
      </w:pPr>
      <w:r w:rsidRPr="00280C04">
        <w:rPr>
          <w:sz w:val="24"/>
          <w:szCs w:val="24"/>
        </w:rPr>
        <w:t>Αντιθέτως, πτωτικά κιν</w:t>
      </w:r>
      <w:r w:rsidR="00280C04" w:rsidRPr="00280C04">
        <w:rPr>
          <w:sz w:val="24"/>
          <w:szCs w:val="24"/>
        </w:rPr>
        <w:t xml:space="preserve">ήθηκε </w:t>
      </w:r>
      <w:r w:rsidRPr="00280C04">
        <w:rPr>
          <w:sz w:val="24"/>
          <w:szCs w:val="24"/>
        </w:rPr>
        <w:t xml:space="preserve">η ιδιωτική κατανάλωση σε σύγκριση με το Β΄ τρίμηνο του 2017, με συνέπεια την υποχώρηση του δείκτη ιδιωτικής κατανάλωσης/ΑΕΠ κάτω από τα επίπεδα του 68,0%, </w:t>
      </w:r>
      <w:r w:rsidR="00674ED7">
        <w:rPr>
          <w:sz w:val="24"/>
          <w:szCs w:val="24"/>
        </w:rPr>
        <w:t xml:space="preserve">γεγονός που </w:t>
      </w:r>
      <w:r w:rsidRPr="00280C04">
        <w:rPr>
          <w:sz w:val="24"/>
          <w:szCs w:val="24"/>
        </w:rPr>
        <w:t>συνιστ</w:t>
      </w:r>
      <w:r w:rsidR="00674ED7">
        <w:rPr>
          <w:sz w:val="24"/>
          <w:szCs w:val="24"/>
        </w:rPr>
        <w:t>ά</w:t>
      </w:r>
      <w:r w:rsidRPr="00280C04">
        <w:rPr>
          <w:sz w:val="24"/>
          <w:szCs w:val="24"/>
        </w:rPr>
        <w:t xml:space="preserve"> τη χαμηλότερη επίδοση από την επιβολή των </w:t>
      </w:r>
      <w:r w:rsidRPr="00280C04">
        <w:rPr>
          <w:sz w:val="24"/>
          <w:szCs w:val="24"/>
          <w:lang w:val="en-US"/>
        </w:rPr>
        <w:t>Capital</w:t>
      </w:r>
      <w:r w:rsidRPr="00280C04">
        <w:rPr>
          <w:sz w:val="24"/>
          <w:szCs w:val="24"/>
        </w:rPr>
        <w:t xml:space="preserve"> </w:t>
      </w:r>
      <w:r w:rsidRPr="00280C04">
        <w:rPr>
          <w:sz w:val="24"/>
          <w:szCs w:val="24"/>
          <w:lang w:val="en-US"/>
        </w:rPr>
        <w:t>Controls</w:t>
      </w:r>
      <w:r w:rsidRPr="00280C04">
        <w:rPr>
          <w:sz w:val="24"/>
          <w:szCs w:val="24"/>
        </w:rPr>
        <w:t xml:space="preserve"> και μετά (Γ΄ τρίμηνο 2015: 67,1%). Οι αυξημένες φορολογικές υποχρεώσεις των μηνών Ιουλίου - Σεπτεμβρίου (1</w:t>
      </w:r>
      <w:r w:rsidRPr="00280C04">
        <w:rPr>
          <w:sz w:val="24"/>
          <w:szCs w:val="24"/>
          <w:vertAlign w:val="superscript"/>
        </w:rPr>
        <w:t>η</w:t>
      </w:r>
      <w:r w:rsidRPr="00280C04">
        <w:rPr>
          <w:sz w:val="24"/>
          <w:szCs w:val="24"/>
        </w:rPr>
        <w:t xml:space="preserve"> &amp; 2</w:t>
      </w:r>
      <w:r w:rsidRPr="00280C04">
        <w:rPr>
          <w:sz w:val="24"/>
          <w:szCs w:val="24"/>
          <w:vertAlign w:val="superscript"/>
        </w:rPr>
        <w:t>η</w:t>
      </w:r>
      <w:r w:rsidRPr="00280C04">
        <w:rPr>
          <w:sz w:val="24"/>
          <w:szCs w:val="24"/>
        </w:rPr>
        <w:t xml:space="preserve"> δόση Φόρου Εισοδήματος και 1</w:t>
      </w:r>
      <w:r w:rsidRPr="00280C04">
        <w:rPr>
          <w:sz w:val="24"/>
          <w:szCs w:val="24"/>
          <w:vertAlign w:val="superscript"/>
        </w:rPr>
        <w:t>η</w:t>
      </w:r>
      <w:r w:rsidRPr="00280C04">
        <w:rPr>
          <w:sz w:val="24"/>
          <w:szCs w:val="24"/>
        </w:rPr>
        <w:t xml:space="preserve"> του ΕΝΦΙΑ) αποτέλεσαν καθοριστικό ανασταλτικό παράγοντα της καταναλωτικής δαπάνης, η οποία κατέγραψε τη χειρότερη επίδοση (σε </w:t>
      </w:r>
      <w:r w:rsidR="00674ED7">
        <w:rPr>
          <w:sz w:val="24"/>
          <w:szCs w:val="24"/>
        </w:rPr>
        <w:t>πραγματικούς όρους)</w:t>
      </w:r>
      <w:r w:rsidRPr="00280C04">
        <w:rPr>
          <w:sz w:val="24"/>
          <w:szCs w:val="24"/>
        </w:rPr>
        <w:t xml:space="preserve"> των τελευταίων τεσσάρων τριμήνων.  </w:t>
      </w:r>
    </w:p>
    <w:p w:rsidR="004A27B4" w:rsidRPr="00CA4F9B" w:rsidRDefault="0013681B" w:rsidP="00CA4F9B">
      <w:pPr>
        <w:pStyle w:val="a4"/>
        <w:numPr>
          <w:ilvl w:val="0"/>
          <w:numId w:val="9"/>
        </w:numPr>
        <w:tabs>
          <w:tab w:val="left" w:pos="1993"/>
        </w:tabs>
        <w:spacing w:after="120" w:line="360" w:lineRule="atLeast"/>
        <w:ind w:left="0" w:right="-57" w:hanging="284"/>
        <w:contextualSpacing w:val="0"/>
        <w:jc w:val="both"/>
        <w:rPr>
          <w:sz w:val="24"/>
          <w:szCs w:val="24"/>
        </w:rPr>
      </w:pPr>
      <w:r w:rsidRPr="00CA4F9B">
        <w:rPr>
          <w:sz w:val="24"/>
          <w:szCs w:val="24"/>
        </w:rPr>
        <w:t xml:space="preserve">Μη ικανοποιητική χαρακτηρίζεται </w:t>
      </w:r>
      <w:r w:rsidR="004A27B4" w:rsidRPr="00CA4F9B">
        <w:rPr>
          <w:sz w:val="24"/>
          <w:szCs w:val="24"/>
        </w:rPr>
        <w:t xml:space="preserve">η πορεία των επενδύσεων παγίου κεφαλαίου  στο Γ΄ τρίμηνο του 2017, καθώς η ετήσια (Γ΄ τρίμηνο 2017/2016: -8,5%) και η τριμηνιαία πτώση τους (Γ΄/Β΄ τρίμηνο 2017: -6,1%) αντανακλάται </w:t>
      </w:r>
      <w:r w:rsidRPr="00CA4F9B">
        <w:rPr>
          <w:sz w:val="24"/>
          <w:szCs w:val="24"/>
        </w:rPr>
        <w:t xml:space="preserve">και </w:t>
      </w:r>
      <w:r w:rsidR="004A27B4" w:rsidRPr="00CA4F9B">
        <w:rPr>
          <w:sz w:val="24"/>
          <w:szCs w:val="24"/>
        </w:rPr>
        <w:t xml:space="preserve">στην υποχώρηση της αναλογίας επενδύσεων/ΑΕΠ </w:t>
      </w:r>
      <w:r w:rsidRPr="00CA4F9B">
        <w:rPr>
          <w:sz w:val="24"/>
          <w:szCs w:val="24"/>
        </w:rPr>
        <w:t>στο επίπεδο του</w:t>
      </w:r>
      <w:r w:rsidR="004A27B4" w:rsidRPr="00CA4F9B">
        <w:rPr>
          <w:sz w:val="24"/>
          <w:szCs w:val="24"/>
        </w:rPr>
        <w:t xml:space="preserve"> 10,9%. Η ετήσια συρρίκνωση των επενδύσεων κατά περίπου 470 εκ. </w:t>
      </w:r>
      <w:r w:rsidR="004A27B4" w:rsidRPr="00CA4F9B">
        <w:rPr>
          <w:rFonts w:cstheme="minorHAnsi"/>
          <w:sz w:val="24"/>
          <w:szCs w:val="24"/>
        </w:rPr>
        <w:t>€</w:t>
      </w:r>
      <w:r w:rsidR="004A27B4" w:rsidRPr="00CA4F9B">
        <w:rPr>
          <w:sz w:val="24"/>
          <w:szCs w:val="24"/>
        </w:rPr>
        <w:t>, οφείλεται εν πολλοίς στην</w:t>
      </w:r>
      <w:r w:rsidRPr="00CA4F9B">
        <w:rPr>
          <w:sz w:val="24"/>
          <w:szCs w:val="24"/>
        </w:rPr>
        <w:t xml:space="preserve"> επιμονή των γραφειοκρατικών και διοικητικών εμποδίων και υπογραμμίζουν την ανάγκη βελτίωσης των προοπτικών της οικονομί</w:t>
      </w:r>
      <w:r w:rsidR="00CA4F9B" w:rsidRPr="00CA4F9B">
        <w:rPr>
          <w:sz w:val="24"/>
          <w:szCs w:val="24"/>
        </w:rPr>
        <w:t xml:space="preserve">ας και των όρων χρηματοδότησης, </w:t>
      </w:r>
      <w:r w:rsidRPr="00CA4F9B">
        <w:rPr>
          <w:sz w:val="24"/>
          <w:szCs w:val="24"/>
        </w:rPr>
        <w:t xml:space="preserve">ελάφρυνσης των φορολογικών και ασφαλιστικών βαρών και </w:t>
      </w:r>
      <w:r w:rsidRPr="00CA4F9B">
        <w:rPr>
          <w:sz w:val="24"/>
          <w:szCs w:val="24"/>
        </w:rPr>
        <w:lastRenderedPageBreak/>
        <w:t>ισχυροποίησης της ανάκαμψης, μέσω ολοκλήρωσης των διαρθρωτικών μεταρρυθμίσεων.</w:t>
      </w:r>
      <w:r w:rsidR="004A27B4" w:rsidRPr="00CA4F9B">
        <w:rPr>
          <w:sz w:val="24"/>
          <w:szCs w:val="24"/>
        </w:rPr>
        <w:t xml:space="preserve"> </w:t>
      </w:r>
    </w:p>
    <w:p w:rsidR="004A27B4" w:rsidRDefault="004A27B4" w:rsidP="004A27B4">
      <w:pPr>
        <w:pStyle w:val="a4"/>
        <w:tabs>
          <w:tab w:val="left" w:pos="1993"/>
        </w:tabs>
        <w:spacing w:after="0" w:line="360" w:lineRule="atLeast"/>
        <w:ind w:left="0" w:right="-57"/>
        <w:contextualSpacing w:val="0"/>
        <w:jc w:val="both"/>
        <w:rPr>
          <w:b/>
          <w:color w:val="FF0000"/>
          <w:sz w:val="24"/>
          <w:szCs w:val="24"/>
        </w:rPr>
      </w:pPr>
    </w:p>
    <w:p w:rsidR="0013681B" w:rsidRDefault="0013681B" w:rsidP="004A27B4">
      <w:pPr>
        <w:pStyle w:val="a4"/>
        <w:tabs>
          <w:tab w:val="left" w:pos="1993"/>
        </w:tabs>
        <w:spacing w:after="0" w:line="360" w:lineRule="atLeast"/>
        <w:ind w:left="0" w:right="-57"/>
        <w:contextualSpacing w:val="0"/>
        <w:jc w:val="both"/>
        <w:rPr>
          <w:b/>
          <w:color w:val="FF0000"/>
          <w:sz w:val="24"/>
          <w:szCs w:val="24"/>
        </w:rPr>
      </w:pPr>
    </w:p>
    <w:p w:rsidR="004A27B4" w:rsidRPr="004F2E90" w:rsidRDefault="004A27B4" w:rsidP="004A27B4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</w:rPr>
      </w:pPr>
      <w:r w:rsidRPr="003F7706">
        <w:rPr>
          <w:b/>
          <w:color w:val="EB6A20"/>
          <w:sz w:val="26"/>
          <w:szCs w:val="26"/>
        </w:rPr>
        <w:t xml:space="preserve">Διάγραμμα 2: </w:t>
      </w:r>
      <w:r w:rsidRPr="003F7706">
        <w:rPr>
          <w:b/>
          <w:sz w:val="24"/>
          <w:szCs w:val="24"/>
        </w:rPr>
        <w:t xml:space="preserve">Ετήσια &amp; τριμηνιαία εξέλιξη του Εναρμονισμένου ΔτΚ  </w:t>
      </w:r>
      <w:r>
        <w:rPr>
          <w:b/>
          <w:sz w:val="24"/>
          <w:szCs w:val="24"/>
        </w:rPr>
        <w:t xml:space="preserve"> </w:t>
      </w:r>
      <w:r w:rsidRPr="003F7706">
        <w:rPr>
          <w:b/>
          <w:sz w:val="24"/>
          <w:szCs w:val="24"/>
        </w:rPr>
        <w:t>(</w:t>
      </w:r>
      <w:r w:rsidRPr="003F7706">
        <w:rPr>
          <w:b/>
          <w:i/>
          <w:sz w:val="24"/>
          <w:szCs w:val="24"/>
        </w:rPr>
        <w:t>πηγή: ΕΛ.ΣΤΑΤ. – Μ.Ο. Δεικτών Τριμήνων)</w:t>
      </w:r>
    </w:p>
    <w:p w:rsidR="004A27B4" w:rsidRPr="00583AC3" w:rsidRDefault="004A27B4" w:rsidP="004A27B4">
      <w:pPr>
        <w:tabs>
          <w:tab w:val="left" w:pos="2545"/>
        </w:tabs>
        <w:ind w:right="-58"/>
        <w:rPr>
          <w:b/>
          <w:color w:val="EB6A20"/>
          <w:sz w:val="26"/>
          <w:szCs w:val="26"/>
        </w:rPr>
      </w:pPr>
      <w:r w:rsidRPr="00583AC3">
        <w:rPr>
          <w:b/>
          <w:noProof/>
          <w:color w:val="EB6A20"/>
          <w:sz w:val="26"/>
          <w:szCs w:val="26"/>
          <w:lang w:eastAsia="el-GR"/>
        </w:rPr>
        <w:drawing>
          <wp:inline distT="0" distB="0" distL="0" distR="0">
            <wp:extent cx="5329127" cy="3332909"/>
            <wp:effectExtent l="19050" t="0" r="23923" b="841"/>
            <wp:docPr id="2" name="Γράφημα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A27B4" w:rsidRDefault="004A27B4" w:rsidP="004A27B4">
      <w:pPr>
        <w:pStyle w:val="a4"/>
        <w:numPr>
          <w:ilvl w:val="0"/>
          <w:numId w:val="11"/>
        </w:numPr>
        <w:tabs>
          <w:tab w:val="left" w:pos="1306"/>
        </w:tabs>
        <w:spacing w:after="120"/>
        <w:ind w:left="0" w:right="-58" w:hanging="284"/>
        <w:contextualSpacing w:val="0"/>
        <w:jc w:val="both"/>
        <w:rPr>
          <w:sz w:val="24"/>
          <w:szCs w:val="24"/>
        </w:rPr>
      </w:pPr>
      <w:r w:rsidRPr="00214E2A">
        <w:rPr>
          <w:sz w:val="24"/>
          <w:szCs w:val="24"/>
        </w:rPr>
        <w:t xml:space="preserve">Αμετάβλητο σε σχέση με το Γ΄ Τρίμηνο του 2017 παρέμεινε το επίπεδο των τιμών (Εναρμονισμένος ΔτΚ) στη διάρκεια του τελευταίου τριμήνου του προηγούμενου έτους. Αντιθέτως και για έκτο συνεχόμενο τρίμηνο συνεχίζεται η αύξηση του πληθωρισμού σε ετήσια βάση (Δ΄ Τρίμηνο 2017/2016: +0,8%), με μειούμενο όμως ρυθμό έναντι των δύο πρώτων τριμήνων του 2017. Κυριότεροι παράγοντες της ετήσιας ανόδου των τιμών συνιστούν τόσο η αυξημένη έμμεση φορολογία σε προϊόντα ευρείας κατανάλωσης όσο και ο εισαγόμενος πληθωρισμός εξαιτίας της ανόδου των διεθνών τιμών πετρελαίου. Ωστόσο, η προαναφερθείσα μεταβολή υπολείπεται, σε σχέση με την καταγεγραμμένη τάση στα λοιπά </w:t>
      </w:r>
      <w:r w:rsidR="004F0C9A">
        <w:rPr>
          <w:sz w:val="24"/>
          <w:szCs w:val="24"/>
        </w:rPr>
        <w:t>κ</w:t>
      </w:r>
      <w:r w:rsidRPr="00214E2A">
        <w:rPr>
          <w:sz w:val="24"/>
          <w:szCs w:val="24"/>
        </w:rPr>
        <w:t xml:space="preserve">ράτη – </w:t>
      </w:r>
      <w:r w:rsidR="004F0C9A">
        <w:rPr>
          <w:sz w:val="24"/>
          <w:szCs w:val="24"/>
        </w:rPr>
        <w:t>μ</w:t>
      </w:r>
      <w:r w:rsidRPr="00214E2A">
        <w:rPr>
          <w:sz w:val="24"/>
          <w:szCs w:val="24"/>
        </w:rPr>
        <w:t>έλη τόσο της Ευρωζώνης (Δ΄ Τρίμηνο 2017/2016: +1,7%) όσο και της Ευρωπαϊκής Ένωσης (Δ΄ Τρίμηνο 2017/2016: +1,4%)</w:t>
      </w:r>
      <w:r w:rsidR="00214E2A">
        <w:rPr>
          <w:sz w:val="24"/>
          <w:szCs w:val="24"/>
        </w:rPr>
        <w:t>, γεγονός που λειτουργεί ευεργετικά για την εγχώρια ανταγωνιστικότητα</w:t>
      </w:r>
      <w:r w:rsidR="004F0C9A">
        <w:rPr>
          <w:sz w:val="24"/>
          <w:szCs w:val="24"/>
        </w:rPr>
        <w:t xml:space="preserve"> τιμών σε ευρωπαϊκό επίπεδο</w:t>
      </w:r>
      <w:r w:rsidRPr="00214E2A">
        <w:rPr>
          <w:sz w:val="24"/>
          <w:szCs w:val="24"/>
        </w:rPr>
        <w:t>.</w:t>
      </w:r>
    </w:p>
    <w:p w:rsidR="00214E2A" w:rsidRDefault="00090F67" w:rsidP="004A27B4">
      <w:pPr>
        <w:pStyle w:val="a4"/>
        <w:numPr>
          <w:ilvl w:val="0"/>
          <w:numId w:val="11"/>
        </w:numPr>
        <w:tabs>
          <w:tab w:val="left" w:pos="1306"/>
        </w:tabs>
        <w:spacing w:after="120"/>
        <w:ind w:left="0" w:right="-58" w:hanging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Οι αιτίες για την, έστω υποτονική, ανάκαμψη του εναρμονισμένου ΔτΚ </w:t>
      </w:r>
      <w:r w:rsidR="008D051F">
        <w:rPr>
          <w:sz w:val="24"/>
          <w:szCs w:val="24"/>
        </w:rPr>
        <w:t>θα πρέπει να αναζητηθούν στη διόγκωση των διεθνών τιμών καυσίμων αλλά στην αύξηση των έμμεσων φόρων</w:t>
      </w:r>
      <w:r w:rsidR="00CA4F9B">
        <w:rPr>
          <w:sz w:val="24"/>
          <w:szCs w:val="24"/>
        </w:rPr>
        <w:t xml:space="preserve"> από τον Ιανουάριο του 2017</w:t>
      </w:r>
      <w:r w:rsidR="008D051F">
        <w:rPr>
          <w:sz w:val="24"/>
          <w:szCs w:val="24"/>
        </w:rPr>
        <w:t xml:space="preserve"> σε σειρά προϊόντων (</w:t>
      </w:r>
      <w:r w:rsidR="00E72D22">
        <w:rPr>
          <w:sz w:val="24"/>
          <w:szCs w:val="24"/>
        </w:rPr>
        <w:t>καύσιμα κίνησης, καφές, καπνός, σταθερή τηλεφωνία).</w:t>
      </w:r>
      <w:r w:rsidR="008D051F">
        <w:rPr>
          <w:sz w:val="24"/>
          <w:szCs w:val="24"/>
        </w:rPr>
        <w:t xml:space="preserve"> </w:t>
      </w:r>
    </w:p>
    <w:p w:rsidR="00E72D22" w:rsidRDefault="00CA4F9B" w:rsidP="004A27B4">
      <w:pPr>
        <w:pStyle w:val="a4"/>
        <w:numPr>
          <w:ilvl w:val="0"/>
          <w:numId w:val="11"/>
        </w:numPr>
        <w:tabs>
          <w:tab w:val="left" w:pos="1306"/>
        </w:tabs>
        <w:spacing w:after="120"/>
        <w:ind w:left="0" w:right="-58" w:hanging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Επιπρόσθετα</w:t>
      </w:r>
      <w:r w:rsidR="00E72D22">
        <w:rPr>
          <w:sz w:val="24"/>
          <w:szCs w:val="24"/>
        </w:rPr>
        <w:t xml:space="preserve">, ο δομικός πληθωρισμός κινείται σε </w:t>
      </w:r>
      <w:r>
        <w:rPr>
          <w:sz w:val="24"/>
          <w:szCs w:val="24"/>
        </w:rPr>
        <w:t xml:space="preserve">υποτονικούς ρυθμούς. Το γεγονός αυτό, σε συνδυασμό με την επίδραση τύπου </w:t>
      </w:r>
      <w:r w:rsidRPr="00CA4F9B">
        <w:rPr>
          <w:sz w:val="24"/>
          <w:szCs w:val="24"/>
        </w:rPr>
        <w:t>“</w:t>
      </w:r>
      <w:r>
        <w:rPr>
          <w:sz w:val="24"/>
          <w:szCs w:val="24"/>
          <w:lang w:val="en-US"/>
        </w:rPr>
        <w:t>base</w:t>
      </w:r>
      <w:r w:rsidRPr="00CA4F9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effect</w:t>
      </w:r>
      <w:r w:rsidRPr="00CA4F9B">
        <w:rPr>
          <w:sz w:val="24"/>
          <w:szCs w:val="24"/>
        </w:rPr>
        <w:t xml:space="preserve">” </w:t>
      </w:r>
      <w:r>
        <w:rPr>
          <w:sz w:val="24"/>
          <w:szCs w:val="24"/>
        </w:rPr>
        <w:t>από την αύξηση των έμμεσων φόρων το 2017, ενισχύουν την εκτίμηση περί συγκρατημένου πληθωρισμού και για το 2018.</w:t>
      </w:r>
    </w:p>
    <w:p w:rsidR="00CA4F9B" w:rsidRPr="00214E2A" w:rsidRDefault="00CA4F9B" w:rsidP="00CA4F9B">
      <w:pPr>
        <w:pStyle w:val="a4"/>
        <w:tabs>
          <w:tab w:val="left" w:pos="1306"/>
        </w:tabs>
        <w:spacing w:after="120"/>
        <w:ind w:left="0" w:right="-58"/>
        <w:contextualSpacing w:val="0"/>
        <w:jc w:val="both"/>
        <w:rPr>
          <w:sz w:val="24"/>
          <w:szCs w:val="24"/>
        </w:rPr>
      </w:pPr>
    </w:p>
    <w:p w:rsidR="004A27B4" w:rsidRDefault="004A27B4" w:rsidP="004A27B4">
      <w:pPr>
        <w:pStyle w:val="a4"/>
        <w:tabs>
          <w:tab w:val="left" w:pos="2545"/>
        </w:tabs>
        <w:spacing w:after="120"/>
        <w:ind w:left="-284" w:right="-58"/>
        <w:jc w:val="both"/>
        <w:rPr>
          <w:b/>
          <w:bCs/>
          <w:i/>
          <w:iCs/>
          <w:sz w:val="24"/>
          <w:szCs w:val="24"/>
        </w:rPr>
      </w:pPr>
      <w:r w:rsidRPr="00B27120">
        <w:rPr>
          <w:b/>
          <w:bCs/>
          <w:color w:val="EB6A20"/>
          <w:sz w:val="26"/>
          <w:szCs w:val="26"/>
        </w:rPr>
        <w:t xml:space="preserve">Διάγραμμα 3: </w:t>
      </w:r>
      <w:r w:rsidRPr="00B27120">
        <w:rPr>
          <w:b/>
          <w:bCs/>
          <w:sz w:val="24"/>
          <w:szCs w:val="24"/>
        </w:rPr>
        <w:t xml:space="preserve">Εξέλιξη του Δείκτη Κύκλου Εργασιών (ΔΚΕ) &amp; Δείκτη Όγκου (ΔΟ) στο Λιανικό Εμπόριο (εποχικά διορθωμένος, χωρίς καύσιμα - </w:t>
      </w:r>
      <w:r w:rsidRPr="00B27120">
        <w:rPr>
          <w:b/>
          <w:bCs/>
          <w:i/>
          <w:iCs/>
          <w:sz w:val="24"/>
          <w:szCs w:val="24"/>
        </w:rPr>
        <w:t xml:space="preserve">πηγή: ΕΛ.ΣΤΑΤ. </w:t>
      </w:r>
      <w:r w:rsidRPr="00B27120">
        <w:rPr>
          <w:b/>
          <w:bCs/>
          <w:sz w:val="24"/>
          <w:szCs w:val="24"/>
        </w:rPr>
        <w:t>-</w:t>
      </w:r>
      <w:r w:rsidRPr="00B27120">
        <w:rPr>
          <w:b/>
          <w:bCs/>
          <w:i/>
          <w:iCs/>
          <w:sz w:val="24"/>
          <w:szCs w:val="24"/>
        </w:rPr>
        <w:t xml:space="preserve"> Μ.Ο. Δεικτών τριμήνων)</w:t>
      </w:r>
    </w:p>
    <w:p w:rsidR="002460C5" w:rsidRDefault="002460C5" w:rsidP="004A27B4">
      <w:pPr>
        <w:pStyle w:val="a4"/>
        <w:tabs>
          <w:tab w:val="left" w:pos="2545"/>
        </w:tabs>
        <w:spacing w:after="120"/>
        <w:ind w:left="-284" w:right="-58"/>
        <w:jc w:val="both"/>
        <w:rPr>
          <w:sz w:val="24"/>
          <w:szCs w:val="24"/>
        </w:rPr>
      </w:pPr>
      <w:r w:rsidRPr="002460C5">
        <w:rPr>
          <w:noProof/>
          <w:sz w:val="24"/>
          <w:szCs w:val="24"/>
          <w:lang w:eastAsia="el-GR"/>
        </w:rPr>
        <w:drawing>
          <wp:inline distT="0" distB="0" distL="0" distR="0">
            <wp:extent cx="5415592" cy="3312543"/>
            <wp:effectExtent l="19050" t="0" r="13658" b="2157"/>
            <wp:docPr id="1" name="Γράφημα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460C5" w:rsidRDefault="002460C5" w:rsidP="004A27B4">
      <w:pPr>
        <w:pStyle w:val="a4"/>
        <w:tabs>
          <w:tab w:val="left" w:pos="2545"/>
        </w:tabs>
        <w:spacing w:after="120"/>
        <w:ind w:left="-284" w:right="-58"/>
        <w:jc w:val="both"/>
        <w:rPr>
          <w:sz w:val="24"/>
          <w:szCs w:val="24"/>
        </w:rPr>
      </w:pPr>
    </w:p>
    <w:p w:rsidR="004A27B4" w:rsidRPr="00BC28C5" w:rsidRDefault="004A27B4" w:rsidP="004A27B4">
      <w:pPr>
        <w:pStyle w:val="a4"/>
        <w:numPr>
          <w:ilvl w:val="0"/>
          <w:numId w:val="11"/>
        </w:numPr>
        <w:tabs>
          <w:tab w:val="left" w:pos="1306"/>
        </w:tabs>
        <w:spacing w:after="120"/>
        <w:ind w:left="0" w:right="-58" w:hanging="284"/>
        <w:contextualSpacing w:val="0"/>
        <w:jc w:val="both"/>
        <w:rPr>
          <w:sz w:val="24"/>
          <w:szCs w:val="24"/>
        </w:rPr>
      </w:pPr>
      <w:r w:rsidRPr="00BC28C5">
        <w:rPr>
          <w:sz w:val="24"/>
          <w:szCs w:val="24"/>
        </w:rPr>
        <w:t>Στασιμότητα του εποχικά διορθωμένου ΔΚΕ  στο Λιανικό εμπόριο παρατηρήθηκε στη διάρκεια του Γ΄ Τριμήνου 2017, τόσο σε τριμηνιαία (Γ΄/Β΄ Τρίμηνο 2017: +0,1%) όσο και σε ετήσια συγκριτική βάση (Γ΄ Τρίμηνο 2017/2016: -0,</w:t>
      </w:r>
      <w:r w:rsidR="002460C5">
        <w:rPr>
          <w:sz w:val="24"/>
          <w:szCs w:val="24"/>
        </w:rPr>
        <w:t>2</w:t>
      </w:r>
      <w:r w:rsidRPr="00BC28C5">
        <w:rPr>
          <w:sz w:val="24"/>
          <w:szCs w:val="24"/>
        </w:rPr>
        <w:t>%). Παρά τις θετικές ενδείξεις που προέκυπταν από την πορεία των πωλήσεων μέχρι και το πρώτο επτάμηνο του έτους (Α΄ επτάμηνο 2017/2016: +1,9%), στο διάστημα Αυγούστου-Σεπτεμβρίου σημειώθηκε υποχώρηση του κύκλου εργασιών (Αύγουστος</w:t>
      </w:r>
      <w:r w:rsidR="00BC28C5">
        <w:rPr>
          <w:sz w:val="24"/>
          <w:szCs w:val="24"/>
        </w:rPr>
        <w:t>-Σεπτέμβριος 2017/2016: -0,7%). Ως εκ τούτου,</w:t>
      </w:r>
      <w:r w:rsidRPr="00BC28C5">
        <w:rPr>
          <w:sz w:val="24"/>
          <w:szCs w:val="24"/>
        </w:rPr>
        <w:t xml:space="preserve"> η ετήσια μεταβολή του εννιαμήνου </w:t>
      </w:r>
      <w:r w:rsidR="00BC28C5">
        <w:rPr>
          <w:sz w:val="24"/>
          <w:szCs w:val="24"/>
        </w:rPr>
        <w:t>διαμορφώθηκε</w:t>
      </w:r>
      <w:r w:rsidRPr="00BC28C5">
        <w:rPr>
          <w:sz w:val="24"/>
          <w:szCs w:val="24"/>
        </w:rPr>
        <w:t xml:space="preserve"> σε χαμηλότερα, σε σχέση με τις προσδοκίες, επίπεδα (Α΄ εννιάμηνο 2017/2016: +1,3%).</w:t>
      </w:r>
    </w:p>
    <w:p w:rsidR="004A27B4" w:rsidRPr="00A11588" w:rsidRDefault="004A27B4" w:rsidP="004A27B4">
      <w:pPr>
        <w:pStyle w:val="a4"/>
        <w:numPr>
          <w:ilvl w:val="0"/>
          <w:numId w:val="11"/>
        </w:numPr>
        <w:tabs>
          <w:tab w:val="left" w:pos="1306"/>
        </w:tabs>
        <w:spacing w:after="120"/>
        <w:ind w:left="0" w:right="-58" w:hanging="284"/>
        <w:contextualSpacing w:val="0"/>
        <w:jc w:val="both"/>
        <w:rPr>
          <w:sz w:val="24"/>
          <w:szCs w:val="24"/>
        </w:rPr>
      </w:pPr>
      <w:r w:rsidRPr="00A11588">
        <w:rPr>
          <w:sz w:val="24"/>
          <w:szCs w:val="24"/>
        </w:rPr>
        <w:t xml:space="preserve">Η παρατηρούμενη κάμψη των πωλήσεων στη διάρκεια των μηνών Αυγούστου –Σεπτεμβρίου 2017 δηλώνει τη μη ικανοποιητική πορεία του δεύτερου μήνα των γενικών θερινών εκπτώσεων </w:t>
      </w:r>
      <w:r w:rsidR="00A11588" w:rsidRPr="00A11588">
        <w:rPr>
          <w:sz w:val="24"/>
          <w:szCs w:val="24"/>
        </w:rPr>
        <w:t>και μπορεί να αποδοθεί και σ</w:t>
      </w:r>
      <w:r w:rsidRPr="00A11588">
        <w:rPr>
          <w:sz w:val="24"/>
          <w:szCs w:val="24"/>
        </w:rPr>
        <w:t xml:space="preserve">τη διόγκωση των φορολογικών υποχρεώσεων που συνεπάγεται παραδοσιακά </w:t>
      </w:r>
      <w:r w:rsidR="00A11588" w:rsidRPr="00A11588">
        <w:rPr>
          <w:sz w:val="24"/>
          <w:szCs w:val="24"/>
        </w:rPr>
        <w:t>ο</w:t>
      </w:r>
      <w:r w:rsidRPr="00A11588">
        <w:rPr>
          <w:sz w:val="24"/>
          <w:szCs w:val="24"/>
        </w:rPr>
        <w:t xml:space="preserve"> πρώτος φθινοπωρινός μήνας κάθε έτους  (2</w:t>
      </w:r>
      <w:r w:rsidRPr="00A11588">
        <w:rPr>
          <w:sz w:val="24"/>
          <w:szCs w:val="24"/>
          <w:vertAlign w:val="superscript"/>
        </w:rPr>
        <w:t>η</w:t>
      </w:r>
      <w:r w:rsidRPr="00A11588">
        <w:rPr>
          <w:sz w:val="24"/>
          <w:szCs w:val="24"/>
        </w:rPr>
        <w:t xml:space="preserve"> δόση του φόρου εισοδήματος &amp; 1</w:t>
      </w:r>
      <w:r w:rsidRPr="00A11588">
        <w:rPr>
          <w:sz w:val="24"/>
          <w:szCs w:val="24"/>
          <w:vertAlign w:val="superscript"/>
        </w:rPr>
        <w:t>η</w:t>
      </w:r>
      <w:r w:rsidRPr="00A11588">
        <w:rPr>
          <w:sz w:val="24"/>
          <w:szCs w:val="24"/>
        </w:rPr>
        <w:t xml:space="preserve"> δόση </w:t>
      </w:r>
      <w:r w:rsidRPr="00A11588">
        <w:rPr>
          <w:sz w:val="24"/>
          <w:szCs w:val="24"/>
        </w:rPr>
        <w:lastRenderedPageBreak/>
        <w:t>ΕΝΦΙΑ).</w:t>
      </w:r>
      <w:r w:rsidRPr="00A11588">
        <w:t xml:space="preserve"> </w:t>
      </w:r>
    </w:p>
    <w:p w:rsidR="004A27B4" w:rsidRPr="00A11588" w:rsidRDefault="00515E0C" w:rsidP="004A27B4">
      <w:pPr>
        <w:pStyle w:val="a4"/>
        <w:numPr>
          <w:ilvl w:val="0"/>
          <w:numId w:val="11"/>
        </w:numPr>
        <w:tabs>
          <w:tab w:val="left" w:pos="1306"/>
        </w:tabs>
        <w:spacing w:after="120"/>
        <w:ind w:left="0" w:right="-58" w:hanging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Ορικαή</w:t>
      </w:r>
      <w:r w:rsidR="004A27B4" w:rsidRPr="00A11588">
        <w:rPr>
          <w:sz w:val="24"/>
          <w:szCs w:val="24"/>
        </w:rPr>
        <w:t xml:space="preserve"> βελτίωση κατέγραψε ο εποχικά διορθωμένος ΔΟ στο Λιανικό εμπόριο</w:t>
      </w:r>
      <w:r>
        <w:rPr>
          <w:sz w:val="24"/>
          <w:szCs w:val="24"/>
        </w:rPr>
        <w:t xml:space="preserve"> χωρίς καύσιμα</w:t>
      </w:r>
      <w:r w:rsidR="004A27B4" w:rsidRPr="00A11588">
        <w:rPr>
          <w:sz w:val="24"/>
          <w:szCs w:val="24"/>
        </w:rPr>
        <w:t xml:space="preserve">, </w:t>
      </w:r>
      <w:r w:rsidR="00A11588" w:rsidRPr="00A11588">
        <w:rPr>
          <w:sz w:val="24"/>
          <w:szCs w:val="24"/>
        </w:rPr>
        <w:t xml:space="preserve">τόσο σε </w:t>
      </w:r>
      <w:r w:rsidR="004A27B4" w:rsidRPr="00A11588">
        <w:rPr>
          <w:sz w:val="24"/>
          <w:szCs w:val="24"/>
        </w:rPr>
        <w:t xml:space="preserve">ετήσια (Γ΄ Τρίμηνο 2017/2016: </w:t>
      </w:r>
      <w:r>
        <w:rPr>
          <w:sz w:val="24"/>
          <w:szCs w:val="24"/>
        </w:rPr>
        <w:t>+0,6</w:t>
      </w:r>
      <w:r w:rsidR="004A27B4" w:rsidRPr="00A11588">
        <w:rPr>
          <w:sz w:val="24"/>
          <w:szCs w:val="24"/>
        </w:rPr>
        <w:t>%)</w:t>
      </w:r>
      <w:r w:rsidR="00A11588" w:rsidRPr="00A11588">
        <w:rPr>
          <w:sz w:val="24"/>
          <w:szCs w:val="24"/>
        </w:rPr>
        <w:t xml:space="preserve"> όσο και σε τριμηνιαία βάση</w:t>
      </w:r>
      <w:r w:rsidR="004A27B4" w:rsidRPr="00A11588">
        <w:rPr>
          <w:sz w:val="24"/>
          <w:szCs w:val="24"/>
        </w:rPr>
        <w:t xml:space="preserve"> (Γ΄/Β΄ Τρίμηνο 2017: +</w:t>
      </w:r>
      <w:r>
        <w:rPr>
          <w:sz w:val="24"/>
          <w:szCs w:val="24"/>
        </w:rPr>
        <w:t>0,3</w:t>
      </w:r>
      <w:r w:rsidR="004A27B4" w:rsidRPr="00A11588">
        <w:rPr>
          <w:sz w:val="24"/>
          <w:szCs w:val="24"/>
        </w:rPr>
        <w:t xml:space="preserve">%). Η υπερίσχυση της ετήσιας ποσοστιαίας μεταβολής του </w:t>
      </w:r>
      <w:r w:rsidR="004A27B4" w:rsidRPr="00A11588">
        <w:rPr>
          <w:b/>
          <w:sz w:val="24"/>
          <w:szCs w:val="24"/>
        </w:rPr>
        <w:t>όγκου</w:t>
      </w:r>
      <w:r w:rsidR="004A27B4" w:rsidRPr="00A11588">
        <w:rPr>
          <w:sz w:val="24"/>
          <w:szCs w:val="24"/>
        </w:rPr>
        <w:t xml:space="preserve"> των πωλήσεων λιανικής έναντι της </w:t>
      </w:r>
      <w:r w:rsidR="004A27B4" w:rsidRPr="00A11588">
        <w:rPr>
          <w:b/>
          <w:sz w:val="24"/>
          <w:szCs w:val="24"/>
        </w:rPr>
        <w:t>αξίας</w:t>
      </w:r>
      <w:r w:rsidR="004A27B4" w:rsidRPr="00A11588">
        <w:rPr>
          <w:sz w:val="24"/>
          <w:szCs w:val="24"/>
        </w:rPr>
        <w:t xml:space="preserve"> τους στο πρώτο εννιάμηνο του 2017 (Α΄ εννιάμηνο 2017/2016: +1,9% έναντι +1,3% αντίστοιχα) </w:t>
      </w:r>
      <w:r w:rsidR="00A11588" w:rsidRPr="00A11588">
        <w:rPr>
          <w:sz w:val="24"/>
          <w:szCs w:val="24"/>
        </w:rPr>
        <w:t xml:space="preserve">επιβεβαιώνει </w:t>
      </w:r>
      <w:r w:rsidR="004A27B4" w:rsidRPr="00A11588">
        <w:rPr>
          <w:sz w:val="24"/>
          <w:szCs w:val="24"/>
        </w:rPr>
        <w:t>τα οφέλη που συνεπάγονται για το καταναλωτικό κοινό οι προσφορές που λαμβάνουν χώρα στα καταστήματα λιανικής.</w:t>
      </w:r>
    </w:p>
    <w:p w:rsidR="004A27B4" w:rsidRPr="00AA6E5D" w:rsidRDefault="004A27B4" w:rsidP="004A27B4">
      <w:pPr>
        <w:spacing w:after="120" w:line="240" w:lineRule="auto"/>
        <w:ind w:right="-58"/>
        <w:jc w:val="both"/>
        <w:rPr>
          <w:i/>
          <w:sz w:val="20"/>
          <w:szCs w:val="20"/>
        </w:rPr>
      </w:pPr>
      <w:r w:rsidRPr="00E10134">
        <w:rPr>
          <w:b/>
          <w:color w:val="EB6A20"/>
          <w:sz w:val="26"/>
          <w:szCs w:val="26"/>
        </w:rPr>
        <w:t xml:space="preserve">Διάγραμμα 4: </w:t>
      </w:r>
      <w:r w:rsidRPr="00E10134">
        <w:rPr>
          <w:b/>
          <w:sz w:val="24"/>
          <w:szCs w:val="24"/>
        </w:rPr>
        <w:t xml:space="preserve">Δείκτης Κύκλου Εργασιών (ΔΚΕ) στο Χονδρικό Εμπόριο </w:t>
      </w:r>
      <w:r w:rsidRPr="00E10134">
        <w:rPr>
          <w:b/>
          <w:i/>
          <w:sz w:val="24"/>
          <w:szCs w:val="24"/>
        </w:rPr>
        <w:t>(εποχικά διορθωμένος</w:t>
      </w:r>
      <w:r w:rsidR="00515E0C">
        <w:rPr>
          <w:b/>
          <w:i/>
          <w:sz w:val="24"/>
          <w:szCs w:val="24"/>
        </w:rPr>
        <w:t>, χωρίς καύσιμα</w:t>
      </w:r>
      <w:r w:rsidRPr="00E10134">
        <w:rPr>
          <w:b/>
          <w:i/>
          <w:sz w:val="24"/>
          <w:szCs w:val="24"/>
        </w:rPr>
        <w:t xml:space="preserve"> - πηγή: ΕΛ.ΣΤΑΤ.)</w:t>
      </w:r>
    </w:p>
    <w:p w:rsidR="004A27B4" w:rsidRPr="00AE6B54" w:rsidRDefault="004A27B4" w:rsidP="004A27B4">
      <w:pPr>
        <w:pStyle w:val="a4"/>
        <w:tabs>
          <w:tab w:val="left" w:pos="1306"/>
        </w:tabs>
        <w:spacing w:after="120"/>
        <w:ind w:left="0" w:right="-58"/>
        <w:contextualSpacing w:val="0"/>
        <w:jc w:val="both"/>
        <w:rPr>
          <w:b/>
          <w:color w:val="EB6A20"/>
          <w:sz w:val="24"/>
          <w:szCs w:val="24"/>
        </w:rPr>
      </w:pPr>
      <w:r w:rsidRPr="00E71BA4">
        <w:rPr>
          <w:b/>
          <w:noProof/>
          <w:color w:val="EB6A20"/>
          <w:sz w:val="24"/>
          <w:szCs w:val="24"/>
          <w:lang w:eastAsia="el-GR"/>
        </w:rPr>
        <w:drawing>
          <wp:inline distT="0" distB="0" distL="0" distR="0">
            <wp:extent cx="5274310" cy="2999477"/>
            <wp:effectExtent l="19050" t="0" r="21590" b="0"/>
            <wp:docPr id="6" name="Γράφημα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A27B4" w:rsidRPr="00A11588" w:rsidRDefault="004A27B4" w:rsidP="004A27B4">
      <w:pPr>
        <w:pStyle w:val="a4"/>
        <w:numPr>
          <w:ilvl w:val="0"/>
          <w:numId w:val="11"/>
        </w:numPr>
        <w:tabs>
          <w:tab w:val="left" w:pos="1306"/>
        </w:tabs>
        <w:spacing w:after="120"/>
        <w:ind w:left="0" w:right="-58" w:hanging="284"/>
        <w:contextualSpacing w:val="0"/>
        <w:jc w:val="both"/>
        <w:rPr>
          <w:sz w:val="24"/>
          <w:szCs w:val="24"/>
        </w:rPr>
      </w:pPr>
      <w:r w:rsidRPr="00A11588">
        <w:rPr>
          <w:sz w:val="24"/>
          <w:szCs w:val="24"/>
        </w:rPr>
        <w:t xml:space="preserve">Ανάκαμψη κατέγραψε ο εποχικά διορθωμένος ΔΚΕ στο Χονδρικό εμπόριο στη διάρκεια του Γ΄ Τριμήνου 2017, μία διαπίστωση που τεκμηριώνεται από την τριμηνιαία  σύγκριση του δείκτη (Γ΄/Β΄ Τρίμηνο 2017: +1,0%) αλλά πολύ περισσότερο από την ετήσια ποσοστιαία μεταβολή του (Γ΄ Τρίμηνο 2017/2016: +3,0%). Μάλιστα, σε επίπεδο εννιαμήνου η βελτίωση αποτυπώνεται με ακόμη εμφατικότερο τρόπο (Α΄ εννιάμηνο 2017/2016: +4,1%), συνέπεια της θετικής ετήσιας μεταβολής που παρατηρήθηκε και στα τρία πρώτα τρίμηνα του 2017. </w:t>
      </w:r>
    </w:p>
    <w:p w:rsidR="004A27B4" w:rsidRPr="00A11588" w:rsidRDefault="004A27B4" w:rsidP="004A27B4">
      <w:pPr>
        <w:pStyle w:val="a4"/>
        <w:numPr>
          <w:ilvl w:val="0"/>
          <w:numId w:val="11"/>
        </w:numPr>
        <w:tabs>
          <w:tab w:val="left" w:pos="1306"/>
        </w:tabs>
        <w:spacing w:after="120"/>
        <w:ind w:left="0" w:right="-58" w:hanging="284"/>
        <w:contextualSpacing w:val="0"/>
        <w:jc w:val="both"/>
        <w:rPr>
          <w:sz w:val="24"/>
          <w:szCs w:val="24"/>
        </w:rPr>
      </w:pPr>
      <w:r w:rsidRPr="00A11588">
        <w:rPr>
          <w:sz w:val="24"/>
          <w:szCs w:val="24"/>
        </w:rPr>
        <w:t xml:space="preserve">Η παραπάνω εξέλιξη μπορεί να ερμηνευτεί από τη σταδιακή χαλάρωση των </w:t>
      </w:r>
      <w:r w:rsidRPr="00A11588">
        <w:rPr>
          <w:sz w:val="24"/>
          <w:szCs w:val="24"/>
          <w:lang w:val="en-US"/>
        </w:rPr>
        <w:t>Capital</w:t>
      </w:r>
      <w:r w:rsidRPr="00A11588">
        <w:rPr>
          <w:sz w:val="24"/>
          <w:szCs w:val="24"/>
        </w:rPr>
        <w:t xml:space="preserve"> </w:t>
      </w:r>
      <w:r w:rsidRPr="00A11588">
        <w:rPr>
          <w:sz w:val="24"/>
          <w:szCs w:val="24"/>
          <w:lang w:val="en-US"/>
        </w:rPr>
        <w:t>Controls</w:t>
      </w:r>
      <w:r w:rsidR="00A11588">
        <w:rPr>
          <w:sz w:val="24"/>
          <w:szCs w:val="24"/>
        </w:rPr>
        <w:t xml:space="preserve">, </w:t>
      </w:r>
      <w:r w:rsidRPr="00A11588">
        <w:rPr>
          <w:sz w:val="24"/>
          <w:szCs w:val="24"/>
        </w:rPr>
        <w:t>το μεγαλύτερο βαθμό ευελιξίας και</w:t>
      </w:r>
      <w:r w:rsidR="00A11588">
        <w:rPr>
          <w:sz w:val="24"/>
          <w:szCs w:val="24"/>
        </w:rPr>
        <w:t xml:space="preserve"> του</w:t>
      </w:r>
      <w:r w:rsidRPr="00A11588">
        <w:rPr>
          <w:sz w:val="24"/>
          <w:szCs w:val="24"/>
        </w:rPr>
        <w:t xml:space="preserve"> καλύτερου προγραμματισμού στον οποίο μπορούν να προβούν οι επιχειρήσεις. Παράλληλα, η ιδιαίτερα ενθαρρυντική πορεία του Τουρισμού στη διάρκεια του Γ΄ Τριμήνου του 2017 αλλά και η ανάγκη εφοδιασμού τω</w:t>
      </w:r>
      <w:r w:rsidR="00A11588">
        <w:rPr>
          <w:sz w:val="24"/>
          <w:szCs w:val="24"/>
        </w:rPr>
        <w:t>ν</w:t>
      </w:r>
      <w:r w:rsidRPr="00A11588">
        <w:rPr>
          <w:sz w:val="24"/>
          <w:szCs w:val="24"/>
        </w:rPr>
        <w:t xml:space="preserve"> καταστημάτων λιανικής πριν την έναρξη της φθινοπωρινής/</w:t>
      </w:r>
      <w:r w:rsidR="00A11588">
        <w:rPr>
          <w:sz w:val="24"/>
          <w:szCs w:val="24"/>
        </w:rPr>
        <w:t xml:space="preserve"> </w:t>
      </w:r>
      <w:r w:rsidRPr="00A11588">
        <w:rPr>
          <w:sz w:val="24"/>
          <w:szCs w:val="24"/>
        </w:rPr>
        <w:t>χειμερινής περιόδου, αποτέλεσαν σημαντικούς παράγοντες τόνωσης των παραγγελιών.</w:t>
      </w:r>
    </w:p>
    <w:p w:rsidR="004A27B4" w:rsidRPr="001C14D4" w:rsidRDefault="004A27B4" w:rsidP="004A27B4">
      <w:pPr>
        <w:spacing w:after="120" w:line="240" w:lineRule="auto"/>
        <w:ind w:left="-284" w:right="-58"/>
        <w:jc w:val="both"/>
        <w:rPr>
          <w:i/>
          <w:sz w:val="24"/>
          <w:szCs w:val="24"/>
        </w:rPr>
      </w:pPr>
      <w:r w:rsidRPr="006C64DF">
        <w:rPr>
          <w:b/>
          <w:color w:val="EB6A20"/>
          <w:sz w:val="26"/>
          <w:szCs w:val="26"/>
        </w:rPr>
        <w:lastRenderedPageBreak/>
        <w:t xml:space="preserve">Διάγραμμα 5: </w:t>
      </w:r>
      <w:r w:rsidRPr="006C64DF">
        <w:rPr>
          <w:b/>
          <w:sz w:val="24"/>
          <w:szCs w:val="24"/>
        </w:rPr>
        <w:t xml:space="preserve">Δείκτης Κύκλου Εργασιών (ΔΚΕ) στο Εμπόριο </w:t>
      </w:r>
      <w:r>
        <w:rPr>
          <w:b/>
          <w:sz w:val="24"/>
          <w:szCs w:val="24"/>
        </w:rPr>
        <w:t>Μηχανοκίνητων Οχημάτων</w:t>
      </w:r>
      <w:r w:rsidRPr="006C64DF">
        <w:rPr>
          <w:b/>
          <w:sz w:val="24"/>
          <w:szCs w:val="24"/>
        </w:rPr>
        <w:t xml:space="preserve"> (451) </w:t>
      </w:r>
      <w:r w:rsidRPr="006C64DF">
        <w:rPr>
          <w:b/>
          <w:i/>
          <w:sz w:val="24"/>
          <w:szCs w:val="24"/>
        </w:rPr>
        <w:t>(εποχικά διορθωμένος - πηγή: ΕΛ.ΣΤΑΤ.)</w:t>
      </w:r>
    </w:p>
    <w:p w:rsidR="004A27B4" w:rsidRDefault="004A27B4" w:rsidP="004A27B4">
      <w:pPr>
        <w:ind w:left="-284" w:right="-58"/>
      </w:pPr>
      <w:r w:rsidRPr="00ED2A42">
        <w:rPr>
          <w:noProof/>
          <w:lang w:eastAsia="el-GR"/>
        </w:rPr>
        <w:drawing>
          <wp:inline distT="0" distB="0" distL="0" distR="0">
            <wp:extent cx="5464810" cy="2878883"/>
            <wp:effectExtent l="19050" t="0" r="21590" b="0"/>
            <wp:docPr id="8" name="Γράφημα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A27B4" w:rsidRPr="005E1088" w:rsidRDefault="004A27B4" w:rsidP="004A27B4">
      <w:pPr>
        <w:pStyle w:val="a4"/>
        <w:numPr>
          <w:ilvl w:val="0"/>
          <w:numId w:val="8"/>
        </w:numPr>
        <w:spacing w:after="120"/>
        <w:ind w:left="0" w:right="-58" w:hanging="284"/>
        <w:contextualSpacing w:val="0"/>
        <w:jc w:val="both"/>
        <w:rPr>
          <w:bCs/>
          <w:sz w:val="24"/>
          <w:szCs w:val="24"/>
        </w:rPr>
      </w:pPr>
      <w:r w:rsidRPr="005E1088">
        <w:rPr>
          <w:bCs/>
          <w:sz w:val="24"/>
          <w:szCs w:val="24"/>
        </w:rPr>
        <w:t>Αξιοσημείωτη βελτίωση εμφάνισε ο εποχικά διορθωμένος ΔΚΕ στο Εμπόριο Μηχανοκίνητων Οχημάτων στη διάρκεια του Γ΄ Τριμήνου 2017, όχι μόνο σε τριμηνιαία βάση (Γ΄/Β΄ Τρίμηνο 2017: +4,7%) αλλά και σε σύγκριση με το αντίστοιχο διάστημα του 2016 (Γ΄ Τρίμηνο 2017/2016: +3,7%). Η</w:t>
      </w:r>
      <w:r w:rsidR="00A11588" w:rsidRPr="005E1088">
        <w:rPr>
          <w:bCs/>
          <w:sz w:val="24"/>
          <w:szCs w:val="24"/>
        </w:rPr>
        <w:t>,</w:t>
      </w:r>
      <w:r w:rsidRPr="005E1088">
        <w:rPr>
          <w:bCs/>
          <w:sz w:val="24"/>
          <w:szCs w:val="24"/>
        </w:rPr>
        <w:t xml:space="preserve"> σε τριμηνιαία βάση</w:t>
      </w:r>
      <w:r w:rsidR="00A11588" w:rsidRPr="005E1088">
        <w:rPr>
          <w:bCs/>
          <w:sz w:val="24"/>
          <w:szCs w:val="24"/>
        </w:rPr>
        <w:t>,</w:t>
      </w:r>
      <w:r w:rsidRPr="005E1088">
        <w:rPr>
          <w:bCs/>
          <w:sz w:val="24"/>
          <w:szCs w:val="24"/>
        </w:rPr>
        <w:t xml:space="preserve"> </w:t>
      </w:r>
      <w:r w:rsidR="00A11588" w:rsidRPr="005E1088">
        <w:rPr>
          <w:bCs/>
          <w:sz w:val="24"/>
          <w:szCs w:val="24"/>
        </w:rPr>
        <w:t>ενίσχυση</w:t>
      </w:r>
      <w:r w:rsidRPr="005E1088">
        <w:rPr>
          <w:bCs/>
          <w:sz w:val="24"/>
          <w:szCs w:val="24"/>
        </w:rPr>
        <w:t xml:space="preserve"> του δείκτη, </w:t>
      </w:r>
      <w:r w:rsidR="00A11588" w:rsidRPr="005E1088">
        <w:rPr>
          <w:bCs/>
          <w:sz w:val="24"/>
          <w:szCs w:val="24"/>
        </w:rPr>
        <w:t xml:space="preserve">παρατηρείται </w:t>
      </w:r>
      <w:r w:rsidRPr="005E1088">
        <w:rPr>
          <w:bCs/>
          <w:sz w:val="24"/>
          <w:szCs w:val="24"/>
        </w:rPr>
        <w:t xml:space="preserve">σε μία χρονική περίοδο (Γ΄ Τρίμηνα 2017/2016) κατά την οποία, με εξαίρεση το Α΄ Τρίμηνο του 2017, η πτώση των πωλήσεων αυτοκινήτων προκαλούσε έντονο προβληματισμό στους φορείς του κλάδου. </w:t>
      </w:r>
    </w:p>
    <w:p w:rsidR="004A27B4" w:rsidRDefault="004A27B4" w:rsidP="004A27B4">
      <w:pPr>
        <w:pStyle w:val="a4"/>
        <w:numPr>
          <w:ilvl w:val="0"/>
          <w:numId w:val="8"/>
        </w:numPr>
        <w:spacing w:after="120"/>
        <w:ind w:left="0" w:right="-58" w:hanging="284"/>
        <w:contextualSpacing w:val="0"/>
        <w:jc w:val="both"/>
        <w:rPr>
          <w:bCs/>
          <w:sz w:val="24"/>
          <w:szCs w:val="24"/>
        </w:rPr>
      </w:pPr>
      <w:r w:rsidRPr="006D7F6A">
        <w:rPr>
          <w:bCs/>
          <w:sz w:val="24"/>
          <w:szCs w:val="24"/>
        </w:rPr>
        <w:t>Η ικανοποιητική πορεία της τουριστικής περιόδου και η βελτίωση της ρευστότητας των επιχειρήσεων, λόγω και της περαιτέρω χαλάρωσης των κεφαλαιακών περιορισμών, συνέδραμαν αποφασιστικά στην ανάκαμψη των πωλήσεων αυτοκινήτων κατά τη διάρκεια του Γ΄ Τριμήνου 2017.</w:t>
      </w:r>
      <w:r w:rsidR="005E1088" w:rsidRPr="006D7F6A">
        <w:rPr>
          <w:bCs/>
          <w:sz w:val="24"/>
          <w:szCs w:val="24"/>
        </w:rPr>
        <w:t xml:space="preserve"> </w:t>
      </w:r>
      <w:r w:rsidRPr="006D7F6A">
        <w:rPr>
          <w:bCs/>
          <w:sz w:val="24"/>
          <w:szCs w:val="24"/>
        </w:rPr>
        <w:t>Προς επίρρωση της παραπάνω διαπίστωσης και σύμφωνα με τα τελευταία διαθέσιμα στοιχεία της ΕΛ.ΣΤΑΤ. η χορήγηση αδειών κυκλοφορίας οχημάτων στο εξεταζόμενο τρίμηνο ήταν σημαντικά μεγαλύτερη από εκείνη του αντίστοιχου τριμήνου του 2016 (Γ΄ Τρίμηνο 2017/2016: +29,7%).</w:t>
      </w:r>
      <w:r w:rsidR="005E1088" w:rsidRPr="006D7F6A">
        <w:rPr>
          <w:bCs/>
          <w:sz w:val="24"/>
          <w:szCs w:val="24"/>
        </w:rPr>
        <w:t xml:space="preserve"> Οι αιτίες για αυτή τη σημαντική μεταβολή θα πρέπει να αναζητηθούν στη βελτίωση των προσδοκιών καθώς η αγορά προεξοφλούσε την έγκαιρη ολοκλήρωση της τρίτης αξιολόγησης, όπως και έγινε</w:t>
      </w:r>
      <w:r w:rsidR="006D7F6A">
        <w:rPr>
          <w:bCs/>
          <w:sz w:val="24"/>
          <w:szCs w:val="24"/>
        </w:rPr>
        <w:t>, αλλά και στην επιβράδυνση της μείωσης του ρυθμού τραπεζικής χρηματοδότησης της κατανάλωσης</w:t>
      </w:r>
      <w:r w:rsidR="005E1088" w:rsidRPr="006D7F6A">
        <w:rPr>
          <w:bCs/>
          <w:sz w:val="24"/>
          <w:szCs w:val="24"/>
        </w:rPr>
        <w:t>.</w:t>
      </w:r>
      <w:r w:rsidRPr="006D7F6A">
        <w:rPr>
          <w:bCs/>
          <w:sz w:val="24"/>
          <w:szCs w:val="24"/>
        </w:rPr>
        <w:t xml:space="preserve"> Πλέον, το ζητούμενο είναι η διατήρηση και η τόνωση της καταναλωτικής δαπάνης για διαρκή καταναλωτικά αγαθά στο προσεχές διάστημα, προκειμένου οι επιχειρήσεις του κλάδου να αναπτύξουν μία σταθερά δυναμική πορεία.   </w:t>
      </w:r>
    </w:p>
    <w:p w:rsidR="006D7F6A" w:rsidRDefault="006D7F6A" w:rsidP="006D7F6A">
      <w:pPr>
        <w:spacing w:after="120"/>
        <w:ind w:right="-58"/>
        <w:jc w:val="both"/>
        <w:rPr>
          <w:bCs/>
          <w:sz w:val="24"/>
          <w:szCs w:val="24"/>
        </w:rPr>
      </w:pPr>
    </w:p>
    <w:p w:rsidR="008F1957" w:rsidRDefault="008F1957" w:rsidP="00C51225">
      <w:pPr>
        <w:ind w:right="-58"/>
        <w:jc w:val="both"/>
        <w:rPr>
          <w:b/>
          <w:color w:val="EB6A20"/>
          <w:sz w:val="26"/>
          <w:szCs w:val="26"/>
        </w:rPr>
      </w:pPr>
    </w:p>
    <w:p w:rsidR="00C51225" w:rsidRDefault="00FC6095" w:rsidP="00C51225">
      <w:pPr>
        <w:ind w:right="-58"/>
        <w:jc w:val="both"/>
        <w:rPr>
          <w:b/>
          <w:i/>
          <w:sz w:val="24"/>
          <w:szCs w:val="24"/>
        </w:rPr>
      </w:pPr>
      <w:r>
        <w:rPr>
          <w:b/>
          <w:color w:val="EB6A20"/>
          <w:sz w:val="26"/>
          <w:szCs w:val="26"/>
        </w:rPr>
        <w:t>Διάγραμμα 6</w:t>
      </w:r>
      <w:r w:rsidR="00C51225">
        <w:rPr>
          <w:b/>
          <w:color w:val="EB6A20"/>
          <w:sz w:val="26"/>
          <w:szCs w:val="26"/>
        </w:rPr>
        <w:t>α</w:t>
      </w:r>
      <w:r w:rsidR="00C51225" w:rsidRPr="00B633B6">
        <w:rPr>
          <w:b/>
          <w:color w:val="EB6A20"/>
          <w:sz w:val="26"/>
          <w:szCs w:val="26"/>
        </w:rPr>
        <w:t>:</w:t>
      </w:r>
      <w:r w:rsidR="00C51225" w:rsidRPr="00697EFF">
        <w:rPr>
          <w:b/>
          <w:color w:val="EB6A20"/>
        </w:rPr>
        <w:t xml:space="preserve"> </w:t>
      </w:r>
      <w:r w:rsidR="00C51225" w:rsidRPr="00C51225">
        <w:rPr>
          <w:b/>
          <w:sz w:val="24"/>
          <w:szCs w:val="24"/>
        </w:rPr>
        <w:t xml:space="preserve">Επίπεδο ανεργίας </w:t>
      </w:r>
      <w:r w:rsidR="00C51225">
        <w:rPr>
          <w:b/>
          <w:sz w:val="24"/>
          <w:szCs w:val="24"/>
        </w:rPr>
        <w:t xml:space="preserve">(%) </w:t>
      </w:r>
      <w:r w:rsidR="00C51225" w:rsidRPr="00C51225">
        <w:rPr>
          <w:b/>
          <w:sz w:val="24"/>
          <w:szCs w:val="24"/>
        </w:rPr>
        <w:t xml:space="preserve">στην ελληνική οικονομία κατά τρίμηνο </w:t>
      </w:r>
      <w:r w:rsidR="00C51225">
        <w:rPr>
          <w:b/>
          <w:sz w:val="24"/>
          <w:szCs w:val="24"/>
        </w:rPr>
        <w:t>(</w:t>
      </w:r>
      <w:r w:rsidR="00C51225" w:rsidRPr="00C51225">
        <w:rPr>
          <w:b/>
          <w:i/>
          <w:sz w:val="24"/>
          <w:szCs w:val="24"/>
        </w:rPr>
        <w:t>πηγή: ΕΛ.ΣΤΑΤ.)</w:t>
      </w:r>
    </w:p>
    <w:p w:rsidR="007067E0" w:rsidRDefault="007067E0" w:rsidP="00C51225">
      <w:pPr>
        <w:ind w:right="-58"/>
        <w:jc w:val="both"/>
        <w:rPr>
          <w:b/>
          <w:i/>
          <w:sz w:val="24"/>
          <w:szCs w:val="24"/>
        </w:rPr>
      </w:pPr>
      <w:r w:rsidRPr="007067E0">
        <w:rPr>
          <w:b/>
          <w:i/>
          <w:noProof/>
          <w:sz w:val="24"/>
          <w:szCs w:val="24"/>
          <w:lang w:eastAsia="el-GR"/>
        </w:rPr>
        <w:drawing>
          <wp:inline distT="0" distB="0" distL="0" distR="0">
            <wp:extent cx="5281858" cy="3096883"/>
            <wp:effectExtent l="19050" t="0" r="14042" b="8267"/>
            <wp:docPr id="7" name="Γράφημα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067E0" w:rsidRDefault="007067E0" w:rsidP="00C51225">
      <w:pPr>
        <w:ind w:right="-58"/>
        <w:jc w:val="both"/>
        <w:rPr>
          <w:b/>
          <w:i/>
          <w:sz w:val="24"/>
          <w:szCs w:val="24"/>
        </w:rPr>
      </w:pPr>
    </w:p>
    <w:p w:rsidR="003467B6" w:rsidRDefault="003467B6" w:rsidP="00B818D1">
      <w:pPr>
        <w:ind w:right="-58"/>
        <w:jc w:val="both"/>
        <w:rPr>
          <w:b/>
          <w:i/>
          <w:sz w:val="24"/>
          <w:szCs w:val="24"/>
        </w:rPr>
      </w:pPr>
      <w:r w:rsidRPr="00B633B6">
        <w:rPr>
          <w:b/>
          <w:color w:val="EB6A20"/>
          <w:sz w:val="26"/>
          <w:szCs w:val="26"/>
        </w:rPr>
        <w:t xml:space="preserve">Διάγραμμα </w:t>
      </w:r>
      <w:r w:rsidR="00FC6095">
        <w:rPr>
          <w:b/>
          <w:color w:val="EB6A20"/>
          <w:sz w:val="26"/>
          <w:szCs w:val="26"/>
        </w:rPr>
        <w:t>6</w:t>
      </w:r>
      <w:r w:rsidR="00C51225">
        <w:rPr>
          <w:b/>
          <w:color w:val="EB6A20"/>
          <w:sz w:val="26"/>
          <w:szCs w:val="26"/>
        </w:rPr>
        <w:t>β</w:t>
      </w:r>
      <w:r w:rsidRPr="00B633B6">
        <w:rPr>
          <w:b/>
          <w:color w:val="EB6A20"/>
          <w:sz w:val="26"/>
          <w:szCs w:val="26"/>
        </w:rPr>
        <w:t>:</w:t>
      </w:r>
      <w:r w:rsidRPr="00697EFF">
        <w:rPr>
          <w:b/>
          <w:color w:val="EB6A20"/>
        </w:rPr>
        <w:t xml:space="preserve"> </w:t>
      </w:r>
      <w:r w:rsidRPr="00C51225">
        <w:rPr>
          <w:b/>
          <w:sz w:val="24"/>
          <w:szCs w:val="24"/>
        </w:rPr>
        <w:t xml:space="preserve">Απασχολούμενοι </w:t>
      </w:r>
      <w:r w:rsidRPr="00FC6095">
        <w:rPr>
          <w:b/>
          <w:sz w:val="24"/>
          <w:szCs w:val="24"/>
          <w:u w:val="single"/>
        </w:rPr>
        <w:t>στο εμπόριο</w:t>
      </w:r>
      <w:r w:rsidRPr="00C51225">
        <w:rPr>
          <w:b/>
          <w:sz w:val="24"/>
          <w:szCs w:val="24"/>
        </w:rPr>
        <w:t xml:space="preserve"> και ρυθμός μεταβολής της απασχόλησης κατά τρίμηνο </w:t>
      </w:r>
      <w:r w:rsidRPr="006D2B73">
        <w:rPr>
          <w:b/>
          <w:sz w:val="24"/>
          <w:szCs w:val="24"/>
        </w:rPr>
        <w:t>(</w:t>
      </w:r>
      <w:r w:rsidR="006D2B73">
        <w:rPr>
          <w:b/>
          <w:sz w:val="24"/>
          <w:szCs w:val="24"/>
        </w:rPr>
        <w:t>τριμηνιαία σύγκριση</w:t>
      </w:r>
      <w:r w:rsidRPr="006D2B73">
        <w:rPr>
          <w:b/>
          <w:sz w:val="24"/>
          <w:szCs w:val="24"/>
        </w:rPr>
        <w:t xml:space="preserve">, </w:t>
      </w:r>
      <w:r w:rsidRPr="00C51225">
        <w:rPr>
          <w:b/>
          <w:i/>
          <w:sz w:val="24"/>
          <w:szCs w:val="24"/>
        </w:rPr>
        <w:t>πηγή: ΕΛ.ΣΤΑΤ.)</w:t>
      </w:r>
    </w:p>
    <w:p w:rsidR="00C909BB" w:rsidRDefault="00C909BB" w:rsidP="00B818D1">
      <w:pPr>
        <w:ind w:right="-58"/>
        <w:jc w:val="both"/>
        <w:rPr>
          <w:b/>
          <w:i/>
          <w:sz w:val="24"/>
          <w:szCs w:val="24"/>
        </w:rPr>
      </w:pPr>
      <w:r w:rsidRPr="00C909BB">
        <w:rPr>
          <w:b/>
          <w:i/>
          <w:noProof/>
          <w:sz w:val="24"/>
          <w:szCs w:val="24"/>
          <w:lang w:eastAsia="el-GR"/>
        </w:rPr>
        <w:drawing>
          <wp:inline distT="0" distB="0" distL="0" distR="0">
            <wp:extent cx="5274310" cy="2967410"/>
            <wp:effectExtent l="19050" t="0" r="21590" b="4390"/>
            <wp:docPr id="11" name="Γράφημα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C51225" w:rsidRPr="00E516DB" w:rsidRDefault="00C909BB" w:rsidP="00935168">
      <w:pPr>
        <w:pStyle w:val="a4"/>
        <w:numPr>
          <w:ilvl w:val="0"/>
          <w:numId w:val="2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Πολύ θετικά αποτιμάται η</w:t>
      </w:r>
      <w:r w:rsidR="00046AE7">
        <w:rPr>
          <w:sz w:val="24"/>
          <w:szCs w:val="24"/>
        </w:rPr>
        <w:t xml:space="preserve"> διατήρηση της πτωτικής τάσης του ποσοστού ανεργίας</w:t>
      </w:r>
      <w:r>
        <w:rPr>
          <w:sz w:val="24"/>
          <w:szCs w:val="24"/>
        </w:rPr>
        <w:t xml:space="preserve">, </w:t>
      </w:r>
      <w:r w:rsidR="00046AE7"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ιδιαίτερα αν ληφθεί υπόψη το μέγεθός της</w:t>
      </w:r>
      <w:r w:rsidR="00046AE7">
        <w:rPr>
          <w:sz w:val="24"/>
          <w:szCs w:val="24"/>
        </w:rPr>
        <w:t xml:space="preserve">. </w:t>
      </w:r>
    </w:p>
    <w:p w:rsidR="00465697" w:rsidRPr="00E516DB" w:rsidRDefault="00465697" w:rsidP="00465697">
      <w:pPr>
        <w:pStyle w:val="a4"/>
        <w:numPr>
          <w:ilvl w:val="0"/>
          <w:numId w:val="2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 w:rsidRPr="00E516DB">
        <w:rPr>
          <w:sz w:val="24"/>
          <w:szCs w:val="24"/>
        </w:rPr>
        <w:t xml:space="preserve">Η </w:t>
      </w:r>
      <w:r w:rsidR="00046AE7">
        <w:rPr>
          <w:sz w:val="24"/>
          <w:szCs w:val="24"/>
        </w:rPr>
        <w:t xml:space="preserve">περαιτέρω </w:t>
      </w:r>
      <w:r w:rsidRPr="00E516DB">
        <w:rPr>
          <w:sz w:val="24"/>
          <w:szCs w:val="24"/>
        </w:rPr>
        <w:t xml:space="preserve">μείωση του αριθμού των ανέργων </w:t>
      </w:r>
      <w:r w:rsidR="00046AE7">
        <w:rPr>
          <w:sz w:val="24"/>
          <w:szCs w:val="24"/>
        </w:rPr>
        <w:t xml:space="preserve">(κατά </w:t>
      </w:r>
      <w:r w:rsidR="004E6F5C">
        <w:rPr>
          <w:sz w:val="24"/>
          <w:szCs w:val="24"/>
        </w:rPr>
        <w:t>4,6</w:t>
      </w:r>
      <w:r w:rsidR="00046AE7">
        <w:rPr>
          <w:sz w:val="24"/>
          <w:szCs w:val="24"/>
        </w:rPr>
        <w:t xml:space="preserve">% σε τριμηνιαία και </w:t>
      </w:r>
      <w:r w:rsidR="004E6F5C">
        <w:rPr>
          <w:sz w:val="24"/>
          <w:szCs w:val="24"/>
        </w:rPr>
        <w:t>11,2</w:t>
      </w:r>
      <w:r w:rsidR="00046AE7">
        <w:rPr>
          <w:sz w:val="24"/>
          <w:szCs w:val="24"/>
        </w:rPr>
        <w:t xml:space="preserve">% σε ετήσια βάση) </w:t>
      </w:r>
      <w:r w:rsidRPr="00E516DB">
        <w:rPr>
          <w:sz w:val="24"/>
          <w:szCs w:val="24"/>
        </w:rPr>
        <w:t>σχετίζεται με την οικονομική μεγέθυνση (0</w:t>
      </w:r>
      <w:r w:rsidR="004B6DA5">
        <w:rPr>
          <w:sz w:val="24"/>
          <w:szCs w:val="24"/>
        </w:rPr>
        <w:t>,</w:t>
      </w:r>
      <w:r w:rsidR="003F641E">
        <w:rPr>
          <w:sz w:val="24"/>
          <w:szCs w:val="24"/>
        </w:rPr>
        <w:t>3</w:t>
      </w:r>
      <w:r w:rsidRPr="00E516DB">
        <w:rPr>
          <w:sz w:val="24"/>
          <w:szCs w:val="24"/>
        </w:rPr>
        <w:t>%</w:t>
      </w:r>
      <w:r w:rsidR="004B6DA5">
        <w:rPr>
          <w:sz w:val="24"/>
          <w:szCs w:val="24"/>
        </w:rPr>
        <w:t xml:space="preserve"> σε σχέση με</w:t>
      </w:r>
      <w:r w:rsidRPr="00E516DB">
        <w:rPr>
          <w:sz w:val="24"/>
          <w:szCs w:val="24"/>
        </w:rPr>
        <w:t xml:space="preserve"> το </w:t>
      </w:r>
      <w:r w:rsidR="003F641E">
        <w:rPr>
          <w:sz w:val="24"/>
          <w:szCs w:val="24"/>
        </w:rPr>
        <w:t>δεύτερο</w:t>
      </w:r>
      <w:r w:rsidRPr="00E516DB">
        <w:rPr>
          <w:sz w:val="24"/>
          <w:szCs w:val="24"/>
        </w:rPr>
        <w:t xml:space="preserve"> τρίμηνο του έτους</w:t>
      </w:r>
      <w:r w:rsidR="003F641E">
        <w:rPr>
          <w:sz w:val="24"/>
          <w:szCs w:val="24"/>
        </w:rPr>
        <w:t xml:space="preserve"> αλλά τα στοιχεία είναι πολύ πιθανό να αναθεωρηθούν προς τα πάνω</w:t>
      </w:r>
      <w:r w:rsidRPr="00E516DB">
        <w:rPr>
          <w:sz w:val="24"/>
          <w:szCs w:val="24"/>
        </w:rPr>
        <w:t>)</w:t>
      </w:r>
      <w:r w:rsidR="003F641E">
        <w:rPr>
          <w:sz w:val="24"/>
          <w:szCs w:val="24"/>
        </w:rPr>
        <w:t xml:space="preserve"> αλλά και τη βελτίωση των προσδοκιών. Περισσότερο ευνοημένοι φαίνονται οι κλάδοι </w:t>
      </w:r>
      <w:r w:rsidR="008A6902">
        <w:rPr>
          <w:sz w:val="24"/>
          <w:szCs w:val="24"/>
        </w:rPr>
        <w:t>καταλ</w:t>
      </w:r>
      <w:r w:rsidR="003F641E">
        <w:rPr>
          <w:sz w:val="24"/>
          <w:szCs w:val="24"/>
        </w:rPr>
        <w:t>υμάτων και</w:t>
      </w:r>
      <w:r w:rsidR="008A6902">
        <w:rPr>
          <w:sz w:val="24"/>
          <w:szCs w:val="24"/>
        </w:rPr>
        <w:t xml:space="preserve"> εστίαση</w:t>
      </w:r>
      <w:r w:rsidR="003F641E">
        <w:rPr>
          <w:sz w:val="24"/>
          <w:szCs w:val="24"/>
        </w:rPr>
        <w:t>ς</w:t>
      </w:r>
      <w:r w:rsidR="008A6902">
        <w:rPr>
          <w:sz w:val="24"/>
          <w:szCs w:val="24"/>
        </w:rPr>
        <w:t>,</w:t>
      </w:r>
      <w:r w:rsidR="00AD473E">
        <w:rPr>
          <w:sz w:val="24"/>
          <w:szCs w:val="24"/>
        </w:rPr>
        <w:t xml:space="preserve"> ανθρώπινης υγείας, διοικητικών και υποστηρικτικών δραστηριοτήτων κατασκευών, </w:t>
      </w:r>
      <w:r w:rsidR="008A6902">
        <w:rPr>
          <w:sz w:val="24"/>
          <w:szCs w:val="24"/>
        </w:rPr>
        <w:t>παροχή</w:t>
      </w:r>
      <w:r w:rsidR="00AD473E">
        <w:rPr>
          <w:sz w:val="24"/>
          <w:szCs w:val="24"/>
        </w:rPr>
        <w:t>ς</w:t>
      </w:r>
      <w:r w:rsidR="008A6902">
        <w:rPr>
          <w:sz w:val="24"/>
          <w:szCs w:val="24"/>
        </w:rPr>
        <w:t xml:space="preserve"> ηλεκτρικού ρεύματος</w:t>
      </w:r>
      <w:r w:rsidR="00AD473E">
        <w:rPr>
          <w:sz w:val="24"/>
          <w:szCs w:val="24"/>
        </w:rPr>
        <w:t xml:space="preserve"> κ.ά. </w:t>
      </w:r>
    </w:p>
    <w:p w:rsidR="00EE12A2" w:rsidRPr="0094715F" w:rsidRDefault="00C87966" w:rsidP="00935168">
      <w:pPr>
        <w:pStyle w:val="a4"/>
        <w:numPr>
          <w:ilvl w:val="0"/>
          <w:numId w:val="2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Σύμφωνα με το πληροφοριακό σύστημα </w:t>
      </w:r>
      <w:r w:rsidR="002D3639" w:rsidRPr="0094715F">
        <w:rPr>
          <w:sz w:val="24"/>
          <w:szCs w:val="24"/>
        </w:rPr>
        <w:t>‘’</w:t>
      </w:r>
      <w:r w:rsidR="00EE12A2" w:rsidRPr="0094715F">
        <w:rPr>
          <w:sz w:val="24"/>
          <w:szCs w:val="24"/>
        </w:rPr>
        <w:t>ΕΡΓΑΝΗ</w:t>
      </w:r>
      <w:r w:rsidR="002D3639" w:rsidRPr="0094715F">
        <w:rPr>
          <w:sz w:val="24"/>
          <w:szCs w:val="24"/>
        </w:rPr>
        <w:t>’’</w:t>
      </w:r>
      <w:r w:rsidR="00882A78" w:rsidRPr="0094715F">
        <w:rPr>
          <w:sz w:val="24"/>
          <w:szCs w:val="24"/>
        </w:rPr>
        <w:t>,</w:t>
      </w:r>
      <w:r w:rsidR="002D3639" w:rsidRPr="0094715F">
        <w:rPr>
          <w:sz w:val="24"/>
          <w:szCs w:val="24"/>
        </w:rPr>
        <w:t xml:space="preserve"> </w:t>
      </w:r>
      <w:r w:rsidR="002D32EB" w:rsidRPr="0094715F">
        <w:rPr>
          <w:sz w:val="24"/>
          <w:szCs w:val="24"/>
        </w:rPr>
        <w:t xml:space="preserve">το </w:t>
      </w:r>
      <w:r w:rsidR="002D3639" w:rsidRPr="0094715F">
        <w:rPr>
          <w:sz w:val="24"/>
          <w:szCs w:val="24"/>
        </w:rPr>
        <w:t>θετικό ισοζύγιο</w:t>
      </w:r>
      <w:r w:rsidR="00F51AAE" w:rsidRPr="0094715F">
        <w:rPr>
          <w:sz w:val="24"/>
          <w:szCs w:val="24"/>
        </w:rPr>
        <w:t xml:space="preserve"> προσλήψεων/αποχωρήσεων</w:t>
      </w:r>
      <w:r w:rsidR="002D3639" w:rsidRPr="0094715F">
        <w:rPr>
          <w:sz w:val="24"/>
          <w:szCs w:val="24"/>
        </w:rPr>
        <w:t xml:space="preserve"> κατά </w:t>
      </w:r>
      <w:r w:rsidR="00AD473E">
        <w:rPr>
          <w:b/>
          <w:sz w:val="24"/>
          <w:szCs w:val="24"/>
        </w:rPr>
        <w:t>143.545</w:t>
      </w:r>
      <w:r w:rsidR="002D3639" w:rsidRPr="00465697">
        <w:rPr>
          <w:b/>
          <w:sz w:val="24"/>
          <w:szCs w:val="24"/>
        </w:rPr>
        <w:t xml:space="preserve"> θέσεις εργασίας</w:t>
      </w:r>
      <w:r w:rsidR="002D3639" w:rsidRPr="0094715F">
        <w:rPr>
          <w:sz w:val="24"/>
          <w:szCs w:val="24"/>
        </w:rPr>
        <w:t xml:space="preserve"> </w:t>
      </w:r>
      <w:r w:rsidR="004D4A24">
        <w:rPr>
          <w:sz w:val="24"/>
          <w:szCs w:val="24"/>
        </w:rPr>
        <w:t xml:space="preserve">για το σύνολο της οικονομίας </w:t>
      </w:r>
      <w:r w:rsidR="00AD473E">
        <w:rPr>
          <w:sz w:val="24"/>
          <w:szCs w:val="24"/>
        </w:rPr>
        <w:t xml:space="preserve">καθ’ όλη τη διάρκεια του </w:t>
      </w:r>
      <w:r w:rsidR="002D3639" w:rsidRPr="0094715F">
        <w:rPr>
          <w:sz w:val="24"/>
          <w:szCs w:val="24"/>
        </w:rPr>
        <w:t>2017 αποτελεί την υψηλότερη επίδοση</w:t>
      </w:r>
      <w:r w:rsidR="00AD473E">
        <w:rPr>
          <w:sz w:val="24"/>
          <w:szCs w:val="24"/>
        </w:rPr>
        <w:t xml:space="preserve"> έτους</w:t>
      </w:r>
      <w:r w:rsidR="002D3639" w:rsidRPr="0094715F">
        <w:rPr>
          <w:sz w:val="24"/>
          <w:szCs w:val="24"/>
        </w:rPr>
        <w:t xml:space="preserve"> από το 2001 μέχρι σήμερα</w:t>
      </w:r>
      <w:r w:rsidR="00AD473E">
        <w:rPr>
          <w:sz w:val="24"/>
          <w:szCs w:val="24"/>
        </w:rPr>
        <w:t xml:space="preserve">. Το γεγονός αυτό αποτυπώνει χωρίς αμφιβολία τη </w:t>
      </w:r>
      <w:r>
        <w:rPr>
          <w:sz w:val="24"/>
          <w:szCs w:val="24"/>
        </w:rPr>
        <w:t xml:space="preserve">βελτίωση της </w:t>
      </w:r>
      <w:r w:rsidR="00AD473E">
        <w:rPr>
          <w:sz w:val="24"/>
          <w:szCs w:val="24"/>
        </w:rPr>
        <w:t xml:space="preserve">κατάστασης στην </w:t>
      </w:r>
      <w:r>
        <w:rPr>
          <w:sz w:val="24"/>
          <w:szCs w:val="24"/>
        </w:rPr>
        <w:t>αγορά εργασίας</w:t>
      </w:r>
      <w:r w:rsidR="00B74A3E">
        <w:rPr>
          <w:sz w:val="24"/>
          <w:szCs w:val="24"/>
        </w:rPr>
        <w:t>. Ωστόσο</w:t>
      </w:r>
      <w:r w:rsidR="00506D01">
        <w:rPr>
          <w:sz w:val="24"/>
          <w:szCs w:val="24"/>
        </w:rPr>
        <w:t>,</w:t>
      </w:r>
      <w:r w:rsidR="00AD473E">
        <w:rPr>
          <w:sz w:val="24"/>
          <w:szCs w:val="24"/>
        </w:rPr>
        <w:t xml:space="preserve"> ακόμη</w:t>
      </w:r>
      <w:r w:rsidR="00506D01">
        <w:rPr>
          <w:sz w:val="24"/>
          <w:szCs w:val="24"/>
        </w:rPr>
        <w:t xml:space="preserve"> </w:t>
      </w:r>
      <w:r w:rsidR="00AD473E">
        <w:rPr>
          <w:sz w:val="24"/>
          <w:szCs w:val="24"/>
        </w:rPr>
        <w:t xml:space="preserve">μεγαλύτερη </w:t>
      </w:r>
      <w:r w:rsidR="00506D01">
        <w:rPr>
          <w:sz w:val="24"/>
          <w:szCs w:val="24"/>
        </w:rPr>
        <w:t xml:space="preserve">σημασία θα πρέπει να δοθεί και στην ποιότητα </w:t>
      </w:r>
      <w:r w:rsidR="00AD473E">
        <w:rPr>
          <w:sz w:val="24"/>
          <w:szCs w:val="24"/>
        </w:rPr>
        <w:t xml:space="preserve">των θέσεων αυτών </w:t>
      </w:r>
      <w:r w:rsidR="00506D01">
        <w:rPr>
          <w:sz w:val="24"/>
          <w:szCs w:val="24"/>
        </w:rPr>
        <w:t>(</w:t>
      </w:r>
      <w:r w:rsidR="00AD473E">
        <w:rPr>
          <w:sz w:val="24"/>
          <w:szCs w:val="24"/>
        </w:rPr>
        <w:t xml:space="preserve">όροι απασχόλησης: </w:t>
      </w:r>
      <w:r w:rsidR="00506D01">
        <w:rPr>
          <w:sz w:val="24"/>
          <w:szCs w:val="24"/>
        </w:rPr>
        <w:t>πλήρης, μερική και περιστασιακή</w:t>
      </w:r>
      <w:r w:rsidR="00AD473E">
        <w:rPr>
          <w:sz w:val="24"/>
          <w:szCs w:val="24"/>
        </w:rPr>
        <w:t>, ύψος αμοιβών, διάρθρωση ωραρίων</w:t>
      </w:r>
      <w:r w:rsidR="00506D01">
        <w:rPr>
          <w:sz w:val="24"/>
          <w:szCs w:val="24"/>
        </w:rPr>
        <w:t>).</w:t>
      </w:r>
      <w:r w:rsidR="009D5DB0">
        <w:rPr>
          <w:sz w:val="24"/>
          <w:szCs w:val="24"/>
        </w:rPr>
        <w:t xml:space="preserve"> Σύμφωνα με το ίδιο σύστημα, μόνο το 45,1% των προσλήψεων </w:t>
      </w:r>
      <w:r w:rsidR="005467BD">
        <w:rPr>
          <w:sz w:val="24"/>
          <w:szCs w:val="24"/>
        </w:rPr>
        <w:t xml:space="preserve">εντός του 2017 </w:t>
      </w:r>
      <w:r w:rsidR="009D5DB0">
        <w:rPr>
          <w:sz w:val="24"/>
          <w:szCs w:val="24"/>
        </w:rPr>
        <w:t>αφορούσε θέσεις πλήρους απασχόλησης.</w:t>
      </w:r>
    </w:p>
    <w:p w:rsidR="00465697" w:rsidRPr="00974BF1" w:rsidRDefault="00283064" w:rsidP="00E516DB">
      <w:pPr>
        <w:pStyle w:val="a4"/>
        <w:numPr>
          <w:ilvl w:val="0"/>
          <w:numId w:val="2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Ιδιαίτερα για τον κλάδο του εμπορίου, το </w:t>
      </w:r>
      <w:r w:rsidR="00465697" w:rsidRPr="00974BF1">
        <w:rPr>
          <w:sz w:val="24"/>
          <w:szCs w:val="24"/>
        </w:rPr>
        <w:t xml:space="preserve">επίπεδο απασχόλησης </w:t>
      </w:r>
      <w:r w:rsidR="00506D01" w:rsidRPr="00974BF1">
        <w:rPr>
          <w:sz w:val="24"/>
          <w:szCs w:val="24"/>
        </w:rPr>
        <w:t>κατά τ</w:t>
      </w:r>
      <w:r w:rsidR="00465697" w:rsidRPr="00974BF1">
        <w:rPr>
          <w:sz w:val="24"/>
          <w:szCs w:val="24"/>
        </w:rPr>
        <w:t xml:space="preserve">ο </w:t>
      </w:r>
      <w:r>
        <w:rPr>
          <w:sz w:val="24"/>
          <w:szCs w:val="24"/>
        </w:rPr>
        <w:t>Γ</w:t>
      </w:r>
      <w:r w:rsidR="00465697" w:rsidRPr="00974BF1">
        <w:rPr>
          <w:sz w:val="24"/>
          <w:szCs w:val="24"/>
        </w:rPr>
        <w:t xml:space="preserve">΄ τρίμηνο </w:t>
      </w:r>
      <w:r w:rsidR="002175E4" w:rsidRPr="00974BF1">
        <w:rPr>
          <w:sz w:val="24"/>
          <w:szCs w:val="24"/>
        </w:rPr>
        <w:t xml:space="preserve">του 2017 </w:t>
      </w:r>
      <w:r w:rsidR="00E543C6" w:rsidRPr="00974BF1">
        <w:rPr>
          <w:sz w:val="24"/>
          <w:szCs w:val="24"/>
        </w:rPr>
        <w:t>(</w:t>
      </w:r>
      <w:r w:rsidR="000177F7" w:rsidRPr="00974BF1">
        <w:rPr>
          <w:sz w:val="24"/>
          <w:szCs w:val="24"/>
        </w:rPr>
        <w:t>6</w:t>
      </w:r>
      <w:r w:rsidR="00506D01" w:rsidRPr="00974BF1">
        <w:rPr>
          <w:sz w:val="24"/>
          <w:szCs w:val="24"/>
        </w:rPr>
        <w:t>8</w:t>
      </w:r>
      <w:r>
        <w:rPr>
          <w:sz w:val="24"/>
          <w:szCs w:val="24"/>
        </w:rPr>
        <w:t>7</w:t>
      </w:r>
      <w:r w:rsidR="00506D01" w:rsidRPr="00974BF1">
        <w:rPr>
          <w:sz w:val="24"/>
          <w:szCs w:val="24"/>
        </w:rPr>
        <w:t>.</w:t>
      </w:r>
      <w:r>
        <w:rPr>
          <w:sz w:val="24"/>
          <w:szCs w:val="24"/>
        </w:rPr>
        <w:t>710</w:t>
      </w:r>
      <w:r w:rsidR="00506D01" w:rsidRPr="00974BF1">
        <w:rPr>
          <w:sz w:val="24"/>
          <w:szCs w:val="24"/>
        </w:rPr>
        <w:t xml:space="preserve"> άτομα</w:t>
      </w:r>
      <w:r w:rsidR="00E543C6" w:rsidRPr="00974BF1">
        <w:rPr>
          <w:sz w:val="24"/>
          <w:szCs w:val="24"/>
        </w:rPr>
        <w:t xml:space="preserve">) </w:t>
      </w:r>
      <w:r>
        <w:rPr>
          <w:sz w:val="24"/>
          <w:szCs w:val="24"/>
        </w:rPr>
        <w:t>ισοστάθμισε</w:t>
      </w:r>
      <w:r w:rsidR="00D31852">
        <w:rPr>
          <w:sz w:val="24"/>
          <w:szCs w:val="24"/>
        </w:rPr>
        <w:t>, σε απόλυτο μέγεθος,</w:t>
      </w:r>
      <w:r>
        <w:rPr>
          <w:sz w:val="24"/>
          <w:szCs w:val="24"/>
        </w:rPr>
        <w:t xml:space="preserve"> την</w:t>
      </w:r>
      <w:r w:rsidR="00D31852">
        <w:rPr>
          <w:sz w:val="24"/>
          <w:szCs w:val="24"/>
        </w:rPr>
        <w:t xml:space="preserve"> αντίστοιχη</w:t>
      </w:r>
      <w:r>
        <w:rPr>
          <w:sz w:val="24"/>
          <w:szCs w:val="24"/>
        </w:rPr>
        <w:t xml:space="preserve"> επίδοση του</w:t>
      </w:r>
      <w:r w:rsidR="000177F7" w:rsidRPr="00974BF1">
        <w:rPr>
          <w:sz w:val="24"/>
          <w:szCs w:val="24"/>
        </w:rPr>
        <w:t xml:space="preserve"> Α΄ τρ</w:t>
      </w:r>
      <w:r w:rsidR="00D31852">
        <w:rPr>
          <w:sz w:val="24"/>
          <w:szCs w:val="24"/>
        </w:rPr>
        <w:t xml:space="preserve">ιμήνου </w:t>
      </w:r>
      <w:r w:rsidR="002175E4" w:rsidRPr="00974BF1">
        <w:rPr>
          <w:sz w:val="24"/>
          <w:szCs w:val="24"/>
        </w:rPr>
        <w:t xml:space="preserve">του </w:t>
      </w:r>
      <w:r w:rsidR="00465697" w:rsidRPr="00974BF1">
        <w:rPr>
          <w:sz w:val="24"/>
          <w:szCs w:val="24"/>
        </w:rPr>
        <w:t>201</w:t>
      </w:r>
      <w:r w:rsidR="00506D01" w:rsidRPr="00974BF1">
        <w:rPr>
          <w:sz w:val="24"/>
          <w:szCs w:val="24"/>
        </w:rPr>
        <w:t>2</w:t>
      </w:r>
      <w:r w:rsidR="00E543C6" w:rsidRPr="00974BF1">
        <w:rPr>
          <w:sz w:val="24"/>
          <w:szCs w:val="24"/>
        </w:rPr>
        <w:t xml:space="preserve"> (</w:t>
      </w:r>
      <w:r w:rsidR="000177F7" w:rsidRPr="00974BF1">
        <w:rPr>
          <w:sz w:val="24"/>
          <w:szCs w:val="24"/>
        </w:rPr>
        <w:t>6</w:t>
      </w:r>
      <w:r w:rsidR="00506D01" w:rsidRPr="00974BF1">
        <w:rPr>
          <w:sz w:val="24"/>
          <w:szCs w:val="24"/>
        </w:rPr>
        <w:t>87.184</w:t>
      </w:r>
      <w:r w:rsidR="00E543C6" w:rsidRPr="00974BF1">
        <w:rPr>
          <w:sz w:val="24"/>
          <w:szCs w:val="24"/>
        </w:rPr>
        <w:t>)</w:t>
      </w:r>
      <w:r w:rsidR="00506D01" w:rsidRPr="00974BF1">
        <w:rPr>
          <w:sz w:val="24"/>
          <w:szCs w:val="24"/>
        </w:rPr>
        <w:t>.</w:t>
      </w:r>
    </w:p>
    <w:p w:rsidR="009933E5" w:rsidRDefault="009933E5" w:rsidP="00B818D1">
      <w:pPr>
        <w:ind w:right="-58"/>
        <w:jc w:val="both"/>
        <w:rPr>
          <w:b/>
          <w:color w:val="EB6A20"/>
          <w:sz w:val="26"/>
          <w:szCs w:val="26"/>
        </w:rPr>
      </w:pPr>
    </w:p>
    <w:p w:rsidR="00697EFF" w:rsidRDefault="00697EFF" w:rsidP="00B818D1">
      <w:pPr>
        <w:ind w:right="-58"/>
        <w:jc w:val="both"/>
        <w:rPr>
          <w:b/>
          <w:i/>
          <w:sz w:val="24"/>
          <w:szCs w:val="24"/>
        </w:rPr>
      </w:pPr>
      <w:r w:rsidRPr="0060375D">
        <w:rPr>
          <w:b/>
          <w:color w:val="EB6A20"/>
          <w:sz w:val="26"/>
          <w:szCs w:val="26"/>
        </w:rPr>
        <w:t xml:space="preserve">Διάγραμμα </w:t>
      </w:r>
      <w:r w:rsidR="00FC6095">
        <w:rPr>
          <w:b/>
          <w:color w:val="EB6A20"/>
          <w:sz w:val="26"/>
          <w:szCs w:val="26"/>
        </w:rPr>
        <w:t>7</w:t>
      </w:r>
      <w:r>
        <w:rPr>
          <w:b/>
          <w:color w:val="EB6A20"/>
          <w:sz w:val="26"/>
          <w:szCs w:val="26"/>
        </w:rPr>
        <w:t xml:space="preserve">: </w:t>
      </w:r>
      <w:r w:rsidRPr="00DA2F2C">
        <w:rPr>
          <w:b/>
          <w:sz w:val="24"/>
          <w:szCs w:val="24"/>
        </w:rPr>
        <w:t xml:space="preserve">Ρυθμός μεταβολής των απασχολουμένων στο σύνολο της οικονομίας και στο </w:t>
      </w:r>
      <w:r w:rsidR="00935168">
        <w:rPr>
          <w:b/>
          <w:sz w:val="24"/>
          <w:szCs w:val="24"/>
        </w:rPr>
        <w:t>Ε</w:t>
      </w:r>
      <w:r w:rsidRPr="00DA2F2C">
        <w:rPr>
          <w:b/>
          <w:sz w:val="24"/>
          <w:szCs w:val="24"/>
        </w:rPr>
        <w:t>μπόριο</w:t>
      </w:r>
      <w:r w:rsidRPr="006D2B73">
        <w:rPr>
          <w:b/>
          <w:sz w:val="24"/>
          <w:szCs w:val="24"/>
        </w:rPr>
        <w:t xml:space="preserve"> (</w:t>
      </w:r>
      <w:r w:rsidR="006D2B73">
        <w:rPr>
          <w:b/>
          <w:sz w:val="24"/>
          <w:szCs w:val="24"/>
        </w:rPr>
        <w:t>τριμηνιαία σύγκριση</w:t>
      </w:r>
      <w:r w:rsidRPr="006D2B73">
        <w:rPr>
          <w:b/>
          <w:sz w:val="24"/>
          <w:szCs w:val="24"/>
        </w:rPr>
        <w:t>,</w:t>
      </w:r>
      <w:r w:rsidR="006D2B73">
        <w:rPr>
          <w:b/>
          <w:sz w:val="24"/>
          <w:szCs w:val="24"/>
        </w:rPr>
        <w:t xml:space="preserve"> </w:t>
      </w:r>
      <w:r w:rsidRPr="00DA2F2C">
        <w:rPr>
          <w:b/>
          <w:i/>
          <w:sz w:val="24"/>
          <w:szCs w:val="24"/>
        </w:rPr>
        <w:t>πηγή: ΕΛ.ΣΤΑΤ.)</w:t>
      </w:r>
    </w:p>
    <w:p w:rsidR="00AB34BF" w:rsidRDefault="00AB34BF" w:rsidP="00B818D1">
      <w:pPr>
        <w:ind w:right="-58"/>
        <w:jc w:val="both"/>
        <w:rPr>
          <w:b/>
          <w:i/>
          <w:sz w:val="24"/>
          <w:szCs w:val="24"/>
        </w:rPr>
      </w:pPr>
      <w:r w:rsidRPr="00AB34BF">
        <w:rPr>
          <w:b/>
          <w:i/>
          <w:noProof/>
          <w:sz w:val="24"/>
          <w:szCs w:val="24"/>
          <w:lang w:eastAsia="el-GR"/>
        </w:rPr>
        <w:drawing>
          <wp:inline distT="0" distB="0" distL="0" distR="0">
            <wp:extent cx="5273232" cy="3200400"/>
            <wp:effectExtent l="19050" t="0" r="22668" b="0"/>
            <wp:docPr id="12" name="Γράφημα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97EFF" w:rsidRPr="009933E5" w:rsidRDefault="00AB34BF" w:rsidP="009933E5">
      <w:pPr>
        <w:pStyle w:val="a4"/>
        <w:numPr>
          <w:ilvl w:val="0"/>
          <w:numId w:val="3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Για τα τρία πρώτα τρίμηνα του 2017 οι</w:t>
      </w:r>
      <w:r w:rsidR="552FDA89" w:rsidRPr="009933E5">
        <w:rPr>
          <w:sz w:val="24"/>
          <w:szCs w:val="24"/>
        </w:rPr>
        <w:t xml:space="preserve"> ε</w:t>
      </w:r>
      <w:r w:rsidR="000509C2" w:rsidRPr="009933E5">
        <w:rPr>
          <w:sz w:val="24"/>
          <w:szCs w:val="24"/>
        </w:rPr>
        <w:t xml:space="preserve">πιδόσεις </w:t>
      </w:r>
      <w:r w:rsidR="552FDA89" w:rsidRPr="009933E5">
        <w:rPr>
          <w:sz w:val="24"/>
          <w:szCs w:val="24"/>
        </w:rPr>
        <w:t xml:space="preserve">στην αγορά εργασίας </w:t>
      </w:r>
      <w:r>
        <w:rPr>
          <w:sz w:val="24"/>
          <w:szCs w:val="24"/>
        </w:rPr>
        <w:t>τόσο του συνόλου της οικονομίας όσο και του εμπορίου αποτιμώνται θετικά</w:t>
      </w:r>
      <w:r w:rsidR="006D7F6A">
        <w:rPr>
          <w:sz w:val="24"/>
          <w:szCs w:val="24"/>
        </w:rPr>
        <w:t xml:space="preserve"> καθώς κινούνται ανοδικά. </w:t>
      </w:r>
      <w:r w:rsidR="0024290C">
        <w:rPr>
          <w:sz w:val="24"/>
          <w:szCs w:val="24"/>
        </w:rPr>
        <w:t xml:space="preserve">Επιπλέον, παρατηρείται η επανεμφάνιση της εποχικότητας, γεγονός που σημαίνει και σταδιακή αποκατάσταση της λειτουργίας της, αν και οι διαφορές στις επιδόσεις της εγχώριας αγοράς εργασίας με εκείνες ευρωπαϊκών χωρών προμηνύουν πως η προσαρμογή θα διαρκέσει μεγάλο χρονικό διάστημα.   </w:t>
      </w:r>
      <w:r w:rsidR="000509C2" w:rsidRPr="00974BF1">
        <w:rPr>
          <w:sz w:val="24"/>
          <w:szCs w:val="24"/>
        </w:rPr>
        <w:t xml:space="preserve"> </w:t>
      </w:r>
      <w:r w:rsidR="552FDA89" w:rsidRPr="00974BF1">
        <w:rPr>
          <w:sz w:val="24"/>
          <w:szCs w:val="24"/>
        </w:rPr>
        <w:t xml:space="preserve"> </w:t>
      </w:r>
    </w:p>
    <w:p w:rsidR="000177F7" w:rsidRDefault="00840EC0" w:rsidP="000177F7">
      <w:pPr>
        <w:pStyle w:val="a4"/>
        <w:numPr>
          <w:ilvl w:val="0"/>
          <w:numId w:val="3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 w:rsidRPr="00C644D3">
        <w:rPr>
          <w:sz w:val="24"/>
          <w:szCs w:val="24"/>
        </w:rPr>
        <w:t>Ε</w:t>
      </w:r>
      <w:r w:rsidR="005435DC" w:rsidRPr="00C644D3">
        <w:rPr>
          <w:sz w:val="24"/>
          <w:szCs w:val="24"/>
        </w:rPr>
        <w:t xml:space="preserve">ιδικά για το </w:t>
      </w:r>
      <w:r w:rsidR="005435DC" w:rsidRPr="00C644D3">
        <w:rPr>
          <w:b/>
          <w:sz w:val="24"/>
          <w:szCs w:val="24"/>
        </w:rPr>
        <w:t>λιανικό εμπόριο</w:t>
      </w:r>
      <w:r w:rsidR="005435DC" w:rsidRPr="00C644D3">
        <w:rPr>
          <w:sz w:val="24"/>
          <w:szCs w:val="24"/>
        </w:rPr>
        <w:t xml:space="preserve">, </w:t>
      </w:r>
      <w:r w:rsidRPr="00C644D3">
        <w:rPr>
          <w:sz w:val="24"/>
          <w:szCs w:val="24"/>
        </w:rPr>
        <w:t>το ισοζύγιο ροών μισθωτής απασχόλησης</w:t>
      </w:r>
      <w:r w:rsidR="00697EF4" w:rsidRPr="00C644D3">
        <w:rPr>
          <w:sz w:val="24"/>
          <w:szCs w:val="24"/>
        </w:rPr>
        <w:t>,</w:t>
      </w:r>
      <w:r w:rsidRPr="00C644D3">
        <w:rPr>
          <w:sz w:val="24"/>
          <w:szCs w:val="24"/>
        </w:rPr>
        <w:t xml:space="preserve"> </w:t>
      </w:r>
      <w:r w:rsidR="00697EF4" w:rsidRPr="00C644D3">
        <w:rPr>
          <w:sz w:val="24"/>
          <w:szCs w:val="24"/>
        </w:rPr>
        <w:t>βάσει το</w:t>
      </w:r>
      <w:r w:rsidR="007E3C8D" w:rsidRPr="00C644D3">
        <w:rPr>
          <w:sz w:val="24"/>
          <w:szCs w:val="24"/>
        </w:rPr>
        <w:t>υ</w:t>
      </w:r>
      <w:r w:rsidR="00697EF4" w:rsidRPr="00C644D3">
        <w:rPr>
          <w:sz w:val="24"/>
          <w:szCs w:val="24"/>
        </w:rPr>
        <w:t xml:space="preserve"> συστήματος «ΕΡΓΑΝΗ» ανήλθε το </w:t>
      </w:r>
      <w:r w:rsidR="0024290C" w:rsidRPr="00C644D3">
        <w:rPr>
          <w:sz w:val="24"/>
          <w:szCs w:val="24"/>
        </w:rPr>
        <w:t>2017</w:t>
      </w:r>
      <w:r w:rsidR="00697EF4" w:rsidRPr="00C644D3">
        <w:rPr>
          <w:sz w:val="24"/>
          <w:szCs w:val="24"/>
        </w:rPr>
        <w:t xml:space="preserve"> σε </w:t>
      </w:r>
      <w:r w:rsidR="0024290C" w:rsidRPr="00C644D3">
        <w:rPr>
          <w:sz w:val="24"/>
          <w:szCs w:val="24"/>
        </w:rPr>
        <w:t>16.973</w:t>
      </w:r>
      <w:r w:rsidR="00697EF4" w:rsidRPr="00C644D3">
        <w:rPr>
          <w:sz w:val="24"/>
          <w:szCs w:val="24"/>
        </w:rPr>
        <w:t xml:space="preserve"> άτομα</w:t>
      </w:r>
      <w:r w:rsidR="0024290C">
        <w:rPr>
          <w:rStyle w:val="a9"/>
          <w:sz w:val="24"/>
          <w:szCs w:val="24"/>
        </w:rPr>
        <w:footnoteReference w:id="1"/>
      </w:r>
      <w:r w:rsidR="00697EF4" w:rsidRPr="00C644D3">
        <w:rPr>
          <w:sz w:val="24"/>
          <w:szCs w:val="24"/>
        </w:rPr>
        <w:t xml:space="preserve">. </w:t>
      </w:r>
      <w:r w:rsidR="0024290C" w:rsidRPr="00C644D3">
        <w:rPr>
          <w:sz w:val="24"/>
          <w:szCs w:val="24"/>
        </w:rPr>
        <w:t>Καθοριστικό ρόλο των ροών</w:t>
      </w:r>
      <w:r w:rsidR="00C644D3" w:rsidRPr="00C644D3">
        <w:rPr>
          <w:sz w:val="24"/>
          <w:szCs w:val="24"/>
        </w:rPr>
        <w:t>, όπως προκύπτει από τη μηνιαία ανάλυση των δεδομένων,</w:t>
      </w:r>
      <w:r w:rsidR="0024290C" w:rsidRPr="00C644D3">
        <w:rPr>
          <w:sz w:val="24"/>
          <w:szCs w:val="24"/>
        </w:rPr>
        <w:t xml:space="preserve"> φαίνεται να διαδραματίζει </w:t>
      </w:r>
      <w:r w:rsidR="00C644D3" w:rsidRPr="00C644D3">
        <w:rPr>
          <w:sz w:val="24"/>
          <w:szCs w:val="24"/>
        </w:rPr>
        <w:t>η</w:t>
      </w:r>
      <w:r w:rsidR="00697EF4" w:rsidRPr="00C644D3">
        <w:rPr>
          <w:sz w:val="24"/>
          <w:szCs w:val="24"/>
        </w:rPr>
        <w:t xml:space="preserve"> τουριστική κίνηση</w:t>
      </w:r>
      <w:r w:rsidR="00C644D3" w:rsidRPr="00C644D3">
        <w:rPr>
          <w:sz w:val="24"/>
          <w:szCs w:val="24"/>
        </w:rPr>
        <w:t xml:space="preserve"> αλλά και οι γιορτές των Χριστουγέννων. </w:t>
      </w:r>
    </w:p>
    <w:p w:rsidR="00C644D3" w:rsidRPr="00C644D3" w:rsidRDefault="00C644D3" w:rsidP="00C644D3">
      <w:pPr>
        <w:pStyle w:val="a4"/>
        <w:spacing w:after="120"/>
        <w:ind w:left="0" w:right="-57"/>
        <w:contextualSpacing w:val="0"/>
        <w:jc w:val="both"/>
        <w:rPr>
          <w:sz w:val="24"/>
          <w:szCs w:val="24"/>
        </w:rPr>
      </w:pPr>
    </w:p>
    <w:p w:rsidR="00697EFF" w:rsidRDefault="00DA402E" w:rsidP="00DA2F2C">
      <w:pPr>
        <w:ind w:right="-58"/>
        <w:jc w:val="both"/>
        <w:rPr>
          <w:b/>
          <w:i/>
          <w:sz w:val="24"/>
          <w:szCs w:val="24"/>
        </w:rPr>
      </w:pPr>
      <w:r w:rsidRPr="00DA402E">
        <w:rPr>
          <w:b/>
          <w:color w:val="EB6A20"/>
          <w:sz w:val="26"/>
          <w:szCs w:val="26"/>
        </w:rPr>
        <w:t xml:space="preserve">Διάγραμμα </w:t>
      </w:r>
      <w:r w:rsidR="00FC6095">
        <w:rPr>
          <w:b/>
          <w:color w:val="EB6A20"/>
          <w:sz w:val="26"/>
          <w:szCs w:val="26"/>
        </w:rPr>
        <w:t>8</w:t>
      </w:r>
      <w:r w:rsidRPr="00DA402E">
        <w:rPr>
          <w:b/>
          <w:color w:val="EB6A20"/>
          <w:sz w:val="26"/>
          <w:szCs w:val="26"/>
        </w:rPr>
        <w:t xml:space="preserve">: </w:t>
      </w:r>
      <w:r w:rsidRPr="00DA2F2C">
        <w:rPr>
          <w:b/>
          <w:sz w:val="24"/>
          <w:szCs w:val="24"/>
        </w:rPr>
        <w:t xml:space="preserve">Δείκτης Απασχόλησης βάσει φύλου στο εμπόριο κατά τρίμηνο (άτομα εργάσιμης ηλικίας 15-64, </w:t>
      </w:r>
      <w:r w:rsidRPr="00DA2F2C">
        <w:rPr>
          <w:b/>
          <w:i/>
          <w:sz w:val="24"/>
          <w:szCs w:val="24"/>
        </w:rPr>
        <w:t>πηγή: ΕΛ.ΣΤΑΤ.)</w:t>
      </w:r>
    </w:p>
    <w:p w:rsidR="000F30B4" w:rsidRDefault="000F30B4" w:rsidP="00DA2F2C">
      <w:pPr>
        <w:ind w:right="-58"/>
        <w:jc w:val="both"/>
        <w:rPr>
          <w:b/>
          <w:i/>
          <w:sz w:val="24"/>
          <w:szCs w:val="24"/>
        </w:rPr>
      </w:pPr>
      <w:r w:rsidRPr="000F30B4">
        <w:rPr>
          <w:b/>
          <w:i/>
          <w:noProof/>
          <w:sz w:val="24"/>
          <w:szCs w:val="24"/>
          <w:lang w:eastAsia="el-GR"/>
        </w:rPr>
        <w:drawing>
          <wp:inline distT="0" distB="0" distL="0" distR="0">
            <wp:extent cx="5273232" cy="3424687"/>
            <wp:effectExtent l="19050" t="0" r="22668" b="4313"/>
            <wp:docPr id="15" name="Γράφημα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3B1663" w:rsidRDefault="003B1663" w:rsidP="00DA2F2C">
      <w:pPr>
        <w:ind w:right="-58"/>
        <w:jc w:val="both"/>
        <w:rPr>
          <w:b/>
          <w:i/>
          <w:sz w:val="24"/>
          <w:szCs w:val="24"/>
        </w:rPr>
      </w:pPr>
    </w:p>
    <w:p w:rsidR="009673BB" w:rsidRDefault="009673BB" w:rsidP="00DA2F2C">
      <w:pPr>
        <w:ind w:right="-58"/>
        <w:jc w:val="both"/>
        <w:rPr>
          <w:b/>
          <w:i/>
          <w:sz w:val="24"/>
          <w:szCs w:val="24"/>
        </w:rPr>
      </w:pPr>
    </w:p>
    <w:p w:rsidR="00F069E1" w:rsidRPr="00C36F99" w:rsidRDefault="00F069E1" w:rsidP="007B5538">
      <w:pPr>
        <w:pStyle w:val="a4"/>
        <w:numPr>
          <w:ilvl w:val="0"/>
          <w:numId w:val="4"/>
        </w:numPr>
        <w:spacing w:after="0" w:line="360" w:lineRule="atLeast"/>
        <w:ind w:left="0" w:right="-57" w:hanging="357"/>
        <w:contextualSpacing w:val="0"/>
        <w:jc w:val="both"/>
        <w:rPr>
          <w:sz w:val="24"/>
          <w:szCs w:val="24"/>
        </w:rPr>
      </w:pPr>
      <w:r w:rsidRPr="00C36F99">
        <w:rPr>
          <w:sz w:val="24"/>
          <w:szCs w:val="24"/>
        </w:rPr>
        <w:t xml:space="preserve">Οι θετικές </w:t>
      </w:r>
      <w:r w:rsidR="00974BF1">
        <w:rPr>
          <w:sz w:val="24"/>
          <w:szCs w:val="24"/>
        </w:rPr>
        <w:t xml:space="preserve">εξελίξεις στην αγορά εργασίας αποτυπώνονται και στο </w:t>
      </w:r>
      <w:r w:rsidR="000F30B4">
        <w:rPr>
          <w:sz w:val="24"/>
          <w:szCs w:val="24"/>
        </w:rPr>
        <w:t xml:space="preserve">συνολικό </w:t>
      </w:r>
      <w:r w:rsidR="00974BF1">
        <w:rPr>
          <w:sz w:val="24"/>
          <w:szCs w:val="24"/>
        </w:rPr>
        <w:t xml:space="preserve">Δείκτη Απασχόλησης </w:t>
      </w:r>
      <w:r w:rsidR="000F30B4">
        <w:rPr>
          <w:sz w:val="24"/>
          <w:szCs w:val="24"/>
        </w:rPr>
        <w:t xml:space="preserve">(=Απασχολούμενοι/ Σύνολο Δυναμικού) </w:t>
      </w:r>
      <w:r w:rsidR="00974BF1">
        <w:rPr>
          <w:sz w:val="24"/>
          <w:szCs w:val="24"/>
        </w:rPr>
        <w:t xml:space="preserve">του </w:t>
      </w:r>
      <w:r w:rsidR="000F30B4">
        <w:rPr>
          <w:sz w:val="24"/>
          <w:szCs w:val="24"/>
        </w:rPr>
        <w:t>Γ</w:t>
      </w:r>
      <w:r w:rsidR="00974BF1">
        <w:rPr>
          <w:sz w:val="24"/>
          <w:szCs w:val="24"/>
        </w:rPr>
        <w:t xml:space="preserve">’ τριμήνου, ο οποίος έχει ανέλθει στα υψηλότερα επίπεδα </w:t>
      </w:r>
      <w:r w:rsidR="000F30B4">
        <w:rPr>
          <w:sz w:val="24"/>
          <w:szCs w:val="24"/>
        </w:rPr>
        <w:t>από το αντίστοιχο τρίμηνο του</w:t>
      </w:r>
      <w:r w:rsidR="007B5538">
        <w:rPr>
          <w:sz w:val="24"/>
          <w:szCs w:val="24"/>
        </w:rPr>
        <w:t xml:space="preserve"> 2011</w:t>
      </w:r>
      <w:r w:rsidR="001700FB">
        <w:rPr>
          <w:sz w:val="24"/>
          <w:szCs w:val="24"/>
        </w:rPr>
        <w:t xml:space="preserve"> αλλά υπολείπεται σημαντικά του αντίστοιχου ευρωπαϊκού</w:t>
      </w:r>
      <w:r w:rsidR="000F30B4">
        <w:rPr>
          <w:sz w:val="24"/>
          <w:szCs w:val="24"/>
        </w:rPr>
        <w:t xml:space="preserve">. </w:t>
      </w:r>
      <w:r w:rsidRPr="00C36F99">
        <w:rPr>
          <w:sz w:val="24"/>
          <w:szCs w:val="24"/>
        </w:rPr>
        <w:t xml:space="preserve">  </w:t>
      </w:r>
    </w:p>
    <w:p w:rsidR="00B2550F" w:rsidRDefault="001700FB" w:rsidP="007B5538">
      <w:pPr>
        <w:pStyle w:val="a4"/>
        <w:numPr>
          <w:ilvl w:val="0"/>
          <w:numId w:val="4"/>
        </w:numPr>
        <w:spacing w:after="0" w:line="360" w:lineRule="atLeast"/>
        <w:ind w:left="0" w:right="-57" w:hanging="35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Λαμβάνοντας υπόψη τον υφιστάμενο </w:t>
      </w:r>
      <w:r w:rsidRPr="552FDA89">
        <w:rPr>
          <w:sz w:val="24"/>
          <w:szCs w:val="24"/>
        </w:rPr>
        <w:t>υψηλό βαθμό υποαπασχόλησης του εργατικού δυναμικού</w:t>
      </w:r>
      <w:r w:rsidR="00955359">
        <w:rPr>
          <w:sz w:val="24"/>
          <w:szCs w:val="24"/>
        </w:rPr>
        <w:t>, η ταχύτητα</w:t>
      </w:r>
      <w:r w:rsidR="007B5538">
        <w:rPr>
          <w:sz w:val="24"/>
          <w:szCs w:val="24"/>
        </w:rPr>
        <w:t xml:space="preserve"> α</w:t>
      </w:r>
      <w:r w:rsidR="552FDA89" w:rsidRPr="552FDA89">
        <w:rPr>
          <w:sz w:val="24"/>
          <w:szCs w:val="24"/>
        </w:rPr>
        <w:t>πορρόφηση</w:t>
      </w:r>
      <w:r w:rsidR="00955359">
        <w:rPr>
          <w:sz w:val="24"/>
          <w:szCs w:val="24"/>
        </w:rPr>
        <w:t>ς</w:t>
      </w:r>
      <w:r w:rsidR="552FDA89" w:rsidRPr="552FDA89">
        <w:rPr>
          <w:sz w:val="24"/>
          <w:szCs w:val="24"/>
        </w:rPr>
        <w:t xml:space="preserve"> της </w:t>
      </w:r>
      <w:r w:rsidR="007B5538">
        <w:rPr>
          <w:sz w:val="24"/>
          <w:szCs w:val="24"/>
        </w:rPr>
        <w:t xml:space="preserve">επίμονα </w:t>
      </w:r>
      <w:r w:rsidR="552FDA89" w:rsidRPr="552FDA89">
        <w:rPr>
          <w:sz w:val="24"/>
          <w:szCs w:val="24"/>
        </w:rPr>
        <w:t xml:space="preserve">υψηλής ανεργίας </w:t>
      </w:r>
      <w:r w:rsidR="00955359">
        <w:rPr>
          <w:sz w:val="24"/>
          <w:szCs w:val="24"/>
        </w:rPr>
        <w:t>θ</w:t>
      </w:r>
      <w:r w:rsidR="007B5538">
        <w:rPr>
          <w:sz w:val="24"/>
          <w:szCs w:val="24"/>
        </w:rPr>
        <w:t>α</w:t>
      </w:r>
      <w:r w:rsidR="00955359">
        <w:rPr>
          <w:sz w:val="24"/>
          <w:szCs w:val="24"/>
        </w:rPr>
        <w:t xml:space="preserve"> εξαρτηθεί άμεσα από την ουσιαστική υιοθέτηση των μεταρρυθμίσεων αλλά και από το μέγεθος των επενδύσεων που θα καταφέρει να προσελκύσει η ελληνική οικονομία. </w:t>
      </w:r>
      <w:r w:rsidR="552FDA89" w:rsidRPr="552FDA89">
        <w:rPr>
          <w:sz w:val="24"/>
          <w:szCs w:val="24"/>
        </w:rPr>
        <w:t xml:space="preserve"> </w:t>
      </w:r>
    </w:p>
    <w:p w:rsidR="00AF6BF1" w:rsidRPr="00AF6BF1" w:rsidRDefault="00955359" w:rsidP="007B5538">
      <w:pPr>
        <w:pStyle w:val="a4"/>
        <w:numPr>
          <w:ilvl w:val="0"/>
          <w:numId w:val="5"/>
        </w:numPr>
        <w:spacing w:after="0" w:line="360" w:lineRule="atLeast"/>
        <w:ind w:left="0" w:right="-57" w:hanging="357"/>
        <w:contextualSpacing w:val="0"/>
        <w:jc w:val="both"/>
        <w:rPr>
          <w:color w:val="C0504D" w:themeColor="accent2"/>
          <w:sz w:val="24"/>
          <w:szCs w:val="24"/>
        </w:rPr>
      </w:pPr>
      <w:r>
        <w:rPr>
          <w:sz w:val="24"/>
          <w:szCs w:val="24"/>
        </w:rPr>
        <w:t>Σε κάθε περίπτωση, η διατήρηση της ανοδικής πορείας τόσο των εργοδοτών όσο και των αυτοαπασχολουμένων και των μισθωτών στο σύνολο της οικονομικής δραστηριότητας για ένα ακόμη τρίμηνο</w:t>
      </w:r>
      <w:r w:rsidR="00AF6BF1">
        <w:rPr>
          <w:sz w:val="24"/>
          <w:szCs w:val="24"/>
        </w:rPr>
        <w:t xml:space="preserve"> (</w:t>
      </w:r>
      <w:r>
        <w:rPr>
          <w:sz w:val="24"/>
          <w:szCs w:val="24"/>
        </w:rPr>
        <w:t>Γ΄</w:t>
      </w:r>
      <w:r w:rsidR="00AF6BF1">
        <w:rPr>
          <w:sz w:val="24"/>
          <w:szCs w:val="24"/>
        </w:rPr>
        <w:t>/</w:t>
      </w:r>
      <w:r>
        <w:rPr>
          <w:sz w:val="24"/>
          <w:szCs w:val="24"/>
        </w:rPr>
        <w:t>Β΄</w:t>
      </w:r>
      <w:r w:rsidR="00AF6BF1">
        <w:rPr>
          <w:sz w:val="24"/>
          <w:szCs w:val="24"/>
        </w:rPr>
        <w:t xml:space="preserve"> 2017)</w:t>
      </w:r>
      <w:r w:rsidR="00E764FD">
        <w:rPr>
          <w:sz w:val="24"/>
          <w:szCs w:val="24"/>
        </w:rPr>
        <w:t>, αποτελεί θετική εξέλιξη.</w:t>
      </w:r>
      <w:r w:rsidR="00AF6BF1">
        <w:rPr>
          <w:sz w:val="24"/>
          <w:szCs w:val="24"/>
        </w:rPr>
        <w:t xml:space="preserve"> </w:t>
      </w:r>
    </w:p>
    <w:p w:rsidR="00173CE2" w:rsidRPr="00E276C2" w:rsidRDefault="00E764FD" w:rsidP="007B5538">
      <w:pPr>
        <w:pStyle w:val="a4"/>
        <w:numPr>
          <w:ilvl w:val="0"/>
          <w:numId w:val="5"/>
        </w:numPr>
        <w:spacing w:after="0" w:line="360" w:lineRule="atLeast"/>
        <w:ind w:left="0" w:right="-57" w:hanging="357"/>
        <w:contextualSpacing w:val="0"/>
        <w:jc w:val="both"/>
        <w:rPr>
          <w:color w:val="C0504D" w:themeColor="accent2"/>
          <w:sz w:val="24"/>
          <w:szCs w:val="24"/>
        </w:rPr>
      </w:pPr>
      <w:r>
        <w:rPr>
          <w:sz w:val="24"/>
          <w:szCs w:val="24"/>
        </w:rPr>
        <w:t xml:space="preserve">Εντούτοις, η αύξηση της απασχόλησης στο εμπόριο προήλθε από την ενίσχυση των μισθωτών (και των μη αμειβόμενων μελών), γεγονός που μπορεί να σημαίνει πως  </w:t>
      </w:r>
      <w:r w:rsidR="00FE3733">
        <w:rPr>
          <w:sz w:val="24"/>
          <w:szCs w:val="24"/>
        </w:rPr>
        <w:t>η περαιτέρω προώθηση επιχειρηματικότητα στ</w:t>
      </w:r>
      <w:r>
        <w:rPr>
          <w:sz w:val="24"/>
          <w:szCs w:val="24"/>
        </w:rPr>
        <w:t>ο</w:t>
      </w:r>
      <w:r w:rsidR="00FE3733">
        <w:rPr>
          <w:sz w:val="24"/>
          <w:szCs w:val="24"/>
        </w:rPr>
        <w:t xml:space="preserve"> συγκεκριμένο</w:t>
      </w:r>
      <w:r>
        <w:rPr>
          <w:sz w:val="24"/>
          <w:szCs w:val="24"/>
        </w:rPr>
        <w:t xml:space="preserve"> κλάδο</w:t>
      </w:r>
      <w:r w:rsidR="00FE3733">
        <w:rPr>
          <w:sz w:val="24"/>
          <w:szCs w:val="24"/>
        </w:rPr>
        <w:t xml:space="preserve"> συναντά αρκετά εμπόδια. Φυσικά, οι εξελίξεις τα επόμενα τρίμηνα θα επιβεβαιώσουν ή όχι αυτήν την τάση.</w:t>
      </w:r>
    </w:p>
    <w:p w:rsidR="00E276C2" w:rsidRDefault="00E276C2" w:rsidP="00E276C2">
      <w:pPr>
        <w:spacing w:after="0" w:line="360" w:lineRule="atLeast"/>
        <w:ind w:right="-57"/>
        <w:jc w:val="both"/>
        <w:rPr>
          <w:color w:val="C0504D" w:themeColor="accent2"/>
          <w:sz w:val="24"/>
          <w:szCs w:val="24"/>
        </w:rPr>
      </w:pPr>
    </w:p>
    <w:p w:rsidR="00E276C2" w:rsidRDefault="00E276C2" w:rsidP="00E276C2">
      <w:pPr>
        <w:ind w:right="-58"/>
        <w:jc w:val="both"/>
        <w:rPr>
          <w:noProof/>
          <w:lang w:eastAsia="el-GR"/>
        </w:rPr>
      </w:pPr>
      <w:r w:rsidRPr="0060375D">
        <w:rPr>
          <w:b/>
          <w:color w:val="EB6A20"/>
          <w:sz w:val="26"/>
          <w:szCs w:val="26"/>
        </w:rPr>
        <w:t xml:space="preserve">Διάγραμμα </w:t>
      </w:r>
      <w:r>
        <w:rPr>
          <w:b/>
          <w:color w:val="EB6A20"/>
          <w:sz w:val="26"/>
          <w:szCs w:val="26"/>
        </w:rPr>
        <w:t xml:space="preserve">9: </w:t>
      </w:r>
      <w:r w:rsidRPr="00B2550F">
        <w:rPr>
          <w:b/>
          <w:sz w:val="24"/>
          <w:szCs w:val="24"/>
        </w:rPr>
        <w:t xml:space="preserve">Ποσοστιαία μεταβολή (%) Απασχολουμένων στο σύνολο της οικονομίας και στο </w:t>
      </w:r>
      <w:r>
        <w:rPr>
          <w:b/>
          <w:sz w:val="24"/>
          <w:szCs w:val="24"/>
        </w:rPr>
        <w:t>Εμπόριο κατά θέση στο επάγγελμα, 2017 Γ΄/ 2017 Β΄</w:t>
      </w:r>
      <w:r w:rsidRPr="00B2550F">
        <w:rPr>
          <w:b/>
          <w:sz w:val="24"/>
          <w:szCs w:val="24"/>
        </w:rPr>
        <w:t xml:space="preserve"> (</w:t>
      </w:r>
      <w:r w:rsidRPr="00B2550F">
        <w:rPr>
          <w:b/>
          <w:i/>
          <w:sz w:val="24"/>
          <w:szCs w:val="24"/>
        </w:rPr>
        <w:t xml:space="preserve">πηγή: </w:t>
      </w:r>
      <w:r>
        <w:rPr>
          <w:b/>
          <w:i/>
          <w:sz w:val="24"/>
          <w:szCs w:val="24"/>
        </w:rPr>
        <w:t>ΕΛ.ΣΤΑΤ.)</w:t>
      </w:r>
    </w:p>
    <w:p w:rsidR="00E276C2" w:rsidRPr="00E276C2" w:rsidRDefault="00E276C2" w:rsidP="00E276C2">
      <w:pPr>
        <w:ind w:right="-58"/>
        <w:jc w:val="both"/>
        <w:rPr>
          <w:color w:val="C0504D" w:themeColor="accent2"/>
          <w:sz w:val="24"/>
          <w:szCs w:val="24"/>
        </w:rPr>
      </w:pPr>
      <w:r w:rsidRPr="00E276C2">
        <w:rPr>
          <w:b/>
          <w:i/>
          <w:noProof/>
          <w:sz w:val="24"/>
          <w:szCs w:val="24"/>
          <w:lang w:eastAsia="el-GR"/>
        </w:rPr>
        <w:drawing>
          <wp:inline distT="0" distB="0" distL="0" distR="0">
            <wp:extent cx="5486400" cy="3524885"/>
            <wp:effectExtent l="19050" t="0" r="19050" b="0"/>
            <wp:docPr id="20" name="Γράφημα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42F85" w:rsidRDefault="00FE3733" w:rsidP="00E7463C">
      <w:pPr>
        <w:pStyle w:val="a4"/>
        <w:numPr>
          <w:ilvl w:val="0"/>
          <w:numId w:val="5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Γενικότερα, και παρά τις εκτιμήσεις για επιτάχυνση της ανάκαμψης της οικονομίας οι προκλήσεις παραμένουν. Κατά αυτόν τον τρόπο, για να πραγματωθούν οι </w:t>
      </w:r>
      <w:r w:rsidR="00842F85">
        <w:rPr>
          <w:sz w:val="24"/>
          <w:szCs w:val="24"/>
        </w:rPr>
        <w:t xml:space="preserve">θετικές </w:t>
      </w:r>
      <w:r>
        <w:rPr>
          <w:sz w:val="24"/>
          <w:szCs w:val="24"/>
        </w:rPr>
        <w:t>προσδοκίες</w:t>
      </w:r>
      <w:r w:rsidR="00842F85">
        <w:rPr>
          <w:sz w:val="24"/>
          <w:szCs w:val="24"/>
        </w:rPr>
        <w:t>,</w:t>
      </w:r>
      <w:r>
        <w:rPr>
          <w:sz w:val="24"/>
          <w:szCs w:val="24"/>
        </w:rPr>
        <w:t xml:space="preserve"> τα επόμενα τρίμηνα</w:t>
      </w:r>
      <w:r w:rsidR="00842F85">
        <w:rPr>
          <w:sz w:val="24"/>
          <w:szCs w:val="24"/>
        </w:rPr>
        <w:t xml:space="preserve"> θα πρέπει να ληφθούν μέτρα εμπέδωσης της εμπιστοσύνης, να ολοκληρωθεί η τέταρτη και τελευταία αξιολόγηση που θα σημάνει </w:t>
      </w:r>
      <w:r w:rsidR="00842F85">
        <w:rPr>
          <w:sz w:val="24"/>
          <w:szCs w:val="24"/>
        </w:rPr>
        <w:lastRenderedPageBreak/>
        <w:t xml:space="preserve">και το τέλος του τρίτου μνημονίου, να προχωρήσουν οι διαπραγματεύσεις για το χρέος, να αρθούν οι περιορισμοί στην κίνηση κεφαλαίων και να εξασφαλιστεί η ομαλή χρηματοδότηση της οικονομίας το επόμενο διάστημα. </w:t>
      </w:r>
    </w:p>
    <w:p w:rsidR="00707315" w:rsidRDefault="00842F85" w:rsidP="00E7463C">
      <w:pPr>
        <w:pStyle w:val="a4"/>
        <w:numPr>
          <w:ilvl w:val="0"/>
          <w:numId w:val="5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Στις παραπάνω προκλήσεις θα πρέπει να προστεθούν οι υψηλές φορολογικές επιβαρύνσεις, η περιορισμένη πρόσβαση σε ρευστότητα</w:t>
      </w:r>
      <w:r w:rsidR="009673BB">
        <w:rPr>
          <w:sz w:val="24"/>
          <w:szCs w:val="24"/>
        </w:rPr>
        <w:t xml:space="preserve"> για νοικοκυριά και επιχειρήσεις</w:t>
      </w:r>
      <w:r>
        <w:rPr>
          <w:sz w:val="24"/>
          <w:szCs w:val="24"/>
        </w:rPr>
        <w:t xml:space="preserve">, ο χωρίς ισόρροπη κατανομή </w:t>
      </w:r>
      <w:r w:rsidR="00AD0296">
        <w:rPr>
          <w:sz w:val="24"/>
          <w:szCs w:val="24"/>
        </w:rPr>
        <w:t xml:space="preserve">εντεινόμενος ανταγωνισμός (ιδιαίτερα από </w:t>
      </w:r>
      <w:r>
        <w:rPr>
          <w:sz w:val="24"/>
          <w:szCs w:val="24"/>
        </w:rPr>
        <w:t>τις πολύ μεγάλες επιχειρήσεις) κ.ά.</w:t>
      </w:r>
      <w:r w:rsidR="00AD0296">
        <w:rPr>
          <w:sz w:val="24"/>
          <w:szCs w:val="24"/>
        </w:rPr>
        <w:t>.</w:t>
      </w:r>
    </w:p>
    <w:p w:rsidR="00B633B6" w:rsidRDefault="00B633B6" w:rsidP="00B818D1">
      <w:pPr>
        <w:ind w:right="-58"/>
        <w:jc w:val="both"/>
        <w:rPr>
          <w:b/>
          <w:i/>
          <w:sz w:val="24"/>
          <w:szCs w:val="24"/>
        </w:rPr>
      </w:pPr>
      <w:r>
        <w:rPr>
          <w:b/>
          <w:color w:val="EB6A20"/>
          <w:sz w:val="26"/>
          <w:szCs w:val="26"/>
        </w:rPr>
        <w:t>Δ</w:t>
      </w:r>
      <w:r w:rsidRPr="0060375D">
        <w:rPr>
          <w:b/>
          <w:color w:val="EB6A20"/>
          <w:sz w:val="26"/>
          <w:szCs w:val="26"/>
        </w:rPr>
        <w:t xml:space="preserve">ιάγραμμα </w:t>
      </w:r>
      <w:r w:rsidR="00FC6095">
        <w:rPr>
          <w:b/>
          <w:color w:val="EB6A20"/>
          <w:sz w:val="26"/>
          <w:szCs w:val="26"/>
        </w:rPr>
        <w:t>1</w:t>
      </w:r>
      <w:r w:rsidR="000113A6">
        <w:rPr>
          <w:b/>
          <w:color w:val="EB6A20"/>
          <w:sz w:val="26"/>
          <w:szCs w:val="26"/>
        </w:rPr>
        <w:t>0</w:t>
      </w:r>
      <w:r>
        <w:rPr>
          <w:b/>
          <w:color w:val="EB6A20"/>
          <w:sz w:val="26"/>
          <w:szCs w:val="26"/>
        </w:rPr>
        <w:t xml:space="preserve">: </w:t>
      </w:r>
      <w:r w:rsidR="00A12B8B" w:rsidRPr="00B2550F">
        <w:rPr>
          <w:b/>
          <w:sz w:val="24"/>
          <w:szCs w:val="24"/>
        </w:rPr>
        <w:t>Μερίδια (%) πλήρους απασχόλησης στο εμπόριο κατά μέγεθος επιχείρησης</w:t>
      </w:r>
      <w:r w:rsidR="0002175F" w:rsidRPr="00B2550F">
        <w:rPr>
          <w:b/>
          <w:sz w:val="24"/>
          <w:szCs w:val="24"/>
        </w:rPr>
        <w:t xml:space="preserve">, </w:t>
      </w:r>
      <w:r w:rsidRPr="00B2550F">
        <w:rPr>
          <w:b/>
          <w:sz w:val="24"/>
          <w:szCs w:val="24"/>
        </w:rPr>
        <w:t>2017</w:t>
      </w:r>
      <w:r w:rsidR="00E7463C">
        <w:rPr>
          <w:b/>
          <w:sz w:val="24"/>
          <w:szCs w:val="24"/>
        </w:rPr>
        <w:t xml:space="preserve"> </w:t>
      </w:r>
      <w:r w:rsidRPr="00B2550F">
        <w:rPr>
          <w:b/>
          <w:sz w:val="24"/>
          <w:szCs w:val="24"/>
        </w:rPr>
        <w:t>Α</w:t>
      </w:r>
      <w:r w:rsidR="00A12B8B" w:rsidRPr="00B2550F">
        <w:rPr>
          <w:b/>
          <w:sz w:val="24"/>
          <w:szCs w:val="24"/>
        </w:rPr>
        <w:t>΄</w:t>
      </w:r>
      <w:r w:rsidR="00E356D8">
        <w:rPr>
          <w:b/>
          <w:sz w:val="24"/>
          <w:szCs w:val="24"/>
        </w:rPr>
        <w:t>,</w:t>
      </w:r>
      <w:r w:rsidR="00C67821">
        <w:rPr>
          <w:b/>
          <w:sz w:val="24"/>
          <w:szCs w:val="24"/>
        </w:rPr>
        <w:t xml:space="preserve"> 2017 Β΄</w:t>
      </w:r>
      <w:r w:rsidR="00E356D8">
        <w:rPr>
          <w:b/>
          <w:sz w:val="24"/>
          <w:szCs w:val="24"/>
        </w:rPr>
        <w:t xml:space="preserve"> και 2017 Γ΄</w:t>
      </w:r>
      <w:r w:rsidRPr="00B2550F">
        <w:rPr>
          <w:b/>
          <w:sz w:val="24"/>
          <w:szCs w:val="24"/>
        </w:rPr>
        <w:t xml:space="preserve"> (</w:t>
      </w:r>
      <w:r w:rsidRPr="00B2550F">
        <w:rPr>
          <w:b/>
          <w:i/>
          <w:sz w:val="24"/>
          <w:szCs w:val="24"/>
        </w:rPr>
        <w:t xml:space="preserve">πηγή: </w:t>
      </w:r>
      <w:r w:rsidR="00A12B8B" w:rsidRPr="00B2550F">
        <w:rPr>
          <w:b/>
          <w:i/>
          <w:sz w:val="24"/>
          <w:szCs w:val="24"/>
        </w:rPr>
        <w:t>ΕΛ.ΣΤΑΤ.</w:t>
      </w:r>
      <w:r w:rsidRPr="00B2550F">
        <w:rPr>
          <w:b/>
          <w:i/>
          <w:sz w:val="24"/>
          <w:szCs w:val="24"/>
        </w:rPr>
        <w:t>)</w:t>
      </w:r>
    </w:p>
    <w:p w:rsidR="00E356D8" w:rsidRDefault="00E356D8" w:rsidP="00B818D1">
      <w:pPr>
        <w:ind w:right="-58"/>
        <w:jc w:val="both"/>
        <w:rPr>
          <w:b/>
          <w:i/>
          <w:sz w:val="24"/>
          <w:szCs w:val="24"/>
        </w:rPr>
      </w:pPr>
      <w:r w:rsidRPr="00E356D8">
        <w:rPr>
          <w:b/>
          <w:i/>
          <w:noProof/>
          <w:sz w:val="24"/>
          <w:szCs w:val="24"/>
          <w:lang w:eastAsia="el-GR"/>
        </w:rPr>
        <w:drawing>
          <wp:inline distT="0" distB="0" distL="0" distR="0">
            <wp:extent cx="5251690" cy="3165895"/>
            <wp:effectExtent l="19050" t="0" r="25160" b="0"/>
            <wp:docPr id="21" name="Γράφημα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F9161A" w:rsidRDefault="00F9161A" w:rsidP="00B818D1">
      <w:pPr>
        <w:ind w:right="-58"/>
        <w:jc w:val="both"/>
      </w:pPr>
    </w:p>
    <w:p w:rsidR="00F9161A" w:rsidRPr="00B2550F" w:rsidRDefault="00E356D8" w:rsidP="00E7463C">
      <w:pPr>
        <w:pStyle w:val="a4"/>
        <w:numPr>
          <w:ilvl w:val="0"/>
          <w:numId w:val="12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Από την ανάλυση της ποιότητας των θέσεων εργασίας επιβεβαιώνεται, για ένα ακόμη τρίμηνο, πως</w:t>
      </w:r>
      <w:r w:rsidR="00043538">
        <w:rPr>
          <w:sz w:val="24"/>
          <w:szCs w:val="24"/>
        </w:rPr>
        <w:t xml:space="preserve"> στο</w:t>
      </w:r>
      <w:r w:rsidR="00FC6095">
        <w:rPr>
          <w:sz w:val="24"/>
          <w:szCs w:val="24"/>
        </w:rPr>
        <w:t xml:space="preserve"> σύνολο της οικονομίας ο</w:t>
      </w:r>
      <w:r w:rsidR="0002175F" w:rsidRPr="00B2550F">
        <w:rPr>
          <w:sz w:val="24"/>
          <w:szCs w:val="24"/>
        </w:rPr>
        <w:t>ι πολύ μικρές-</w:t>
      </w:r>
      <w:r w:rsidR="00D6219A">
        <w:rPr>
          <w:sz w:val="24"/>
          <w:szCs w:val="24"/>
        </w:rPr>
        <w:t>«</w:t>
      </w:r>
      <w:r w:rsidR="0002175F" w:rsidRPr="00B2550F">
        <w:rPr>
          <w:sz w:val="24"/>
          <w:szCs w:val="24"/>
          <w:lang w:val="en-US"/>
        </w:rPr>
        <w:t>micro</w:t>
      </w:r>
      <w:r w:rsidR="00043538">
        <w:rPr>
          <w:sz w:val="24"/>
          <w:szCs w:val="24"/>
        </w:rPr>
        <w:t>»</w:t>
      </w:r>
      <w:r w:rsidR="0002175F" w:rsidRPr="00B2550F">
        <w:rPr>
          <w:sz w:val="24"/>
          <w:szCs w:val="24"/>
        </w:rPr>
        <w:t xml:space="preserve"> επιχειρήσεις (με έως 10 άτομα προσωπικό) παρουσιάζουν χαμηλότερα ποσοστά πλήρους απασχόλησης</w:t>
      </w:r>
      <w:r w:rsidR="00E7463C">
        <w:rPr>
          <w:sz w:val="24"/>
          <w:szCs w:val="24"/>
        </w:rPr>
        <w:t>,</w:t>
      </w:r>
      <w:r w:rsidR="0002175F" w:rsidRPr="00B2550F">
        <w:rPr>
          <w:sz w:val="24"/>
          <w:szCs w:val="24"/>
        </w:rPr>
        <w:t xml:space="preserve"> σε σχέση με τις μεγαλύτερες επιχειρήσεις</w:t>
      </w:r>
      <w:r w:rsidR="00043538">
        <w:rPr>
          <w:sz w:val="24"/>
          <w:szCs w:val="24"/>
        </w:rPr>
        <w:t xml:space="preserve"> (με προσωπικό 10 και πλέον ατόμων)</w:t>
      </w:r>
      <w:r w:rsidR="0002175F" w:rsidRPr="00B2550F">
        <w:rPr>
          <w:sz w:val="24"/>
          <w:szCs w:val="24"/>
        </w:rPr>
        <w:t>.</w:t>
      </w:r>
    </w:p>
    <w:p w:rsidR="0002175F" w:rsidRPr="00914274" w:rsidRDefault="00E356D8" w:rsidP="00E7463C">
      <w:pPr>
        <w:pStyle w:val="a4"/>
        <w:numPr>
          <w:ilvl w:val="0"/>
          <w:numId w:val="12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Ωστόσο</w:t>
      </w:r>
      <w:r w:rsidR="00043538">
        <w:rPr>
          <w:sz w:val="24"/>
          <w:szCs w:val="24"/>
        </w:rPr>
        <w:t>, η</w:t>
      </w:r>
      <w:r w:rsidR="00FC6095">
        <w:rPr>
          <w:sz w:val="24"/>
          <w:szCs w:val="24"/>
        </w:rPr>
        <w:t xml:space="preserve"> εικόνα</w:t>
      </w:r>
      <w:r w:rsidR="00043538">
        <w:rPr>
          <w:sz w:val="24"/>
          <w:szCs w:val="24"/>
        </w:rPr>
        <w:t xml:space="preserve"> αυτή </w:t>
      </w:r>
      <w:r w:rsidR="00880419">
        <w:rPr>
          <w:sz w:val="24"/>
          <w:szCs w:val="24"/>
        </w:rPr>
        <w:t xml:space="preserve">είναι εντελώς διαφορετική </w:t>
      </w:r>
      <w:r w:rsidR="0002175F" w:rsidRPr="00B2550F">
        <w:rPr>
          <w:sz w:val="24"/>
          <w:szCs w:val="24"/>
        </w:rPr>
        <w:t xml:space="preserve">στο </w:t>
      </w:r>
      <w:r w:rsidR="00E7463C" w:rsidRPr="00031D14">
        <w:rPr>
          <w:b/>
          <w:sz w:val="24"/>
          <w:szCs w:val="24"/>
          <w:u w:val="single"/>
        </w:rPr>
        <w:t>Ε</w:t>
      </w:r>
      <w:r w:rsidR="0002175F" w:rsidRPr="00031D14">
        <w:rPr>
          <w:b/>
          <w:sz w:val="24"/>
          <w:szCs w:val="24"/>
          <w:u w:val="single"/>
        </w:rPr>
        <w:t>μπόρι</w:t>
      </w:r>
      <w:r w:rsidR="00FC6095" w:rsidRPr="00031D14">
        <w:rPr>
          <w:b/>
          <w:sz w:val="24"/>
          <w:szCs w:val="24"/>
          <w:u w:val="single"/>
        </w:rPr>
        <w:t>ο</w:t>
      </w:r>
      <w:r w:rsidR="00FC6095">
        <w:rPr>
          <w:sz w:val="24"/>
          <w:szCs w:val="24"/>
        </w:rPr>
        <w:t xml:space="preserve"> </w:t>
      </w:r>
      <w:r w:rsidR="0002175F" w:rsidRPr="00B2550F">
        <w:rPr>
          <w:sz w:val="24"/>
          <w:szCs w:val="24"/>
        </w:rPr>
        <w:t xml:space="preserve">αφού </w:t>
      </w:r>
      <w:r w:rsidR="00043538">
        <w:rPr>
          <w:sz w:val="24"/>
          <w:szCs w:val="24"/>
        </w:rPr>
        <w:t xml:space="preserve">στο </w:t>
      </w:r>
      <w:r w:rsidR="00043538" w:rsidRPr="00880419">
        <w:rPr>
          <w:sz w:val="24"/>
          <w:szCs w:val="24"/>
        </w:rPr>
        <w:t xml:space="preserve">συγκεκριμένο κλάδο </w:t>
      </w:r>
      <w:r w:rsidR="0002175F" w:rsidRPr="00880419">
        <w:rPr>
          <w:b/>
          <w:sz w:val="24"/>
          <w:szCs w:val="24"/>
        </w:rPr>
        <w:t>οι πολύ μικρές</w:t>
      </w:r>
      <w:r w:rsidR="00043538" w:rsidRPr="00880419">
        <w:rPr>
          <w:sz w:val="24"/>
          <w:szCs w:val="24"/>
        </w:rPr>
        <w:t xml:space="preserve"> </w:t>
      </w:r>
      <w:r w:rsidR="00043538" w:rsidRPr="00880419">
        <w:rPr>
          <w:b/>
          <w:sz w:val="24"/>
          <w:szCs w:val="24"/>
        </w:rPr>
        <w:t>(“</w:t>
      </w:r>
      <w:r w:rsidR="00043538" w:rsidRPr="00880419">
        <w:rPr>
          <w:b/>
          <w:sz w:val="24"/>
          <w:szCs w:val="24"/>
          <w:lang w:val="en-US"/>
        </w:rPr>
        <w:t>micro</w:t>
      </w:r>
      <w:r w:rsidR="00043538" w:rsidRPr="00880419">
        <w:rPr>
          <w:b/>
          <w:sz w:val="24"/>
          <w:szCs w:val="24"/>
        </w:rPr>
        <w:t>”)</w:t>
      </w:r>
      <w:r w:rsidR="0002175F" w:rsidRPr="00880419">
        <w:rPr>
          <w:sz w:val="24"/>
          <w:szCs w:val="24"/>
        </w:rPr>
        <w:t xml:space="preserve"> επιχειρήσεις</w:t>
      </w:r>
      <w:r w:rsidR="00914274" w:rsidRPr="00880419">
        <w:rPr>
          <w:sz w:val="24"/>
          <w:szCs w:val="24"/>
        </w:rPr>
        <w:t xml:space="preserve"> ανθίστανται στις πιέσεις και </w:t>
      </w:r>
      <w:r w:rsidR="00043538" w:rsidRPr="00880419">
        <w:rPr>
          <w:b/>
          <w:sz w:val="24"/>
          <w:szCs w:val="24"/>
        </w:rPr>
        <w:t xml:space="preserve">εμφανίζουν </w:t>
      </w:r>
      <w:r w:rsidR="0002175F" w:rsidRPr="00880419">
        <w:rPr>
          <w:b/>
          <w:sz w:val="24"/>
          <w:szCs w:val="24"/>
        </w:rPr>
        <w:t>υψηλότερα ποσοστά πλήρους απασχόλησης</w:t>
      </w:r>
      <w:r w:rsidR="0002175F" w:rsidRPr="00880419">
        <w:rPr>
          <w:sz w:val="24"/>
          <w:szCs w:val="24"/>
        </w:rPr>
        <w:t xml:space="preserve"> σε σχέση με τις μεγαλύτερες</w:t>
      </w:r>
      <w:r w:rsidR="00880419" w:rsidRPr="00880419">
        <w:rPr>
          <w:sz w:val="24"/>
          <w:szCs w:val="24"/>
        </w:rPr>
        <w:t xml:space="preserve"> του κλάδου</w:t>
      </w:r>
      <w:r w:rsidR="0002175F" w:rsidRPr="00914274">
        <w:rPr>
          <w:sz w:val="24"/>
          <w:szCs w:val="24"/>
        </w:rPr>
        <w:t xml:space="preserve">. </w:t>
      </w:r>
    </w:p>
    <w:p w:rsidR="0002175F" w:rsidRPr="00936297" w:rsidRDefault="00936297" w:rsidP="00E7463C">
      <w:pPr>
        <w:pStyle w:val="a4"/>
        <w:numPr>
          <w:ilvl w:val="0"/>
          <w:numId w:val="12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 w:rsidRPr="00936297">
        <w:rPr>
          <w:sz w:val="24"/>
          <w:szCs w:val="24"/>
        </w:rPr>
        <w:t>Η σημασία αυτής της παρατήρησης είναι ε</w:t>
      </w:r>
      <w:r w:rsidR="00880419">
        <w:rPr>
          <w:sz w:val="24"/>
          <w:szCs w:val="24"/>
        </w:rPr>
        <w:t xml:space="preserve">νδεικτική της ποιότητας των θέσεων εργασίας που προσφέρουν οι πολύ μικρές επιχειρήσεις, οι οποίες </w:t>
      </w:r>
      <w:r w:rsidR="002645A2">
        <w:rPr>
          <w:sz w:val="24"/>
          <w:szCs w:val="24"/>
        </w:rPr>
        <w:t xml:space="preserve">παραδοσιακά φαίνεται να </w:t>
      </w:r>
      <w:r w:rsidR="00880419">
        <w:rPr>
          <w:sz w:val="24"/>
          <w:szCs w:val="24"/>
        </w:rPr>
        <w:t>εμφανίζουν</w:t>
      </w:r>
      <w:r w:rsidR="002645A2">
        <w:rPr>
          <w:sz w:val="24"/>
          <w:szCs w:val="24"/>
        </w:rPr>
        <w:t xml:space="preserve"> ισχυρότερους δεσμούς με τους εργαζομένους,</w:t>
      </w:r>
      <w:r w:rsidR="00880419">
        <w:rPr>
          <w:sz w:val="24"/>
          <w:szCs w:val="24"/>
        </w:rPr>
        <w:t xml:space="preserve"> καθώς και το </w:t>
      </w:r>
      <w:r w:rsidR="00880419">
        <w:rPr>
          <w:sz w:val="24"/>
          <w:szCs w:val="24"/>
        </w:rPr>
        <w:lastRenderedPageBreak/>
        <w:t>είδος των επιχειρήσεων που</w:t>
      </w:r>
      <w:r w:rsidR="002645A2">
        <w:rPr>
          <w:sz w:val="24"/>
          <w:szCs w:val="24"/>
        </w:rPr>
        <w:t xml:space="preserve"> δύναται να αποκομίσει υψηλότερα οφέλη </w:t>
      </w:r>
      <w:r w:rsidR="00880419">
        <w:rPr>
          <w:sz w:val="24"/>
          <w:szCs w:val="24"/>
        </w:rPr>
        <w:t>από την απορρύθμιση της αγοράς εργασίας.</w:t>
      </w:r>
    </w:p>
    <w:p w:rsidR="00936297" w:rsidRDefault="00936297" w:rsidP="00E7463C">
      <w:pPr>
        <w:pStyle w:val="a4"/>
        <w:numPr>
          <w:ilvl w:val="0"/>
          <w:numId w:val="12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Στα θετικά ωστόσο σημειώνεται η άνοδος της πλήρους απασχόλησης σε όλες τις κατηγορίες επιχειρήσεων (στις πολύ μικρές – «</w:t>
      </w:r>
      <w:r>
        <w:rPr>
          <w:sz w:val="24"/>
          <w:szCs w:val="24"/>
          <w:lang w:val="en-US"/>
        </w:rPr>
        <w:t>micro</w:t>
      </w:r>
      <w:r>
        <w:rPr>
          <w:sz w:val="24"/>
          <w:szCs w:val="24"/>
        </w:rPr>
        <w:t xml:space="preserve">» αλλά και στις υπόλοιπες) και μάλιστα τόσο στον κλάδο του εμπορίου όσο και στο σύνολο της οικονομίας. </w:t>
      </w:r>
    </w:p>
    <w:p w:rsidR="0002175F" w:rsidRPr="00B2550F" w:rsidRDefault="002645A2" w:rsidP="00E7463C">
      <w:pPr>
        <w:pStyle w:val="a4"/>
        <w:numPr>
          <w:ilvl w:val="0"/>
          <w:numId w:val="12"/>
        </w:numPr>
        <w:spacing w:after="120"/>
        <w:ind w:left="0" w:right="-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Η </w:t>
      </w:r>
      <w:r w:rsidR="00BE4D86">
        <w:rPr>
          <w:sz w:val="24"/>
          <w:szCs w:val="24"/>
        </w:rPr>
        <w:t xml:space="preserve">ανοδική πορεία </w:t>
      </w:r>
      <w:r>
        <w:rPr>
          <w:sz w:val="24"/>
          <w:szCs w:val="24"/>
        </w:rPr>
        <w:t xml:space="preserve">των θέσεων πλήρους απασχόλησης, εκτός των θετικών επιπτώσεων σε κοινωνικό επίπεδο, βελτιώνει τα έσοδα του συστημάτων κοινωνικής ασφάλισης </w:t>
      </w:r>
      <w:r w:rsidR="00BE4D86">
        <w:rPr>
          <w:sz w:val="24"/>
          <w:szCs w:val="24"/>
        </w:rPr>
        <w:t xml:space="preserve">και ενδέχεται να παράσχει τη δυνατότητα φορολογικών και ασφαλιστικών ελαφρύνσεων στο μέλλον. </w:t>
      </w:r>
    </w:p>
    <w:p w:rsidR="000113A6" w:rsidRDefault="000113A6" w:rsidP="000113A6">
      <w:pPr>
        <w:spacing w:after="120"/>
        <w:ind w:right="-57"/>
        <w:jc w:val="both"/>
        <w:rPr>
          <w:sz w:val="24"/>
          <w:szCs w:val="24"/>
        </w:rPr>
      </w:pPr>
    </w:p>
    <w:p w:rsidR="000113A6" w:rsidRDefault="000113A6" w:rsidP="000113A6">
      <w:pPr>
        <w:ind w:right="-58"/>
        <w:jc w:val="both"/>
        <w:rPr>
          <w:b/>
          <w:i/>
          <w:sz w:val="24"/>
          <w:szCs w:val="24"/>
        </w:rPr>
      </w:pPr>
      <w:r>
        <w:rPr>
          <w:b/>
          <w:color w:val="EB6A20"/>
          <w:sz w:val="26"/>
          <w:szCs w:val="26"/>
        </w:rPr>
        <w:t>Δ</w:t>
      </w:r>
      <w:r w:rsidRPr="0060375D">
        <w:rPr>
          <w:b/>
          <w:color w:val="EB6A20"/>
          <w:sz w:val="26"/>
          <w:szCs w:val="26"/>
        </w:rPr>
        <w:t xml:space="preserve">ιάγραμμα </w:t>
      </w:r>
      <w:r>
        <w:rPr>
          <w:b/>
          <w:color w:val="EB6A20"/>
          <w:sz w:val="26"/>
          <w:szCs w:val="26"/>
        </w:rPr>
        <w:t>11</w:t>
      </w:r>
      <w:r w:rsidRPr="00B2550F">
        <w:rPr>
          <w:b/>
          <w:color w:val="EB6A20"/>
          <w:sz w:val="24"/>
          <w:szCs w:val="24"/>
        </w:rPr>
        <w:t xml:space="preserve">: </w:t>
      </w:r>
      <w:r w:rsidRPr="00E7463C">
        <w:rPr>
          <w:b/>
          <w:sz w:val="24"/>
          <w:szCs w:val="24"/>
        </w:rPr>
        <w:t>Τριμηνιαία ε</w:t>
      </w:r>
      <w:r w:rsidRPr="00B2550F">
        <w:rPr>
          <w:b/>
          <w:sz w:val="24"/>
          <w:szCs w:val="24"/>
        </w:rPr>
        <w:t xml:space="preserve">ξέλιξη </w:t>
      </w:r>
      <w:r>
        <w:rPr>
          <w:b/>
          <w:sz w:val="24"/>
          <w:szCs w:val="24"/>
        </w:rPr>
        <w:t>της α</w:t>
      </w:r>
      <w:r w:rsidRPr="00B2550F">
        <w:rPr>
          <w:b/>
          <w:sz w:val="24"/>
          <w:szCs w:val="24"/>
        </w:rPr>
        <w:t xml:space="preserve">πασχόλησης στο </w:t>
      </w:r>
      <w:r>
        <w:rPr>
          <w:b/>
          <w:sz w:val="24"/>
          <w:szCs w:val="24"/>
        </w:rPr>
        <w:t>Ε</w:t>
      </w:r>
      <w:r w:rsidRPr="00B2550F">
        <w:rPr>
          <w:b/>
          <w:sz w:val="24"/>
          <w:szCs w:val="24"/>
        </w:rPr>
        <w:t>μπόριο σε επιλεγμένες χώρες (άτομα εργάσιμης ηλικίας 15-64, 201</w:t>
      </w:r>
      <w:r w:rsidR="003433C1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</w:t>
      </w:r>
      <w:r w:rsidR="003433C1">
        <w:rPr>
          <w:b/>
          <w:sz w:val="24"/>
          <w:szCs w:val="24"/>
        </w:rPr>
        <w:t>Γ</w:t>
      </w:r>
      <w:r>
        <w:rPr>
          <w:b/>
          <w:sz w:val="24"/>
          <w:szCs w:val="24"/>
        </w:rPr>
        <w:t xml:space="preserve">΄ </w:t>
      </w:r>
      <w:r w:rsidRPr="00B2550F">
        <w:rPr>
          <w:b/>
          <w:sz w:val="24"/>
          <w:szCs w:val="24"/>
        </w:rPr>
        <w:t xml:space="preserve">= 100, </w:t>
      </w:r>
      <w:r w:rsidRPr="00B2550F">
        <w:rPr>
          <w:b/>
          <w:i/>
          <w:sz w:val="24"/>
          <w:szCs w:val="24"/>
        </w:rPr>
        <w:t xml:space="preserve">πηγή: </w:t>
      </w:r>
      <w:r w:rsidRPr="00B2550F">
        <w:rPr>
          <w:b/>
          <w:i/>
          <w:sz w:val="24"/>
          <w:szCs w:val="24"/>
          <w:lang w:val="en-US"/>
        </w:rPr>
        <w:t>Eurostat</w:t>
      </w:r>
      <w:r w:rsidRPr="00B2550F">
        <w:rPr>
          <w:b/>
          <w:i/>
          <w:sz w:val="24"/>
          <w:szCs w:val="24"/>
        </w:rPr>
        <w:t>)</w:t>
      </w:r>
    </w:p>
    <w:p w:rsidR="00D32CDF" w:rsidRDefault="00D32CDF" w:rsidP="00832B55">
      <w:pPr>
        <w:spacing w:line="240" w:lineRule="auto"/>
        <w:ind w:right="-58"/>
        <w:jc w:val="both"/>
        <w:rPr>
          <w:b/>
          <w:i/>
          <w:sz w:val="24"/>
          <w:szCs w:val="24"/>
        </w:rPr>
      </w:pPr>
      <w:r w:rsidRPr="00D32CDF">
        <w:rPr>
          <w:b/>
          <w:i/>
          <w:noProof/>
          <w:sz w:val="24"/>
          <w:szCs w:val="24"/>
          <w:lang w:eastAsia="el-GR"/>
        </w:rPr>
        <w:drawing>
          <wp:inline distT="0" distB="0" distL="0" distR="0">
            <wp:extent cx="5277569" cy="2915729"/>
            <wp:effectExtent l="19050" t="0" r="18331" b="0"/>
            <wp:docPr id="5" name="Γράφημα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C750FE" w:rsidRPr="00C750FE" w:rsidRDefault="00C750FE" w:rsidP="00832B55">
      <w:pPr>
        <w:spacing w:after="0" w:line="240" w:lineRule="auto"/>
        <w:ind w:right="-57"/>
        <w:jc w:val="both"/>
        <w:rPr>
          <w:i/>
          <w:sz w:val="18"/>
          <w:szCs w:val="18"/>
        </w:rPr>
      </w:pPr>
      <w:r w:rsidRPr="00C750FE">
        <w:rPr>
          <w:b/>
          <w:i/>
          <w:sz w:val="18"/>
          <w:szCs w:val="18"/>
          <w:u w:val="single"/>
        </w:rPr>
        <w:t>Σημείωση:</w:t>
      </w:r>
      <w:r w:rsidRPr="00C750FE">
        <w:rPr>
          <w:i/>
          <w:sz w:val="18"/>
          <w:szCs w:val="18"/>
        </w:rPr>
        <w:t xml:space="preserve"> </w:t>
      </w:r>
      <w:r w:rsidR="00B644A4">
        <w:rPr>
          <w:i/>
          <w:sz w:val="18"/>
          <w:szCs w:val="18"/>
        </w:rPr>
        <w:t xml:space="preserve">Οι </w:t>
      </w:r>
      <w:r w:rsidRPr="00C750FE">
        <w:rPr>
          <w:i/>
          <w:sz w:val="18"/>
          <w:szCs w:val="18"/>
        </w:rPr>
        <w:t>διακρατικές συγκρίσεις</w:t>
      </w:r>
      <w:r w:rsidR="00B644A4">
        <w:rPr>
          <w:i/>
          <w:sz w:val="18"/>
          <w:szCs w:val="18"/>
        </w:rPr>
        <w:t xml:space="preserve"> στο διάγραμμα πρέπει να γίνονται με προσοχή καθώς αντανακλούν τις εξελίξεις σε κάθε χώρα σε σχέση με το Β’ τρίμηνο του 2014</w:t>
      </w:r>
    </w:p>
    <w:p w:rsidR="00C750FE" w:rsidRPr="00C750FE" w:rsidRDefault="00C750FE" w:rsidP="00C750FE">
      <w:pPr>
        <w:spacing w:after="0" w:line="360" w:lineRule="atLeast"/>
        <w:ind w:right="-57"/>
        <w:jc w:val="both"/>
        <w:rPr>
          <w:i/>
          <w:sz w:val="24"/>
          <w:szCs w:val="24"/>
        </w:rPr>
      </w:pPr>
    </w:p>
    <w:p w:rsidR="000113A6" w:rsidRPr="00B2550F" w:rsidRDefault="00C750FE" w:rsidP="002C51EB">
      <w:pPr>
        <w:pStyle w:val="a4"/>
        <w:numPr>
          <w:ilvl w:val="0"/>
          <w:numId w:val="15"/>
        </w:numPr>
        <w:spacing w:after="0" w:line="360" w:lineRule="atLeast"/>
        <w:ind w:left="0" w:right="-58" w:hanging="284"/>
        <w:jc w:val="both"/>
        <w:rPr>
          <w:sz w:val="24"/>
          <w:szCs w:val="24"/>
        </w:rPr>
      </w:pPr>
      <w:r w:rsidRPr="003433C1">
        <w:rPr>
          <w:sz w:val="24"/>
          <w:szCs w:val="24"/>
        </w:rPr>
        <w:t xml:space="preserve">Μια </w:t>
      </w:r>
      <w:r w:rsidR="003433C1">
        <w:rPr>
          <w:sz w:val="24"/>
          <w:szCs w:val="24"/>
        </w:rPr>
        <w:t>πληρέστερη εικόνα σχετικά με τις εξελίξεις της απασχόλησης στο εμπόριο αναδεικνύεται από τη σύγκριση του σχετικού δείκτη των</w:t>
      </w:r>
      <w:r>
        <w:rPr>
          <w:sz w:val="24"/>
          <w:szCs w:val="24"/>
        </w:rPr>
        <w:t xml:space="preserve"> ευρωπαϊκών κρατών </w:t>
      </w:r>
      <w:r w:rsidR="002C51EB">
        <w:rPr>
          <w:sz w:val="24"/>
          <w:szCs w:val="24"/>
        </w:rPr>
        <w:t xml:space="preserve">που είτε αντιμετώπισαν </w:t>
      </w:r>
      <w:r w:rsidR="00E547FB">
        <w:rPr>
          <w:sz w:val="24"/>
          <w:szCs w:val="24"/>
        </w:rPr>
        <w:t>αξιοσημείωτες</w:t>
      </w:r>
      <w:r w:rsidR="002C51EB">
        <w:rPr>
          <w:sz w:val="24"/>
          <w:szCs w:val="24"/>
        </w:rPr>
        <w:t xml:space="preserve"> αναταράξεις </w:t>
      </w:r>
      <w:r w:rsidR="000113A6" w:rsidRPr="00B2550F">
        <w:rPr>
          <w:sz w:val="24"/>
          <w:szCs w:val="24"/>
        </w:rPr>
        <w:t>(Ισπανία και Ιταλία)</w:t>
      </w:r>
      <w:r w:rsidR="002C51EB">
        <w:rPr>
          <w:sz w:val="24"/>
          <w:szCs w:val="24"/>
        </w:rPr>
        <w:t>,</w:t>
      </w:r>
      <w:r w:rsidR="000113A6" w:rsidRPr="00B2550F">
        <w:rPr>
          <w:sz w:val="24"/>
          <w:szCs w:val="24"/>
        </w:rPr>
        <w:t xml:space="preserve"> είτε</w:t>
      </w:r>
      <w:r w:rsidR="002C51EB">
        <w:rPr>
          <w:sz w:val="24"/>
          <w:szCs w:val="24"/>
        </w:rPr>
        <w:t xml:space="preserve"> </w:t>
      </w:r>
      <w:r w:rsidR="003433C1">
        <w:rPr>
          <w:sz w:val="24"/>
          <w:szCs w:val="24"/>
        </w:rPr>
        <w:t>σύναψαν μνημόνια μ</w:t>
      </w:r>
      <w:r w:rsidR="002C51EB">
        <w:rPr>
          <w:sz w:val="24"/>
          <w:szCs w:val="24"/>
        </w:rPr>
        <w:t>ε τους</w:t>
      </w:r>
      <w:r w:rsidR="000113A6" w:rsidRPr="00B2550F">
        <w:rPr>
          <w:sz w:val="24"/>
          <w:szCs w:val="24"/>
        </w:rPr>
        <w:t xml:space="preserve"> θεσμούς (Ιρλανδία, Πορτογαλία, Κύπρ</w:t>
      </w:r>
      <w:r w:rsidR="000113A6">
        <w:rPr>
          <w:sz w:val="24"/>
          <w:szCs w:val="24"/>
        </w:rPr>
        <w:t>ος)</w:t>
      </w:r>
      <w:r w:rsidR="003433C1">
        <w:rPr>
          <w:sz w:val="24"/>
          <w:szCs w:val="24"/>
        </w:rPr>
        <w:t xml:space="preserve"> και ακολούθησαν συσταλτική οικονομική πολιτική</w:t>
      </w:r>
      <w:r w:rsidR="002C51EB">
        <w:rPr>
          <w:sz w:val="24"/>
          <w:szCs w:val="24"/>
        </w:rPr>
        <w:t>.</w:t>
      </w:r>
    </w:p>
    <w:p w:rsidR="00E547FB" w:rsidRDefault="00B644A4" w:rsidP="002C51EB">
      <w:pPr>
        <w:pStyle w:val="a4"/>
        <w:numPr>
          <w:ilvl w:val="0"/>
          <w:numId w:val="7"/>
        </w:numPr>
        <w:spacing w:after="0" w:line="360" w:lineRule="atLeast"/>
        <w:ind w:left="0" w:right="-57" w:hanging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Σε όλες τις υπό εξέταση χώρες η </w:t>
      </w:r>
      <w:r w:rsidR="002C51EB">
        <w:rPr>
          <w:sz w:val="24"/>
          <w:szCs w:val="24"/>
        </w:rPr>
        <w:t xml:space="preserve">απασχόληση </w:t>
      </w:r>
      <w:r>
        <w:rPr>
          <w:sz w:val="24"/>
          <w:szCs w:val="24"/>
        </w:rPr>
        <w:t xml:space="preserve">στο εμπόριο </w:t>
      </w:r>
      <w:r w:rsidR="00E547FB">
        <w:rPr>
          <w:sz w:val="24"/>
          <w:szCs w:val="24"/>
        </w:rPr>
        <w:t xml:space="preserve">εμφανίζεται αυξημένη σε σχέση με το </w:t>
      </w:r>
      <w:r w:rsidR="00401F7E">
        <w:rPr>
          <w:sz w:val="24"/>
          <w:szCs w:val="24"/>
        </w:rPr>
        <w:t>Γ</w:t>
      </w:r>
      <w:r w:rsidR="00E547FB">
        <w:rPr>
          <w:sz w:val="24"/>
          <w:szCs w:val="24"/>
        </w:rPr>
        <w:t>΄ τρίμηνο του 201</w:t>
      </w:r>
      <w:r w:rsidR="00401F7E">
        <w:rPr>
          <w:sz w:val="24"/>
          <w:szCs w:val="24"/>
        </w:rPr>
        <w:t>6</w:t>
      </w:r>
      <w:r w:rsidR="00E547FB">
        <w:rPr>
          <w:sz w:val="24"/>
          <w:szCs w:val="24"/>
        </w:rPr>
        <w:t xml:space="preserve"> (δείκτης μεγαλύτερος του 100).</w:t>
      </w:r>
    </w:p>
    <w:p w:rsidR="000113A6" w:rsidRPr="00B2550F" w:rsidRDefault="00401F7E" w:rsidP="002C51EB">
      <w:pPr>
        <w:pStyle w:val="a4"/>
        <w:numPr>
          <w:ilvl w:val="0"/>
          <w:numId w:val="7"/>
        </w:numPr>
        <w:spacing w:after="0" w:line="360" w:lineRule="atLeast"/>
        <w:ind w:left="0" w:right="-57" w:hanging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Μετά την Ιρλανδία</w:t>
      </w:r>
      <w:r w:rsidR="0048769F">
        <w:rPr>
          <w:sz w:val="24"/>
          <w:szCs w:val="24"/>
        </w:rPr>
        <w:t>,</w:t>
      </w:r>
      <w:r w:rsidR="00F354A2">
        <w:rPr>
          <w:sz w:val="24"/>
          <w:szCs w:val="24"/>
        </w:rPr>
        <w:t xml:space="preserve"> τ</w:t>
      </w:r>
      <w:r>
        <w:rPr>
          <w:sz w:val="24"/>
          <w:szCs w:val="24"/>
        </w:rPr>
        <w:t>η οποία</w:t>
      </w:r>
      <w:r w:rsidR="00F354A2">
        <w:rPr>
          <w:sz w:val="24"/>
          <w:szCs w:val="24"/>
        </w:rPr>
        <w:t>ς</w:t>
      </w:r>
      <w:r>
        <w:rPr>
          <w:sz w:val="24"/>
          <w:szCs w:val="24"/>
        </w:rPr>
        <w:t xml:space="preserve"> </w:t>
      </w:r>
      <w:r w:rsidR="00F354A2">
        <w:rPr>
          <w:sz w:val="24"/>
          <w:szCs w:val="24"/>
        </w:rPr>
        <w:t xml:space="preserve">ο δείκτης απασχόλησης στο εμπόριο </w:t>
      </w:r>
      <w:r w:rsidR="00D917AD">
        <w:rPr>
          <w:sz w:val="24"/>
          <w:szCs w:val="24"/>
        </w:rPr>
        <w:t>ενισχύθηκε ραγδαία</w:t>
      </w:r>
      <w:r w:rsidR="00F354A2">
        <w:rPr>
          <w:sz w:val="24"/>
          <w:szCs w:val="24"/>
        </w:rPr>
        <w:t xml:space="preserve"> </w:t>
      </w:r>
      <w:r>
        <w:rPr>
          <w:sz w:val="24"/>
          <w:szCs w:val="24"/>
        </w:rPr>
        <w:t>το Γ΄ τρίμηνο</w:t>
      </w:r>
      <w:r w:rsidR="00F354A2">
        <w:rPr>
          <w:sz w:val="24"/>
          <w:szCs w:val="24"/>
        </w:rPr>
        <w:t xml:space="preserve">, καλύτερες επιδόσεις, σε σχέση με το τρίμηνο βάσης (Γ΄ </w:t>
      </w:r>
      <w:r w:rsidR="00F354A2">
        <w:rPr>
          <w:sz w:val="24"/>
          <w:szCs w:val="24"/>
        </w:rPr>
        <w:lastRenderedPageBreak/>
        <w:t>τρίμηνο 2015) εμφανίζουν οι Κύπρος και η Ισπανία, με τις Πορτογαλία, Ελλάδα και Ιταλία να έπονται.</w:t>
      </w:r>
      <w:r w:rsidR="00E547FB">
        <w:rPr>
          <w:sz w:val="24"/>
          <w:szCs w:val="24"/>
        </w:rPr>
        <w:t xml:space="preserve"> </w:t>
      </w:r>
    </w:p>
    <w:p w:rsidR="000113A6" w:rsidRPr="00B2550F" w:rsidRDefault="000113A6" w:rsidP="002C51EB">
      <w:pPr>
        <w:pStyle w:val="a4"/>
        <w:numPr>
          <w:ilvl w:val="0"/>
          <w:numId w:val="7"/>
        </w:numPr>
        <w:spacing w:after="0" w:line="360" w:lineRule="atLeast"/>
        <w:ind w:left="0" w:right="-57" w:hanging="284"/>
        <w:contextualSpacing w:val="0"/>
        <w:jc w:val="both"/>
        <w:rPr>
          <w:sz w:val="24"/>
          <w:szCs w:val="24"/>
        </w:rPr>
      </w:pPr>
      <w:r w:rsidRPr="552FDA89">
        <w:rPr>
          <w:sz w:val="24"/>
          <w:szCs w:val="24"/>
        </w:rPr>
        <w:t xml:space="preserve">Η </w:t>
      </w:r>
      <w:r w:rsidR="00F354A2">
        <w:rPr>
          <w:sz w:val="24"/>
          <w:szCs w:val="24"/>
        </w:rPr>
        <w:t>Ελλάδα κατάφερε να αναπληρώσει τις απώλειες του δείκτη</w:t>
      </w:r>
      <w:r w:rsidR="002313DB">
        <w:rPr>
          <w:sz w:val="24"/>
          <w:szCs w:val="24"/>
        </w:rPr>
        <w:t>,</w:t>
      </w:r>
      <w:r w:rsidR="00F354A2">
        <w:rPr>
          <w:sz w:val="24"/>
          <w:szCs w:val="24"/>
        </w:rPr>
        <w:t xml:space="preserve"> σε σχέση με το τρίμηνο βάσης</w:t>
      </w:r>
      <w:r w:rsidR="002313DB">
        <w:rPr>
          <w:sz w:val="24"/>
          <w:szCs w:val="24"/>
        </w:rPr>
        <w:t>,</w:t>
      </w:r>
      <w:r w:rsidR="00F354A2">
        <w:rPr>
          <w:sz w:val="24"/>
          <w:szCs w:val="24"/>
        </w:rPr>
        <w:t xml:space="preserve"> μόλις το Β΄ τρίμηνο </w:t>
      </w:r>
      <w:r w:rsidR="002313DB">
        <w:rPr>
          <w:sz w:val="24"/>
          <w:szCs w:val="24"/>
        </w:rPr>
        <w:t xml:space="preserve">του 2017 ενώ η Ευρωζώνη από το Γ΄ τρίμηνο του 2016. </w:t>
      </w:r>
      <w:r w:rsidR="00E547FB">
        <w:rPr>
          <w:sz w:val="24"/>
          <w:szCs w:val="24"/>
        </w:rPr>
        <w:t xml:space="preserve"> </w:t>
      </w:r>
    </w:p>
    <w:p w:rsidR="000113A6" w:rsidRPr="002D26BF" w:rsidRDefault="002313DB" w:rsidP="000113A6">
      <w:pPr>
        <w:pStyle w:val="a4"/>
        <w:numPr>
          <w:ilvl w:val="0"/>
          <w:numId w:val="7"/>
        </w:numPr>
        <w:spacing w:after="0" w:line="360" w:lineRule="atLeast"/>
        <w:ind w:left="0" w:right="-58" w:hanging="284"/>
        <w:contextualSpacing w:val="0"/>
        <w:jc w:val="both"/>
        <w:rPr>
          <w:b/>
          <w:color w:val="EB6A20"/>
          <w:sz w:val="26"/>
          <w:szCs w:val="26"/>
        </w:rPr>
      </w:pPr>
      <w:r>
        <w:rPr>
          <w:sz w:val="24"/>
          <w:szCs w:val="24"/>
        </w:rPr>
        <w:t xml:space="preserve">Σε κάθε περίπτωση, οι επιδόσεις του εν λόγω δείκτη, με εξαίρεση την Ιρλανδία, δεν προκαλούν ενθουσιασμό. Η παρατήρηση αυτή γίνεται περισσότερο κατανοητή εάν ληφθεί υπόψη ότι σε επίπεδο </w:t>
      </w:r>
      <w:r w:rsidR="002D26BF" w:rsidRPr="002D26BF">
        <w:rPr>
          <w:sz w:val="24"/>
          <w:szCs w:val="24"/>
        </w:rPr>
        <w:t xml:space="preserve">Ευρωζώνης-19 </w:t>
      </w:r>
      <w:r>
        <w:rPr>
          <w:sz w:val="24"/>
          <w:szCs w:val="24"/>
        </w:rPr>
        <w:t xml:space="preserve">συνεχίζεται η </w:t>
      </w:r>
      <w:r w:rsidR="002D26BF" w:rsidRPr="002D26BF">
        <w:rPr>
          <w:sz w:val="24"/>
          <w:szCs w:val="24"/>
        </w:rPr>
        <w:t xml:space="preserve">επεκτατική νομισματική πολιτική από την ΕΚΤ (ιστορικά χαμηλά επιτόκια, πρόγραμμα ποσοτικής χαλάρωσης </w:t>
      </w:r>
      <w:r w:rsidR="002D26BF" w:rsidRPr="002D26BF">
        <w:rPr>
          <w:sz w:val="24"/>
          <w:szCs w:val="24"/>
          <w:lang w:val="en-US"/>
        </w:rPr>
        <w:t>QE</w:t>
      </w:r>
      <w:r w:rsidR="002D26BF" w:rsidRPr="002D26BF">
        <w:rPr>
          <w:sz w:val="24"/>
          <w:szCs w:val="24"/>
        </w:rPr>
        <w:t xml:space="preserve"> κλπ)</w:t>
      </w:r>
      <w:r>
        <w:rPr>
          <w:sz w:val="24"/>
          <w:szCs w:val="24"/>
        </w:rPr>
        <w:t>, έστω και με επιβραδυνόμενο ρυθμό</w:t>
      </w:r>
      <w:r w:rsidR="001B567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Οι σχετικά ήπιοι ρυθμοί πληθωρισμού στην Ευρωζώνη-19 αλλά και οι επιδόσεις στην απασχόληση ενδεχομένως να </w:t>
      </w:r>
      <w:r w:rsidR="00D917AD">
        <w:rPr>
          <w:sz w:val="24"/>
          <w:szCs w:val="24"/>
        </w:rPr>
        <w:t>υπονοούν</w:t>
      </w:r>
      <w:r>
        <w:rPr>
          <w:sz w:val="24"/>
          <w:szCs w:val="24"/>
        </w:rPr>
        <w:t xml:space="preserve"> πως η </w:t>
      </w:r>
      <w:r w:rsidR="001B567C">
        <w:rPr>
          <w:sz w:val="24"/>
          <w:szCs w:val="24"/>
        </w:rPr>
        <w:t>συζήτηση περί σταδιακού περιορισμού της επεκτατικής νομισματικής πολιτικής στη ζώνη του ευρώ</w:t>
      </w:r>
      <w:r w:rsidR="00D917AD">
        <w:rPr>
          <w:sz w:val="24"/>
          <w:szCs w:val="24"/>
        </w:rPr>
        <w:t xml:space="preserve"> ίσως να είναι ακόμη πρώιμη.</w:t>
      </w:r>
      <w:r w:rsidR="002D26BF" w:rsidRPr="002D26BF">
        <w:rPr>
          <w:sz w:val="24"/>
          <w:szCs w:val="24"/>
        </w:rPr>
        <w:t xml:space="preserve"> </w:t>
      </w:r>
    </w:p>
    <w:p w:rsidR="000113A6" w:rsidRDefault="000113A6" w:rsidP="000113A6">
      <w:pPr>
        <w:spacing w:after="120"/>
        <w:ind w:right="-57"/>
        <w:jc w:val="both"/>
      </w:pPr>
    </w:p>
    <w:p w:rsidR="00832B55" w:rsidRPr="002D26BF" w:rsidRDefault="00832B55" w:rsidP="00832B55">
      <w:pPr>
        <w:tabs>
          <w:tab w:val="left" w:pos="2545"/>
        </w:tabs>
        <w:ind w:right="-58"/>
        <w:jc w:val="both"/>
        <w:rPr>
          <w:i/>
          <w:sz w:val="20"/>
          <w:szCs w:val="20"/>
        </w:rPr>
      </w:pPr>
      <w:r w:rsidRPr="002D26BF">
        <w:rPr>
          <w:b/>
          <w:color w:val="EB6A20"/>
          <w:sz w:val="26"/>
          <w:szCs w:val="26"/>
        </w:rPr>
        <w:t xml:space="preserve">Διάγραμμα 12:  </w:t>
      </w:r>
      <w:r w:rsidRPr="002D26BF">
        <w:rPr>
          <w:b/>
          <w:sz w:val="24"/>
          <w:szCs w:val="24"/>
        </w:rPr>
        <w:t>Τριμηνιαίες και ετήσιες απόλυτες μεταβολές του ισοζυγίου τρεχουσών συναλλαγών (</w:t>
      </w:r>
      <w:r w:rsidRPr="002D26BF">
        <w:rPr>
          <w:b/>
          <w:i/>
          <w:sz w:val="24"/>
          <w:szCs w:val="24"/>
        </w:rPr>
        <w:t>πηγή: ΤτΕ – Μ.Ο. Δεικτών Τριμήνων)</w:t>
      </w:r>
    </w:p>
    <w:p w:rsidR="00832B55" w:rsidRDefault="00832B55" w:rsidP="00832B55">
      <w:pPr>
        <w:tabs>
          <w:tab w:val="left" w:pos="2260"/>
        </w:tabs>
        <w:spacing w:after="0" w:line="240" w:lineRule="auto"/>
        <w:ind w:right="-57"/>
        <w:jc w:val="both"/>
      </w:pPr>
      <w:r w:rsidRPr="005E4770">
        <w:rPr>
          <w:noProof/>
          <w:lang w:eastAsia="el-GR"/>
        </w:rPr>
        <w:drawing>
          <wp:inline distT="0" distB="0" distL="0" distR="0">
            <wp:extent cx="5274310" cy="3416703"/>
            <wp:effectExtent l="19050" t="0" r="21590" b="0"/>
            <wp:docPr id="10" name="Γράφημα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32B55" w:rsidRDefault="00832B55" w:rsidP="00832B55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  <w:highlight w:val="cyan"/>
        </w:rPr>
      </w:pPr>
    </w:p>
    <w:p w:rsidR="00D917AD" w:rsidRDefault="00D917AD" w:rsidP="00832B55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  <w:highlight w:val="cyan"/>
        </w:rPr>
      </w:pPr>
    </w:p>
    <w:p w:rsidR="00515E0C" w:rsidRDefault="00515E0C" w:rsidP="00832B55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  <w:highlight w:val="cyan"/>
        </w:rPr>
      </w:pPr>
    </w:p>
    <w:p w:rsidR="00515E0C" w:rsidRDefault="00515E0C" w:rsidP="00832B55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  <w:highlight w:val="cyan"/>
        </w:rPr>
      </w:pPr>
    </w:p>
    <w:p w:rsidR="00832B55" w:rsidRPr="002D26BF" w:rsidRDefault="00832B55" w:rsidP="00832B55">
      <w:pPr>
        <w:tabs>
          <w:tab w:val="left" w:pos="2545"/>
        </w:tabs>
        <w:ind w:right="-58"/>
        <w:jc w:val="both"/>
        <w:rPr>
          <w:b/>
          <w:sz w:val="24"/>
          <w:szCs w:val="24"/>
        </w:rPr>
      </w:pPr>
      <w:r w:rsidRPr="002D26BF">
        <w:rPr>
          <w:b/>
          <w:color w:val="EB6A20"/>
          <w:sz w:val="26"/>
          <w:szCs w:val="26"/>
        </w:rPr>
        <w:lastRenderedPageBreak/>
        <w:t xml:space="preserve">Διάγραμμα 13: </w:t>
      </w:r>
      <w:r w:rsidRPr="002D26BF">
        <w:rPr>
          <w:b/>
          <w:sz w:val="24"/>
          <w:szCs w:val="24"/>
        </w:rPr>
        <w:t xml:space="preserve">Τριμηνιαία εξέλιξη Ισοζυγίου Αγαθών &amp; Υπηρεσιών (σε απόλυτα ποσά - </w:t>
      </w:r>
      <w:r w:rsidRPr="002D26BF">
        <w:rPr>
          <w:b/>
          <w:i/>
          <w:sz w:val="24"/>
          <w:szCs w:val="24"/>
        </w:rPr>
        <w:t>πηγή: ΤτΕ)</w:t>
      </w:r>
    </w:p>
    <w:p w:rsidR="00832B55" w:rsidRPr="008C2EB9" w:rsidRDefault="00832B55" w:rsidP="00832B55">
      <w:pPr>
        <w:ind w:right="-58"/>
        <w:jc w:val="both"/>
        <w:rPr>
          <w:i/>
        </w:rPr>
      </w:pPr>
      <w:r w:rsidRPr="005E4770">
        <w:rPr>
          <w:i/>
          <w:noProof/>
          <w:lang w:eastAsia="el-GR"/>
        </w:rPr>
        <w:drawing>
          <wp:inline distT="0" distB="0" distL="0" distR="0">
            <wp:extent cx="5275639" cy="3593804"/>
            <wp:effectExtent l="19050" t="0" r="20261" b="6646"/>
            <wp:docPr id="13" name="Γράφημα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832B55" w:rsidRPr="008A3CDC" w:rsidRDefault="00832B55" w:rsidP="00832B55">
      <w:pPr>
        <w:pStyle w:val="a4"/>
        <w:numPr>
          <w:ilvl w:val="0"/>
          <w:numId w:val="8"/>
        </w:numPr>
        <w:spacing w:after="120"/>
        <w:ind w:left="0" w:right="-58" w:hanging="284"/>
        <w:contextualSpacing w:val="0"/>
        <w:jc w:val="both"/>
        <w:rPr>
          <w:rFonts w:cstheme="minorHAnsi"/>
          <w:sz w:val="24"/>
          <w:szCs w:val="24"/>
        </w:rPr>
      </w:pPr>
      <w:r w:rsidRPr="008A3CDC">
        <w:rPr>
          <w:rFonts w:cstheme="minorHAnsi"/>
          <w:sz w:val="24"/>
          <w:szCs w:val="24"/>
        </w:rPr>
        <w:t>Θεαματική βελτίωση σε τριμηνιαία συγκριτική βάση σημείωσε το ισοζύγιο τρεχουσών συναλλαγών (Γ΄/Β΄ Τρίμηνο 2017: +5,01 δι</w:t>
      </w:r>
      <w:r w:rsidR="008A3CDC">
        <w:rPr>
          <w:rFonts w:cstheme="minorHAnsi"/>
          <w:sz w:val="24"/>
          <w:szCs w:val="24"/>
        </w:rPr>
        <w:t>σ.</w:t>
      </w:r>
      <w:r w:rsidRPr="008A3CDC">
        <w:rPr>
          <w:rFonts w:cstheme="minorHAnsi"/>
          <w:sz w:val="24"/>
          <w:szCs w:val="24"/>
        </w:rPr>
        <w:t xml:space="preserve"> €), με αποτέλεσμα τη διαμόρφωση πλεονάσματος της τάξεως των 4,58 δι</w:t>
      </w:r>
      <w:r w:rsidR="008A3CDC">
        <w:rPr>
          <w:rFonts w:cstheme="minorHAnsi"/>
          <w:sz w:val="24"/>
          <w:szCs w:val="24"/>
        </w:rPr>
        <w:t>σ.</w:t>
      </w:r>
      <w:r w:rsidRPr="008A3CDC">
        <w:rPr>
          <w:rFonts w:cstheme="minorHAnsi"/>
          <w:sz w:val="24"/>
          <w:szCs w:val="24"/>
        </w:rPr>
        <w:t xml:space="preserve"> €. </w:t>
      </w:r>
      <w:r w:rsidR="008A3CDC">
        <w:rPr>
          <w:rFonts w:cstheme="minorHAnsi"/>
          <w:sz w:val="24"/>
          <w:szCs w:val="24"/>
        </w:rPr>
        <w:t>Σ</w:t>
      </w:r>
      <w:r w:rsidRPr="008A3CDC">
        <w:rPr>
          <w:rFonts w:cstheme="minorHAnsi"/>
          <w:sz w:val="24"/>
          <w:szCs w:val="24"/>
        </w:rPr>
        <w:t>ε σύγκριση με το Γ΄ Τρίμηνο του 2016, η προκύπτουσα μεταβολή ήταν επίσης θετική,</w:t>
      </w:r>
      <w:r w:rsidR="008A3CDC">
        <w:rPr>
          <w:rFonts w:cstheme="minorHAnsi"/>
          <w:sz w:val="24"/>
          <w:szCs w:val="24"/>
        </w:rPr>
        <w:t xml:space="preserve"> αλλά όπως ήταν αναμενόμενο,</w:t>
      </w:r>
      <w:r w:rsidRPr="008A3CDC">
        <w:rPr>
          <w:rFonts w:cstheme="minorHAnsi"/>
          <w:sz w:val="24"/>
          <w:szCs w:val="24"/>
        </w:rPr>
        <w:t xml:space="preserve"> κινήθηκε σε χαμηλότερα επίπεδα από την αντίστοιχη τριμηνιαία (Γ΄ Τρίμηνο 2017/2016: + 0,76 δις €)</w:t>
      </w:r>
      <w:r w:rsidR="008A3CDC">
        <w:rPr>
          <w:rFonts w:cstheme="minorHAnsi"/>
          <w:sz w:val="24"/>
          <w:szCs w:val="24"/>
        </w:rPr>
        <w:t xml:space="preserve"> λόγω εποχικότητας</w:t>
      </w:r>
      <w:r w:rsidRPr="008A3CDC">
        <w:rPr>
          <w:rFonts w:cstheme="minorHAnsi"/>
          <w:sz w:val="24"/>
          <w:szCs w:val="24"/>
        </w:rPr>
        <w:t>.</w:t>
      </w:r>
    </w:p>
    <w:p w:rsidR="00832B55" w:rsidRPr="009D246F" w:rsidRDefault="00832B55" w:rsidP="00832B55">
      <w:pPr>
        <w:pStyle w:val="a4"/>
        <w:numPr>
          <w:ilvl w:val="0"/>
          <w:numId w:val="8"/>
        </w:numPr>
        <w:spacing w:after="120"/>
        <w:ind w:left="0" w:right="-58" w:hanging="284"/>
        <w:contextualSpacing w:val="0"/>
        <w:jc w:val="both"/>
        <w:rPr>
          <w:rFonts w:cstheme="minorHAnsi"/>
          <w:sz w:val="24"/>
          <w:szCs w:val="24"/>
        </w:rPr>
      </w:pPr>
      <w:r w:rsidRPr="009D246F">
        <w:rPr>
          <w:rFonts w:cstheme="minorHAnsi"/>
          <w:sz w:val="24"/>
          <w:szCs w:val="24"/>
        </w:rPr>
        <w:t>Η</w:t>
      </w:r>
      <w:r w:rsidR="008A3CDC" w:rsidRPr="009D246F">
        <w:rPr>
          <w:rFonts w:cstheme="minorHAnsi"/>
          <w:sz w:val="24"/>
          <w:szCs w:val="24"/>
        </w:rPr>
        <w:t xml:space="preserve"> άκρως ικανοποιητική πορεία της τουριστικής κίνησης</w:t>
      </w:r>
      <w:r w:rsidRPr="009D246F">
        <w:rPr>
          <w:rFonts w:cstheme="minorHAnsi"/>
          <w:sz w:val="24"/>
          <w:szCs w:val="24"/>
        </w:rPr>
        <w:t xml:space="preserve"> στη διάρκεια του Γ΄ Τριμήνου του 2017, είχε ως αποτέλεσμα το πλεόνασμα του ισοζυγίου υπηρεσιών να </w:t>
      </w:r>
      <w:r w:rsidR="009D246F" w:rsidRPr="009D246F">
        <w:rPr>
          <w:rFonts w:cstheme="minorHAnsi"/>
          <w:sz w:val="24"/>
          <w:szCs w:val="24"/>
        </w:rPr>
        <w:t>ενισχυθεί</w:t>
      </w:r>
      <w:r w:rsidRPr="009D246F">
        <w:rPr>
          <w:rFonts w:cstheme="minorHAnsi"/>
          <w:sz w:val="24"/>
          <w:szCs w:val="24"/>
        </w:rPr>
        <w:t xml:space="preserve"> στα 9,86 δι</w:t>
      </w:r>
      <w:r w:rsidR="009D246F" w:rsidRPr="009D246F">
        <w:rPr>
          <w:rFonts w:cstheme="minorHAnsi"/>
          <w:sz w:val="24"/>
          <w:szCs w:val="24"/>
        </w:rPr>
        <w:t>σ.</w:t>
      </w:r>
      <w:r w:rsidRPr="009D246F">
        <w:rPr>
          <w:rFonts w:cstheme="minorHAnsi"/>
          <w:sz w:val="24"/>
          <w:szCs w:val="24"/>
        </w:rPr>
        <w:t xml:space="preserve"> €, υπερκαλύπτοντας το ελλειμματικό εμπορικό ισοζύγιο αγαθών (-4,51 δι</w:t>
      </w:r>
      <w:r w:rsidR="009D246F" w:rsidRPr="009D246F">
        <w:rPr>
          <w:rFonts w:cstheme="minorHAnsi"/>
          <w:sz w:val="24"/>
          <w:szCs w:val="24"/>
        </w:rPr>
        <w:t>σ.</w:t>
      </w:r>
      <w:r w:rsidRPr="009D246F">
        <w:rPr>
          <w:rFonts w:cstheme="minorHAnsi"/>
          <w:sz w:val="24"/>
          <w:szCs w:val="24"/>
        </w:rPr>
        <w:t xml:space="preserve"> €). Ειδικότερα, η υπερίσχυση των εισαγωγών αγαθών έναντι των αντίστοιχων</w:t>
      </w:r>
      <w:r w:rsidR="009D246F" w:rsidRPr="009D246F">
        <w:rPr>
          <w:rFonts w:cstheme="minorHAnsi"/>
          <w:sz w:val="24"/>
          <w:szCs w:val="24"/>
        </w:rPr>
        <w:t xml:space="preserve"> των</w:t>
      </w:r>
      <w:r w:rsidRPr="009D246F">
        <w:rPr>
          <w:rFonts w:cstheme="minorHAnsi"/>
          <w:sz w:val="24"/>
          <w:szCs w:val="24"/>
        </w:rPr>
        <w:t xml:space="preserve"> εξαγωγών, </w:t>
      </w:r>
      <w:r w:rsidR="009D246F" w:rsidRPr="009D246F">
        <w:rPr>
          <w:rFonts w:cstheme="minorHAnsi"/>
          <w:sz w:val="24"/>
          <w:szCs w:val="24"/>
        </w:rPr>
        <w:t xml:space="preserve">αναλύεται στο </w:t>
      </w:r>
      <w:r w:rsidRPr="009D246F">
        <w:rPr>
          <w:rFonts w:cstheme="minorHAnsi"/>
          <w:sz w:val="24"/>
          <w:szCs w:val="24"/>
        </w:rPr>
        <w:t>ελλειμματικό ισοζύγιο αγαθών χωρίς τα καύσιμα και τα πλοία (-3,49 δι</w:t>
      </w:r>
      <w:r w:rsidR="009D246F">
        <w:rPr>
          <w:rFonts w:cstheme="minorHAnsi"/>
          <w:sz w:val="24"/>
          <w:szCs w:val="24"/>
        </w:rPr>
        <w:t>σ.</w:t>
      </w:r>
      <w:r w:rsidRPr="009D246F">
        <w:rPr>
          <w:rFonts w:cstheme="minorHAnsi"/>
          <w:sz w:val="24"/>
          <w:szCs w:val="24"/>
        </w:rPr>
        <w:t xml:space="preserve"> €)</w:t>
      </w:r>
      <w:r w:rsidR="009D246F" w:rsidRPr="009D246F">
        <w:rPr>
          <w:rFonts w:cstheme="minorHAnsi"/>
          <w:sz w:val="24"/>
          <w:szCs w:val="24"/>
        </w:rPr>
        <w:t xml:space="preserve"> σ</w:t>
      </w:r>
      <w:r w:rsidRPr="009D246F">
        <w:rPr>
          <w:rFonts w:cstheme="minorHAnsi"/>
          <w:sz w:val="24"/>
          <w:szCs w:val="24"/>
        </w:rPr>
        <w:t>το αρνητικό ισοζύ</w:t>
      </w:r>
      <w:r w:rsidR="009D246F">
        <w:rPr>
          <w:rFonts w:cstheme="minorHAnsi"/>
          <w:sz w:val="24"/>
          <w:szCs w:val="24"/>
        </w:rPr>
        <w:t>γιο καυσίμων (-1,02 δισ.</w:t>
      </w:r>
      <w:r w:rsidRPr="009D246F">
        <w:rPr>
          <w:rFonts w:cstheme="minorHAnsi"/>
          <w:sz w:val="24"/>
          <w:szCs w:val="24"/>
        </w:rPr>
        <w:t xml:space="preserve"> €).</w:t>
      </w:r>
    </w:p>
    <w:p w:rsidR="00832B55" w:rsidRPr="0095263B" w:rsidRDefault="009D246F" w:rsidP="00832B55">
      <w:pPr>
        <w:pStyle w:val="a4"/>
        <w:numPr>
          <w:ilvl w:val="0"/>
          <w:numId w:val="8"/>
        </w:numPr>
        <w:spacing w:after="120"/>
        <w:ind w:left="0" w:right="-58" w:hanging="284"/>
        <w:contextualSpacing w:val="0"/>
        <w:jc w:val="both"/>
        <w:rPr>
          <w:rFonts w:cstheme="minorHAnsi"/>
          <w:sz w:val="24"/>
          <w:szCs w:val="24"/>
        </w:rPr>
      </w:pPr>
      <w:r w:rsidRPr="0095263B">
        <w:rPr>
          <w:rFonts w:cstheme="minorHAnsi"/>
          <w:sz w:val="24"/>
          <w:szCs w:val="24"/>
        </w:rPr>
        <w:t>Ανάλογα</w:t>
      </w:r>
      <w:r w:rsidR="00832B55" w:rsidRPr="0095263B">
        <w:rPr>
          <w:rFonts w:cstheme="minorHAnsi"/>
          <w:sz w:val="24"/>
          <w:szCs w:val="24"/>
        </w:rPr>
        <w:t xml:space="preserve"> κινήθηκε και το ισοζύγιο αγαθών και υπηρεσιών το Γ΄ Τρίμηνο του 2017, παρουσιάζοντας πλεόνασμα 5,35 δι</w:t>
      </w:r>
      <w:r w:rsidRPr="0095263B">
        <w:rPr>
          <w:rFonts w:cstheme="minorHAnsi"/>
          <w:sz w:val="24"/>
          <w:szCs w:val="24"/>
        </w:rPr>
        <w:t>σ.</w:t>
      </w:r>
      <w:r w:rsidR="00832B55" w:rsidRPr="0095263B">
        <w:rPr>
          <w:rFonts w:cstheme="minorHAnsi"/>
          <w:sz w:val="24"/>
          <w:szCs w:val="24"/>
        </w:rPr>
        <w:t xml:space="preserve"> €, έναντι μικρού πλεονάσματος 0,08 δι</w:t>
      </w:r>
      <w:r w:rsidRPr="0095263B">
        <w:rPr>
          <w:rFonts w:cstheme="minorHAnsi"/>
          <w:sz w:val="24"/>
          <w:szCs w:val="24"/>
        </w:rPr>
        <w:t>σ.</w:t>
      </w:r>
      <w:r w:rsidR="00832B55" w:rsidRPr="0095263B">
        <w:rPr>
          <w:rFonts w:cstheme="minorHAnsi"/>
          <w:sz w:val="24"/>
          <w:szCs w:val="24"/>
        </w:rPr>
        <w:t xml:space="preserve"> € στο Β΄ Τρίμηνο του 2017 και 4,82 δι</w:t>
      </w:r>
      <w:r w:rsidRPr="0095263B">
        <w:rPr>
          <w:rFonts w:cstheme="minorHAnsi"/>
          <w:sz w:val="24"/>
          <w:szCs w:val="24"/>
        </w:rPr>
        <w:t>σ.</w:t>
      </w:r>
      <w:r w:rsidR="00832B55" w:rsidRPr="0095263B">
        <w:rPr>
          <w:rFonts w:cstheme="minorHAnsi"/>
          <w:sz w:val="24"/>
          <w:szCs w:val="24"/>
        </w:rPr>
        <w:t xml:space="preserve"> € στο Γ΄ Τρίμηνο του 2016. Η εν λόγω ε</w:t>
      </w:r>
      <w:r w:rsidRPr="0095263B">
        <w:rPr>
          <w:rFonts w:cstheme="minorHAnsi"/>
          <w:sz w:val="24"/>
          <w:szCs w:val="24"/>
        </w:rPr>
        <w:t>ικόνα</w:t>
      </w:r>
      <w:r w:rsidR="0095263B" w:rsidRPr="0095263B">
        <w:rPr>
          <w:rFonts w:cstheme="minorHAnsi"/>
          <w:sz w:val="24"/>
          <w:szCs w:val="24"/>
        </w:rPr>
        <w:t xml:space="preserve"> απορρέει από την </w:t>
      </w:r>
      <w:r w:rsidR="00832B55" w:rsidRPr="0095263B">
        <w:rPr>
          <w:rFonts w:cstheme="minorHAnsi"/>
          <w:sz w:val="24"/>
          <w:szCs w:val="24"/>
        </w:rPr>
        <w:t>επικράτηση των εισπράξεων έναντι των πληρωμών τόσο του ταξιδιωτικού ισοζυγίου (+8,4 δι</w:t>
      </w:r>
      <w:r w:rsidRPr="0095263B">
        <w:rPr>
          <w:rFonts w:cstheme="minorHAnsi"/>
          <w:sz w:val="24"/>
          <w:szCs w:val="24"/>
        </w:rPr>
        <w:t xml:space="preserve">σ. </w:t>
      </w:r>
      <w:r w:rsidR="00832B55" w:rsidRPr="0095263B">
        <w:rPr>
          <w:rFonts w:cstheme="minorHAnsi"/>
          <w:sz w:val="24"/>
          <w:szCs w:val="24"/>
        </w:rPr>
        <w:t>€) όσο και του αντίστοιχου των μεταφορών (+1,17 δι</w:t>
      </w:r>
      <w:r w:rsidRPr="0095263B">
        <w:rPr>
          <w:rFonts w:cstheme="minorHAnsi"/>
          <w:sz w:val="24"/>
          <w:szCs w:val="24"/>
        </w:rPr>
        <w:t>σ.</w:t>
      </w:r>
      <w:r w:rsidR="00832B55" w:rsidRPr="0095263B">
        <w:rPr>
          <w:rFonts w:cstheme="minorHAnsi"/>
          <w:sz w:val="24"/>
          <w:szCs w:val="24"/>
        </w:rPr>
        <w:t xml:space="preserve"> €). Οι παραπάνω συνιστώσες του ισοζυγίου πληρωμών αντιστάθμισαν πλήρως τη συνεχώς διογκούμενη ενίσχυση των εισαγωγών έναντι των εξαγωγών αγαθών. Η </w:t>
      </w:r>
      <w:r w:rsidR="0095263B" w:rsidRPr="0095263B">
        <w:rPr>
          <w:rFonts w:cstheme="minorHAnsi"/>
          <w:sz w:val="24"/>
          <w:szCs w:val="24"/>
        </w:rPr>
        <w:lastRenderedPageBreak/>
        <w:t>τελευταία</w:t>
      </w:r>
      <w:r w:rsidR="00832B55" w:rsidRPr="0095263B">
        <w:rPr>
          <w:rFonts w:cstheme="minorHAnsi"/>
          <w:sz w:val="24"/>
          <w:szCs w:val="24"/>
        </w:rPr>
        <w:t xml:space="preserve"> διαπίστωση, </w:t>
      </w:r>
      <w:r w:rsidR="0095263B" w:rsidRPr="0095263B">
        <w:rPr>
          <w:rFonts w:cstheme="minorHAnsi"/>
          <w:sz w:val="24"/>
          <w:szCs w:val="24"/>
        </w:rPr>
        <w:t>είναι ενδεικτική</w:t>
      </w:r>
      <w:r w:rsidR="0095263B">
        <w:rPr>
          <w:rFonts w:cstheme="minorHAnsi"/>
          <w:sz w:val="24"/>
          <w:szCs w:val="24"/>
        </w:rPr>
        <w:t xml:space="preserve"> του βαθμού </w:t>
      </w:r>
      <w:r w:rsidR="00832B55" w:rsidRPr="0095263B">
        <w:rPr>
          <w:rFonts w:cstheme="minorHAnsi"/>
          <w:sz w:val="24"/>
          <w:szCs w:val="24"/>
        </w:rPr>
        <w:t>ανταγωνιστικότητα</w:t>
      </w:r>
      <w:r w:rsidR="0095263B" w:rsidRPr="0095263B">
        <w:rPr>
          <w:rFonts w:cstheme="minorHAnsi"/>
          <w:sz w:val="24"/>
          <w:szCs w:val="24"/>
        </w:rPr>
        <w:t>ς</w:t>
      </w:r>
      <w:r w:rsidR="00832B55" w:rsidRPr="0095263B">
        <w:rPr>
          <w:rFonts w:cstheme="minorHAnsi"/>
          <w:sz w:val="24"/>
          <w:szCs w:val="24"/>
        </w:rPr>
        <w:t xml:space="preserve"> των ελληνικών προϊόντων</w:t>
      </w:r>
      <w:r w:rsidR="0095263B" w:rsidRPr="0095263B">
        <w:rPr>
          <w:rFonts w:cstheme="minorHAnsi"/>
          <w:sz w:val="24"/>
          <w:szCs w:val="24"/>
        </w:rPr>
        <w:t xml:space="preserve"> αλλά και της </w:t>
      </w:r>
      <w:r w:rsidR="0095263B">
        <w:rPr>
          <w:rFonts w:cstheme="minorHAnsi"/>
          <w:sz w:val="24"/>
          <w:szCs w:val="24"/>
        </w:rPr>
        <w:t>αδυναμίας ουσιαστικού μετασχηματισμού του παραγωγικού μοντέλου της χώρας και</w:t>
      </w:r>
      <w:r w:rsidR="00832B55" w:rsidRPr="0095263B">
        <w:rPr>
          <w:rFonts w:cstheme="minorHAnsi"/>
          <w:sz w:val="24"/>
          <w:szCs w:val="24"/>
        </w:rPr>
        <w:t xml:space="preserve"> συνδέεται με τη χαλάρωση των </w:t>
      </w:r>
      <w:r w:rsidR="00832B55" w:rsidRPr="0095263B">
        <w:rPr>
          <w:rFonts w:cstheme="minorHAnsi"/>
          <w:sz w:val="24"/>
          <w:szCs w:val="24"/>
          <w:lang w:val="en-US"/>
        </w:rPr>
        <w:t>Capital</w:t>
      </w:r>
      <w:r w:rsidR="00832B55" w:rsidRPr="0095263B">
        <w:rPr>
          <w:rFonts w:cstheme="minorHAnsi"/>
          <w:sz w:val="24"/>
          <w:szCs w:val="24"/>
        </w:rPr>
        <w:t xml:space="preserve"> </w:t>
      </w:r>
      <w:r w:rsidR="00832B55" w:rsidRPr="0095263B">
        <w:rPr>
          <w:rFonts w:cstheme="minorHAnsi"/>
          <w:sz w:val="24"/>
          <w:szCs w:val="24"/>
          <w:lang w:val="en-US"/>
        </w:rPr>
        <w:t>Controls</w:t>
      </w:r>
      <w:r w:rsidR="0095263B">
        <w:rPr>
          <w:rFonts w:cstheme="minorHAnsi"/>
          <w:sz w:val="24"/>
          <w:szCs w:val="24"/>
        </w:rPr>
        <w:t>. Παράλληλα, υπογραμμίζει</w:t>
      </w:r>
      <w:r w:rsidR="00832B55" w:rsidRPr="0095263B">
        <w:rPr>
          <w:rFonts w:cstheme="minorHAnsi"/>
          <w:sz w:val="24"/>
          <w:szCs w:val="24"/>
        </w:rPr>
        <w:t xml:space="preserve"> και την ανάγκη υποκατάστασης μέρος των εισαγωγών με εγχωρίως παραγόμενα προϊόντα</w:t>
      </w:r>
      <w:r w:rsidR="0095263B">
        <w:rPr>
          <w:rFonts w:cstheme="minorHAnsi"/>
          <w:sz w:val="24"/>
          <w:szCs w:val="24"/>
        </w:rPr>
        <w:t xml:space="preserve"> και γενικότερα υιοθέτησης διαφορετικής μεσο-μακροπρόθεσμης αναπτυξιακής στρατηγικής</w:t>
      </w:r>
      <w:r w:rsidR="00832B55" w:rsidRPr="0095263B">
        <w:rPr>
          <w:rFonts w:cstheme="minorHAnsi"/>
          <w:sz w:val="24"/>
          <w:szCs w:val="24"/>
        </w:rPr>
        <w:t>.</w:t>
      </w:r>
    </w:p>
    <w:p w:rsidR="00832B55" w:rsidRDefault="00832B55" w:rsidP="000113A6">
      <w:pPr>
        <w:spacing w:after="120"/>
        <w:ind w:right="-57"/>
        <w:jc w:val="both"/>
      </w:pPr>
    </w:p>
    <w:p w:rsidR="00832B55" w:rsidRDefault="00832B55" w:rsidP="000113A6">
      <w:pPr>
        <w:spacing w:after="120"/>
        <w:ind w:right="-57"/>
        <w:jc w:val="both"/>
      </w:pPr>
    </w:p>
    <w:p w:rsidR="00832B55" w:rsidRDefault="00832B55" w:rsidP="000113A6">
      <w:pPr>
        <w:spacing w:after="120"/>
        <w:ind w:right="-57"/>
        <w:jc w:val="both"/>
      </w:pPr>
    </w:p>
    <w:p w:rsidR="00832B55" w:rsidRDefault="00832B55" w:rsidP="000113A6">
      <w:pPr>
        <w:spacing w:after="120"/>
        <w:ind w:right="-57"/>
        <w:jc w:val="both"/>
      </w:pPr>
    </w:p>
    <w:p w:rsidR="002D26BF" w:rsidRDefault="002D26BF" w:rsidP="00E516DB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</w:rPr>
      </w:pPr>
    </w:p>
    <w:p w:rsidR="002D26BF" w:rsidRDefault="002D26BF" w:rsidP="00E516DB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</w:rPr>
      </w:pPr>
    </w:p>
    <w:p w:rsidR="002D26BF" w:rsidRDefault="002D26BF" w:rsidP="00E516DB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</w:rPr>
      </w:pPr>
    </w:p>
    <w:p w:rsidR="002D26BF" w:rsidRDefault="002D26BF" w:rsidP="00E516DB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</w:rPr>
      </w:pPr>
    </w:p>
    <w:p w:rsidR="002D26BF" w:rsidRDefault="002D26BF" w:rsidP="00E516DB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</w:rPr>
      </w:pPr>
    </w:p>
    <w:p w:rsidR="002D26BF" w:rsidRDefault="002D26BF" w:rsidP="00E516DB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</w:rPr>
      </w:pPr>
    </w:p>
    <w:p w:rsidR="002D26BF" w:rsidRDefault="002D26BF" w:rsidP="00E516DB">
      <w:pPr>
        <w:tabs>
          <w:tab w:val="left" w:pos="2545"/>
        </w:tabs>
        <w:ind w:right="-58"/>
        <w:jc w:val="both"/>
        <w:rPr>
          <w:b/>
          <w:color w:val="EB6A20"/>
          <w:sz w:val="26"/>
          <w:szCs w:val="26"/>
        </w:rPr>
      </w:pPr>
    </w:p>
    <w:sectPr w:rsidR="002D26BF" w:rsidSect="006564EA">
      <w:headerReference w:type="default" r:id="rId23"/>
      <w:footerReference w:type="default" r:id="rId24"/>
      <w:footerReference w:type="first" r:id="rId25"/>
      <w:pgSz w:w="11906" w:h="16838"/>
      <w:pgMar w:top="1440" w:right="1800" w:bottom="1440" w:left="180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0DD" w:rsidRDefault="00DE60DD" w:rsidP="00CA3544">
      <w:pPr>
        <w:spacing w:after="0" w:line="240" w:lineRule="auto"/>
      </w:pPr>
      <w:r>
        <w:separator/>
      </w:r>
    </w:p>
  </w:endnote>
  <w:endnote w:type="continuationSeparator" w:id="0">
    <w:p w:rsidR="00DE60DD" w:rsidRDefault="00DE60DD" w:rsidP="00CA3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7346"/>
      <w:docPartObj>
        <w:docPartGallery w:val="Page Numbers (Bottom of Page)"/>
        <w:docPartUnique/>
      </w:docPartObj>
    </w:sdtPr>
    <w:sdtEndPr/>
    <w:sdtContent>
      <w:p w:rsidR="00515E0C" w:rsidRPr="0089083B" w:rsidRDefault="00515E0C" w:rsidP="006564EA">
        <w:pPr>
          <w:pStyle w:val="a6"/>
          <w:tabs>
            <w:tab w:val="clear" w:pos="8306"/>
            <w:tab w:val="right" w:pos="8789"/>
          </w:tabs>
          <w:ind w:right="-341"/>
          <w:jc w:val="center"/>
        </w:pPr>
        <w:r>
          <w:rPr>
            <w:noProof/>
            <w:lang w:eastAsia="el-GR"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-367030</wp:posOffset>
              </wp:positionH>
              <wp:positionV relativeFrom="paragraph">
                <wp:posOffset>-27940</wp:posOffset>
              </wp:positionV>
              <wp:extent cx="1701165" cy="318770"/>
              <wp:effectExtent l="0" t="0" r="0" b="0"/>
              <wp:wrapSquare wrapText="bothSides"/>
              <wp:docPr id="19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01165" cy="3187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t xml:space="preserve">                                                                                  </w:t>
        </w:r>
        <w:r w:rsidR="00DE60DD">
          <w:fldChar w:fldCharType="begin"/>
        </w:r>
        <w:r w:rsidR="00DE60DD">
          <w:instrText xml:space="preserve"> PAGE   \* MERGEFORMAT </w:instrText>
        </w:r>
        <w:r w:rsidR="00DE60DD">
          <w:fldChar w:fldCharType="separate"/>
        </w:r>
        <w:r w:rsidR="009B4535">
          <w:rPr>
            <w:noProof/>
          </w:rPr>
          <w:t>2</w:t>
        </w:r>
        <w:r w:rsidR="00DE60DD">
          <w:rPr>
            <w:noProof/>
          </w:rPr>
          <w:fldChar w:fldCharType="end"/>
        </w:r>
        <w:r>
          <w:t xml:space="preserve">                                 ΤΕΥΧΟΣ 3 </w:t>
        </w:r>
        <w:r w:rsidRPr="00F33476">
          <w:rPr>
            <w:color w:val="F57E1B"/>
            <w:shd w:val="clear" w:color="auto" w:fill="FFC000"/>
            <w:lang w:val="en-US"/>
          </w:rPr>
          <w:t>l</w:t>
        </w:r>
        <w:r w:rsidRPr="00F33476">
          <w:rPr>
            <w:color w:val="F57E1B"/>
            <w:lang w:val="en-US"/>
          </w:rPr>
          <w:t xml:space="preserve"> </w:t>
        </w:r>
        <w:r w:rsidRPr="0013681B">
          <w:t>Ι</w:t>
        </w:r>
        <w:r>
          <w:t>ΑΝΟΥΑΡΙΟΣ</w:t>
        </w:r>
        <w:r w:rsidRPr="003A20B9">
          <w:t xml:space="preserve"> </w:t>
        </w:r>
        <w:r>
          <w:t>2018</w:t>
        </w:r>
      </w:p>
      <w:p w:rsidR="00515E0C" w:rsidRDefault="00DE60DD">
        <w:pPr>
          <w:pStyle w:val="a6"/>
          <w:jc w:val="center"/>
        </w:pPr>
      </w:p>
    </w:sdtContent>
  </w:sdt>
  <w:p w:rsidR="00515E0C" w:rsidRDefault="00515E0C">
    <w:pPr>
      <w:pStyle w:val="a6"/>
      <w:jc w:val="center"/>
    </w:pPr>
  </w:p>
  <w:p w:rsidR="00515E0C" w:rsidRDefault="00515E0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E0C" w:rsidRDefault="00515E0C">
    <w:pPr>
      <w:pStyle w:val="a6"/>
      <w:jc w:val="center"/>
    </w:pPr>
  </w:p>
  <w:p w:rsidR="00515E0C" w:rsidRDefault="00515E0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0DD" w:rsidRDefault="00DE60DD" w:rsidP="00CA3544">
      <w:pPr>
        <w:spacing w:after="0" w:line="240" w:lineRule="auto"/>
      </w:pPr>
      <w:r>
        <w:separator/>
      </w:r>
    </w:p>
  </w:footnote>
  <w:footnote w:type="continuationSeparator" w:id="0">
    <w:p w:rsidR="00DE60DD" w:rsidRDefault="00DE60DD" w:rsidP="00CA3544">
      <w:pPr>
        <w:spacing w:after="0" w:line="240" w:lineRule="auto"/>
      </w:pPr>
      <w:r>
        <w:continuationSeparator/>
      </w:r>
    </w:p>
  </w:footnote>
  <w:footnote w:id="1">
    <w:p w:rsidR="00515E0C" w:rsidRDefault="00515E0C">
      <w:pPr>
        <w:pStyle w:val="a8"/>
      </w:pPr>
      <w:r>
        <w:rPr>
          <w:rStyle w:val="a9"/>
        </w:rPr>
        <w:footnoteRef/>
      </w:r>
      <w:r>
        <w:t>Τα στοιχεία περιλαμβάνουν και εκτιμήσεις.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E0C" w:rsidRDefault="00515E0C" w:rsidP="006564EA">
    <w:pPr>
      <w:pStyle w:val="a5"/>
      <w:ind w:left="-426" w:hanging="141"/>
      <w:jc w:val="center"/>
    </w:pPr>
    <w:r>
      <w:t xml:space="preserve">ΤΡΙΜΗΝΙΑΙΟ ΕΝΗΜΕΡΩΤΙΚΟ ΔΕΛΤΙΟ ΙΝΕΜΥ-ΕΣΕΕ </w:t>
    </w:r>
    <w:r w:rsidRPr="0089083B">
      <w:rPr>
        <w:b/>
        <w:color w:val="F79646" w:themeColor="accent6"/>
        <w:sz w:val="24"/>
        <w:szCs w:val="24"/>
        <w:lang w:val="en-US"/>
      </w:rPr>
      <w:t>l</w:t>
    </w:r>
    <w:r w:rsidRPr="0089083B">
      <w:t xml:space="preserve"> </w:t>
    </w:r>
    <w:r>
      <w:t>ΕΞΕΛΙΞΕΙΣ ΣΤΗΝ ΟΙΚΟΝΟΜΙΑ &amp; ΣΤΟ ΕΜΠΟΡΙΟ</w:t>
    </w:r>
  </w:p>
  <w:p w:rsidR="00515E0C" w:rsidRDefault="00515E0C">
    <w:pPr>
      <w:pStyle w:val="a5"/>
    </w:pPr>
  </w:p>
  <w:p w:rsidR="00515E0C" w:rsidRDefault="00515E0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A74ED"/>
    <w:multiLevelType w:val="hybridMultilevel"/>
    <w:tmpl w:val="F76A3518"/>
    <w:lvl w:ilvl="0" w:tplc="35182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B6A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96CBB"/>
    <w:multiLevelType w:val="hybridMultilevel"/>
    <w:tmpl w:val="46CA3F74"/>
    <w:lvl w:ilvl="0" w:tplc="35182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B6A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B1C79"/>
    <w:multiLevelType w:val="hybridMultilevel"/>
    <w:tmpl w:val="023ABE0A"/>
    <w:lvl w:ilvl="0" w:tplc="35182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B6A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2635C"/>
    <w:multiLevelType w:val="hybridMultilevel"/>
    <w:tmpl w:val="2F94BA7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F18BA"/>
    <w:multiLevelType w:val="hybridMultilevel"/>
    <w:tmpl w:val="ABFECAFC"/>
    <w:lvl w:ilvl="0" w:tplc="35182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B6A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E342F"/>
    <w:multiLevelType w:val="hybridMultilevel"/>
    <w:tmpl w:val="99D05518"/>
    <w:lvl w:ilvl="0" w:tplc="2346AFEC">
      <w:start w:val="1"/>
      <w:numFmt w:val="bullet"/>
      <w:lvlText w:val=""/>
      <w:lvlJc w:val="left"/>
      <w:pPr>
        <w:ind w:left="218" w:hanging="360"/>
      </w:pPr>
      <w:rPr>
        <w:rFonts w:ascii="Wingdings" w:hAnsi="Wingdings" w:hint="default"/>
        <w:color w:val="E36C0A" w:themeColor="accent6" w:themeShade="BF"/>
      </w:rPr>
    </w:lvl>
    <w:lvl w:ilvl="1" w:tplc="0408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6" w15:restartNumberingAfterBreak="0">
    <w:nsid w:val="2B96491B"/>
    <w:multiLevelType w:val="hybridMultilevel"/>
    <w:tmpl w:val="3BE2C6B0"/>
    <w:lvl w:ilvl="0" w:tplc="17DCCEA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14" w:hanging="360"/>
      </w:pPr>
    </w:lvl>
    <w:lvl w:ilvl="2" w:tplc="0408001B" w:tentative="1">
      <w:start w:val="1"/>
      <w:numFmt w:val="lowerRoman"/>
      <w:lvlText w:val="%3."/>
      <w:lvlJc w:val="right"/>
      <w:pPr>
        <w:ind w:left="1834" w:hanging="180"/>
      </w:pPr>
    </w:lvl>
    <w:lvl w:ilvl="3" w:tplc="0408000F" w:tentative="1">
      <w:start w:val="1"/>
      <w:numFmt w:val="decimal"/>
      <w:lvlText w:val="%4."/>
      <w:lvlJc w:val="left"/>
      <w:pPr>
        <w:ind w:left="2554" w:hanging="360"/>
      </w:pPr>
    </w:lvl>
    <w:lvl w:ilvl="4" w:tplc="04080019" w:tentative="1">
      <w:start w:val="1"/>
      <w:numFmt w:val="lowerLetter"/>
      <w:lvlText w:val="%5."/>
      <w:lvlJc w:val="left"/>
      <w:pPr>
        <w:ind w:left="3274" w:hanging="360"/>
      </w:pPr>
    </w:lvl>
    <w:lvl w:ilvl="5" w:tplc="0408001B" w:tentative="1">
      <w:start w:val="1"/>
      <w:numFmt w:val="lowerRoman"/>
      <w:lvlText w:val="%6."/>
      <w:lvlJc w:val="right"/>
      <w:pPr>
        <w:ind w:left="3994" w:hanging="180"/>
      </w:pPr>
    </w:lvl>
    <w:lvl w:ilvl="6" w:tplc="0408000F" w:tentative="1">
      <w:start w:val="1"/>
      <w:numFmt w:val="decimal"/>
      <w:lvlText w:val="%7."/>
      <w:lvlJc w:val="left"/>
      <w:pPr>
        <w:ind w:left="4714" w:hanging="360"/>
      </w:pPr>
    </w:lvl>
    <w:lvl w:ilvl="7" w:tplc="04080019" w:tentative="1">
      <w:start w:val="1"/>
      <w:numFmt w:val="lowerLetter"/>
      <w:lvlText w:val="%8."/>
      <w:lvlJc w:val="left"/>
      <w:pPr>
        <w:ind w:left="5434" w:hanging="360"/>
      </w:pPr>
    </w:lvl>
    <w:lvl w:ilvl="8" w:tplc="0408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 w15:restartNumberingAfterBreak="0">
    <w:nsid w:val="34E86151"/>
    <w:multiLevelType w:val="hybridMultilevel"/>
    <w:tmpl w:val="13BC6094"/>
    <w:lvl w:ilvl="0" w:tplc="53462A1E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color w:val="E36C0A" w:themeColor="accent6" w:themeShade="BF"/>
      </w:rPr>
    </w:lvl>
    <w:lvl w:ilvl="1" w:tplc="0408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3A2B303A"/>
    <w:multiLevelType w:val="hybridMultilevel"/>
    <w:tmpl w:val="B0F40A4C"/>
    <w:lvl w:ilvl="0" w:tplc="35182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B6A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158A8"/>
    <w:multiLevelType w:val="hybridMultilevel"/>
    <w:tmpl w:val="C8D65AFC"/>
    <w:lvl w:ilvl="0" w:tplc="35182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B6A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5A6EA9"/>
    <w:multiLevelType w:val="hybridMultilevel"/>
    <w:tmpl w:val="6AF84A18"/>
    <w:lvl w:ilvl="0" w:tplc="351822FE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  <w:color w:val="EB6A20"/>
      </w:rPr>
    </w:lvl>
    <w:lvl w:ilvl="1" w:tplc="0408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1" w15:restartNumberingAfterBreak="0">
    <w:nsid w:val="60057CC3"/>
    <w:multiLevelType w:val="hybridMultilevel"/>
    <w:tmpl w:val="519EA81E"/>
    <w:lvl w:ilvl="0" w:tplc="35182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B6A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1C55B0"/>
    <w:multiLevelType w:val="hybridMultilevel"/>
    <w:tmpl w:val="05E8FE0A"/>
    <w:lvl w:ilvl="0" w:tplc="2346AFEC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color w:val="E36C0A" w:themeColor="accent6" w:themeShade="BF"/>
      </w:rPr>
    </w:lvl>
    <w:lvl w:ilvl="1" w:tplc="0408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67BC59B1"/>
    <w:multiLevelType w:val="hybridMultilevel"/>
    <w:tmpl w:val="408217E6"/>
    <w:lvl w:ilvl="0" w:tplc="351822F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EB6A20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E003841"/>
    <w:multiLevelType w:val="hybridMultilevel"/>
    <w:tmpl w:val="A492EF1E"/>
    <w:lvl w:ilvl="0" w:tplc="53462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01271"/>
    <w:multiLevelType w:val="hybridMultilevel"/>
    <w:tmpl w:val="7C8EE32A"/>
    <w:lvl w:ilvl="0" w:tplc="7EB67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0"/>
  </w:num>
  <w:num w:numId="5">
    <w:abstractNumId w:val="4"/>
  </w:num>
  <w:num w:numId="6">
    <w:abstractNumId w:val="11"/>
  </w:num>
  <w:num w:numId="7">
    <w:abstractNumId w:val="13"/>
  </w:num>
  <w:num w:numId="8">
    <w:abstractNumId w:val="10"/>
  </w:num>
  <w:num w:numId="9">
    <w:abstractNumId w:val="12"/>
  </w:num>
  <w:num w:numId="10">
    <w:abstractNumId w:val="15"/>
  </w:num>
  <w:num w:numId="11">
    <w:abstractNumId w:val="7"/>
  </w:num>
  <w:num w:numId="12">
    <w:abstractNumId w:val="9"/>
  </w:num>
  <w:num w:numId="13">
    <w:abstractNumId w:val="3"/>
  </w:num>
  <w:num w:numId="14">
    <w:abstractNumId w:val="14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44"/>
    <w:rsid w:val="000113A6"/>
    <w:rsid w:val="000177F7"/>
    <w:rsid w:val="0002175F"/>
    <w:rsid w:val="00031108"/>
    <w:rsid w:val="00031D14"/>
    <w:rsid w:val="000401A3"/>
    <w:rsid w:val="00043538"/>
    <w:rsid w:val="00046AE7"/>
    <w:rsid w:val="00046E6E"/>
    <w:rsid w:val="000509C2"/>
    <w:rsid w:val="000774F4"/>
    <w:rsid w:val="00090F67"/>
    <w:rsid w:val="00096BB2"/>
    <w:rsid w:val="000A4558"/>
    <w:rsid w:val="000B38A9"/>
    <w:rsid w:val="000B3E82"/>
    <w:rsid w:val="000C00B3"/>
    <w:rsid w:val="000C3CB5"/>
    <w:rsid w:val="000D34DB"/>
    <w:rsid w:val="000F0FA7"/>
    <w:rsid w:val="000F30B4"/>
    <w:rsid w:val="00121FD4"/>
    <w:rsid w:val="00124261"/>
    <w:rsid w:val="0013681B"/>
    <w:rsid w:val="001427D3"/>
    <w:rsid w:val="00144A4B"/>
    <w:rsid w:val="00146DC4"/>
    <w:rsid w:val="001546E6"/>
    <w:rsid w:val="00155D0A"/>
    <w:rsid w:val="00161205"/>
    <w:rsid w:val="00162811"/>
    <w:rsid w:val="001646CD"/>
    <w:rsid w:val="00166A04"/>
    <w:rsid w:val="001700FB"/>
    <w:rsid w:val="00170F33"/>
    <w:rsid w:val="00173CE2"/>
    <w:rsid w:val="00176232"/>
    <w:rsid w:val="001779C4"/>
    <w:rsid w:val="001B567C"/>
    <w:rsid w:val="001C00D7"/>
    <w:rsid w:val="001C14D4"/>
    <w:rsid w:val="001D5B18"/>
    <w:rsid w:val="001E688B"/>
    <w:rsid w:val="00213C75"/>
    <w:rsid w:val="00214E2A"/>
    <w:rsid w:val="002175E4"/>
    <w:rsid w:val="00227E49"/>
    <w:rsid w:val="002313DB"/>
    <w:rsid w:val="0024290C"/>
    <w:rsid w:val="002460C5"/>
    <w:rsid w:val="0026195D"/>
    <w:rsid w:val="002645A2"/>
    <w:rsid w:val="00266D7A"/>
    <w:rsid w:val="00274222"/>
    <w:rsid w:val="00280C04"/>
    <w:rsid w:val="00283064"/>
    <w:rsid w:val="00287FD9"/>
    <w:rsid w:val="00290D58"/>
    <w:rsid w:val="002937EE"/>
    <w:rsid w:val="002B1033"/>
    <w:rsid w:val="002C51EB"/>
    <w:rsid w:val="002C74BD"/>
    <w:rsid w:val="002D26BF"/>
    <w:rsid w:val="002D32EB"/>
    <w:rsid w:val="002D3639"/>
    <w:rsid w:val="002E2A3B"/>
    <w:rsid w:val="002E4294"/>
    <w:rsid w:val="002E797C"/>
    <w:rsid w:val="00301750"/>
    <w:rsid w:val="00303B4B"/>
    <w:rsid w:val="00306D3B"/>
    <w:rsid w:val="00315674"/>
    <w:rsid w:val="00326746"/>
    <w:rsid w:val="003371CA"/>
    <w:rsid w:val="0034086E"/>
    <w:rsid w:val="003433C1"/>
    <w:rsid w:val="003467B6"/>
    <w:rsid w:val="0036607B"/>
    <w:rsid w:val="0036737B"/>
    <w:rsid w:val="00395496"/>
    <w:rsid w:val="003A20B9"/>
    <w:rsid w:val="003A5723"/>
    <w:rsid w:val="003A5D41"/>
    <w:rsid w:val="003B1663"/>
    <w:rsid w:val="003C0134"/>
    <w:rsid w:val="003D434F"/>
    <w:rsid w:val="003E17AD"/>
    <w:rsid w:val="003E4342"/>
    <w:rsid w:val="003F1D76"/>
    <w:rsid w:val="003F641E"/>
    <w:rsid w:val="003F7706"/>
    <w:rsid w:val="00401F7E"/>
    <w:rsid w:val="00410192"/>
    <w:rsid w:val="004201CE"/>
    <w:rsid w:val="00443B31"/>
    <w:rsid w:val="00453E1F"/>
    <w:rsid w:val="004546E2"/>
    <w:rsid w:val="00464A2D"/>
    <w:rsid w:val="00465697"/>
    <w:rsid w:val="0047455E"/>
    <w:rsid w:val="00480942"/>
    <w:rsid w:val="00487240"/>
    <w:rsid w:val="0048769F"/>
    <w:rsid w:val="00487DAB"/>
    <w:rsid w:val="004A27B4"/>
    <w:rsid w:val="004B2042"/>
    <w:rsid w:val="004B3CCD"/>
    <w:rsid w:val="004B6DA5"/>
    <w:rsid w:val="004D0D8A"/>
    <w:rsid w:val="004D4A24"/>
    <w:rsid w:val="004E3EEB"/>
    <w:rsid w:val="004E6F5C"/>
    <w:rsid w:val="004F02FA"/>
    <w:rsid w:val="004F03E2"/>
    <w:rsid w:val="004F0C9A"/>
    <w:rsid w:val="004F1B95"/>
    <w:rsid w:val="004F6404"/>
    <w:rsid w:val="00506D01"/>
    <w:rsid w:val="00507E67"/>
    <w:rsid w:val="00514A02"/>
    <w:rsid w:val="00515E0C"/>
    <w:rsid w:val="00520668"/>
    <w:rsid w:val="00522D7D"/>
    <w:rsid w:val="005321E8"/>
    <w:rsid w:val="00537D8D"/>
    <w:rsid w:val="005435DC"/>
    <w:rsid w:val="005467BD"/>
    <w:rsid w:val="00547549"/>
    <w:rsid w:val="005502CE"/>
    <w:rsid w:val="00557EE1"/>
    <w:rsid w:val="005607BE"/>
    <w:rsid w:val="00562638"/>
    <w:rsid w:val="005630C1"/>
    <w:rsid w:val="00566D65"/>
    <w:rsid w:val="00575911"/>
    <w:rsid w:val="00583D19"/>
    <w:rsid w:val="005855A6"/>
    <w:rsid w:val="0059324E"/>
    <w:rsid w:val="005A28F1"/>
    <w:rsid w:val="005C1C27"/>
    <w:rsid w:val="005E1088"/>
    <w:rsid w:val="005E25E1"/>
    <w:rsid w:val="005E477D"/>
    <w:rsid w:val="005E7661"/>
    <w:rsid w:val="00603902"/>
    <w:rsid w:val="006224A6"/>
    <w:rsid w:val="0064358E"/>
    <w:rsid w:val="0064787F"/>
    <w:rsid w:val="00654F32"/>
    <w:rsid w:val="006564EA"/>
    <w:rsid w:val="0067396F"/>
    <w:rsid w:val="00673A73"/>
    <w:rsid w:val="00674ED7"/>
    <w:rsid w:val="00675C08"/>
    <w:rsid w:val="006761BD"/>
    <w:rsid w:val="006823B9"/>
    <w:rsid w:val="00682F7F"/>
    <w:rsid w:val="0069772B"/>
    <w:rsid w:val="00697EF4"/>
    <w:rsid w:val="00697EFF"/>
    <w:rsid w:val="006A31D2"/>
    <w:rsid w:val="006C64DF"/>
    <w:rsid w:val="006C699D"/>
    <w:rsid w:val="006C787C"/>
    <w:rsid w:val="006D2B73"/>
    <w:rsid w:val="006D6CE3"/>
    <w:rsid w:val="006D7F6A"/>
    <w:rsid w:val="006E1FE1"/>
    <w:rsid w:val="00704F67"/>
    <w:rsid w:val="007067E0"/>
    <w:rsid w:val="00707315"/>
    <w:rsid w:val="007108CF"/>
    <w:rsid w:val="00711410"/>
    <w:rsid w:val="00723704"/>
    <w:rsid w:val="00726128"/>
    <w:rsid w:val="007303EA"/>
    <w:rsid w:val="00733BFE"/>
    <w:rsid w:val="00740EC2"/>
    <w:rsid w:val="00777481"/>
    <w:rsid w:val="00783D99"/>
    <w:rsid w:val="00792CC3"/>
    <w:rsid w:val="007A6632"/>
    <w:rsid w:val="007B5538"/>
    <w:rsid w:val="007B5EDE"/>
    <w:rsid w:val="007E129B"/>
    <w:rsid w:val="007E3C8D"/>
    <w:rsid w:val="007E47DC"/>
    <w:rsid w:val="007F118D"/>
    <w:rsid w:val="007F31F0"/>
    <w:rsid w:val="007F321F"/>
    <w:rsid w:val="007F490F"/>
    <w:rsid w:val="007F78F3"/>
    <w:rsid w:val="008070E9"/>
    <w:rsid w:val="0081700D"/>
    <w:rsid w:val="00817C70"/>
    <w:rsid w:val="00820C25"/>
    <w:rsid w:val="00832B55"/>
    <w:rsid w:val="00835F17"/>
    <w:rsid w:val="00840EC0"/>
    <w:rsid w:val="0084132B"/>
    <w:rsid w:val="00842D1A"/>
    <w:rsid w:val="00842F85"/>
    <w:rsid w:val="00847CA3"/>
    <w:rsid w:val="008504AF"/>
    <w:rsid w:val="00857E5B"/>
    <w:rsid w:val="0086170D"/>
    <w:rsid w:val="00876C81"/>
    <w:rsid w:val="00880305"/>
    <w:rsid w:val="00880419"/>
    <w:rsid w:val="00882A78"/>
    <w:rsid w:val="00883DFE"/>
    <w:rsid w:val="0088478C"/>
    <w:rsid w:val="008A3CDC"/>
    <w:rsid w:val="008A6902"/>
    <w:rsid w:val="008B4FA2"/>
    <w:rsid w:val="008D051F"/>
    <w:rsid w:val="008D1DA6"/>
    <w:rsid w:val="008E5DE6"/>
    <w:rsid w:val="008F1957"/>
    <w:rsid w:val="008F3798"/>
    <w:rsid w:val="00914274"/>
    <w:rsid w:val="00917C10"/>
    <w:rsid w:val="00934D5C"/>
    <w:rsid w:val="00935168"/>
    <w:rsid w:val="00936297"/>
    <w:rsid w:val="00941B65"/>
    <w:rsid w:val="0094715F"/>
    <w:rsid w:val="0095263B"/>
    <w:rsid w:val="00955359"/>
    <w:rsid w:val="009673BB"/>
    <w:rsid w:val="00974BF1"/>
    <w:rsid w:val="00975C94"/>
    <w:rsid w:val="00987583"/>
    <w:rsid w:val="009879A5"/>
    <w:rsid w:val="009933E5"/>
    <w:rsid w:val="009A0A7C"/>
    <w:rsid w:val="009A26F2"/>
    <w:rsid w:val="009B4535"/>
    <w:rsid w:val="009B75E4"/>
    <w:rsid w:val="009D1D6A"/>
    <w:rsid w:val="009D246F"/>
    <w:rsid w:val="009D5DB0"/>
    <w:rsid w:val="009E21D2"/>
    <w:rsid w:val="009F1B97"/>
    <w:rsid w:val="009F4D75"/>
    <w:rsid w:val="00A02210"/>
    <w:rsid w:val="00A11419"/>
    <w:rsid w:val="00A11588"/>
    <w:rsid w:val="00A12B8B"/>
    <w:rsid w:val="00A14242"/>
    <w:rsid w:val="00A225E4"/>
    <w:rsid w:val="00A5271B"/>
    <w:rsid w:val="00A74005"/>
    <w:rsid w:val="00A863C0"/>
    <w:rsid w:val="00A91DD7"/>
    <w:rsid w:val="00A92C4A"/>
    <w:rsid w:val="00A97A1B"/>
    <w:rsid w:val="00AA4AE6"/>
    <w:rsid w:val="00AB34BF"/>
    <w:rsid w:val="00AB662F"/>
    <w:rsid w:val="00AB6C6A"/>
    <w:rsid w:val="00AC1011"/>
    <w:rsid w:val="00AD0296"/>
    <w:rsid w:val="00AD473E"/>
    <w:rsid w:val="00AD5A4D"/>
    <w:rsid w:val="00AF6BF1"/>
    <w:rsid w:val="00B16F3F"/>
    <w:rsid w:val="00B20A89"/>
    <w:rsid w:val="00B2550F"/>
    <w:rsid w:val="00B27120"/>
    <w:rsid w:val="00B633B6"/>
    <w:rsid w:val="00B644A4"/>
    <w:rsid w:val="00B74A3E"/>
    <w:rsid w:val="00B818D1"/>
    <w:rsid w:val="00B90148"/>
    <w:rsid w:val="00BA4DE5"/>
    <w:rsid w:val="00BA665C"/>
    <w:rsid w:val="00BC00C3"/>
    <w:rsid w:val="00BC28C5"/>
    <w:rsid w:val="00BD7FCF"/>
    <w:rsid w:val="00BE4D86"/>
    <w:rsid w:val="00BE6CC1"/>
    <w:rsid w:val="00C01C99"/>
    <w:rsid w:val="00C03B44"/>
    <w:rsid w:val="00C079FC"/>
    <w:rsid w:val="00C07FF4"/>
    <w:rsid w:val="00C22E61"/>
    <w:rsid w:val="00C321A4"/>
    <w:rsid w:val="00C3606B"/>
    <w:rsid w:val="00C36F99"/>
    <w:rsid w:val="00C470BD"/>
    <w:rsid w:val="00C51225"/>
    <w:rsid w:val="00C529FA"/>
    <w:rsid w:val="00C55F5C"/>
    <w:rsid w:val="00C563D6"/>
    <w:rsid w:val="00C644D3"/>
    <w:rsid w:val="00C67821"/>
    <w:rsid w:val="00C750FE"/>
    <w:rsid w:val="00C822B8"/>
    <w:rsid w:val="00C87966"/>
    <w:rsid w:val="00C909BB"/>
    <w:rsid w:val="00C93149"/>
    <w:rsid w:val="00C9383E"/>
    <w:rsid w:val="00CA3544"/>
    <w:rsid w:val="00CA4F9B"/>
    <w:rsid w:val="00CD6E58"/>
    <w:rsid w:val="00D140B6"/>
    <w:rsid w:val="00D22C28"/>
    <w:rsid w:val="00D275C2"/>
    <w:rsid w:val="00D31852"/>
    <w:rsid w:val="00D32CDF"/>
    <w:rsid w:val="00D602A7"/>
    <w:rsid w:val="00D6219A"/>
    <w:rsid w:val="00D67970"/>
    <w:rsid w:val="00D723DF"/>
    <w:rsid w:val="00D84C75"/>
    <w:rsid w:val="00D90E25"/>
    <w:rsid w:val="00D917AD"/>
    <w:rsid w:val="00D926B4"/>
    <w:rsid w:val="00DA19DB"/>
    <w:rsid w:val="00DA2F2C"/>
    <w:rsid w:val="00DA402E"/>
    <w:rsid w:val="00DA5578"/>
    <w:rsid w:val="00DA5937"/>
    <w:rsid w:val="00DA798A"/>
    <w:rsid w:val="00DD0282"/>
    <w:rsid w:val="00DE281D"/>
    <w:rsid w:val="00DE60DD"/>
    <w:rsid w:val="00E10134"/>
    <w:rsid w:val="00E23C12"/>
    <w:rsid w:val="00E276C2"/>
    <w:rsid w:val="00E356D8"/>
    <w:rsid w:val="00E45DD2"/>
    <w:rsid w:val="00E516DB"/>
    <w:rsid w:val="00E532EB"/>
    <w:rsid w:val="00E543C6"/>
    <w:rsid w:val="00E547FB"/>
    <w:rsid w:val="00E71D02"/>
    <w:rsid w:val="00E72D22"/>
    <w:rsid w:val="00E7463C"/>
    <w:rsid w:val="00E764FD"/>
    <w:rsid w:val="00E91AF6"/>
    <w:rsid w:val="00E97917"/>
    <w:rsid w:val="00EA122F"/>
    <w:rsid w:val="00EA7A69"/>
    <w:rsid w:val="00EB3E5C"/>
    <w:rsid w:val="00EC2AF9"/>
    <w:rsid w:val="00EC4EDE"/>
    <w:rsid w:val="00ED5FAD"/>
    <w:rsid w:val="00EE0549"/>
    <w:rsid w:val="00EE12A2"/>
    <w:rsid w:val="00EF5DC6"/>
    <w:rsid w:val="00F01DD8"/>
    <w:rsid w:val="00F069E1"/>
    <w:rsid w:val="00F07C7F"/>
    <w:rsid w:val="00F27875"/>
    <w:rsid w:val="00F354A2"/>
    <w:rsid w:val="00F51AAE"/>
    <w:rsid w:val="00F54A66"/>
    <w:rsid w:val="00F7766F"/>
    <w:rsid w:val="00F84F58"/>
    <w:rsid w:val="00F9161A"/>
    <w:rsid w:val="00F9442B"/>
    <w:rsid w:val="00FC6095"/>
    <w:rsid w:val="00FC7F20"/>
    <w:rsid w:val="00FD2309"/>
    <w:rsid w:val="00FD3295"/>
    <w:rsid w:val="00FE3733"/>
    <w:rsid w:val="552FD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2c72b9,#09f"/>
    </o:shapedefaults>
    <o:shapelayout v:ext="edit">
      <o:idmap v:ext="edit" data="1"/>
    </o:shapelayout>
  </w:shapeDefaults>
  <w:decimalSymbol w:val=","/>
  <w:listSeparator w:val=";"/>
  <w15:docId w15:val="{42A5ABD9-B8F8-4609-AD3B-16CE2A6F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57" w:lineRule="auto"/>
        <w:ind w:left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544"/>
    <w:pPr>
      <w:spacing w:after="200" w:line="276" w:lineRule="auto"/>
      <w:ind w:lef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3544"/>
    <w:pPr>
      <w:spacing w:line="240" w:lineRule="auto"/>
      <w:ind w:left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3544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CA35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CA3544"/>
  </w:style>
  <w:style w:type="paragraph" w:styleId="a6">
    <w:name w:val="footer"/>
    <w:basedOn w:val="a"/>
    <w:link w:val="Char0"/>
    <w:uiPriority w:val="99"/>
    <w:unhideWhenUsed/>
    <w:rsid w:val="00CA35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CA3544"/>
  </w:style>
  <w:style w:type="paragraph" w:styleId="Web">
    <w:name w:val="Normal (Web)"/>
    <w:basedOn w:val="a"/>
    <w:uiPriority w:val="99"/>
    <w:semiHidden/>
    <w:unhideWhenUsed/>
    <w:rsid w:val="00726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bog-bodytext1">
    <w:name w:val="bog-bodytext1"/>
    <w:basedOn w:val="a0"/>
    <w:rsid w:val="00726128"/>
    <w:rPr>
      <w:rFonts w:ascii="Tahoma" w:hAnsi="Tahoma" w:cs="Tahoma" w:hint="default"/>
      <w:color w:val="000000"/>
      <w:sz w:val="2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9F4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9F4D75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Char2"/>
    <w:uiPriority w:val="99"/>
    <w:semiHidden/>
    <w:unhideWhenUsed/>
    <w:rsid w:val="0024290C"/>
    <w:pPr>
      <w:spacing w:after="0" w:line="240" w:lineRule="auto"/>
    </w:pPr>
    <w:rPr>
      <w:sz w:val="20"/>
      <w:szCs w:val="20"/>
    </w:rPr>
  </w:style>
  <w:style w:type="character" w:customStyle="1" w:styleId="Char2">
    <w:name w:val="Κείμενο υποσημείωσης Char"/>
    <w:basedOn w:val="a0"/>
    <w:link w:val="a8"/>
    <w:uiPriority w:val="99"/>
    <w:semiHidden/>
    <w:rsid w:val="0024290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429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2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13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header" Target="header1.xm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4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923;&#953;&#945;&#955;&#953;&#959;&#973;&#964;&#951;%20-%20&#916;&#949;&#955;&#964;&#943;&#945;\&#932;&#961;&#953;&#956;&#951;&#957;&#953;&#945;&#943;&#959;%20-%20&#924;&#960;&#940;&#956;&#960;&#951;&#962;\&#913;&#961;&#967;&#949;&#943;&#959;\&#932;&#961;&#953;&#956;&#951;&#957;&#953;&#945;&#943;&#959;&#953;%20&#916;&#949;&#943;&#954;&#964;&#949;&#962;\&#921;&#948;&#953;&#969;&#964;&#953;&#954;&#942;%20&#922;&#945;&#964;&#945;&#957;&#940;&#955;&#969;&#963;&#951;%20-%20&#913;&#917;&#928;\&#921;&#948;&#953;&#969;&#964;&#953;&#954;&#942;%20&#922;&#945;&#964;&#945;&#957;&#940;&#955;&#969;&#963;&#951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923;&#953;&#945;&#955;&#953;&#959;&#973;&#964;&#951;%20-%20&#916;&#949;&#955;&#964;&#943;&#945;\&#932;&#961;&#953;&#956;&#951;&#957;&#953;&#945;&#943;&#959;%20-%20&#924;&#960;&#940;&#956;&#960;&#951;&#962;\&#913;&#961;&#967;&#949;&#943;&#959;\&#924;&#951;&#957;&#953;&#945;&#943;&#959;&#953;%20&#916;&#949;&#943;&#954;&#964;&#949;&#962;\&#917;&#957;&#945;&#961;&#956;&#959;&#957;&#953;&#963;&#956;&#941;&#957;&#959;&#962;%20&#916;&#964;&#922;\&#915;&#949;&#957;&#953;&#954;&#972;&#962;%20&#954;&#945;&#953;%20&#917;&#957;&#945;&#961;&#956;&#959;&#957;&#953;&#963;&#956;&#941;&#957;&#959;&#962;%20&#916;&#964;&#922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BC\BACKUP_ARACHOVAS\&#917;&#931;&#917;&#917;\&#916;&#917;&#923;&#932;&#921;&#913;\&#932;&#961;&#953;&#956;&#951;&#957;&#953;&#945;&#943;&#945;_&#932;&#949;&#955;&#953;&#954;&#940;\&#932;&#961;&#953;&#956;&#951;&#957;&#953;&#945;&#943;&#959;_&#916;&#949;&#955;&#964;&#943;&#959;_&#921;&#925;&#917;&#924;&#933;_3_&#921;&#945;&#957;&#959;&#965;&#940;&#961;&#953;&#959;&#962;_2018\&#916;&#953;&#940;&#947;&#961;&#945;&#956;&#956;&#945;_&#955;&#953;&#945;&#957;&#953;&#954;&#959;&#973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923;&#953;&#945;&#955;&#953;&#959;&#973;&#964;&#951;%20-%20&#916;&#949;&#955;&#964;&#943;&#945;\&#932;&#961;&#953;&#956;&#951;&#957;&#953;&#945;&#943;&#959;%20-%20&#924;&#960;&#940;&#956;&#960;&#951;&#962;\&#913;&#961;&#967;&#949;&#943;&#959;\&#932;&#961;&#953;&#956;&#951;&#957;&#953;&#945;&#943;&#959;&#953;%20&#916;&#949;&#943;&#954;&#964;&#949;&#962;\&#916;&#922;&#917;%20&#935;&#959;&#957;&#948;&#961;&#953;&#954;&#972;_&#913;&#965;&#964;&#959;&#954;&#943;&#957;&#951;&#964;&#945;\&#935;&#959;&#957;&#948;&#961;&#953;&#954;&#972;%20&#917;&#956;&#960;&#972;&#961;&#953;&#959;\&#935;&#959;&#957;&#948;&#961;&#953;&#954;&#972;_&#917;&#960;&#959;&#967;&#953;&#954;&#972;&#962;%20&#916;&#922;&#917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923;&#953;&#945;&#955;&#953;&#959;&#973;&#964;&#951;%20-%20&#916;&#949;&#955;&#964;&#943;&#945;\&#932;&#961;&#953;&#956;&#951;&#957;&#953;&#945;&#943;&#959;%20-%20&#924;&#960;&#940;&#956;&#960;&#951;&#962;\&#913;&#961;&#967;&#949;&#943;&#959;\&#932;&#961;&#953;&#956;&#951;&#957;&#953;&#945;&#943;&#959;&#953;%20&#916;&#949;&#943;&#954;&#964;&#949;&#962;\&#916;&#922;&#917;%20&#935;&#959;&#957;&#948;&#961;&#953;&#954;&#972;_&#913;&#965;&#964;&#959;&#954;&#943;&#957;&#951;&#964;&#945;\&#928;&#974;&#955;&#951;&#963;&#951;%20&#913;&#965;&#964;&#959;&#954;&#953;&#957;&#942;&#964;&#969;&#957;_451\451_&#917;&#960;&#959;&#967;&#953;&#954;&#972;&#962;%20&#916;&#922;&#917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BC\BACKUP_ARACHOVAS\&#917;&#931;&#917;&#917;\&#916;&#917;&#923;&#932;&#921;&#913;\&#932;&#961;&#953;&#956;&#951;&#957;&#953;&#945;&#943;&#945;_&#932;&#949;&#955;&#953;&#954;&#940;\&#932;&#961;&#953;&#956;&#951;&#957;&#953;&#945;&#943;&#959;_&#916;&#949;&#955;&#964;&#943;&#959;_&#921;&#925;&#917;&#924;&#933;_3_&#921;&#945;&#957;&#959;&#965;&#940;&#961;&#953;&#959;&#962;_2018\&#913;&#925;&#917;&#929;&#915;&#921;&#913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arachovas\AppData\Local\Microsoft\Windows\Temporary%20Internet%20Files\Content.Outlook\951A7ZR0\&#916;&#953;&#945;&#947;&#961;&#940;&#956;&#956;&#945;&#964;&#945;%206b_7_2017C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BC\BACKUP_ARACHOVAS\&#917;&#931;&#917;&#917;\&#916;&#917;&#923;&#932;&#921;&#913;\&#932;&#961;&#953;&#956;&#951;&#957;&#953;&#945;&#943;&#945;_&#932;&#949;&#955;&#953;&#954;&#940;\&#932;&#961;&#953;&#956;&#951;&#957;&#953;&#945;&#943;&#959;_&#916;&#949;&#955;&#964;&#943;&#959;_&#921;&#925;&#917;&#924;&#933;_3_&#921;&#945;&#957;&#959;&#965;&#940;&#961;&#953;&#959;&#962;_2018\&#916;&#953;&#945;&#947;&#961;&#940;&#956;&#956;&#945;&#964;&#945;%206b_7_2017C__2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arachovas\AppData\Local\Microsoft\Windows\Temporary%20Internet%20Files\Content.Outlook\951A7ZR0\diagramma_8_2017C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BC\BACKUP_ARACHOVAS\&#917;&#931;&#917;&#917;\&#916;&#917;&#923;&#932;&#921;&#913;\&#932;&#961;&#953;&#956;&#951;&#957;&#953;&#945;&#943;&#945;_&#932;&#949;&#955;&#953;&#954;&#940;\&#932;&#961;&#953;&#956;&#951;&#957;&#953;&#945;&#943;&#959;_&#916;&#949;&#955;&#964;&#943;&#959;_&#921;&#925;&#917;&#924;&#933;_3_&#921;&#945;&#957;&#959;&#965;&#940;&#961;&#953;&#959;&#962;_2018\diagramma_9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BC\BACKUP_ARACHOVAS\&#917;&#931;&#917;&#917;\&#916;&#917;&#923;&#932;&#921;&#913;\&#932;&#961;&#953;&#956;&#951;&#957;&#953;&#945;&#943;&#945;_&#932;&#949;&#955;&#953;&#954;&#940;\&#932;&#961;&#953;&#956;&#951;&#957;&#953;&#945;&#943;&#959;_&#916;&#949;&#955;&#964;&#943;&#959;_&#921;&#925;&#917;&#924;&#933;_3_&#921;&#945;&#957;&#959;&#965;&#940;&#961;&#953;&#959;&#962;_2018\&#928;&#923;&#919;&#929;&#919;&#931;_&#924;&#917;&#929;&#921;&#922;&#919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arachovas\AppData\Local\Microsoft\Windows\Temporary%20Internet%20Files\Content.IE5\STPDPNEA\lfsq_egan2.xls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923;&#953;&#945;&#955;&#953;&#959;&#973;&#964;&#951;%20-%20&#916;&#949;&#955;&#964;&#943;&#945;\&#932;&#961;&#953;&#956;&#951;&#957;&#953;&#945;&#943;&#959;%20-%20&#924;&#960;&#940;&#956;&#960;&#951;&#962;\&#913;&#961;&#967;&#949;&#943;&#959;\&#932;&#961;&#953;&#956;&#951;&#957;&#953;&#945;&#943;&#959;&#953;%20&#916;&#949;&#943;&#954;&#964;&#949;&#962;\&#917;&#953;&#963;&#945;&#947;&#969;&#947;&#941;&#962;%20-%20&#917;&#958;&#945;&#947;&#969;&#947;&#941;&#962;\&#917;&#953;&#963;&#945;&#947;&#969;&#947;&#941;&#962;_&#917;&#958;&#945;&#947;&#969;&#947;&#941;&#962;.xls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923;&#953;&#945;&#955;&#953;&#959;&#973;&#964;&#951;%20-%20&#916;&#949;&#955;&#964;&#943;&#945;\&#932;&#961;&#953;&#956;&#951;&#957;&#953;&#945;&#943;&#959;%20-%20&#924;&#960;&#940;&#956;&#960;&#951;&#962;\&#913;&#961;&#967;&#949;&#943;&#959;\&#932;&#961;&#953;&#956;&#951;&#957;&#953;&#945;&#943;&#959;&#953;%20&#916;&#949;&#943;&#954;&#964;&#949;&#962;\&#917;&#953;&#963;&#945;&#947;&#969;&#947;&#941;&#962;%20-%20&#917;&#958;&#945;&#947;&#969;&#947;&#941;&#962;\&#917;&#953;&#963;&#945;&#947;&#969;&#947;&#941;&#962;_&#917;&#958;&#945;&#947;&#969;&#947;&#941;&#962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ΑΕΠ_ΕποχΔ_CLV10!$CB$58</c:f>
              <c:strCache>
                <c:ptCount val="1"/>
                <c:pt idx="0">
                  <c:v>ΑΕΠ (ποσά σε εκ. €)</c:v>
                </c:pt>
              </c:strCache>
            </c:strRef>
          </c:tx>
          <c:marker>
            <c:symbol val="none"/>
          </c:marker>
          <c:cat>
            <c:multiLvlStrRef>
              <c:f>ΑΕΠ_ΕποχΔ_CLV10!$BZ$60:$CA$70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ΑΕΠ_ΕποχΔ_CLV10!$CB$60:$CB$70</c:f>
              <c:numCache>
                <c:formatCode>#,##0</c:formatCode>
                <c:ptCount val="11"/>
                <c:pt idx="0">
                  <c:v>46371</c:v>
                </c:pt>
                <c:pt idx="1">
                  <c:v>46458</c:v>
                </c:pt>
                <c:pt idx="2">
                  <c:v>45732</c:v>
                </c:pt>
                <c:pt idx="3">
                  <c:v>46473</c:v>
                </c:pt>
                <c:pt idx="4">
                  <c:v>46185</c:v>
                </c:pt>
                <c:pt idx="5">
                  <c:v>46014</c:v>
                </c:pt>
                <c:pt idx="6">
                  <c:v>46289</c:v>
                </c:pt>
                <c:pt idx="7">
                  <c:v>46066</c:v>
                </c:pt>
                <c:pt idx="8">
                  <c:v>46373</c:v>
                </c:pt>
                <c:pt idx="9">
                  <c:v>46744</c:v>
                </c:pt>
                <c:pt idx="10">
                  <c:v>46889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ΑΕΠ_ΕποχΔ_CLV10!$CC$58</c:f>
              <c:strCache>
                <c:ptCount val="1"/>
                <c:pt idx="0">
                  <c:v>Ιδιωτική καταναλωτική δαπάνη (ποσά σε εκ. €)</c:v>
                </c:pt>
              </c:strCache>
            </c:strRef>
          </c:tx>
          <c:spPr>
            <a:ln>
              <a:solidFill>
                <a:schemeClr val="accent1">
                  <a:lumMod val="40000"/>
                  <a:lumOff val="60000"/>
                </a:schemeClr>
              </a:solidFill>
            </a:ln>
          </c:spPr>
          <c:marker>
            <c:symbol val="none"/>
          </c:marker>
          <c:cat>
            <c:multiLvlStrRef>
              <c:f>ΑΕΠ_ΕποχΔ_CLV10!$BZ$60:$CA$70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ΑΕΠ_ΕποχΔ_CLV10!$CC$60:$CC$70</c:f>
              <c:numCache>
                <c:formatCode>#,##0</c:formatCode>
                <c:ptCount val="11"/>
                <c:pt idx="0">
                  <c:v>32139</c:v>
                </c:pt>
                <c:pt idx="1">
                  <c:v>32308</c:v>
                </c:pt>
                <c:pt idx="2">
                  <c:v>30672</c:v>
                </c:pt>
                <c:pt idx="3">
                  <c:v>31828</c:v>
                </c:pt>
                <c:pt idx="4">
                  <c:v>31681</c:v>
                </c:pt>
                <c:pt idx="5">
                  <c:v>31627</c:v>
                </c:pt>
                <c:pt idx="6">
                  <c:v>31810</c:v>
                </c:pt>
                <c:pt idx="7">
                  <c:v>31896</c:v>
                </c:pt>
                <c:pt idx="8">
                  <c:v>31961</c:v>
                </c:pt>
                <c:pt idx="9">
                  <c:v>31930</c:v>
                </c:pt>
                <c:pt idx="10">
                  <c:v>31820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6002712"/>
        <c:axId val="475998400"/>
      </c:lineChart>
      <c:lineChart>
        <c:grouping val="standard"/>
        <c:varyColors val="0"/>
        <c:ser>
          <c:idx val="2"/>
          <c:order val="2"/>
          <c:tx>
            <c:strRef>
              <c:f>ΑΕΠ_ΕποχΔ_CLV10!$CE$58</c:f>
              <c:strCache>
                <c:ptCount val="1"/>
                <c:pt idx="0">
                  <c:v>Ιδιωτική κατανάλωση ως (%) επί του ΑΕΠ (δεξιός άξονας)</c:v>
                </c:pt>
              </c:strCache>
            </c:strRef>
          </c:tx>
          <c:spPr>
            <a:ln>
              <a:solidFill>
                <a:schemeClr val="accent6">
                  <a:lumMod val="60000"/>
                  <a:lumOff val="40000"/>
                </a:schemeClr>
              </a:solidFill>
              <a:prstDash val="sysDash"/>
            </a:ln>
          </c:spPr>
          <c:marker>
            <c:symbol val="circle"/>
            <c:size val="4"/>
            <c:spPr>
              <a:solidFill>
                <a:schemeClr val="tx1"/>
              </a:solidFill>
            </c:spPr>
          </c:marker>
          <c:dLbls>
            <c:dLbl>
              <c:idx val="0"/>
              <c:layout>
                <c:manualLayout>
                  <c:x val="-3.508771283552755E-2"/>
                  <c:y val="5.39792622855950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4.6783625730994184E-2"/>
                  <c:y val="5.590061018230364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3.067467564921262E-2"/>
                  <c:y val="3.36990600232444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4.4444444444444557E-2"/>
                  <c:y val="5.590061018230364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4.6783625730994184E-2"/>
                  <c:y val="4.562736649096154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3.9766074546931061E-2"/>
                  <c:y val="5.39792622855950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5.8479532163742687E-2"/>
                  <c:y val="4.520613386684923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4.6783625730994184E-2"/>
                  <c:y val="4.844719549132967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ΑΕΠ_ΕποχΔ_CLV10!$CE$60:$CE$70</c:f>
              <c:numCache>
                <c:formatCode>0.0%</c:formatCode>
                <c:ptCount val="11"/>
                <c:pt idx="0">
                  <c:v>0.69308403959371379</c:v>
                </c:pt>
                <c:pt idx="1">
                  <c:v>0.69542382366869249</c:v>
                </c:pt>
                <c:pt idx="2">
                  <c:v>0.67069010758331482</c:v>
                </c:pt>
                <c:pt idx="3">
                  <c:v>0.68487078518709843</c:v>
                </c:pt>
                <c:pt idx="4">
                  <c:v>0.68595864458157696</c:v>
                </c:pt>
                <c:pt idx="5">
                  <c:v>0.68733428956404552</c:v>
                </c:pt>
                <c:pt idx="6">
                  <c:v>0.68720430339821625</c:v>
                </c:pt>
                <c:pt idx="7">
                  <c:v>0.69239786393435554</c:v>
                </c:pt>
                <c:pt idx="8">
                  <c:v>0.6892157074159535</c:v>
                </c:pt>
                <c:pt idx="9">
                  <c:v>0.68308232072565245</c:v>
                </c:pt>
                <c:pt idx="10">
                  <c:v>0.67862398430335624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6003496"/>
        <c:axId val="476003888"/>
      </c:lineChart>
      <c:catAx>
        <c:axId val="476002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75998400"/>
        <c:crosses val="autoZero"/>
        <c:auto val="1"/>
        <c:lblAlgn val="ctr"/>
        <c:lblOffset val="100"/>
        <c:noMultiLvlLbl val="0"/>
      </c:catAx>
      <c:valAx>
        <c:axId val="475998400"/>
        <c:scaling>
          <c:orientation val="minMax"/>
          <c:min val="29000"/>
        </c:scaling>
        <c:delete val="0"/>
        <c:axPos val="l"/>
        <c:majorGridlines>
          <c:spPr>
            <a:ln>
              <a:solidFill>
                <a:sysClr val="windowText" lastClr="000000">
                  <a:alpha val="7000"/>
                </a:sysClr>
              </a:solidFill>
            </a:ln>
          </c:spPr>
        </c:majorGridlines>
        <c:numFmt formatCode="#,##0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el-GR"/>
          </a:p>
        </c:txPr>
        <c:crossAx val="476002712"/>
        <c:crosses val="autoZero"/>
        <c:crossBetween val="between"/>
        <c:majorUnit val="2000"/>
        <c:minorUnit val="1000"/>
      </c:valAx>
      <c:catAx>
        <c:axId val="476003496"/>
        <c:scaling>
          <c:orientation val="minMax"/>
        </c:scaling>
        <c:delete val="1"/>
        <c:axPos val="b"/>
        <c:majorTickMark val="out"/>
        <c:minorTickMark val="none"/>
        <c:tickLblPos val="none"/>
        <c:crossAx val="476003888"/>
        <c:crosses val="autoZero"/>
        <c:auto val="1"/>
        <c:lblAlgn val="ctr"/>
        <c:lblOffset val="100"/>
        <c:noMultiLvlLbl val="0"/>
      </c:catAx>
      <c:valAx>
        <c:axId val="476003888"/>
        <c:scaling>
          <c:orientation val="minMax"/>
        </c:scaling>
        <c:delete val="0"/>
        <c:axPos val="r"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el-GR"/>
          </a:p>
        </c:txPr>
        <c:crossAx val="476003496"/>
        <c:crosses val="max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solidFill>
      <a:sysClr val="window" lastClr="FFFFFF">
        <a:alpha val="98000"/>
      </a:sysClr>
    </a:solidFill>
    <a:ln>
      <a:solidFill>
        <a:schemeClr val="accent1"/>
      </a:solidFill>
    </a:ln>
    <a:effectLst>
      <a:innerShdw blurRad="114300">
        <a:prstClr val="black"/>
      </a:innerShdw>
    </a:effectLst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Φύλλο1!$E$307</c:f>
              <c:strCache>
                <c:ptCount val="1"/>
                <c:pt idx="0">
                  <c:v>Τριμηνιαίες (%) μεταβολές Εναρμονισμένου ΔτΚ</c:v>
                </c:pt>
              </c:strCache>
            </c:strRef>
          </c:tx>
          <c:spPr>
            <a:solidFill>
              <a:schemeClr val="tx2"/>
            </a:solidFill>
            <a:ln w="25400">
              <a:solidFill>
                <a:schemeClr val="tx2"/>
              </a:solidFill>
            </a:ln>
          </c:spPr>
          <c:invertIfNegative val="0"/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5.1581656741650043E-3"/>
                  <c:y val="-1.528115575810909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0"/>
                  <c:y val="8.4049665711557045E-2"/>
                </c:manualLayout>
              </c:layout>
              <c:spPr/>
              <c:txPr>
                <a:bodyPr/>
                <a:lstStyle/>
                <a:p>
                  <a:pPr>
                    <a:defRPr sz="90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 b="1">
                    <a:solidFill>
                      <a:srgbClr val="FF0000"/>
                    </a:solidFill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Φύλλο1!$B$313:$C$324</c:f>
              <c:multiLvlStrCache>
                <c:ptCount val="12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  <c:pt idx="11">
                    <c:v>Δ΄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Φύλλο1!$E$313:$E$324</c:f>
              <c:numCache>
                <c:formatCode>0.0%</c:formatCode>
                <c:ptCount val="12"/>
                <c:pt idx="0">
                  <c:v>-1.2777001397484541E-2</c:v>
                </c:pt>
                <c:pt idx="1">
                  <c:v>1.7593528816986843E-2</c:v>
                </c:pt>
                <c:pt idx="2">
                  <c:v>-4.1732909379968404E-3</c:v>
                </c:pt>
                <c:pt idx="3">
                  <c:v>1.9956096587503549E-4</c:v>
                </c:pt>
                <c:pt idx="4">
                  <c:v>-1.576217079010379E-2</c:v>
                </c:pt>
                <c:pt idx="5">
                  <c:v>1.875126697749855E-2</c:v>
                </c:pt>
                <c:pt idx="6">
                  <c:v>-9.9492587802217213E-4</c:v>
                </c:pt>
                <c:pt idx="7">
                  <c:v>6.9714171895237308E-4</c:v>
                </c:pt>
                <c:pt idx="8">
                  <c:v>-2.9856687898088836E-3</c:v>
                </c:pt>
                <c:pt idx="9">
                  <c:v>1.6769814334198409E-2</c:v>
                </c:pt>
                <c:pt idx="10">
                  <c:v>-5.8904378558805714E-3</c:v>
                </c:pt>
                <c:pt idx="11">
                  <c:v>4.9377839225752816E-4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75991736"/>
        <c:axId val="475994872"/>
      </c:barChart>
      <c:lineChart>
        <c:grouping val="standard"/>
        <c:varyColors val="0"/>
        <c:ser>
          <c:idx val="1"/>
          <c:order val="1"/>
          <c:tx>
            <c:strRef>
              <c:f>Φύλλο1!$F$307</c:f>
              <c:strCache>
                <c:ptCount val="1"/>
                <c:pt idx="0">
                  <c:v>Ετήσιες (%) μεταβολές Εναρμονισμένου ΔτΚ</c:v>
                </c:pt>
              </c:strCache>
            </c:strRef>
          </c:tx>
          <c:spPr>
            <a:ln w="25400">
              <a:solidFill>
                <a:schemeClr val="accent1">
                  <a:lumMod val="60000"/>
                  <a:lumOff val="40000"/>
                </a:schemeClr>
              </a:solidFill>
              <a:prstDash val="sysDot"/>
            </a:ln>
          </c:spPr>
          <c:marker>
            <c:symbol val="circle"/>
            <c:size val="3"/>
            <c:spPr>
              <a:solidFill>
                <a:schemeClr val="tx1"/>
              </a:solidFill>
              <a:ln>
                <a:solidFill>
                  <a:srgbClr val="F79646">
                    <a:lumMod val="75000"/>
                  </a:srgbClr>
                </a:solidFill>
              </a:ln>
            </c:spPr>
          </c:marker>
          <c:dLbls>
            <c:dLbl>
              <c:idx val="0"/>
              <c:spPr/>
              <c:txPr>
                <a:bodyPr/>
                <a:lstStyle/>
                <a:p>
                  <a:pPr>
                    <a:defRPr sz="900"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4.3842682140554479E-2"/>
                  <c:y val="-4.584527220630371E-2"/>
                </c:manualLayout>
              </c:layout>
              <c:spPr/>
              <c:txPr>
                <a:bodyPr/>
                <a:lstStyle/>
                <a:p>
                  <a:pPr>
                    <a:defRPr sz="90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2.5789813023855673E-2"/>
                  <c:y val="-4.5845272206303717E-2"/>
                </c:manualLayout>
              </c:layout>
              <c:spPr/>
              <c:txPr>
                <a:bodyPr/>
                <a:lstStyle/>
                <a:p>
                  <a:pPr>
                    <a:defRPr sz="90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1.547388781431339E-2"/>
                  <c:y val="2.674307545367731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 b="1"/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Φύλλο1!$B$313:$C$324</c:f>
              <c:multiLvlStrCache>
                <c:ptCount val="12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  <c:pt idx="11">
                    <c:v>Δ΄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Φύλλο1!$F$313:$F$324</c:f>
              <c:numCache>
                <c:formatCode>0.0%</c:formatCode>
                <c:ptCount val="12"/>
                <c:pt idx="0">
                  <c:v>-2.1760633036597258E-2</c:v>
                </c:pt>
                <c:pt idx="1">
                  <c:v>-1.4492753623188449E-2</c:v>
                </c:pt>
                <c:pt idx="2">
                  <c:v>-8.0174205681481231E-3</c:v>
                </c:pt>
                <c:pt idx="3">
                  <c:v>5.9892194050697176E-4</c:v>
                </c:pt>
                <c:pt idx="4">
                  <c:v>-2.4266936299293142E-3</c:v>
                </c:pt>
                <c:pt idx="5">
                  <c:v>-1.2917329093799241E-3</c:v>
                </c:pt>
                <c:pt idx="6">
                  <c:v>1.8958291758131901E-3</c:v>
                </c:pt>
                <c:pt idx="7">
                  <c:v>2.3942537909019319E-3</c:v>
                </c:pt>
                <c:pt idx="8">
                  <c:v>1.5406446381512381E-2</c:v>
                </c:pt>
                <c:pt idx="9">
                  <c:v>1.3431499353298121E-2</c:v>
                </c:pt>
                <c:pt idx="10">
                  <c:v>8.4652923015637108E-3</c:v>
                </c:pt>
                <c:pt idx="11">
                  <c:v>8.2603503184713201E-3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5991736"/>
        <c:axId val="475994872"/>
      </c:lineChart>
      <c:catAx>
        <c:axId val="4759917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crossAx val="475994872"/>
        <c:crosses val="autoZero"/>
        <c:auto val="1"/>
        <c:lblAlgn val="ctr"/>
        <c:lblOffset val="100"/>
        <c:noMultiLvlLbl val="0"/>
      </c:catAx>
      <c:valAx>
        <c:axId val="475994872"/>
        <c:scaling>
          <c:orientation val="minMax"/>
        </c:scaling>
        <c:delete val="0"/>
        <c:axPos val="l"/>
        <c:majorGridlines>
          <c:spPr>
            <a:ln w="12700">
              <a:solidFill>
                <a:sysClr val="windowText" lastClr="000000">
                  <a:alpha val="8000"/>
                </a:sysClr>
              </a:solidFill>
            </a:ln>
            <a:effectLst>
              <a:innerShdw blurRad="114300">
                <a:prstClr val="black"/>
              </a:innerShdw>
            </a:effectLst>
          </c:spPr>
        </c:majorGridlines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l-GR"/>
          </a:p>
        </c:txPr>
        <c:crossAx val="475991736"/>
        <c:crosses val="autoZero"/>
        <c:crossBetween val="between"/>
      </c:valAx>
      <c:spPr>
        <a:ln>
          <a:solidFill>
            <a:sysClr val="windowText" lastClr="000000"/>
          </a:solidFill>
        </a:ln>
      </c:spPr>
    </c:plotArea>
    <c:legend>
      <c:legendPos val="b"/>
      <c:overlay val="0"/>
    </c:legend>
    <c:plotVisOnly val="1"/>
    <c:dispBlanksAs val="gap"/>
    <c:showDLblsOverMax val="0"/>
  </c:chart>
  <c:spPr>
    <a:ln>
      <a:solidFill>
        <a:sysClr val="window" lastClr="FFFFFF">
          <a:alpha val="98000"/>
        </a:sysClr>
      </a:solidFill>
    </a:ln>
    <a:effectLst>
      <a:innerShdw blurRad="114300">
        <a:prstClr val="black"/>
      </a:innerShdw>
    </a:effectLst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Φύλλο1!$A$3</c:f>
              <c:strCache>
                <c:ptCount val="1"/>
                <c:pt idx="0">
                  <c:v>Τριμηνιαίες μεταβολές (%) εποχικά διορθωμένου ΔΚΕ στο Λιανικό (εκτός καυσίμων)</c:v>
                </c:pt>
              </c:strCache>
            </c:strRef>
          </c:tx>
          <c:dLbls>
            <c:dLbl>
              <c:idx val="2"/>
              <c:layout>
                <c:manualLayout>
                  <c:x val="-6.4171122994652399E-2"/>
                  <c:y val="3.0828516377649343E-2"/>
                </c:manualLayout>
              </c:layout>
              <c:tx>
                <c:rich>
                  <a:bodyPr/>
                  <a:lstStyle/>
                  <a:p>
                    <a:r>
                      <a:rPr lang="en-US" b="1">
                        <a:solidFill>
                          <a:srgbClr val="FF0000"/>
                        </a:solidFill>
                      </a:rPr>
                      <a:t>-3,3%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4.2780748663101602E-2"/>
                  <c:y val="-3.0828516377649343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2,3%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3.5650623885918005E-2"/>
                  <c:y val="3.4682080924855488E-2"/>
                </c:manualLayout>
              </c:layout>
              <c:tx>
                <c:rich>
                  <a:bodyPr/>
                  <a:lstStyle/>
                  <a:p>
                    <a:r>
                      <a:rPr lang="en-US" b="1">
                        <a:solidFill>
                          <a:srgbClr val="FF0000"/>
                        </a:solidFill>
                      </a:rPr>
                      <a:t>-0,3%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2.3767082590611988E-2"/>
                  <c:y val="4.6242774566473951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0,1%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Φύλλο1!$F$4:$G$14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Φύλλο1!$H$4:$H$14</c:f>
              <c:numCache>
                <c:formatCode>0.00%</c:formatCode>
                <c:ptCount val="11"/>
                <c:pt idx="0">
                  <c:v>6.000000000000001E-3</c:v>
                </c:pt>
                <c:pt idx="1">
                  <c:v>2.0000000000000005E-3</c:v>
                </c:pt>
                <c:pt idx="2">
                  <c:v>-3.3000000000000002E-2</c:v>
                </c:pt>
                <c:pt idx="3">
                  <c:v>1.2999999999999998E-2</c:v>
                </c:pt>
                <c:pt idx="4">
                  <c:v>-1.0000000000000002E-2</c:v>
                </c:pt>
                <c:pt idx="5">
                  <c:v>-1.0000000000000002E-3</c:v>
                </c:pt>
                <c:pt idx="6">
                  <c:v>2.3E-2</c:v>
                </c:pt>
                <c:pt idx="7">
                  <c:v>0</c:v>
                </c:pt>
                <c:pt idx="8">
                  <c:v>0</c:v>
                </c:pt>
                <c:pt idx="9">
                  <c:v>-3.0000000000000005E-3</c:v>
                </c:pt>
                <c:pt idx="10">
                  <c:v>1.0000000000000002E-3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Φύλλο1!$I$3</c:f>
              <c:strCache>
                <c:ptCount val="1"/>
                <c:pt idx="0">
                  <c:v>Τριμηνιαίες μεταβολές (%) εποχικά διορθωμένου ΔΟ στο Λιανικό (εκτός καυσίμων)</c:v>
                </c:pt>
              </c:strCache>
            </c:strRef>
          </c:tx>
          <c:spPr>
            <a:ln>
              <a:solidFill>
                <a:schemeClr val="accent1">
                  <a:lumMod val="60000"/>
                  <a:lumOff val="40000"/>
                </a:schemeClr>
              </a:solidFill>
            </a:ln>
          </c:spPr>
          <c:marker>
            <c:spPr>
              <a:solidFill>
                <a:schemeClr val="accent1">
                  <a:lumMod val="60000"/>
                  <a:lumOff val="40000"/>
                </a:schemeClr>
              </a:solidFill>
              <a:ln>
                <a:solidFill>
                  <a:schemeClr val="accent1">
                    <a:lumMod val="60000"/>
                    <a:lumOff val="40000"/>
                  </a:schemeClr>
                </a:solidFill>
              </a:ln>
            </c:spPr>
          </c:marker>
          <c:dLbls>
            <c:dLbl>
              <c:idx val="2"/>
              <c:tx>
                <c:rich>
                  <a:bodyPr/>
                  <a:lstStyle/>
                  <a:p>
                    <a:r>
                      <a:rPr lang="en-US">
                        <a:solidFill>
                          <a:srgbClr val="FF0000"/>
                        </a:solidFill>
                      </a:rPr>
                      <a:t>-3,1%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tx>
                <c:rich>
                  <a:bodyPr/>
                  <a:lstStyle/>
                  <a:p>
                    <a:r>
                      <a:rPr lang="en-US"/>
                      <a:t>2,2%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4.0404040404040414E-2"/>
                  <c:y val="-4.23892100192678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0,0%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2.222222222222214E-2"/>
                  <c:y val="-4.6296296296296363E-2"/>
                </c:manualLayout>
              </c:layout>
              <c:tx>
                <c:rich>
                  <a:bodyPr/>
                  <a:lstStyle/>
                  <a:p>
                    <a:r>
                      <a:rPr lang="en-US" b="1">
                        <a:solidFill>
                          <a:schemeClr val="tx1"/>
                        </a:solidFill>
                      </a:rPr>
                      <a:t>0</a:t>
                    </a:r>
                    <a:r>
                      <a:rPr lang="en-US" b="1"/>
                      <a:t>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chemeClr val="tx1"/>
                    </a:solidFill>
                  </a:defRPr>
                </a:pPr>
                <a:endParaRPr lang="el-G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Φύλλο1!$F$4:$G$14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Φύλλο1!$I$4:$I$14</c:f>
              <c:numCache>
                <c:formatCode>0.00%</c:formatCode>
                <c:ptCount val="11"/>
                <c:pt idx="0">
                  <c:v>0</c:v>
                </c:pt>
                <c:pt idx="1">
                  <c:v>5.000000000000001E-3</c:v>
                </c:pt>
                <c:pt idx="2">
                  <c:v>-3.1000000000000003E-2</c:v>
                </c:pt>
                <c:pt idx="3">
                  <c:v>1.2999999999999998E-2</c:v>
                </c:pt>
                <c:pt idx="4">
                  <c:v>-3.0000000000000005E-3</c:v>
                </c:pt>
                <c:pt idx="5">
                  <c:v>0</c:v>
                </c:pt>
                <c:pt idx="6">
                  <c:v>2.1999999999999999E-2</c:v>
                </c:pt>
                <c:pt idx="7">
                  <c:v>6.000000000000001E-3</c:v>
                </c:pt>
                <c:pt idx="8">
                  <c:v>-3.0000000000000005E-3</c:v>
                </c:pt>
                <c:pt idx="9">
                  <c:v>0</c:v>
                </c:pt>
                <c:pt idx="10">
                  <c:v>3.0000000000000005E-3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5996440"/>
        <c:axId val="476021920"/>
      </c:lineChart>
      <c:catAx>
        <c:axId val="4759964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crossAx val="476021920"/>
        <c:crosses val="autoZero"/>
        <c:auto val="1"/>
        <c:lblAlgn val="ctr"/>
        <c:lblOffset val="100"/>
        <c:noMultiLvlLbl val="0"/>
      </c:catAx>
      <c:valAx>
        <c:axId val="476021920"/>
        <c:scaling>
          <c:orientation val="minMax"/>
        </c:scaling>
        <c:delete val="0"/>
        <c:axPos val="l"/>
        <c:majorGridlines/>
        <c:numFmt formatCode="0.0%" sourceLinked="0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l-GR"/>
          </a:p>
        </c:txPr>
        <c:crossAx val="47599644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solidFill>
      <a:srgbClr val="F8F8F8">
        <a:alpha val="98039"/>
      </a:srgbClr>
    </a:solidFill>
    <a:effectLst>
      <a:innerShdw blurRad="114300">
        <a:prstClr val="black"/>
      </a:innerShdw>
    </a:effectLst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'ΠΙΝΑΚΑΣ 2'!$H$84</c:f>
              <c:strCache>
                <c:ptCount val="1"/>
                <c:pt idx="0">
                  <c:v>Εποχικά διορθωμένος ΔΚΕ στο Χονδρικό Εμπόριο</c:v>
                </c:pt>
              </c:strCache>
            </c:strRef>
          </c:tx>
          <c:marker>
            <c:symbol val="none"/>
          </c:marker>
          <c:cat>
            <c:multiLvlStrRef>
              <c:f>'ΠΙΝΑΚΑΣ 2'!$F$89:$G$99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'ΠΙΝΑΚΑΣ 2'!$H$89:$H$99</c:f>
              <c:numCache>
                <c:formatCode>0.0</c:formatCode>
                <c:ptCount val="11"/>
                <c:pt idx="0">
                  <c:v>65.614728715779989</c:v>
                </c:pt>
                <c:pt idx="1">
                  <c:v>65.209620623183966</c:v>
                </c:pt>
                <c:pt idx="2">
                  <c:v>61.396237317155062</c:v>
                </c:pt>
                <c:pt idx="3">
                  <c:v>63.797047806432822</c:v>
                </c:pt>
                <c:pt idx="4">
                  <c:v>62.040128115471823</c:v>
                </c:pt>
                <c:pt idx="5">
                  <c:v>62.920354026401661</c:v>
                </c:pt>
                <c:pt idx="6">
                  <c:v>63.404898931545105</c:v>
                </c:pt>
                <c:pt idx="7">
                  <c:v>63.502908923348308</c:v>
                </c:pt>
                <c:pt idx="8">
                  <c:v>66.156127557551045</c:v>
                </c:pt>
                <c:pt idx="9">
                  <c:v>64.611632939069949</c:v>
                </c:pt>
                <c:pt idx="10">
                  <c:v>65.277232469825563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0251816"/>
        <c:axId val="470251424"/>
      </c:lineChart>
      <c:lineChart>
        <c:grouping val="standard"/>
        <c:varyColors val="0"/>
        <c:ser>
          <c:idx val="1"/>
          <c:order val="1"/>
          <c:tx>
            <c:strRef>
              <c:f>'ΠΙΝΑΚΑΣ 2'!$I$84</c:f>
              <c:strCache>
                <c:ptCount val="1"/>
                <c:pt idx="0">
                  <c:v>Τριμηνιαία (%) μεταβολή Δείκτη (δεξιός άξονας)</c:v>
                </c:pt>
              </c:strCache>
            </c:strRef>
          </c:tx>
          <c:spPr>
            <a:ln w="19050">
              <a:solidFill>
                <a:srgbClr val="1F497D">
                  <a:lumMod val="60000"/>
                  <a:lumOff val="40000"/>
                </a:srgbClr>
              </a:solidFill>
              <a:prstDash val="sysDot"/>
            </a:ln>
          </c:spPr>
          <c:marker>
            <c:symbol val="circle"/>
            <c:size val="4"/>
            <c:spPr>
              <a:solidFill>
                <a:schemeClr val="tx1"/>
              </a:solidFill>
            </c:spPr>
          </c:marker>
          <c:dLbls>
            <c:dLbl>
              <c:idx val="0"/>
              <c:layout>
                <c:manualLayout>
                  <c:x val="-3.4782608695652181E-2"/>
                  <c:y val="-4.8929663608562685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0867830651603515E-2"/>
                  <c:y val="-4.0774719673802244E-2"/>
                </c:manualLayout>
              </c:layout>
              <c:spPr/>
              <c:txPr>
                <a:bodyPr/>
                <a:lstStyle/>
                <a:p>
                  <a:pPr>
                    <a:defRPr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4.6966746547985862E-2"/>
                  <c:y val="4.8929663608562685E-2"/>
                </c:manualLayout>
              </c:layout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4.1739313020655026E-2"/>
                  <c:y val="6.9317023445464074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4.4357411845258862E-2"/>
                  <c:y val="5.3007135575942915E-2"/>
                </c:manualLayout>
              </c:layout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3.4796302636083541E-2"/>
                  <c:y val="-4.0774719673802202E-2"/>
                </c:manualLayout>
              </c:layout>
              <c:spPr/>
              <c:txPr>
                <a:bodyPr/>
                <a:lstStyle/>
                <a:p>
                  <a:pPr>
                    <a:defRPr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'ΠΙΝΑΚΑΣ 2'!$I$89:$I$99</c:f>
              <c:numCache>
                <c:formatCode>0.0%</c:formatCode>
                <c:ptCount val="11"/>
                <c:pt idx="0">
                  <c:v>8.7127765035803825E-3</c:v>
                </c:pt>
                <c:pt idx="1">
                  <c:v>-6.1740420256983872E-3</c:v>
                </c:pt>
                <c:pt idx="2">
                  <c:v>-5.8478845139502765E-2</c:v>
                </c:pt>
                <c:pt idx="3">
                  <c:v>3.9103544356893935E-2</c:v>
                </c:pt>
                <c:pt idx="4">
                  <c:v>-2.7539200501750558E-2</c:v>
                </c:pt>
                <c:pt idx="5">
                  <c:v>1.4188009239626823E-2</c:v>
                </c:pt>
                <c:pt idx="6">
                  <c:v>7.7009246473748174E-3</c:v>
                </c:pt>
                <c:pt idx="7">
                  <c:v>1.5457794816297161E-3</c:v>
                </c:pt>
                <c:pt idx="8">
                  <c:v>4.1781056634832663E-2</c:v>
                </c:pt>
                <c:pt idx="9">
                  <c:v>-2.3346206549616871E-2</c:v>
                </c:pt>
                <c:pt idx="10">
                  <c:v>1.0301543243509861E-2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0251032"/>
        <c:axId val="462587264"/>
      </c:lineChart>
      <c:catAx>
        <c:axId val="4702518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70251424"/>
        <c:crosses val="autoZero"/>
        <c:auto val="1"/>
        <c:lblAlgn val="ctr"/>
        <c:lblOffset val="100"/>
        <c:noMultiLvlLbl val="0"/>
      </c:catAx>
      <c:valAx>
        <c:axId val="470251424"/>
        <c:scaling>
          <c:orientation val="minMax"/>
        </c:scaling>
        <c:delete val="0"/>
        <c:axPos val="l"/>
        <c:majorGridlines>
          <c:spPr>
            <a:ln>
              <a:solidFill>
                <a:sysClr val="windowText" lastClr="000000">
                  <a:alpha val="9000"/>
                </a:sysClr>
              </a:solidFill>
            </a:ln>
          </c:spPr>
        </c:majorGridlines>
        <c:numFmt formatCode="0.0" sourceLinked="1"/>
        <c:majorTickMark val="out"/>
        <c:minorTickMark val="none"/>
        <c:tickLblPos val="nextTo"/>
        <c:crossAx val="470251816"/>
        <c:crosses val="autoZero"/>
        <c:crossBetween val="between"/>
      </c:valAx>
      <c:catAx>
        <c:axId val="470251032"/>
        <c:scaling>
          <c:orientation val="minMax"/>
        </c:scaling>
        <c:delete val="1"/>
        <c:axPos val="b"/>
        <c:majorTickMark val="out"/>
        <c:minorTickMark val="none"/>
        <c:tickLblPos val="none"/>
        <c:crossAx val="462587264"/>
        <c:crosses val="autoZero"/>
        <c:auto val="1"/>
        <c:lblAlgn val="ctr"/>
        <c:lblOffset val="100"/>
        <c:noMultiLvlLbl val="0"/>
      </c:catAx>
      <c:valAx>
        <c:axId val="462587264"/>
        <c:scaling>
          <c:orientation val="minMax"/>
          <c:max val="7.0000000000000021E-2"/>
          <c:min val="-7.0000000000000021E-2"/>
        </c:scaling>
        <c:delete val="0"/>
        <c:axPos val="r"/>
        <c:majorGridlines/>
        <c:numFmt formatCode="0.0%" sourceLinked="1"/>
        <c:majorTickMark val="out"/>
        <c:minorTickMark val="in"/>
        <c:tickLblPos val="nextTo"/>
        <c:txPr>
          <a:bodyPr/>
          <a:lstStyle/>
          <a:p>
            <a:pPr>
              <a:defRPr b="1"/>
            </a:pPr>
            <a:endParaRPr lang="el-GR"/>
          </a:p>
        </c:txPr>
        <c:crossAx val="470251032"/>
        <c:crosses val="max"/>
        <c:crossBetween val="between"/>
        <c:majorUnit val="7.0000000000000021E-2"/>
        <c:minorUnit val="6.0000000000000114E-3"/>
      </c:valAx>
    </c:plotArea>
    <c:legend>
      <c:legendPos val="b"/>
      <c:overlay val="0"/>
    </c:legend>
    <c:plotVisOnly val="1"/>
    <c:dispBlanksAs val="gap"/>
    <c:showDLblsOverMax val="0"/>
  </c:chart>
  <c:spPr>
    <a:solidFill>
      <a:sysClr val="window" lastClr="FFFFFF">
        <a:alpha val="99000"/>
      </a:sysClr>
    </a:solidFill>
    <a:effectLst>
      <a:innerShdw blurRad="114300">
        <a:prstClr val="black"/>
      </a:innerShdw>
    </a:effectLst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'ΠΙΝΑΚΑΣ 2'!$E$88</c:f>
              <c:strCache>
                <c:ptCount val="1"/>
                <c:pt idx="0">
                  <c:v>Εποχικά διορθωμένος ΔΚΕ στο Εμπόριο Μηχανοκίνητων Οχημάτων (451)</c:v>
                </c:pt>
              </c:strCache>
            </c:strRef>
          </c:tx>
          <c:marker>
            <c:symbol val="none"/>
          </c:marker>
          <c:cat>
            <c:multiLvlStrRef>
              <c:f>'ΠΙΝΑΚΑΣ 2'!$C$91:$D$101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'ΠΙΝΑΚΑΣ 2'!$E$91:$E$101</c:f>
              <c:numCache>
                <c:formatCode>0.0</c:formatCode>
                <c:ptCount val="11"/>
                <c:pt idx="0">
                  <c:v>57</c:v>
                </c:pt>
                <c:pt idx="1">
                  <c:v>58</c:v>
                </c:pt>
                <c:pt idx="2">
                  <c:v>56.5</c:v>
                </c:pt>
                <c:pt idx="3">
                  <c:v>62.6</c:v>
                </c:pt>
                <c:pt idx="4">
                  <c:v>51.4</c:v>
                </c:pt>
                <c:pt idx="5">
                  <c:v>66.7</c:v>
                </c:pt>
                <c:pt idx="6">
                  <c:v>64.7</c:v>
                </c:pt>
                <c:pt idx="7">
                  <c:v>63.545327908228607</c:v>
                </c:pt>
                <c:pt idx="8">
                  <c:v>64.366705486424706</c:v>
                </c:pt>
                <c:pt idx="9">
                  <c:v>64.114261691656424</c:v>
                </c:pt>
                <c:pt idx="10">
                  <c:v>67.099286083805325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6044880"/>
        <c:axId val="536048016"/>
      </c:lineChart>
      <c:lineChart>
        <c:grouping val="standard"/>
        <c:varyColors val="0"/>
        <c:ser>
          <c:idx val="1"/>
          <c:order val="1"/>
          <c:tx>
            <c:strRef>
              <c:f>'ΠΙΝΑΚΑΣ 2'!$F$88</c:f>
              <c:strCache>
                <c:ptCount val="1"/>
                <c:pt idx="0">
                  <c:v>Τριμηνιαία (%) μεταβολή Δείκτη (δεξιός άξονας)</c:v>
                </c:pt>
              </c:strCache>
            </c:strRef>
          </c:tx>
          <c:spPr>
            <a:ln w="22225">
              <a:solidFill>
                <a:schemeClr val="accent1">
                  <a:lumMod val="40000"/>
                  <a:lumOff val="60000"/>
                </a:schemeClr>
              </a:solidFill>
              <a:prstDash val="sysDot"/>
            </a:ln>
          </c:spPr>
          <c:marker>
            <c:symbol val="circle"/>
            <c:size val="4"/>
            <c:spPr>
              <a:solidFill>
                <a:schemeClr val="tx1"/>
              </a:solidFill>
            </c:spPr>
          </c:marker>
          <c:dLbls>
            <c:dLbl>
              <c:idx val="3"/>
              <c:layout>
                <c:manualLayout>
                  <c:x val="-4.7222222222222172E-2"/>
                  <c:y val="5.5555555555555455E-2"/>
                </c:manualLayout>
              </c:layout>
              <c:spPr/>
              <c:txPr>
                <a:bodyPr/>
                <a:lstStyle/>
                <a:p>
                  <a:pPr>
                    <a:defRPr sz="100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"/>
                  <c:y val="2.7777777777777936E-2"/>
                </c:manualLayout>
              </c:layout>
              <c:spPr/>
              <c:txPr>
                <a:bodyPr/>
                <a:lstStyle/>
                <a:p>
                  <a:pPr>
                    <a:defRPr sz="100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4.9209138840070304E-2"/>
                  <c:y val="5.1612903225806597E-2"/>
                </c:manualLayout>
              </c:layout>
              <c:spPr/>
              <c:txPr>
                <a:bodyPr/>
                <a:lstStyle/>
                <a:p>
                  <a:pPr>
                    <a:defRPr sz="1000"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3.7492677211482216E-2"/>
                  <c:y val="5.5913978494623734E-2"/>
                </c:manualLayout>
              </c:layout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3.8283492243610155E-2"/>
                  <c:y val="-4.3040555414444015E-2"/>
                </c:manualLayout>
              </c:layout>
              <c:spPr/>
              <c:txPr>
                <a:bodyPr/>
                <a:lstStyle/>
                <a:p>
                  <a:pPr>
                    <a:defRPr sz="100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'ΠΙΝΑΚΑΣ 2'!$F$91:$F$101</c:f>
              <c:numCache>
                <c:formatCode>0.0%</c:formatCode>
                <c:ptCount val="11"/>
                <c:pt idx="0">
                  <c:v>8.8495575221239318E-3</c:v>
                </c:pt>
                <c:pt idx="1">
                  <c:v>1.7543859649122875E-2</c:v>
                </c:pt>
                <c:pt idx="2">
                  <c:v>-2.5862068965517241E-2</c:v>
                </c:pt>
                <c:pt idx="3">
                  <c:v>0.10796460176991181</c:v>
                </c:pt>
                <c:pt idx="4">
                  <c:v>-0.17891373801916988</c:v>
                </c:pt>
                <c:pt idx="5">
                  <c:v>0.29766536964980678</c:v>
                </c:pt>
                <c:pt idx="6">
                  <c:v>-2.9985007496251923E-2</c:v>
                </c:pt>
                <c:pt idx="7">
                  <c:v>-1.7846554741443553E-2</c:v>
                </c:pt>
                <c:pt idx="8">
                  <c:v>1.2925853170237681E-2</c:v>
                </c:pt>
                <c:pt idx="9">
                  <c:v>-3.9219623384607405E-3</c:v>
                </c:pt>
                <c:pt idx="10">
                  <c:v>4.6557884523489086E-2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6044096"/>
        <c:axId val="536047232"/>
      </c:lineChart>
      <c:catAx>
        <c:axId val="5360448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536048016"/>
        <c:crosses val="autoZero"/>
        <c:auto val="1"/>
        <c:lblAlgn val="ctr"/>
        <c:lblOffset val="100"/>
        <c:noMultiLvlLbl val="0"/>
      </c:catAx>
      <c:valAx>
        <c:axId val="536048016"/>
        <c:scaling>
          <c:orientation val="minMax"/>
        </c:scaling>
        <c:delete val="0"/>
        <c:axPos val="l"/>
        <c:majorGridlines>
          <c:spPr>
            <a:ln>
              <a:solidFill>
                <a:sysClr val="windowText" lastClr="000000">
                  <a:alpha val="10000"/>
                </a:sysClr>
              </a:solidFill>
            </a:ln>
          </c:spPr>
        </c:majorGridlines>
        <c:numFmt formatCode="0.0" sourceLinked="1"/>
        <c:majorTickMark val="out"/>
        <c:minorTickMark val="none"/>
        <c:tickLblPos val="nextTo"/>
        <c:crossAx val="536044880"/>
        <c:crosses val="autoZero"/>
        <c:crossBetween val="between"/>
        <c:majorUnit val="10"/>
        <c:minorUnit val="2"/>
      </c:valAx>
      <c:catAx>
        <c:axId val="536044096"/>
        <c:scaling>
          <c:orientation val="minMax"/>
        </c:scaling>
        <c:delete val="1"/>
        <c:axPos val="b"/>
        <c:majorTickMark val="out"/>
        <c:minorTickMark val="none"/>
        <c:tickLblPos val="none"/>
        <c:crossAx val="536047232"/>
        <c:crosses val="autoZero"/>
        <c:auto val="1"/>
        <c:lblAlgn val="ctr"/>
        <c:lblOffset val="100"/>
        <c:noMultiLvlLbl val="0"/>
      </c:catAx>
      <c:valAx>
        <c:axId val="536047232"/>
        <c:scaling>
          <c:orientation val="minMax"/>
          <c:max val="0.30000000000000032"/>
          <c:min val="-0.30000000000000032"/>
        </c:scaling>
        <c:delete val="0"/>
        <c:axPos val="r"/>
        <c:majorGridlines/>
        <c:numFmt formatCode="0.0%" sourceLinked="1"/>
        <c:majorTickMark val="out"/>
        <c:minorTickMark val="out"/>
        <c:tickLblPos val="nextTo"/>
        <c:spPr>
          <a:ln w="9525" cmpd="sng"/>
        </c:spPr>
        <c:txPr>
          <a:bodyPr/>
          <a:lstStyle/>
          <a:p>
            <a:pPr>
              <a:defRPr b="1"/>
            </a:pPr>
            <a:endParaRPr lang="el-GR"/>
          </a:p>
        </c:txPr>
        <c:crossAx val="536044096"/>
        <c:crosses val="max"/>
        <c:crossBetween val="between"/>
        <c:majorUnit val="0.30000000000000032"/>
        <c:minorUnit val="3.0000000000000002E-2"/>
      </c:valAx>
    </c:plotArea>
    <c:legend>
      <c:legendPos val="b"/>
      <c:overlay val="0"/>
    </c:legend>
    <c:plotVisOnly val="1"/>
    <c:dispBlanksAs val="gap"/>
    <c:showDLblsOverMax val="0"/>
  </c:chart>
  <c:spPr>
    <a:effectLst>
      <a:innerShdw blurRad="114300">
        <a:prstClr val="black"/>
      </a:innerShdw>
    </a:effectLst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348840769903745"/>
          <c:y val="4.2141294838145327E-2"/>
          <c:w val="0.85595603674540743"/>
          <c:h val="0.74673228346456744"/>
        </c:manualLayout>
      </c:layout>
      <c:lineChart>
        <c:grouping val="standard"/>
        <c:varyColors val="0"/>
        <c:ser>
          <c:idx val="0"/>
          <c:order val="0"/>
          <c:dLbls>
            <c:dLbl>
              <c:idx val="2"/>
              <c:spPr/>
              <c:txPr>
                <a:bodyPr/>
                <a:lstStyle/>
                <a:p>
                  <a:pPr>
                    <a:defRPr b="1"/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spPr/>
              <c:txPr>
                <a:bodyPr/>
                <a:lstStyle/>
                <a:p>
                  <a:pPr>
                    <a:defRPr b="1"/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2.5000000000000001E-2"/>
                  <c:y val="-1.3888888888888919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4.9999999999999933E-2"/>
                  <c:y val="5.0925925925925923E-2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 b="1"/>
                      <a:t>20,2%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trendline>
            <c:trendlineType val="linear"/>
            <c:dispRSqr val="0"/>
            <c:dispEq val="0"/>
          </c:trendline>
          <c:cat>
            <c:multiLvlStrRef>
              <c:f>Φύλλο1!$B$2:$N$3</c:f>
              <c:multiLvlStrCache>
                <c:ptCount val="13"/>
                <c:lvl>
                  <c:pt idx="0">
                    <c:v>Γ΄ </c:v>
                  </c:pt>
                  <c:pt idx="1">
                    <c:v>Δ΄</c:v>
                  </c:pt>
                  <c:pt idx="2">
                    <c:v>Α΄</c:v>
                  </c:pt>
                  <c:pt idx="3">
                    <c:v>Β΄</c:v>
                  </c:pt>
                  <c:pt idx="4">
                    <c:v>Γ΄</c:v>
                  </c:pt>
                  <c:pt idx="5">
                    <c:v>Δ΄</c:v>
                  </c:pt>
                  <c:pt idx="6">
                    <c:v>Α΄</c:v>
                  </c:pt>
                  <c:pt idx="7">
                    <c:v>Β΄</c:v>
                  </c:pt>
                  <c:pt idx="8">
                    <c:v>Γ΄</c:v>
                  </c:pt>
                  <c:pt idx="9">
                    <c:v>Δ΄</c:v>
                  </c:pt>
                  <c:pt idx="10">
                    <c:v>Α΄</c:v>
                  </c:pt>
                  <c:pt idx="11">
                    <c:v>Β΄</c:v>
                  </c:pt>
                  <c:pt idx="12">
                    <c:v>Γ΄</c:v>
                  </c:pt>
                </c:lvl>
                <c:lvl>
                  <c:pt idx="0">
                    <c:v>2014</c:v>
                  </c:pt>
                  <c:pt idx="2">
                    <c:v>2015</c:v>
                  </c:pt>
                  <c:pt idx="6">
                    <c:v>2016</c:v>
                  </c:pt>
                  <c:pt idx="10">
                    <c:v>2017</c:v>
                  </c:pt>
                </c:lvl>
              </c:multiLvlStrCache>
            </c:multiLvlStrRef>
          </c:cat>
          <c:val>
            <c:numRef>
              <c:f>Φύλλο1!$B$4:$N$4</c:f>
              <c:numCache>
                <c:formatCode>0.0%</c:formatCode>
                <c:ptCount val="13"/>
                <c:pt idx="0">
                  <c:v>0.255</c:v>
                </c:pt>
                <c:pt idx="1">
                  <c:v>0.26100000000000001</c:v>
                </c:pt>
                <c:pt idx="2">
                  <c:v>0.26600000000000001</c:v>
                </c:pt>
                <c:pt idx="3">
                  <c:v>0.24600000000000014</c:v>
                </c:pt>
                <c:pt idx="4">
                  <c:v>0.24000000000000013</c:v>
                </c:pt>
                <c:pt idx="5">
                  <c:v>0.24400000000000013</c:v>
                </c:pt>
                <c:pt idx="6">
                  <c:v>0.24900000000000014</c:v>
                </c:pt>
                <c:pt idx="7">
                  <c:v>0.23100000000000001</c:v>
                </c:pt>
                <c:pt idx="8">
                  <c:v>0.22600000000000001</c:v>
                </c:pt>
                <c:pt idx="9">
                  <c:v>0.23600000000000004</c:v>
                </c:pt>
                <c:pt idx="10">
                  <c:v>0.23300000000000001</c:v>
                </c:pt>
                <c:pt idx="11">
                  <c:v>0.21100000000000013</c:v>
                </c:pt>
                <c:pt idx="12" formatCode="0.00%">
                  <c:v>0.20200000000000001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6038608"/>
        <c:axId val="536039000"/>
      </c:lineChart>
      <c:catAx>
        <c:axId val="5360386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l-GR"/>
          </a:p>
        </c:txPr>
        <c:crossAx val="536039000"/>
        <c:crosses val="autoZero"/>
        <c:auto val="1"/>
        <c:lblAlgn val="ctr"/>
        <c:lblOffset val="100"/>
        <c:noMultiLvlLbl val="0"/>
      </c:catAx>
      <c:valAx>
        <c:axId val="536039000"/>
        <c:scaling>
          <c:orientation val="minMax"/>
          <c:min val="0.19"/>
        </c:scaling>
        <c:delete val="0"/>
        <c:axPos val="l"/>
        <c:majorGridlines>
          <c:spPr>
            <a:ln>
              <a:solidFill>
                <a:sysClr val="windowText" lastClr="000000">
                  <a:alpha val="10000"/>
                </a:sysClr>
              </a:solidFill>
            </a:ln>
          </c:spPr>
        </c:majorGridlines>
        <c:numFmt formatCode="0.0%" sourceLinked="1"/>
        <c:majorTickMark val="out"/>
        <c:minorTickMark val="none"/>
        <c:tickLblPos val="nextTo"/>
        <c:spPr>
          <a:ln>
            <a:solidFill>
              <a:sysClr val="windowText" lastClr="000000">
                <a:alpha val="0"/>
              </a:sysClr>
            </a:solidFill>
          </a:ln>
        </c:spPr>
        <c:txPr>
          <a:bodyPr/>
          <a:lstStyle/>
          <a:p>
            <a:pPr>
              <a:defRPr b="1"/>
            </a:pPr>
            <a:endParaRPr lang="el-GR"/>
          </a:p>
        </c:txPr>
        <c:crossAx val="536038608"/>
        <c:crosses val="autoZero"/>
        <c:crossBetween val="between"/>
      </c:valAx>
    </c:plotArea>
    <c:plotVisOnly val="1"/>
    <c:dispBlanksAs val="gap"/>
    <c:showDLblsOverMax val="0"/>
  </c:chart>
  <c:spPr>
    <a:solidFill>
      <a:schemeClr val="bg1">
        <a:alpha val="98000"/>
      </a:schemeClr>
    </a:solidFill>
    <a:ln>
      <a:solidFill>
        <a:schemeClr val="accent1"/>
      </a:solidFill>
    </a:ln>
    <a:effectLst>
      <a:innerShdw blurRad="114300">
        <a:prstClr val="black"/>
      </a:innerShdw>
    </a:effectLst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'6B'!$C$2</c:f>
              <c:strCache>
                <c:ptCount val="1"/>
                <c:pt idx="0">
                  <c:v>Απασχολούμενοι</c:v>
                </c:pt>
              </c:strCache>
            </c:strRef>
          </c:tx>
          <c:invertIfNegative val="0"/>
          <c:cat>
            <c:multiLvlStrRef>
              <c:f>'6B'!$A$38:$B$49</c:f>
              <c:multiLvlStrCache>
                <c:ptCount val="12"/>
                <c:lvl>
                  <c:pt idx="0">
                    <c:v>Δ</c:v>
                  </c:pt>
                  <c:pt idx="1">
                    <c:v>Α</c:v>
                  </c:pt>
                  <c:pt idx="2">
                    <c:v>Β</c:v>
                  </c:pt>
                  <c:pt idx="3">
                    <c:v>Γ</c:v>
                  </c:pt>
                  <c:pt idx="4">
                    <c:v>Δ</c:v>
                  </c:pt>
                  <c:pt idx="5">
                    <c:v>Α</c:v>
                  </c:pt>
                  <c:pt idx="6">
                    <c:v>Β</c:v>
                  </c:pt>
                  <c:pt idx="7">
                    <c:v>Γ</c:v>
                  </c:pt>
                  <c:pt idx="8">
                    <c:v>Δ</c:v>
                  </c:pt>
                  <c:pt idx="9">
                    <c:v>Α</c:v>
                  </c:pt>
                  <c:pt idx="10">
                    <c:v>Β</c:v>
                  </c:pt>
                  <c:pt idx="11">
                    <c:v>Γ</c:v>
                  </c:pt>
                </c:lvl>
                <c:lvl>
                  <c:pt idx="0">
                    <c:v>2014</c:v>
                  </c:pt>
                  <c:pt idx="1">
                    <c:v>2015</c:v>
                  </c:pt>
                  <c:pt idx="5">
                    <c:v>2016</c:v>
                  </c:pt>
                  <c:pt idx="9">
                    <c:v>2017</c:v>
                  </c:pt>
                </c:lvl>
              </c:multiLvlStrCache>
            </c:multiLvlStrRef>
          </c:cat>
          <c:val>
            <c:numRef>
              <c:f>'6B'!$C$38:$C$49</c:f>
              <c:numCache>
                <c:formatCode>###0</c:formatCode>
                <c:ptCount val="12"/>
                <c:pt idx="0">
                  <c:v>626465.74999999895</c:v>
                </c:pt>
                <c:pt idx="1">
                  <c:v>641654.73000000033</c:v>
                </c:pt>
                <c:pt idx="2">
                  <c:v>657319.42000000051</c:v>
                </c:pt>
                <c:pt idx="3">
                  <c:v>676822</c:v>
                </c:pt>
                <c:pt idx="4">
                  <c:v>667475</c:v>
                </c:pt>
                <c:pt idx="5">
                  <c:v>655194</c:v>
                </c:pt>
                <c:pt idx="6">
                  <c:v>650322.79999999877</c:v>
                </c:pt>
                <c:pt idx="7">
                  <c:v>665852</c:v>
                </c:pt>
                <c:pt idx="8">
                  <c:v>660289</c:v>
                </c:pt>
                <c:pt idx="9">
                  <c:v>661152.55000000075</c:v>
                </c:pt>
                <c:pt idx="10">
                  <c:v>683875</c:v>
                </c:pt>
                <c:pt idx="11">
                  <c:v>687710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536041744"/>
        <c:axId val="536040176"/>
      </c:barChart>
      <c:lineChart>
        <c:grouping val="standard"/>
        <c:varyColors val="0"/>
        <c:ser>
          <c:idx val="1"/>
          <c:order val="1"/>
          <c:tx>
            <c:strRef>
              <c:f>'6B'!$D$22</c:f>
              <c:strCache>
                <c:ptCount val="1"/>
                <c:pt idx="0">
                  <c:v>% Μεταβολές</c:v>
                </c:pt>
              </c:strCache>
            </c:strRef>
          </c:tx>
          <c:spPr>
            <a:ln>
              <a:solidFill>
                <a:schemeClr val="tx2">
                  <a:lumMod val="40000"/>
                  <a:lumOff val="60000"/>
                </a:schemeClr>
              </a:solidFill>
            </a:ln>
          </c:spPr>
          <c:marker>
            <c:spPr>
              <a:solidFill>
                <a:schemeClr val="tx2">
                  <a:lumMod val="40000"/>
                  <a:lumOff val="60000"/>
                </a:schemeClr>
              </a:solidFill>
              <a:ln>
                <a:solidFill>
                  <a:schemeClr val="tx2">
                    <a:lumMod val="20000"/>
                    <a:lumOff val="80000"/>
                  </a:schemeClr>
                </a:solidFill>
              </a:ln>
            </c:spPr>
          </c:marker>
          <c:dLbls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4.3200778789128855E-2"/>
                  <c:y val="5.9336823734729593E-2"/>
                </c:manualLayout>
              </c:layout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3.9273435262844478E-2"/>
                  <c:y val="5.5846422338568992E-2"/>
                </c:manualLayout>
              </c:layout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3.5346091736559983E-2"/>
                  <c:y val="7.32984293193718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l-G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'6B'!$B$38:$B$49</c:f>
              <c:strCache>
                <c:ptCount val="12"/>
                <c:pt idx="0">
                  <c:v>Δ</c:v>
                </c:pt>
                <c:pt idx="1">
                  <c:v>Α</c:v>
                </c:pt>
                <c:pt idx="2">
                  <c:v>Β</c:v>
                </c:pt>
                <c:pt idx="3">
                  <c:v>Γ</c:v>
                </c:pt>
                <c:pt idx="4">
                  <c:v>Δ</c:v>
                </c:pt>
                <c:pt idx="5">
                  <c:v>Α</c:v>
                </c:pt>
                <c:pt idx="6">
                  <c:v>Β</c:v>
                </c:pt>
                <c:pt idx="7">
                  <c:v>Γ</c:v>
                </c:pt>
                <c:pt idx="8">
                  <c:v>Δ</c:v>
                </c:pt>
                <c:pt idx="9">
                  <c:v>Α</c:v>
                </c:pt>
                <c:pt idx="10">
                  <c:v>Β</c:v>
                </c:pt>
                <c:pt idx="11">
                  <c:v>Γ</c:v>
                </c:pt>
              </c:strCache>
            </c:strRef>
          </c:cat>
          <c:val>
            <c:numRef>
              <c:f>'6B'!$D$38:$D$49</c:f>
              <c:numCache>
                <c:formatCode>0.0%</c:formatCode>
                <c:ptCount val="12"/>
                <c:pt idx="0">
                  <c:v>-6.0548294255590917E-3</c:v>
                </c:pt>
                <c:pt idx="1">
                  <c:v>2.42455074359623E-2</c:v>
                </c:pt>
                <c:pt idx="2">
                  <c:v>2.441295804053363E-2</c:v>
                </c:pt>
                <c:pt idx="3">
                  <c:v>2.9669867353074135E-2</c:v>
                </c:pt>
                <c:pt idx="4">
                  <c:v>-1.3810130285363088E-2</c:v>
                </c:pt>
                <c:pt idx="5">
                  <c:v>-1.8399190980935617E-2</c:v>
                </c:pt>
                <c:pt idx="6">
                  <c:v>-7.4347445184177324E-3</c:v>
                </c:pt>
                <c:pt idx="7">
                  <c:v>2.3879218135978337E-2</c:v>
                </c:pt>
                <c:pt idx="8">
                  <c:v>-8.3547094549539687E-3</c:v>
                </c:pt>
                <c:pt idx="9">
                  <c:v>1.3078364170851615E-3</c:v>
                </c:pt>
                <c:pt idx="10">
                  <c:v>3.4367938231500778E-2</c:v>
                </c:pt>
                <c:pt idx="11">
                  <c:v>5.6077499543045204E-3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6046056"/>
        <c:axId val="536040568"/>
      </c:lineChart>
      <c:catAx>
        <c:axId val="53604174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el-GR"/>
          </a:p>
        </c:txPr>
        <c:crossAx val="536040176"/>
        <c:crosses val="autoZero"/>
        <c:auto val="1"/>
        <c:lblAlgn val="ctr"/>
        <c:lblOffset val="100"/>
        <c:noMultiLvlLbl val="0"/>
      </c:catAx>
      <c:valAx>
        <c:axId val="536040176"/>
        <c:scaling>
          <c:orientation val="minMax"/>
          <c:min val="600000"/>
        </c:scaling>
        <c:delete val="0"/>
        <c:axPos val="l"/>
        <c:majorGridlines>
          <c:spPr>
            <a:ln>
              <a:solidFill>
                <a:sysClr val="windowText" lastClr="000000">
                  <a:alpha val="10000"/>
                </a:sysClr>
              </a:solidFill>
            </a:ln>
          </c:spPr>
        </c:majorGridlines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/>
            </a:pPr>
            <a:endParaRPr lang="el-GR"/>
          </a:p>
        </c:txPr>
        <c:crossAx val="536041744"/>
        <c:crosses val="autoZero"/>
        <c:crossBetween val="between"/>
      </c:valAx>
      <c:valAx>
        <c:axId val="536040568"/>
        <c:scaling>
          <c:orientation val="minMax"/>
        </c:scaling>
        <c:delete val="0"/>
        <c:axPos val="r"/>
        <c:numFmt formatCode="0.0%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l-GR"/>
          </a:p>
        </c:txPr>
        <c:crossAx val="536046056"/>
        <c:crosses val="max"/>
        <c:crossBetween val="between"/>
      </c:valAx>
      <c:catAx>
        <c:axId val="53604605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one"/>
        <c:crossAx val="536040568"/>
        <c:crosses val="autoZero"/>
        <c:auto val="1"/>
        <c:lblAlgn val="ctr"/>
        <c:lblOffset val="100"/>
        <c:noMultiLvlLbl val="0"/>
      </c:catAx>
    </c:plotArea>
    <c:legend>
      <c:legendPos val="b"/>
      <c:overlay val="0"/>
      <c:txPr>
        <a:bodyPr/>
        <a:lstStyle/>
        <a:p>
          <a:pPr>
            <a:defRPr b="1"/>
          </a:pPr>
          <a:endParaRPr lang="el-GR"/>
        </a:p>
      </c:txPr>
    </c:legend>
    <c:plotVisOnly val="1"/>
    <c:dispBlanksAs val="gap"/>
    <c:showDLblsOverMax val="0"/>
  </c:chart>
  <c:spPr>
    <a:solidFill>
      <a:srgbClr val="F8F8F8">
        <a:alpha val="97647"/>
      </a:srgbClr>
    </a:solidFill>
    <a:effectLst>
      <a:innerShdw blurRad="114300">
        <a:prstClr val="black"/>
      </a:innerShdw>
    </a:effectLst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'7'!$C$3</c:f>
              <c:strCache>
                <c:ptCount val="1"/>
                <c:pt idx="0">
                  <c:v>Σύνολο Οικονομίας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6.677796327212028E-3"/>
                  <c:y val="0"/>
                </c:manualLayout>
              </c:layout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1.5581524763494736E-2"/>
                  <c:y val="1.38888888888889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2.2259321090706751E-3"/>
                  <c:y val="-9.2592592592592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l-G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'7'!$A$20:$B$31</c:f>
              <c:multiLvlStrCache>
                <c:ptCount val="12"/>
                <c:lvl>
                  <c:pt idx="0">
                    <c:v>Δ</c:v>
                  </c:pt>
                  <c:pt idx="1">
                    <c:v>Α</c:v>
                  </c:pt>
                  <c:pt idx="2">
                    <c:v>Β</c:v>
                  </c:pt>
                  <c:pt idx="3">
                    <c:v>Γ</c:v>
                  </c:pt>
                  <c:pt idx="4">
                    <c:v>Δ</c:v>
                  </c:pt>
                  <c:pt idx="5">
                    <c:v>Α</c:v>
                  </c:pt>
                  <c:pt idx="6">
                    <c:v>Β</c:v>
                  </c:pt>
                  <c:pt idx="7">
                    <c:v>Γ</c:v>
                  </c:pt>
                  <c:pt idx="8">
                    <c:v>Δ</c:v>
                  </c:pt>
                  <c:pt idx="9">
                    <c:v>Α</c:v>
                  </c:pt>
                  <c:pt idx="10">
                    <c:v>Β</c:v>
                  </c:pt>
                  <c:pt idx="11">
                    <c:v>Γ</c:v>
                  </c:pt>
                </c:lvl>
                <c:lvl>
                  <c:pt idx="0">
                    <c:v>2014</c:v>
                  </c:pt>
                  <c:pt idx="1">
                    <c:v>2015</c:v>
                  </c:pt>
                  <c:pt idx="5">
                    <c:v>2016</c:v>
                  </c:pt>
                  <c:pt idx="9">
                    <c:v>2017</c:v>
                  </c:pt>
                </c:lvl>
              </c:multiLvlStrCache>
            </c:multiLvlStrRef>
          </c:cat>
          <c:val>
            <c:numRef>
              <c:f>'7'!$D$20:$D$31</c:f>
              <c:numCache>
                <c:formatCode>0.0%</c:formatCode>
                <c:ptCount val="12"/>
                <c:pt idx="0">
                  <c:v>-1.4388533334225481E-2</c:v>
                </c:pt>
                <c:pt idx="1">
                  <c:v>-8.7201161776993847E-3</c:v>
                </c:pt>
                <c:pt idx="2">
                  <c:v>3.4555935517331549E-2</c:v>
                </c:pt>
                <c:pt idx="3">
                  <c:v>1.2563844842308861E-2</c:v>
                </c:pt>
                <c:pt idx="4">
                  <c:v>-8.0122580279752276E-3</c:v>
                </c:pt>
                <c:pt idx="5">
                  <c:v>-9.7039817939302709E-3</c:v>
                </c:pt>
                <c:pt idx="6">
                  <c:v>2.6694594417753296E-2</c:v>
                </c:pt>
                <c:pt idx="7">
                  <c:v>9.2100404462982267E-3</c:v>
                </c:pt>
                <c:pt idx="8">
                  <c:v>-2.359009901507475E-2</c:v>
                </c:pt>
                <c:pt idx="9">
                  <c:v>2.9285867997740217E-3</c:v>
                </c:pt>
                <c:pt idx="10">
                  <c:v>3.6115763141644254E-2</c:v>
                </c:pt>
                <c:pt idx="11">
                  <c:v>8.5187372392360045E-3</c:v>
                </c:pt>
              </c:numCache>
            </c:numRef>
          </c:val>
        </c:ser>
        <c:ser>
          <c:idx val="1"/>
          <c:order val="1"/>
          <c:tx>
            <c:strRef>
              <c:f>'7'!$E$4</c:f>
              <c:strCache>
                <c:ptCount val="1"/>
                <c:pt idx="0">
                  <c:v>Εμπόριο</c:v>
                </c:pt>
              </c:strCache>
            </c:strRef>
          </c:tx>
          <c:spPr>
            <a:solidFill>
              <a:srgbClr val="1F497D">
                <a:lumMod val="40000"/>
                <a:lumOff val="60000"/>
              </a:srgbClr>
            </a:solidFill>
          </c:spPr>
          <c:invertIfNegative val="0"/>
          <c:dLbls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spPr/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2.003338898163610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2.671118530884807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l-G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'7'!$A$20:$B$31</c:f>
              <c:multiLvlStrCache>
                <c:ptCount val="12"/>
                <c:lvl>
                  <c:pt idx="0">
                    <c:v>Δ</c:v>
                  </c:pt>
                  <c:pt idx="1">
                    <c:v>Α</c:v>
                  </c:pt>
                  <c:pt idx="2">
                    <c:v>Β</c:v>
                  </c:pt>
                  <c:pt idx="3">
                    <c:v>Γ</c:v>
                  </c:pt>
                  <c:pt idx="4">
                    <c:v>Δ</c:v>
                  </c:pt>
                  <c:pt idx="5">
                    <c:v>Α</c:v>
                  </c:pt>
                  <c:pt idx="6">
                    <c:v>Β</c:v>
                  </c:pt>
                  <c:pt idx="7">
                    <c:v>Γ</c:v>
                  </c:pt>
                  <c:pt idx="8">
                    <c:v>Δ</c:v>
                  </c:pt>
                  <c:pt idx="9">
                    <c:v>Α</c:v>
                  </c:pt>
                  <c:pt idx="10">
                    <c:v>Β</c:v>
                  </c:pt>
                  <c:pt idx="11">
                    <c:v>Γ</c:v>
                  </c:pt>
                </c:lvl>
                <c:lvl>
                  <c:pt idx="0">
                    <c:v>2014</c:v>
                  </c:pt>
                  <c:pt idx="1">
                    <c:v>2015</c:v>
                  </c:pt>
                  <c:pt idx="5">
                    <c:v>2016</c:v>
                  </c:pt>
                  <c:pt idx="9">
                    <c:v>2017</c:v>
                  </c:pt>
                </c:lvl>
              </c:multiLvlStrCache>
            </c:multiLvlStrRef>
          </c:cat>
          <c:val>
            <c:numRef>
              <c:f>'7'!$F$20:$F$31</c:f>
              <c:numCache>
                <c:formatCode>0.0%</c:formatCode>
                <c:ptCount val="12"/>
                <c:pt idx="0">
                  <c:v>-6.0548294255590917E-3</c:v>
                </c:pt>
                <c:pt idx="1">
                  <c:v>2.42455074359623E-2</c:v>
                </c:pt>
                <c:pt idx="2">
                  <c:v>2.441295804053363E-2</c:v>
                </c:pt>
                <c:pt idx="3">
                  <c:v>2.9669867353074135E-2</c:v>
                </c:pt>
                <c:pt idx="4">
                  <c:v>-1.3810130285363088E-2</c:v>
                </c:pt>
                <c:pt idx="5">
                  <c:v>-1.8399190980935617E-2</c:v>
                </c:pt>
                <c:pt idx="6">
                  <c:v>-7.4347445184177324E-3</c:v>
                </c:pt>
                <c:pt idx="7">
                  <c:v>2.3879218135978337E-2</c:v>
                </c:pt>
                <c:pt idx="8">
                  <c:v>-8.3547094549539687E-3</c:v>
                </c:pt>
                <c:pt idx="9">
                  <c:v>1.3078364170851615E-3</c:v>
                </c:pt>
                <c:pt idx="10">
                  <c:v>3.4367938231500778E-2</c:v>
                </c:pt>
                <c:pt idx="11">
                  <c:v>5.6077499543045204E-3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shape val="box"/>
        <c:axId val="536039392"/>
        <c:axId val="536042136"/>
        <c:axId val="0"/>
      </c:bar3DChart>
      <c:catAx>
        <c:axId val="5360393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b="1"/>
            </a:pPr>
            <a:endParaRPr lang="el-GR"/>
          </a:p>
        </c:txPr>
        <c:crossAx val="536042136"/>
        <c:crosses val="autoZero"/>
        <c:auto val="1"/>
        <c:lblAlgn val="ctr"/>
        <c:lblOffset val="100"/>
        <c:noMultiLvlLbl val="0"/>
      </c:catAx>
      <c:valAx>
        <c:axId val="536042136"/>
        <c:scaling>
          <c:orientation val="minMax"/>
        </c:scaling>
        <c:delete val="0"/>
        <c:axPos val="l"/>
        <c:majorGridlines>
          <c:spPr>
            <a:ln>
              <a:solidFill>
                <a:schemeClr val="tx1"/>
              </a:solidFill>
            </a:ln>
            <a:effectLst>
              <a:innerShdw blurRad="114300">
                <a:prstClr val="black"/>
              </a:innerShdw>
            </a:effectLst>
          </c:spPr>
        </c:majorGridlines>
        <c:numFmt formatCode="0.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/>
            </a:pPr>
            <a:endParaRPr lang="el-GR"/>
          </a:p>
        </c:txPr>
        <c:crossAx val="536039392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b="1"/>
          </a:pPr>
          <a:endParaRPr lang="el-GR"/>
        </a:p>
      </c:txPr>
    </c:legend>
    <c:plotVisOnly val="1"/>
    <c:dispBlanksAs val="gap"/>
    <c:showDLblsOverMax val="0"/>
  </c:chart>
  <c:spPr>
    <a:effectLst>
      <a:innerShdw blurRad="114300">
        <a:prstClr val="black"/>
      </a:innerShdw>
    </a:effectLst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999610864835845"/>
          <c:y val="3.0719011693623413E-2"/>
          <c:w val="0.68938282643600035"/>
          <c:h val="0.80707924667312891"/>
        </c:manualLayout>
      </c:layout>
      <c:lineChart>
        <c:grouping val="standard"/>
        <c:varyColors val="0"/>
        <c:ser>
          <c:idx val="0"/>
          <c:order val="0"/>
          <c:tx>
            <c:strRef>
              <c:f>DIAGRAMMA_8!$J$3</c:f>
              <c:strCache>
                <c:ptCount val="1"/>
                <c:pt idx="0">
                  <c:v>ΑΝΔΡΕΣ </c:v>
                </c:pt>
              </c:strCache>
            </c:strRef>
          </c:tx>
          <c:cat>
            <c:multiLvlStrRef>
              <c:f>DIAGRAMMA_8!$A$33:$B$44</c:f>
              <c:multiLvlStrCache>
                <c:ptCount val="12"/>
                <c:lvl>
                  <c:pt idx="0">
                    <c:v>Δ</c:v>
                  </c:pt>
                  <c:pt idx="1">
                    <c:v>Α</c:v>
                  </c:pt>
                  <c:pt idx="2">
                    <c:v>Β</c:v>
                  </c:pt>
                  <c:pt idx="3">
                    <c:v>Γ</c:v>
                  </c:pt>
                  <c:pt idx="4">
                    <c:v>Δ</c:v>
                  </c:pt>
                  <c:pt idx="5">
                    <c:v>Α</c:v>
                  </c:pt>
                  <c:pt idx="6">
                    <c:v>Β</c:v>
                  </c:pt>
                  <c:pt idx="7">
                    <c:v>Γ</c:v>
                  </c:pt>
                  <c:pt idx="8">
                    <c:v>Δ</c:v>
                  </c:pt>
                  <c:pt idx="9">
                    <c:v>Α</c:v>
                  </c:pt>
                  <c:pt idx="10">
                    <c:v>Β</c:v>
                  </c:pt>
                  <c:pt idx="11">
                    <c:v>Γ</c:v>
                  </c:pt>
                </c:lvl>
                <c:lvl>
                  <c:pt idx="0">
                    <c:v>2014</c:v>
                  </c:pt>
                  <c:pt idx="1">
                    <c:v>2015</c:v>
                  </c:pt>
                  <c:pt idx="5">
                    <c:v>2016</c:v>
                  </c:pt>
                  <c:pt idx="9">
                    <c:v>2017</c:v>
                  </c:pt>
                </c:lvl>
              </c:multiLvlStrCache>
            </c:multiLvlStrRef>
          </c:cat>
          <c:val>
            <c:numRef>
              <c:f>DIAGRAMMA_8!$J$33:$J$44</c:f>
              <c:numCache>
                <c:formatCode>0.00</c:formatCode>
                <c:ptCount val="12"/>
                <c:pt idx="0">
                  <c:v>57.786812024025998</c:v>
                </c:pt>
                <c:pt idx="1">
                  <c:v>57.591332342028998</c:v>
                </c:pt>
                <c:pt idx="2">
                  <c:v>59.295783609933309</c:v>
                </c:pt>
                <c:pt idx="3">
                  <c:v>60.340249402655644</c:v>
                </c:pt>
                <c:pt idx="4">
                  <c:v>59.900814674413155</c:v>
                </c:pt>
                <c:pt idx="5">
                  <c:v>59.754621947416105</c:v>
                </c:pt>
                <c:pt idx="6">
                  <c:v>61.304879277382128</c:v>
                </c:pt>
                <c:pt idx="7">
                  <c:v>61.994289412837354</c:v>
                </c:pt>
                <c:pt idx="8">
                  <c:v>60.790997462901181</c:v>
                </c:pt>
                <c:pt idx="9">
                  <c:v>60.985086954472955</c:v>
                </c:pt>
                <c:pt idx="10">
                  <c:v>62.932551250863831</c:v>
                </c:pt>
                <c:pt idx="11">
                  <c:v>64.141306154719942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DIAGRAMMA_8!$K$3</c:f>
              <c:strCache>
                <c:ptCount val="1"/>
                <c:pt idx="0">
                  <c:v>ΓΥΝΑΙΚΕΣ </c:v>
                </c:pt>
              </c:strCache>
            </c:strRef>
          </c:tx>
          <c:spPr>
            <a:ln>
              <a:solidFill>
                <a:schemeClr val="accent1">
                  <a:lumMod val="60000"/>
                  <a:lumOff val="40000"/>
                </a:schemeClr>
              </a:solidFill>
            </a:ln>
          </c:spPr>
          <c:marker>
            <c:spPr>
              <a:solidFill>
                <a:schemeClr val="accent1">
                  <a:lumMod val="60000"/>
                  <a:lumOff val="40000"/>
                </a:schemeClr>
              </a:solidFill>
              <a:ln>
                <a:solidFill>
                  <a:schemeClr val="accent1">
                    <a:lumMod val="60000"/>
                    <a:lumOff val="40000"/>
                  </a:schemeClr>
                </a:solidFill>
              </a:ln>
            </c:spPr>
          </c:marker>
          <c:cat>
            <c:multiLvlStrRef>
              <c:f>DIAGRAMMA_8!$A$33:$B$44</c:f>
              <c:multiLvlStrCache>
                <c:ptCount val="12"/>
                <c:lvl>
                  <c:pt idx="0">
                    <c:v>Δ</c:v>
                  </c:pt>
                  <c:pt idx="1">
                    <c:v>Α</c:v>
                  </c:pt>
                  <c:pt idx="2">
                    <c:v>Β</c:v>
                  </c:pt>
                  <c:pt idx="3">
                    <c:v>Γ</c:v>
                  </c:pt>
                  <c:pt idx="4">
                    <c:v>Δ</c:v>
                  </c:pt>
                  <c:pt idx="5">
                    <c:v>Α</c:v>
                  </c:pt>
                  <c:pt idx="6">
                    <c:v>Β</c:v>
                  </c:pt>
                  <c:pt idx="7">
                    <c:v>Γ</c:v>
                  </c:pt>
                  <c:pt idx="8">
                    <c:v>Δ</c:v>
                  </c:pt>
                  <c:pt idx="9">
                    <c:v>Α</c:v>
                  </c:pt>
                  <c:pt idx="10">
                    <c:v>Β</c:v>
                  </c:pt>
                  <c:pt idx="11">
                    <c:v>Γ</c:v>
                  </c:pt>
                </c:lvl>
                <c:lvl>
                  <c:pt idx="0">
                    <c:v>2014</c:v>
                  </c:pt>
                  <c:pt idx="1">
                    <c:v>2015</c:v>
                  </c:pt>
                  <c:pt idx="5">
                    <c:v>2016</c:v>
                  </c:pt>
                  <c:pt idx="9">
                    <c:v>2017</c:v>
                  </c:pt>
                </c:lvl>
              </c:multiLvlStrCache>
            </c:multiLvlStrRef>
          </c:cat>
          <c:val>
            <c:numRef>
              <c:f>DIAGRAMMA_8!$K$33:$K$44</c:f>
              <c:numCache>
                <c:formatCode>0.00</c:formatCode>
                <c:ptCount val="12"/>
                <c:pt idx="0">
                  <c:v>41.510116950300343</c:v>
                </c:pt>
                <c:pt idx="1">
                  <c:v>40.960885251398693</c:v>
                </c:pt>
                <c:pt idx="2">
                  <c:v>42.813611587631975</c:v>
                </c:pt>
                <c:pt idx="3">
                  <c:v>43.168787011588698</c:v>
                </c:pt>
                <c:pt idx="4">
                  <c:v>42.920658712382505</c:v>
                </c:pt>
                <c:pt idx="5">
                  <c:v>42.318679071349599</c:v>
                </c:pt>
                <c:pt idx="6">
                  <c:v>43.69891334335027</c:v>
                </c:pt>
                <c:pt idx="7">
                  <c:v>44.215218361617495</c:v>
                </c:pt>
                <c:pt idx="8">
                  <c:v>43.050952793255966</c:v>
                </c:pt>
                <c:pt idx="9">
                  <c:v>43.254497278954865</c:v>
                </c:pt>
                <c:pt idx="10">
                  <c:v>45.238896138945272</c:v>
                </c:pt>
                <c:pt idx="11">
                  <c:v>45.160178986241611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DIAGRAMMA_8!$L$3</c:f>
              <c:strCache>
                <c:ptCount val="1"/>
                <c:pt idx="0">
                  <c:v>ΣΥΝΟΛΟ</c:v>
                </c:pt>
              </c:strCache>
            </c:strRef>
          </c:tx>
          <c:spPr>
            <a:ln>
              <a:solidFill>
                <a:schemeClr val="tx2">
                  <a:lumMod val="60000"/>
                  <a:lumOff val="40000"/>
                </a:schemeClr>
              </a:solidFill>
            </a:ln>
          </c:spPr>
          <c:marker>
            <c:spPr>
              <a:solidFill>
                <a:schemeClr val="tx2">
                  <a:lumMod val="60000"/>
                  <a:lumOff val="40000"/>
                </a:schemeClr>
              </a:solidFill>
              <a:ln>
                <a:solidFill>
                  <a:srgbClr val="1F497D">
                    <a:lumMod val="60000"/>
                    <a:lumOff val="40000"/>
                  </a:srgbClr>
                </a:solidFill>
              </a:ln>
            </c:spPr>
          </c:marker>
          <c:cat>
            <c:multiLvlStrRef>
              <c:f>DIAGRAMMA_8!$A$33:$B$44</c:f>
              <c:multiLvlStrCache>
                <c:ptCount val="12"/>
                <c:lvl>
                  <c:pt idx="0">
                    <c:v>Δ</c:v>
                  </c:pt>
                  <c:pt idx="1">
                    <c:v>Α</c:v>
                  </c:pt>
                  <c:pt idx="2">
                    <c:v>Β</c:v>
                  </c:pt>
                  <c:pt idx="3">
                    <c:v>Γ</c:v>
                  </c:pt>
                  <c:pt idx="4">
                    <c:v>Δ</c:v>
                  </c:pt>
                  <c:pt idx="5">
                    <c:v>Α</c:v>
                  </c:pt>
                  <c:pt idx="6">
                    <c:v>Β</c:v>
                  </c:pt>
                  <c:pt idx="7">
                    <c:v>Γ</c:v>
                  </c:pt>
                  <c:pt idx="8">
                    <c:v>Δ</c:v>
                  </c:pt>
                  <c:pt idx="9">
                    <c:v>Α</c:v>
                  </c:pt>
                  <c:pt idx="10">
                    <c:v>Β</c:v>
                  </c:pt>
                  <c:pt idx="11">
                    <c:v>Γ</c:v>
                  </c:pt>
                </c:lvl>
                <c:lvl>
                  <c:pt idx="0">
                    <c:v>2014</c:v>
                  </c:pt>
                  <c:pt idx="1">
                    <c:v>2015</c:v>
                  </c:pt>
                  <c:pt idx="5">
                    <c:v>2016</c:v>
                  </c:pt>
                  <c:pt idx="9">
                    <c:v>2017</c:v>
                  </c:pt>
                </c:lvl>
              </c:multiLvlStrCache>
            </c:multiLvlStrRef>
          </c:cat>
          <c:val>
            <c:numRef>
              <c:f>DIAGRAMMA_8!$L$33:$L$44</c:f>
              <c:numCache>
                <c:formatCode>0.00</c:formatCode>
                <c:ptCount val="12"/>
                <c:pt idx="0">
                  <c:v>49.556148199977912</c:v>
                </c:pt>
                <c:pt idx="1">
                  <c:v>49.181865827194549</c:v>
                </c:pt>
                <c:pt idx="2">
                  <c:v>51.841608486501578</c:v>
                </c:pt>
                <c:pt idx="3">
                  <c:v>51.658865059970694</c:v>
                </c:pt>
                <c:pt idx="4">
                  <c:v>51.316970951742704</c:v>
                </c:pt>
                <c:pt idx="5">
                  <c:v>50.942302870969669</c:v>
                </c:pt>
                <c:pt idx="6">
                  <c:v>52.407640571003327</c:v>
                </c:pt>
                <c:pt idx="7">
                  <c:v>53.010583317653044</c:v>
                </c:pt>
                <c:pt idx="8">
                  <c:v>51.828048391748496</c:v>
                </c:pt>
                <c:pt idx="9">
                  <c:v>52.028213943865019</c:v>
                </c:pt>
                <c:pt idx="10">
                  <c:v>53.995257056014246</c:v>
                </c:pt>
                <c:pt idx="11">
                  <c:v>54.554691755298514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6039784"/>
        <c:axId val="536047624"/>
      </c:lineChart>
      <c:catAx>
        <c:axId val="5360397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 b="1"/>
            </a:pPr>
            <a:endParaRPr lang="el-GR"/>
          </a:p>
        </c:txPr>
        <c:crossAx val="536047624"/>
        <c:crosses val="autoZero"/>
        <c:auto val="1"/>
        <c:lblAlgn val="ctr"/>
        <c:lblOffset val="100"/>
        <c:noMultiLvlLbl val="0"/>
      </c:catAx>
      <c:valAx>
        <c:axId val="536047624"/>
        <c:scaling>
          <c:orientation val="minMax"/>
          <c:min val="35"/>
        </c:scaling>
        <c:delete val="0"/>
        <c:axPos val="l"/>
        <c:majorGridlines>
          <c:spPr>
            <a:ln>
              <a:solidFill>
                <a:srgbClr val="4F81BD">
                  <a:lumMod val="60000"/>
                  <a:lumOff val="40000"/>
                  <a:alpha val="10000"/>
                </a:srgbClr>
              </a:solidFill>
            </a:ln>
          </c:spPr>
        </c:majorGridlines>
        <c:numFmt formatCode="0" sourceLinked="0"/>
        <c:majorTickMark val="out"/>
        <c:minorTickMark val="none"/>
        <c:tickLblPos val="nextTo"/>
        <c:txPr>
          <a:bodyPr/>
          <a:lstStyle/>
          <a:p>
            <a:pPr>
              <a:defRPr sz="1200" b="1"/>
            </a:pPr>
            <a:endParaRPr lang="el-GR"/>
          </a:p>
        </c:txPr>
        <c:crossAx val="536039784"/>
        <c:crossesAt val="1"/>
        <c:crossBetween val="between"/>
        <c:majorUnit val="5"/>
      </c:valAx>
    </c:plotArea>
    <c:legend>
      <c:legendPos val="r"/>
      <c:overlay val="0"/>
      <c:txPr>
        <a:bodyPr/>
        <a:lstStyle/>
        <a:p>
          <a:pPr>
            <a:defRPr sz="1000" b="1"/>
          </a:pPr>
          <a:endParaRPr lang="el-GR"/>
        </a:p>
      </c:txPr>
    </c:legend>
    <c:plotVisOnly val="1"/>
    <c:dispBlanksAs val="gap"/>
    <c:showDLblsOverMax val="0"/>
  </c:chart>
  <c:spPr>
    <a:solidFill>
      <a:srgbClr val="F8F8F8">
        <a:alpha val="97647"/>
      </a:srgbClr>
    </a:solidFill>
    <a:effectLst>
      <a:innerShdw blurRad="114300">
        <a:prstClr val="black"/>
      </a:innerShdw>
    </a:effectLst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2873616970611788E-2"/>
          <c:y val="8.142854192593868E-2"/>
          <c:w val="0.9224371081916074"/>
          <c:h val="0.7582078516818149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'DIAGRAMMA 9'!$A$2</c:f>
              <c:strCache>
                <c:ptCount val="1"/>
                <c:pt idx="0">
                  <c:v>Ζ. Χονδρικό και λιανικό εμπόριο, επισκευή αυτοκινήτων</c:v>
                </c:pt>
              </c:strCache>
            </c:strRef>
          </c:tx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>
                        <a:solidFill>
                          <a:srgbClr val="FF0000"/>
                        </a:solidFill>
                      </a:rPr>
                      <a:t>-3,7%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0726818732358794E-3"/>
                  <c:y val="-4.016876462722589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l-G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'DIAGRAMMA 9'!$B$3:$F$3</c:f>
              <c:strCache>
                <c:ptCount val="5"/>
                <c:pt idx="0">
                  <c:v>ΣΥΝΟΛΟ</c:v>
                </c:pt>
                <c:pt idx="1">
                  <c:v>Εργοδότες</c:v>
                </c:pt>
                <c:pt idx="2">
                  <c:v>Αυτοαπασχολούμενοι</c:v>
                </c:pt>
                <c:pt idx="3">
                  <c:v>Μισθωτοί</c:v>
                </c:pt>
                <c:pt idx="4">
                  <c:v>Βοηθοί</c:v>
                </c:pt>
              </c:strCache>
            </c:strRef>
          </c:cat>
          <c:val>
            <c:numRef>
              <c:f>'DIAGRAMMA 9'!$B$8:$F$8</c:f>
              <c:numCache>
                <c:formatCode>0.0%</c:formatCode>
                <c:ptCount val="5"/>
                <c:pt idx="0">
                  <c:v>5.6077417543531393E-3</c:v>
                </c:pt>
                <c:pt idx="1">
                  <c:v>-3.7347865123703174E-2</c:v>
                </c:pt>
                <c:pt idx="2">
                  <c:v>-1.046009712071418E-2</c:v>
                </c:pt>
                <c:pt idx="3">
                  <c:v>1.3681122518214784E-2</c:v>
                </c:pt>
                <c:pt idx="4">
                  <c:v>8.476689811534667E-2</c:v>
                </c:pt>
              </c:numCache>
            </c:numRef>
          </c:val>
        </c:ser>
        <c:ser>
          <c:idx val="1"/>
          <c:order val="1"/>
          <c:tx>
            <c:strRef>
              <c:f>'DIAGRAMMA 9'!$A$17</c:f>
              <c:strCache>
                <c:ptCount val="1"/>
                <c:pt idx="0">
                  <c:v>Σύνολο οικονομίας 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</c:spPr>
          <c:invertIfNegative val="0"/>
          <c:dLbls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 b="1">
                      <a:solidFill>
                        <a:srgbClr val="FF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'DIAGRAMMA 9'!$B$22:$F$22</c:f>
              <c:numCache>
                <c:formatCode>0.0%</c:formatCode>
                <c:ptCount val="5"/>
                <c:pt idx="0">
                  <c:v>8.5192759828686057E-3</c:v>
                </c:pt>
                <c:pt idx="1">
                  <c:v>4.5587182734129822E-3</c:v>
                </c:pt>
                <c:pt idx="2">
                  <c:v>3.0766445425246592E-3</c:v>
                </c:pt>
                <c:pt idx="3">
                  <c:v>1.2807737420822462E-2</c:v>
                </c:pt>
                <c:pt idx="4">
                  <c:v>-2.4093383172667081E-2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536043312"/>
        <c:axId val="536048800"/>
      </c:barChart>
      <c:catAx>
        <c:axId val="536043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-1980000" vert="horz"/>
          <a:lstStyle/>
          <a:p>
            <a:pPr>
              <a:defRPr sz="1000" b="1"/>
            </a:pPr>
            <a:endParaRPr lang="el-GR"/>
          </a:p>
        </c:txPr>
        <c:crossAx val="536048800"/>
        <c:crosses val="autoZero"/>
        <c:auto val="1"/>
        <c:lblAlgn val="ctr"/>
        <c:lblOffset val="100"/>
        <c:noMultiLvlLbl val="0"/>
      </c:catAx>
      <c:valAx>
        <c:axId val="536048800"/>
        <c:scaling>
          <c:orientation val="minMax"/>
        </c:scaling>
        <c:delete val="0"/>
        <c:axPos val="l"/>
        <c:majorGridlines>
          <c:spPr>
            <a:ln>
              <a:solidFill>
                <a:sysClr val="windowText" lastClr="000000">
                  <a:alpha val="10000"/>
                </a:sysClr>
              </a:solidFill>
            </a:ln>
          </c:spPr>
        </c:majorGridlines>
        <c:numFmt formatCode="0.0%" sourceLinked="1"/>
        <c:majorTickMark val="none"/>
        <c:minorTickMark val="none"/>
        <c:tickLblPos val="nextTo"/>
        <c:spPr>
          <a:noFill/>
          <a:ln w="9525">
            <a:noFill/>
          </a:ln>
        </c:spPr>
        <c:txPr>
          <a:bodyPr/>
          <a:lstStyle/>
          <a:p>
            <a:pPr>
              <a:defRPr sz="1000" b="1"/>
            </a:pPr>
            <a:endParaRPr lang="el-GR"/>
          </a:p>
        </c:txPr>
        <c:crossAx val="53604331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9.4352381949694294E-2"/>
          <c:y val="0.87830389949585363"/>
          <c:w val="0.81129523610061283"/>
          <c:h val="8.3890204384404865E-2"/>
        </c:manualLayout>
      </c:layout>
      <c:overlay val="0"/>
      <c:txPr>
        <a:bodyPr/>
        <a:lstStyle/>
        <a:p>
          <a:pPr>
            <a:defRPr sz="1000" b="1"/>
          </a:pPr>
          <a:endParaRPr lang="el-GR"/>
        </a:p>
      </c:txPr>
    </c:legend>
    <c:plotVisOnly val="1"/>
    <c:dispBlanksAs val="gap"/>
    <c:showDLblsOverMax val="0"/>
  </c:chart>
  <c:spPr>
    <a:solidFill>
      <a:srgbClr val="F8F8F8">
        <a:alpha val="98039"/>
      </a:srgbClr>
    </a:solidFill>
    <a:ln>
      <a:solidFill>
        <a:srgbClr val="5F5F5F">
          <a:alpha val="97255"/>
        </a:srgbClr>
      </a:solidFill>
    </a:ln>
    <a:effectLst>
      <a:innerShdw blurRad="114300">
        <a:prstClr val="black"/>
      </a:innerShdw>
    </a:effectLst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'2017a'!$E$28</c:f>
              <c:strCache>
                <c:ptCount val="1"/>
                <c:pt idx="0">
                  <c:v>2017Α΄</c:v>
                </c:pt>
              </c:strCache>
            </c:strRef>
          </c:tx>
          <c:spPr>
            <a:solidFill>
              <a:schemeClr val="tx2"/>
            </a:solidFill>
          </c:spPr>
          <c:invertIfNegative val="0"/>
          <c:cat>
            <c:strRef>
              <c:f>'2017a'!$B$29:$B$32</c:f>
              <c:strCache>
                <c:ptCount val="4"/>
                <c:pt idx="0">
                  <c:v>Micro Συνόλου</c:v>
                </c:pt>
                <c:pt idx="1">
                  <c:v>Micro Εμπορίου</c:v>
                </c:pt>
                <c:pt idx="2">
                  <c:v>Λοιπές Συνόλου</c:v>
                </c:pt>
                <c:pt idx="3">
                  <c:v>Λοιπές Εμπορίου</c:v>
                </c:pt>
              </c:strCache>
            </c:strRef>
          </c:cat>
          <c:val>
            <c:numRef>
              <c:f>'2017a'!$E$29:$E$32</c:f>
              <c:numCache>
                <c:formatCode>0.0%</c:formatCode>
                <c:ptCount val="4"/>
                <c:pt idx="0">
                  <c:v>0.86500000000000055</c:v>
                </c:pt>
                <c:pt idx="1">
                  <c:v>0.91</c:v>
                </c:pt>
                <c:pt idx="2">
                  <c:v>0.93400000000000005</c:v>
                </c:pt>
                <c:pt idx="3">
                  <c:v>0.84400000000000053</c:v>
                </c:pt>
              </c:numCache>
            </c:numRef>
          </c:val>
        </c:ser>
        <c:ser>
          <c:idx val="1"/>
          <c:order val="1"/>
          <c:tx>
            <c:strRef>
              <c:f>'2017a'!$F$28</c:f>
              <c:strCache>
                <c:ptCount val="1"/>
                <c:pt idx="0">
                  <c:v>2017Β'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cat>
            <c:strRef>
              <c:f>'2017a'!$B$29:$B$32</c:f>
              <c:strCache>
                <c:ptCount val="4"/>
                <c:pt idx="0">
                  <c:v>Micro Συνόλου</c:v>
                </c:pt>
                <c:pt idx="1">
                  <c:v>Micro Εμπορίου</c:v>
                </c:pt>
                <c:pt idx="2">
                  <c:v>Λοιπές Συνόλου</c:v>
                </c:pt>
                <c:pt idx="3">
                  <c:v>Λοιπές Εμπορίου</c:v>
                </c:pt>
              </c:strCache>
            </c:strRef>
          </c:cat>
          <c:val>
            <c:numRef>
              <c:f>'2017a'!$F$29:$F$32</c:f>
              <c:numCache>
                <c:formatCode>0.0%</c:formatCode>
                <c:ptCount val="4"/>
                <c:pt idx="0">
                  <c:v>0.87300000000000055</c:v>
                </c:pt>
                <c:pt idx="1">
                  <c:v>0.91500000000000004</c:v>
                </c:pt>
                <c:pt idx="2">
                  <c:v>0.93700000000000061</c:v>
                </c:pt>
                <c:pt idx="3">
                  <c:v>0.84800000000000053</c:v>
                </c:pt>
              </c:numCache>
            </c:numRef>
          </c:val>
        </c:ser>
        <c:ser>
          <c:idx val="2"/>
          <c:order val="2"/>
          <c:tx>
            <c:strRef>
              <c:f>'2017a'!$G$28</c:f>
              <c:strCache>
                <c:ptCount val="1"/>
                <c:pt idx="0">
                  <c:v>2017 Γ΄</c:v>
                </c:pt>
              </c:strCache>
            </c:strRef>
          </c:tx>
          <c:spPr>
            <a:solidFill>
              <a:schemeClr val="accent1">
                <a:lumMod val="40000"/>
                <a:lumOff val="60000"/>
              </a:schemeClr>
            </a:solidFill>
          </c:spPr>
          <c:invertIfNegative val="0"/>
          <c:cat>
            <c:strRef>
              <c:f>'2017a'!$B$29:$B$32</c:f>
              <c:strCache>
                <c:ptCount val="4"/>
                <c:pt idx="0">
                  <c:v>Micro Συνόλου</c:v>
                </c:pt>
                <c:pt idx="1">
                  <c:v>Micro Εμπορίου</c:v>
                </c:pt>
                <c:pt idx="2">
                  <c:v>Λοιπές Συνόλου</c:v>
                </c:pt>
                <c:pt idx="3">
                  <c:v>Λοιπές Εμπορίου</c:v>
                </c:pt>
              </c:strCache>
            </c:strRef>
          </c:cat>
          <c:val>
            <c:numRef>
              <c:f>'2017a'!$G$29:$G$32</c:f>
              <c:numCache>
                <c:formatCode>0.0%</c:formatCode>
                <c:ptCount val="4"/>
                <c:pt idx="0">
                  <c:v>0.87700000000000056</c:v>
                </c:pt>
                <c:pt idx="1">
                  <c:v>0.93</c:v>
                </c:pt>
                <c:pt idx="2">
                  <c:v>0.94199999999999995</c:v>
                </c:pt>
                <c:pt idx="3">
                  <c:v>0.85400000000000054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36041352"/>
        <c:axId val="536049192"/>
        <c:axId val="0"/>
      </c:bar3DChart>
      <c:catAx>
        <c:axId val="5360413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l-GR"/>
          </a:p>
        </c:txPr>
        <c:crossAx val="536049192"/>
        <c:crosses val="autoZero"/>
        <c:auto val="1"/>
        <c:lblAlgn val="ctr"/>
        <c:lblOffset val="100"/>
        <c:noMultiLvlLbl val="0"/>
      </c:catAx>
      <c:valAx>
        <c:axId val="536049192"/>
        <c:scaling>
          <c:orientation val="minMax"/>
          <c:min val="0.82000000000000062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l-GR"/>
          </a:p>
        </c:txPr>
        <c:crossAx val="5360413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ln>
      <a:solidFill>
        <a:srgbClr val="F8F8F8">
          <a:alpha val="97647"/>
        </a:srgbClr>
      </a:solidFill>
    </a:ln>
    <a:effectLst>
      <a:innerShdw blurRad="114300">
        <a:prstClr val="black"/>
      </a:innerShdw>
    </a:effectLst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Data!$A$28</c:f>
              <c:strCache>
                <c:ptCount val="1"/>
                <c:pt idx="0">
                  <c:v>Ευρωζώνη-19</c:v>
                </c:pt>
              </c:strCache>
            </c:strRef>
          </c:tx>
          <c:invertIfNegative val="0"/>
          <c:cat>
            <c:multiLvlStrRef>
              <c:f>Data!$C$26:$J$27</c:f>
              <c:multiLvlStrCache>
                <c:ptCount val="8"/>
                <c:lvl>
                  <c:pt idx="0">
                    <c:v>Δ΄</c:v>
                  </c:pt>
                  <c:pt idx="1">
                    <c:v>Α΄</c:v>
                  </c:pt>
                  <c:pt idx="2">
                    <c:v>Β΄</c:v>
                  </c:pt>
                  <c:pt idx="3">
                    <c:v>Γ΄</c:v>
                  </c:pt>
                  <c:pt idx="4">
                    <c:v>Δ΄</c:v>
                  </c:pt>
                  <c:pt idx="5">
                    <c:v>Α΄</c:v>
                  </c:pt>
                  <c:pt idx="6">
                    <c:v>Β΄</c:v>
                  </c:pt>
                  <c:pt idx="7">
                    <c:v>Γ΄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  <c:pt idx="5">
                    <c:v>2017</c:v>
                  </c:pt>
                </c:lvl>
              </c:multiLvlStrCache>
            </c:multiLvlStrRef>
          </c:cat>
          <c:val>
            <c:numRef>
              <c:f>Data!$C$28:$J$28</c:f>
              <c:numCache>
                <c:formatCode>General</c:formatCode>
                <c:ptCount val="8"/>
                <c:pt idx="0">
                  <c:v>99.774109726569378</c:v>
                </c:pt>
                <c:pt idx="1">
                  <c:v>98.964054410519893</c:v>
                </c:pt>
                <c:pt idx="2">
                  <c:v>99.965550502962657</c:v>
                </c:pt>
                <c:pt idx="3">
                  <c:v>100.99903541408295</c:v>
                </c:pt>
                <c:pt idx="4">
                  <c:v>101.05513888068656</c:v>
                </c:pt>
                <c:pt idx="5">
                  <c:v>100.39469280891356</c:v>
                </c:pt>
                <c:pt idx="6">
                  <c:v>100.12844741038205</c:v>
                </c:pt>
                <c:pt idx="7">
                  <c:v>101.35386523356756</c:v>
                </c:pt>
              </c:numCache>
            </c:numRef>
          </c:val>
        </c:ser>
        <c:ser>
          <c:idx val="1"/>
          <c:order val="1"/>
          <c:tx>
            <c:strRef>
              <c:f>Data!$A$29</c:f>
              <c:strCache>
                <c:ptCount val="1"/>
                <c:pt idx="0">
                  <c:v>Ιρλανδία</c:v>
                </c:pt>
              </c:strCache>
            </c:strRef>
          </c:tx>
          <c:invertIfNegative val="0"/>
          <c:cat>
            <c:multiLvlStrRef>
              <c:f>Data!$C$26:$J$27</c:f>
              <c:multiLvlStrCache>
                <c:ptCount val="8"/>
                <c:lvl>
                  <c:pt idx="0">
                    <c:v>Δ΄</c:v>
                  </c:pt>
                  <c:pt idx="1">
                    <c:v>Α΄</c:v>
                  </c:pt>
                  <c:pt idx="2">
                    <c:v>Β΄</c:v>
                  </c:pt>
                  <c:pt idx="3">
                    <c:v>Γ΄</c:v>
                  </c:pt>
                  <c:pt idx="4">
                    <c:v>Δ΄</c:v>
                  </c:pt>
                  <c:pt idx="5">
                    <c:v>Α΄</c:v>
                  </c:pt>
                  <c:pt idx="6">
                    <c:v>Β΄</c:v>
                  </c:pt>
                  <c:pt idx="7">
                    <c:v>Γ΄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  <c:pt idx="5">
                    <c:v>2017</c:v>
                  </c:pt>
                </c:lvl>
              </c:multiLvlStrCache>
            </c:multiLvlStrRef>
          </c:cat>
          <c:val>
            <c:numRef>
              <c:f>Data!$C$29:$J$29</c:f>
              <c:numCache>
                <c:formatCode>General</c:formatCode>
                <c:ptCount val="8"/>
                <c:pt idx="0">
                  <c:v>102.44728915662651</c:v>
                </c:pt>
                <c:pt idx="1">
                  <c:v>100.22590361445781</c:v>
                </c:pt>
                <c:pt idx="2">
                  <c:v>100.15060240963855</c:v>
                </c:pt>
                <c:pt idx="3">
                  <c:v>102.25903614457827</c:v>
                </c:pt>
                <c:pt idx="4">
                  <c:v>103.65210843373485</c:v>
                </c:pt>
                <c:pt idx="5">
                  <c:v>101.28012048192777</c:v>
                </c:pt>
                <c:pt idx="6">
                  <c:v>101.80722891566263</c:v>
                </c:pt>
                <c:pt idx="7">
                  <c:v>111.74698795180726</c:v>
                </c:pt>
              </c:numCache>
            </c:numRef>
          </c:val>
        </c:ser>
        <c:ser>
          <c:idx val="2"/>
          <c:order val="2"/>
          <c:tx>
            <c:strRef>
              <c:f>Data!$A$30</c:f>
              <c:strCache>
                <c:ptCount val="1"/>
                <c:pt idx="0">
                  <c:v>Ελλάδα</c:v>
                </c:pt>
              </c:strCache>
            </c:strRef>
          </c:tx>
          <c:invertIfNegative val="0"/>
          <c:cat>
            <c:multiLvlStrRef>
              <c:f>Data!$C$26:$J$27</c:f>
              <c:multiLvlStrCache>
                <c:ptCount val="8"/>
                <c:lvl>
                  <c:pt idx="0">
                    <c:v>Δ΄</c:v>
                  </c:pt>
                  <c:pt idx="1">
                    <c:v>Α΄</c:v>
                  </c:pt>
                  <c:pt idx="2">
                    <c:v>Β΄</c:v>
                  </c:pt>
                  <c:pt idx="3">
                    <c:v>Γ΄</c:v>
                  </c:pt>
                  <c:pt idx="4">
                    <c:v>Δ΄</c:v>
                  </c:pt>
                  <c:pt idx="5">
                    <c:v>Α΄</c:v>
                  </c:pt>
                  <c:pt idx="6">
                    <c:v>Β΄</c:v>
                  </c:pt>
                  <c:pt idx="7">
                    <c:v>Γ΄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  <c:pt idx="5">
                    <c:v>2017</c:v>
                  </c:pt>
                </c:lvl>
              </c:multiLvlStrCache>
            </c:multiLvlStrRef>
          </c:cat>
          <c:val>
            <c:numRef>
              <c:f>Data!$C$30:$J$30</c:f>
              <c:numCache>
                <c:formatCode>General</c:formatCode>
                <c:ptCount val="8"/>
                <c:pt idx="0">
                  <c:v>98.337327741162397</c:v>
                </c:pt>
                <c:pt idx="1">
                  <c:v>96.914319952067146</c:v>
                </c:pt>
                <c:pt idx="2">
                  <c:v>96.195326542839993</c:v>
                </c:pt>
                <c:pt idx="3">
                  <c:v>98.39724385859796</c:v>
                </c:pt>
                <c:pt idx="4">
                  <c:v>97.363690832833939</c:v>
                </c:pt>
                <c:pt idx="5">
                  <c:v>97.408627920910774</c:v>
                </c:pt>
                <c:pt idx="6">
                  <c:v>100.65907729179141</c:v>
                </c:pt>
                <c:pt idx="7">
                  <c:v>101.18334331935286</c:v>
                </c:pt>
              </c:numCache>
            </c:numRef>
          </c:val>
        </c:ser>
        <c:ser>
          <c:idx val="3"/>
          <c:order val="3"/>
          <c:tx>
            <c:strRef>
              <c:f>Data!$A$31</c:f>
              <c:strCache>
                <c:ptCount val="1"/>
                <c:pt idx="0">
                  <c:v>Ισπανία</c:v>
                </c:pt>
              </c:strCache>
            </c:strRef>
          </c:tx>
          <c:invertIfNegative val="0"/>
          <c:cat>
            <c:multiLvlStrRef>
              <c:f>Data!$C$26:$J$27</c:f>
              <c:multiLvlStrCache>
                <c:ptCount val="8"/>
                <c:lvl>
                  <c:pt idx="0">
                    <c:v>Δ΄</c:v>
                  </c:pt>
                  <c:pt idx="1">
                    <c:v>Α΄</c:v>
                  </c:pt>
                  <c:pt idx="2">
                    <c:v>Β΄</c:v>
                  </c:pt>
                  <c:pt idx="3">
                    <c:v>Γ΄</c:v>
                  </c:pt>
                  <c:pt idx="4">
                    <c:v>Δ΄</c:v>
                  </c:pt>
                  <c:pt idx="5">
                    <c:v>Α΄</c:v>
                  </c:pt>
                  <c:pt idx="6">
                    <c:v>Β΄</c:v>
                  </c:pt>
                  <c:pt idx="7">
                    <c:v>Γ΄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  <c:pt idx="5">
                    <c:v>2017</c:v>
                  </c:pt>
                </c:lvl>
              </c:multiLvlStrCache>
            </c:multiLvlStrRef>
          </c:cat>
          <c:val>
            <c:numRef>
              <c:f>Data!$C$31:$J$31</c:f>
              <c:numCache>
                <c:formatCode>General</c:formatCode>
                <c:ptCount val="8"/>
                <c:pt idx="0">
                  <c:v>99.270697801821498</c:v>
                </c:pt>
                <c:pt idx="1">
                  <c:v>98.370197904540149</c:v>
                </c:pt>
                <c:pt idx="2">
                  <c:v>99.476135040745064</c:v>
                </c:pt>
                <c:pt idx="3">
                  <c:v>102.29747312196126</c:v>
                </c:pt>
                <c:pt idx="4">
                  <c:v>101.98931726357598</c:v>
                </c:pt>
                <c:pt idx="5">
                  <c:v>100.62315962473465</c:v>
                </c:pt>
                <c:pt idx="6">
                  <c:v>101.16414435389984</c:v>
                </c:pt>
                <c:pt idx="7">
                  <c:v>102.31459289187153</c:v>
                </c:pt>
              </c:numCache>
            </c:numRef>
          </c:val>
        </c:ser>
        <c:ser>
          <c:idx val="4"/>
          <c:order val="4"/>
          <c:tx>
            <c:strRef>
              <c:f>Data!$A$32</c:f>
              <c:strCache>
                <c:ptCount val="1"/>
                <c:pt idx="0">
                  <c:v>Ιταλία</c:v>
                </c:pt>
              </c:strCache>
            </c:strRef>
          </c:tx>
          <c:invertIfNegative val="0"/>
          <c:cat>
            <c:multiLvlStrRef>
              <c:f>Data!$C$26:$J$27</c:f>
              <c:multiLvlStrCache>
                <c:ptCount val="8"/>
                <c:lvl>
                  <c:pt idx="0">
                    <c:v>Δ΄</c:v>
                  </c:pt>
                  <c:pt idx="1">
                    <c:v>Α΄</c:v>
                  </c:pt>
                  <c:pt idx="2">
                    <c:v>Β΄</c:v>
                  </c:pt>
                  <c:pt idx="3">
                    <c:v>Γ΄</c:v>
                  </c:pt>
                  <c:pt idx="4">
                    <c:v>Δ΄</c:v>
                  </c:pt>
                  <c:pt idx="5">
                    <c:v>Α΄</c:v>
                  </c:pt>
                  <c:pt idx="6">
                    <c:v>Β΄</c:v>
                  </c:pt>
                  <c:pt idx="7">
                    <c:v>Γ΄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  <c:pt idx="5">
                    <c:v>2017</c:v>
                  </c:pt>
                </c:lvl>
              </c:multiLvlStrCache>
            </c:multiLvlStrRef>
          </c:cat>
          <c:val>
            <c:numRef>
              <c:f>Data!$C$32:$J$32</c:f>
              <c:numCache>
                <c:formatCode>#,##0.0</c:formatCode>
                <c:ptCount val="8"/>
                <c:pt idx="0">
                  <c:v>97.193612397240855</c:v>
                </c:pt>
                <c:pt idx="1">
                  <c:v>95.480172603861519</c:v>
                </c:pt>
                <c:pt idx="2">
                  <c:v>98.195218747047136</c:v>
                </c:pt>
                <c:pt idx="3">
                  <c:v>100.23307820718759</c:v>
                </c:pt>
                <c:pt idx="4">
                  <c:v>100.86931871869972</c:v>
                </c:pt>
                <c:pt idx="5">
                  <c:v>99.445651831553718</c:v>
                </c:pt>
                <c:pt idx="6">
                  <c:v>101.41106806513598</c:v>
                </c:pt>
                <c:pt idx="7">
                  <c:v>101.15594191943046</c:v>
                </c:pt>
              </c:numCache>
            </c:numRef>
          </c:val>
        </c:ser>
        <c:ser>
          <c:idx val="5"/>
          <c:order val="5"/>
          <c:tx>
            <c:strRef>
              <c:f>Data!$A$33</c:f>
              <c:strCache>
                <c:ptCount val="1"/>
                <c:pt idx="0">
                  <c:v>Κύπρος</c:v>
                </c:pt>
              </c:strCache>
            </c:strRef>
          </c:tx>
          <c:invertIfNegative val="0"/>
          <c:cat>
            <c:multiLvlStrRef>
              <c:f>Data!$C$26:$J$27</c:f>
              <c:multiLvlStrCache>
                <c:ptCount val="8"/>
                <c:lvl>
                  <c:pt idx="0">
                    <c:v>Δ΄</c:v>
                  </c:pt>
                  <c:pt idx="1">
                    <c:v>Α΄</c:v>
                  </c:pt>
                  <c:pt idx="2">
                    <c:v>Β΄</c:v>
                  </c:pt>
                  <c:pt idx="3">
                    <c:v>Γ΄</c:v>
                  </c:pt>
                  <c:pt idx="4">
                    <c:v>Δ΄</c:v>
                  </c:pt>
                  <c:pt idx="5">
                    <c:v>Α΄</c:v>
                  </c:pt>
                  <c:pt idx="6">
                    <c:v>Β΄</c:v>
                  </c:pt>
                  <c:pt idx="7">
                    <c:v>Γ΄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  <c:pt idx="5">
                    <c:v>2017</c:v>
                  </c:pt>
                </c:lvl>
              </c:multiLvlStrCache>
            </c:multiLvlStrRef>
          </c:cat>
          <c:val>
            <c:numRef>
              <c:f>Data!$C$33:$J$33</c:f>
              <c:numCache>
                <c:formatCode>General</c:formatCode>
                <c:ptCount val="8"/>
                <c:pt idx="0">
                  <c:v>99.692307692307679</c:v>
                </c:pt>
                <c:pt idx="1">
                  <c:v>96.76923076923083</c:v>
                </c:pt>
                <c:pt idx="2">
                  <c:v>98.153846153846075</c:v>
                </c:pt>
                <c:pt idx="3">
                  <c:v>95.076923076923052</c:v>
                </c:pt>
                <c:pt idx="4">
                  <c:v>98.307692307692278</c:v>
                </c:pt>
                <c:pt idx="5">
                  <c:v>98.923076923076877</c:v>
                </c:pt>
                <c:pt idx="6">
                  <c:v>104.46153846153851</c:v>
                </c:pt>
                <c:pt idx="7">
                  <c:v>103.69230769230771</c:v>
                </c:pt>
              </c:numCache>
            </c:numRef>
          </c:val>
        </c:ser>
        <c:ser>
          <c:idx val="6"/>
          <c:order val="6"/>
          <c:tx>
            <c:strRef>
              <c:f>Data!$A$34</c:f>
              <c:strCache>
                <c:ptCount val="1"/>
                <c:pt idx="0">
                  <c:v>Πορτογαλία</c:v>
                </c:pt>
              </c:strCache>
            </c:strRef>
          </c:tx>
          <c:invertIfNegative val="0"/>
          <c:cat>
            <c:multiLvlStrRef>
              <c:f>Data!$C$26:$J$27</c:f>
              <c:multiLvlStrCache>
                <c:ptCount val="8"/>
                <c:lvl>
                  <c:pt idx="0">
                    <c:v>Δ΄</c:v>
                  </c:pt>
                  <c:pt idx="1">
                    <c:v>Α΄</c:v>
                  </c:pt>
                  <c:pt idx="2">
                    <c:v>Β΄</c:v>
                  </c:pt>
                  <c:pt idx="3">
                    <c:v>Γ΄</c:v>
                  </c:pt>
                  <c:pt idx="4">
                    <c:v>Δ΄</c:v>
                  </c:pt>
                  <c:pt idx="5">
                    <c:v>Α΄</c:v>
                  </c:pt>
                  <c:pt idx="6">
                    <c:v>Β΄</c:v>
                  </c:pt>
                  <c:pt idx="7">
                    <c:v>Γ΄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  <c:pt idx="5">
                    <c:v>2017</c:v>
                  </c:pt>
                </c:lvl>
              </c:multiLvlStrCache>
            </c:multiLvlStrRef>
          </c:cat>
          <c:val>
            <c:numRef>
              <c:f>Data!$C$34:$J$34</c:f>
              <c:numCache>
                <c:formatCode>General</c:formatCode>
                <c:ptCount val="8"/>
                <c:pt idx="0">
                  <c:v>102.08581644815256</c:v>
                </c:pt>
                <c:pt idx="1">
                  <c:v>103.35220500595948</c:v>
                </c:pt>
                <c:pt idx="2">
                  <c:v>99.389153754469589</c:v>
                </c:pt>
                <c:pt idx="3">
                  <c:v>99.150774731823518</c:v>
                </c:pt>
                <c:pt idx="4">
                  <c:v>97.184147794994018</c:v>
                </c:pt>
                <c:pt idx="5">
                  <c:v>102.36889153754461</c:v>
                </c:pt>
                <c:pt idx="6">
                  <c:v>98.867699642431461</c:v>
                </c:pt>
                <c:pt idx="7">
                  <c:v>101.62395709177591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36046448"/>
        <c:axId val="536045272"/>
        <c:axId val="0"/>
      </c:bar3DChart>
      <c:catAx>
        <c:axId val="5360464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36045272"/>
        <c:crosses val="autoZero"/>
        <c:auto val="1"/>
        <c:lblAlgn val="ctr"/>
        <c:lblOffset val="100"/>
        <c:noMultiLvlLbl val="0"/>
      </c:catAx>
      <c:valAx>
        <c:axId val="536045272"/>
        <c:scaling>
          <c:orientation val="minMax"/>
          <c:min val="94"/>
        </c:scaling>
        <c:delete val="0"/>
        <c:axPos val="l"/>
        <c:majorGridlines>
          <c:spPr>
            <a:ln>
              <a:solidFill>
                <a:schemeClr val="tx1"/>
              </a:solidFill>
            </a:ln>
          </c:spPr>
        </c:majorGridlines>
        <c:numFmt formatCode="General" sourceLinked="1"/>
        <c:majorTickMark val="out"/>
        <c:minorTickMark val="none"/>
        <c:tickLblPos val="nextTo"/>
        <c:crossAx val="5360464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solidFill>
        <a:schemeClr val="tx1">
          <a:alpha val="98000"/>
        </a:schemeClr>
      </a:solidFill>
    </a:ln>
    <a:effectLst>
      <a:innerShdw blurRad="114300">
        <a:srgbClr val="F8F8F8">
          <a:alpha val="98039"/>
        </a:srgbClr>
      </a:innerShdw>
    </a:effectLst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4035838954430892E-2"/>
          <c:y val="3.8729705647425151E-2"/>
          <c:w val="0.88110540840688611"/>
          <c:h val="0.5832981749503105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ΑΕΠ_ΕποχΔ_CLV10!$CA$90</c:f>
              <c:strCache>
                <c:ptCount val="1"/>
                <c:pt idx="0">
                  <c:v>Ισοζύγιο Τρεχουσών συναλλαγών (ποσά σε δις €) </c:v>
                </c:pt>
              </c:strCache>
            </c:strRef>
          </c:tx>
          <c:spPr>
            <a:solidFill>
              <a:schemeClr val="bg2">
                <a:lumMod val="90000"/>
              </a:schemeClr>
            </a:solidFill>
          </c:spPr>
          <c:invertIfNegative val="0"/>
          <c:dLbls>
            <c:dLbl>
              <c:idx val="2"/>
              <c:layout>
                <c:manualLayout>
                  <c:x val="2.2581860578170447E-3"/>
                  <c:y val="-1.7426661199909325E-2"/>
                </c:manualLayout>
              </c:layout>
              <c:spPr/>
              <c:txPr>
                <a:bodyPr/>
                <a:lstStyle/>
                <a:p>
                  <a:pPr>
                    <a:defRPr sz="95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1.3559675508754747E-2"/>
                  <c:y val="9.767410815817340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4.0647349040706555E-2"/>
                  <c:y val="3.4853047964209301E-2"/>
                </c:manualLayout>
              </c:layout>
              <c:spPr/>
              <c:txPr>
                <a:bodyPr/>
                <a:lstStyle/>
                <a:p>
                  <a:pPr>
                    <a:defRPr sz="95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4.5198329260130714E-3"/>
                  <c:y val="7.840365404894730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spPr/>
              <c:txPr>
                <a:bodyPr/>
                <a:lstStyle/>
                <a:p>
                  <a:pPr>
                    <a:defRPr sz="95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50" b="1">
                    <a:solidFill>
                      <a:srgbClr val="FF0000"/>
                    </a:solidFill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ΑΕΠ_ΕποχΔ_CLV10!$BY$97:$BZ$107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ΑΕΠ_ΕποχΔ_CLV10!$CA$97:$CA$107</c:f>
              <c:numCache>
                <c:formatCode>0.00</c:formatCode>
                <c:ptCount val="11"/>
                <c:pt idx="0">
                  <c:v>-3.3</c:v>
                </c:pt>
                <c:pt idx="1">
                  <c:v>-0.75000000000000089</c:v>
                </c:pt>
                <c:pt idx="2">
                  <c:v>5.48</c:v>
                </c:pt>
                <c:pt idx="3">
                  <c:v>-1.84</c:v>
                </c:pt>
                <c:pt idx="4">
                  <c:v>-2.56</c:v>
                </c:pt>
                <c:pt idx="5">
                  <c:v>-0.61000000000000065</c:v>
                </c:pt>
                <c:pt idx="6">
                  <c:v>3.82</c:v>
                </c:pt>
                <c:pt idx="7">
                  <c:v>-2.5299999999999998</c:v>
                </c:pt>
                <c:pt idx="8">
                  <c:v>-2.7800000000000002</c:v>
                </c:pt>
                <c:pt idx="9">
                  <c:v>-0.43000000000000038</c:v>
                </c:pt>
                <c:pt idx="10">
                  <c:v>4.58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36049976"/>
        <c:axId val="536050368"/>
      </c:barChart>
      <c:lineChart>
        <c:grouping val="standard"/>
        <c:varyColors val="0"/>
        <c:ser>
          <c:idx val="1"/>
          <c:order val="1"/>
          <c:tx>
            <c:strRef>
              <c:f>ΑΕΠ_ΕποχΔ_CLV10!$CB$90</c:f>
              <c:strCache>
                <c:ptCount val="1"/>
                <c:pt idx="0">
                  <c:v>Τριμηνιαίες μεταβολές (σε δις €)</c:v>
                </c:pt>
              </c:strCache>
            </c:strRef>
          </c:tx>
          <c:spPr>
            <a:ln w="31750">
              <a:solidFill>
                <a:schemeClr val="tx2">
                  <a:lumMod val="60000"/>
                  <a:lumOff val="40000"/>
                </a:schemeClr>
              </a:solidFill>
            </a:ln>
          </c:spPr>
          <c:marker>
            <c:symbol val="none"/>
          </c:marker>
          <c:val>
            <c:numRef>
              <c:f>ΑΕΠ_ΕποχΔ_CLV10!$CB$97:$CB$107</c:f>
              <c:numCache>
                <c:formatCode>0.00</c:formatCode>
                <c:ptCount val="11"/>
                <c:pt idx="0">
                  <c:v>0.31000000000000044</c:v>
                </c:pt>
                <c:pt idx="1">
                  <c:v>2.5499999999999998</c:v>
                </c:pt>
                <c:pt idx="2">
                  <c:v>6.23</c:v>
                </c:pt>
                <c:pt idx="3">
                  <c:v>-7.3199999999999985</c:v>
                </c:pt>
                <c:pt idx="4">
                  <c:v>-0.72000000000000064</c:v>
                </c:pt>
                <c:pt idx="5">
                  <c:v>1.9500000000000017</c:v>
                </c:pt>
                <c:pt idx="6">
                  <c:v>4.4300000000000024</c:v>
                </c:pt>
                <c:pt idx="7">
                  <c:v>-6.35</c:v>
                </c:pt>
                <c:pt idx="8">
                  <c:v>-0.25</c:v>
                </c:pt>
                <c:pt idx="9">
                  <c:v>2.3499999999999988</c:v>
                </c:pt>
                <c:pt idx="10">
                  <c:v>5.01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ΑΕΠ_ΕποχΔ_CLV10!$CC$90</c:f>
              <c:strCache>
                <c:ptCount val="1"/>
                <c:pt idx="0">
                  <c:v>Ετήσιες μεταβολές (σε δις €)</c:v>
                </c:pt>
              </c:strCache>
            </c:strRef>
          </c:tx>
          <c:spPr>
            <a:ln w="22225">
              <a:solidFill>
                <a:schemeClr val="accent6">
                  <a:lumMod val="75000"/>
                </a:schemeClr>
              </a:solidFill>
              <a:prstDash val="sysDot"/>
            </a:ln>
          </c:spPr>
          <c:marker>
            <c:symbol val="circle"/>
            <c:size val="4"/>
            <c:spPr>
              <a:solidFill>
                <a:schemeClr val="tx1"/>
              </a:solidFill>
              <a:ln>
                <a:solidFill>
                  <a:srgbClr val="F79646">
                    <a:lumMod val="75000"/>
                  </a:srgbClr>
                </a:solidFill>
              </a:ln>
            </c:spPr>
          </c:marker>
          <c:val>
            <c:numRef>
              <c:f>ΑΕΠ_ΕποχΔ_CLV10!$CC$97:$CC$107</c:f>
              <c:numCache>
                <c:formatCode>0.00</c:formatCode>
                <c:ptCount val="11"/>
                <c:pt idx="0">
                  <c:v>-1.5199999999999976</c:v>
                </c:pt>
                <c:pt idx="1">
                  <c:v>0.7600000000000009</c:v>
                </c:pt>
                <c:pt idx="2">
                  <c:v>1.5000000000000004</c:v>
                </c:pt>
                <c:pt idx="3">
                  <c:v>1.7699999999999976</c:v>
                </c:pt>
                <c:pt idx="4">
                  <c:v>0.74000000000000055</c:v>
                </c:pt>
                <c:pt idx="5">
                  <c:v>0.14000000000000001</c:v>
                </c:pt>
                <c:pt idx="6">
                  <c:v>-1.6600000000000021</c:v>
                </c:pt>
                <c:pt idx="7">
                  <c:v>-0.68999999999999972</c:v>
                </c:pt>
                <c:pt idx="8">
                  <c:v>-0.22000000000000003</c:v>
                </c:pt>
                <c:pt idx="9">
                  <c:v>0.18000000000000019</c:v>
                </c:pt>
                <c:pt idx="10">
                  <c:v>0.76000000000000112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6049976"/>
        <c:axId val="536050368"/>
      </c:lineChart>
      <c:catAx>
        <c:axId val="536049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crossAx val="536050368"/>
        <c:crosses val="autoZero"/>
        <c:auto val="1"/>
        <c:lblAlgn val="ctr"/>
        <c:lblOffset val="100"/>
        <c:noMultiLvlLbl val="0"/>
      </c:catAx>
      <c:valAx>
        <c:axId val="536050368"/>
        <c:scaling>
          <c:orientation val="minMax"/>
        </c:scaling>
        <c:delete val="0"/>
        <c:axPos val="l"/>
        <c:majorGridlines>
          <c:spPr>
            <a:ln>
              <a:solidFill>
                <a:sysClr val="windowText" lastClr="000000">
                  <a:alpha val="10000"/>
                </a:sys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crossAx val="536049976"/>
        <c:crosses val="autoZero"/>
        <c:crossBetween val="between"/>
      </c:valAx>
      <c:spPr>
        <a:ln>
          <a:solidFill>
            <a:sysClr val="windowText" lastClr="000000"/>
          </a:solidFill>
        </a:ln>
      </c:spPr>
    </c:plotArea>
    <c:legend>
      <c:legendPos val="b"/>
      <c:overlay val="0"/>
    </c:legend>
    <c:plotVisOnly val="1"/>
    <c:dispBlanksAs val="gap"/>
    <c:showDLblsOverMax val="0"/>
  </c:chart>
  <c:spPr>
    <a:solidFill>
      <a:sysClr val="window" lastClr="FFFFFF">
        <a:alpha val="98000"/>
      </a:sysClr>
    </a:solidFill>
    <a:effectLst>
      <a:innerShdw blurRad="114300">
        <a:prstClr val="black"/>
      </a:innerShdw>
    </a:effectLst>
  </c:sp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0131648965201067E-2"/>
          <c:y val="3.700837952316046E-2"/>
          <c:w val="0.8860416416517487"/>
          <c:h val="0.550365899597087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ΑΕΠ_ΕποχΔ_CLV10!$CA$65</c:f>
              <c:strCache>
                <c:ptCount val="1"/>
                <c:pt idx="0">
                  <c:v>Εξαγωγές &amp; Εισπράξεις (ποσά σε δις €)</c:v>
                </c:pt>
              </c:strCache>
            </c:strRef>
          </c:tx>
          <c:invertIfNegative val="0"/>
          <c:cat>
            <c:multiLvlStrRef>
              <c:f>ΑΕΠ_ΕποχΔ_CLV10!$BY$68:$BZ$78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ΑΕΠ_ΕποχΔ_CLV10!$CA$68:$CA$78</c:f>
              <c:numCache>
                <c:formatCode>0.00</c:formatCode>
                <c:ptCount val="11"/>
                <c:pt idx="0">
                  <c:v>10.78</c:v>
                </c:pt>
                <c:pt idx="1">
                  <c:v>14.58</c:v>
                </c:pt>
                <c:pt idx="2">
                  <c:v>16.93</c:v>
                </c:pt>
                <c:pt idx="3">
                  <c:v>10.41</c:v>
                </c:pt>
                <c:pt idx="4">
                  <c:v>8.5500000000000007</c:v>
                </c:pt>
                <c:pt idx="5">
                  <c:v>12.139999999999999</c:v>
                </c:pt>
                <c:pt idx="6">
                  <c:v>17.459999999999987</c:v>
                </c:pt>
                <c:pt idx="7">
                  <c:v>11.350000000000012</c:v>
                </c:pt>
                <c:pt idx="8">
                  <c:v>10.3</c:v>
                </c:pt>
                <c:pt idx="9">
                  <c:v>13.98</c:v>
                </c:pt>
                <c:pt idx="10">
                  <c:v>19.239999999999988</c:v>
                </c:pt>
              </c:numCache>
            </c:numRef>
          </c:val>
        </c:ser>
        <c:ser>
          <c:idx val="1"/>
          <c:order val="1"/>
          <c:tx>
            <c:strRef>
              <c:f>ΑΕΠ_ΕποχΔ_CLV10!$CB$65</c:f>
              <c:strCache>
                <c:ptCount val="1"/>
                <c:pt idx="0">
                  <c:v>Εισαγωγές &amp; Πληρωμές (ποσά σε δις €)</c:v>
                </c:pt>
              </c:strCache>
            </c:strRef>
          </c:tx>
          <c:spPr>
            <a:solidFill>
              <a:schemeClr val="accent1">
                <a:lumMod val="40000"/>
                <a:lumOff val="60000"/>
              </a:schemeClr>
            </a:solidFill>
          </c:spPr>
          <c:invertIfNegative val="0"/>
          <c:cat>
            <c:multiLvlStrRef>
              <c:f>ΑΕΠ_ΕποχΔ_CLV10!$BY$68:$BZ$78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ΑΕΠ_ΕποχΔ_CLV10!$CB$68:$CB$78</c:f>
              <c:numCache>
                <c:formatCode>0.00</c:formatCode>
                <c:ptCount val="11"/>
                <c:pt idx="0">
                  <c:v>14.47</c:v>
                </c:pt>
                <c:pt idx="1">
                  <c:v>14.42</c:v>
                </c:pt>
                <c:pt idx="2">
                  <c:v>11.129999999999999</c:v>
                </c:pt>
                <c:pt idx="3">
                  <c:v>12.99</c:v>
                </c:pt>
                <c:pt idx="4">
                  <c:v>11.950000000000006</c:v>
                </c:pt>
                <c:pt idx="5">
                  <c:v>12.53</c:v>
                </c:pt>
                <c:pt idx="6">
                  <c:v>12.639999999999999</c:v>
                </c:pt>
                <c:pt idx="7">
                  <c:v>13.65</c:v>
                </c:pt>
                <c:pt idx="8">
                  <c:v>14.350000000000012</c:v>
                </c:pt>
                <c:pt idx="9">
                  <c:v>13.9</c:v>
                </c:pt>
                <c:pt idx="10">
                  <c:v>13.89</c:v>
                </c:pt>
              </c:numCache>
            </c:numRef>
          </c:val>
        </c:ser>
        <c:ser>
          <c:idx val="2"/>
          <c:order val="2"/>
          <c:tx>
            <c:strRef>
              <c:f>ΑΕΠ_ΕποχΔ_CLV10!$CC$65</c:f>
              <c:strCache>
                <c:ptCount val="1"/>
                <c:pt idx="0">
                  <c:v>Ισοζύγιο (σε δις €)</c:v>
                </c:pt>
              </c:strCache>
            </c:strRef>
          </c:tx>
          <c:spPr>
            <a:solidFill>
              <a:schemeClr val="bg2">
                <a:lumMod val="75000"/>
                <a:alpha val="76000"/>
              </a:schemeClr>
            </a:solidFill>
          </c:spPr>
          <c:invertIfNegative val="0"/>
          <c:dLbls>
            <c:dLbl>
              <c:idx val="1"/>
              <c:spPr/>
              <c:txPr>
                <a:bodyPr/>
                <a:lstStyle/>
                <a:p>
                  <a:pPr>
                    <a:defRPr sz="95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pPr/>
              <c:txPr>
                <a:bodyPr/>
                <a:lstStyle/>
                <a:p>
                  <a:pPr>
                    <a:defRPr sz="95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1857706771796199E-2"/>
                  <c:y val="-2.9999997047244431E-2"/>
                </c:manualLayout>
              </c:layout>
              <c:spPr/>
              <c:txPr>
                <a:bodyPr/>
                <a:lstStyle/>
                <a:p>
                  <a:pPr>
                    <a:defRPr sz="95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spPr/>
              <c:txPr>
                <a:bodyPr/>
                <a:lstStyle/>
                <a:p>
                  <a:pPr>
                    <a:defRPr sz="95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6.4958502428612563E-3"/>
                  <c:y val="0"/>
                </c:manualLayout>
              </c:layout>
              <c:spPr/>
              <c:txPr>
                <a:bodyPr/>
                <a:lstStyle/>
                <a:p>
                  <a:pPr>
                    <a:defRPr sz="950" b="1">
                      <a:solidFill>
                        <a:sysClr val="windowText" lastClr="000000"/>
                      </a:solidFill>
                    </a:defRPr>
                  </a:pPr>
                  <a:endParaRPr lang="el-GR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50" b="1">
                    <a:solidFill>
                      <a:srgbClr val="FF0000"/>
                    </a:solidFill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ΑΕΠ_ΕποχΔ_CLV10!$BY$68:$BZ$78</c:f>
              <c:multiLvlStrCache>
                <c:ptCount val="11"/>
                <c:lvl>
                  <c:pt idx="0">
                    <c:v>Α΄</c:v>
                  </c:pt>
                  <c:pt idx="1">
                    <c:v>Β΄</c:v>
                  </c:pt>
                  <c:pt idx="2">
                    <c:v>Γ΄</c:v>
                  </c:pt>
                  <c:pt idx="3">
                    <c:v>Δ΄</c:v>
                  </c:pt>
                  <c:pt idx="4">
                    <c:v>Α΄</c:v>
                  </c:pt>
                  <c:pt idx="5">
                    <c:v>Β΄</c:v>
                  </c:pt>
                  <c:pt idx="6">
                    <c:v>Γ΄</c:v>
                  </c:pt>
                  <c:pt idx="7">
                    <c:v>Δ΄</c:v>
                  </c:pt>
                  <c:pt idx="8">
                    <c:v>Α΄</c:v>
                  </c:pt>
                  <c:pt idx="9">
                    <c:v>Β΄</c:v>
                  </c:pt>
                  <c:pt idx="10">
                    <c:v>Γ΄</c:v>
                  </c:pt>
                </c:lvl>
                <c:lvl>
                  <c:pt idx="0">
                    <c:v>2015</c:v>
                  </c:pt>
                  <c:pt idx="4">
                    <c:v>2016</c:v>
                  </c:pt>
                  <c:pt idx="8">
                    <c:v>2017</c:v>
                  </c:pt>
                </c:lvl>
              </c:multiLvlStrCache>
            </c:multiLvlStrRef>
          </c:cat>
          <c:val>
            <c:numRef>
              <c:f>ΑΕΠ_ΕποχΔ_CLV10!$CC$68:$CC$78</c:f>
              <c:numCache>
                <c:formatCode>0.00</c:formatCode>
                <c:ptCount val="11"/>
                <c:pt idx="0">
                  <c:v>-3.6900000000000013</c:v>
                </c:pt>
                <c:pt idx="1">
                  <c:v>0.16000000000000014</c:v>
                </c:pt>
                <c:pt idx="2">
                  <c:v>5.7999999999999989</c:v>
                </c:pt>
                <c:pt idx="3">
                  <c:v>-2.58</c:v>
                </c:pt>
                <c:pt idx="4">
                  <c:v>-3.3999999999999977</c:v>
                </c:pt>
                <c:pt idx="5">
                  <c:v>-0.38999999999999968</c:v>
                </c:pt>
                <c:pt idx="6">
                  <c:v>4.8199999999999985</c:v>
                </c:pt>
                <c:pt idx="7">
                  <c:v>-2.3000000000000007</c:v>
                </c:pt>
                <c:pt idx="8">
                  <c:v>-4.0499999999999989</c:v>
                </c:pt>
                <c:pt idx="9">
                  <c:v>8.0000000000000127E-2</c:v>
                </c:pt>
                <c:pt idx="10">
                  <c:v>5.3499999999999979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36051152"/>
        <c:axId val="536051544"/>
      </c:barChart>
      <c:catAx>
        <c:axId val="536051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crossAx val="536051544"/>
        <c:crosses val="autoZero"/>
        <c:auto val="1"/>
        <c:lblAlgn val="ctr"/>
        <c:lblOffset val="100"/>
        <c:noMultiLvlLbl val="0"/>
      </c:catAx>
      <c:valAx>
        <c:axId val="536051544"/>
        <c:scaling>
          <c:orientation val="minMax"/>
        </c:scaling>
        <c:delete val="0"/>
        <c:axPos val="l"/>
        <c:majorGridlines>
          <c:spPr>
            <a:ln>
              <a:solidFill>
                <a:sysClr val="windowText" lastClr="000000">
                  <a:alpha val="13000"/>
                </a:sys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crossAx val="53605115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3255705485646496"/>
          <c:y val="0.76963640155911328"/>
          <c:w val="0.70119635209264952"/>
          <c:h val="0.15529817087719985"/>
        </c:manualLayout>
      </c:layout>
      <c:overlay val="0"/>
    </c:legend>
    <c:plotVisOnly val="1"/>
    <c:dispBlanksAs val="gap"/>
    <c:showDLblsOverMax val="0"/>
  </c:chart>
  <c:spPr>
    <a:solidFill>
      <a:sysClr val="window" lastClr="FFFFFF">
        <a:alpha val="98000"/>
      </a:sysClr>
    </a:solidFill>
    <a:effectLst>
      <a:innerShdw blurRad="114300">
        <a:prstClr val="black"/>
      </a:innerShdw>
    </a:effectLst>
  </c:spPr>
  <c:externalData r:id="rId1">
    <c:autoUpdate val="0"/>
  </c:externalData>
</c:chartSpace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0967E5-8BBD-44CC-B3DC-95AD7FCBF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3543</Words>
  <Characters>19138</Characters>
  <Application>Microsoft Office Word</Application>
  <DocSecurity>0</DocSecurity>
  <Lines>159</Lines>
  <Paragraphs>45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carachovas</dc:creator>
  <cp:lastModifiedBy>Maira Fondrie</cp:lastModifiedBy>
  <cp:revision>3</cp:revision>
  <cp:lastPrinted>2018-02-02T17:06:00Z</cp:lastPrinted>
  <dcterms:created xsi:type="dcterms:W3CDTF">2018-02-05T07:40:00Z</dcterms:created>
  <dcterms:modified xsi:type="dcterms:W3CDTF">2018-02-05T07:40:00Z</dcterms:modified>
</cp:coreProperties>
</file>