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9.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0.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1.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2.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548C36" w14:textId="705B8657" w:rsidR="00C361B8" w:rsidRPr="008C42AA" w:rsidRDefault="00D57AB7" w:rsidP="00721A01">
      <w:pPr>
        <w:spacing w:line="240" w:lineRule="atLeast"/>
        <w:jc w:val="right"/>
        <w:rPr>
          <w:rFonts w:asciiTheme="minorHAnsi" w:hAnsiTheme="minorHAnsi" w:cstheme="minorHAnsi"/>
          <w:b/>
          <w:sz w:val="24"/>
          <w:lang w:val="el-GR"/>
        </w:rPr>
      </w:pPr>
      <w:r>
        <w:rPr>
          <w:rFonts w:asciiTheme="minorHAnsi" w:hAnsiTheme="minorHAnsi" w:cstheme="minorHAnsi"/>
          <w:b/>
          <w:sz w:val="24"/>
          <w:lang w:val="el-GR"/>
        </w:rPr>
        <w:t>2</w:t>
      </w:r>
      <w:r w:rsidR="00922FE2" w:rsidRPr="004F79A8">
        <w:rPr>
          <w:rFonts w:asciiTheme="minorHAnsi" w:hAnsiTheme="minorHAnsi" w:cstheme="minorHAnsi"/>
          <w:b/>
          <w:sz w:val="24"/>
          <w:lang w:val="el-GR"/>
        </w:rPr>
        <w:t>7</w:t>
      </w:r>
      <w:r>
        <w:rPr>
          <w:rFonts w:asciiTheme="minorHAnsi" w:hAnsiTheme="minorHAnsi" w:cstheme="minorHAnsi"/>
          <w:b/>
          <w:sz w:val="24"/>
          <w:lang w:val="el-GR"/>
        </w:rPr>
        <w:t xml:space="preserve"> </w:t>
      </w:r>
      <w:r w:rsidR="00922FE2">
        <w:rPr>
          <w:rFonts w:asciiTheme="minorHAnsi" w:hAnsiTheme="minorHAnsi" w:cstheme="minorHAnsi"/>
          <w:b/>
          <w:sz w:val="24"/>
          <w:lang w:val="el-GR"/>
        </w:rPr>
        <w:t xml:space="preserve">Ιανουαρίου </w:t>
      </w:r>
      <w:r w:rsidR="004909DC" w:rsidRPr="008C42AA">
        <w:rPr>
          <w:rFonts w:asciiTheme="minorHAnsi" w:hAnsiTheme="minorHAnsi" w:cstheme="minorHAnsi"/>
          <w:b/>
          <w:sz w:val="24"/>
          <w:lang w:val="el-GR"/>
        </w:rPr>
        <w:t>202</w:t>
      </w:r>
      <w:r w:rsidR="00922FE2">
        <w:rPr>
          <w:rFonts w:asciiTheme="minorHAnsi" w:hAnsiTheme="minorHAnsi" w:cstheme="minorHAnsi"/>
          <w:b/>
          <w:sz w:val="24"/>
          <w:lang w:val="el-GR"/>
        </w:rPr>
        <w:t>1</w:t>
      </w:r>
    </w:p>
    <w:p w14:paraId="7C93C5A9" w14:textId="77777777" w:rsidR="00093DF3" w:rsidRPr="008C42AA" w:rsidRDefault="00093DF3" w:rsidP="00721A01">
      <w:pPr>
        <w:spacing w:line="240" w:lineRule="atLeast"/>
        <w:jc w:val="center"/>
        <w:rPr>
          <w:rFonts w:asciiTheme="minorHAnsi" w:hAnsiTheme="minorHAnsi" w:cstheme="minorHAnsi"/>
          <w:b/>
          <w:sz w:val="24"/>
          <w:lang w:val="el-GR"/>
        </w:rPr>
      </w:pPr>
    </w:p>
    <w:p w14:paraId="4C12E0A0" w14:textId="77777777" w:rsidR="00C361B8" w:rsidRPr="008C42AA" w:rsidRDefault="00C361B8" w:rsidP="00721A01">
      <w:pPr>
        <w:spacing w:line="240" w:lineRule="atLeast"/>
        <w:jc w:val="center"/>
        <w:rPr>
          <w:rFonts w:asciiTheme="minorHAnsi" w:hAnsiTheme="minorHAnsi" w:cstheme="minorHAnsi"/>
          <w:b/>
          <w:sz w:val="24"/>
          <w:lang w:val="el-GR"/>
        </w:rPr>
      </w:pPr>
      <w:r w:rsidRPr="008C42AA">
        <w:rPr>
          <w:rFonts w:asciiTheme="minorHAnsi" w:hAnsiTheme="minorHAnsi" w:cstheme="minorHAnsi"/>
          <w:b/>
          <w:sz w:val="24"/>
          <w:lang w:val="el-GR"/>
        </w:rPr>
        <w:t>Δελτίο τύπου</w:t>
      </w:r>
    </w:p>
    <w:p w14:paraId="0B403A43" w14:textId="77777777" w:rsidR="00C0423B" w:rsidRDefault="00C0423B" w:rsidP="00721A01">
      <w:pPr>
        <w:pStyle w:val="maintext"/>
        <w:spacing w:after="0" w:line="240" w:lineRule="atLeast"/>
        <w:rPr>
          <w:rFonts w:asciiTheme="minorHAnsi" w:hAnsiTheme="minorHAnsi" w:cstheme="minorHAnsi"/>
          <w:sz w:val="20"/>
          <w:szCs w:val="20"/>
        </w:rPr>
      </w:pPr>
    </w:p>
    <w:p w14:paraId="76B97D4C" w14:textId="73294A34" w:rsidR="00922FE2" w:rsidRDefault="00922FE2" w:rsidP="00721A01">
      <w:pPr>
        <w:pStyle w:val="maintext"/>
        <w:suppressAutoHyphens/>
        <w:spacing w:after="0" w:line="240" w:lineRule="atLeast"/>
      </w:pPr>
      <w:r>
        <w:t xml:space="preserve">Στο τέλος του 2020 βελτιώθηκε σημαντικά η αισιοδοξία των συμβούλων μάνατζμεντ, τόσο όσον αφορά την εξέλιξη των θεμελιωδών οικονομικών μεγεθών, όσο και των συντελεστών της παραγωγής μετά από ένα έτος. Ο </w:t>
      </w:r>
      <w:r w:rsidRPr="00EE3C2C">
        <w:rPr>
          <w:b/>
        </w:rPr>
        <w:t>Γενικός Δείκτης</w:t>
      </w:r>
      <w:r w:rsidRPr="00EE3C2C">
        <w:t xml:space="preserve"> </w:t>
      </w:r>
      <w:r w:rsidRPr="00EE3C2C">
        <w:rPr>
          <w:b/>
          <w:bCs/>
          <w:color w:val="0070C0"/>
          <w:lang w:bidi="ar-TN"/>
        </w:rPr>
        <w:t>GR</w:t>
      </w:r>
      <w:r w:rsidRPr="00EE3C2C">
        <w:rPr>
          <w:b/>
          <w:bCs/>
          <w:color w:val="9C9984"/>
          <w:lang w:bidi="ar-TN"/>
        </w:rPr>
        <w:t>e</w:t>
      </w:r>
      <w:r w:rsidRPr="00EE3C2C">
        <w:rPr>
          <w:b/>
          <w:bCs/>
          <w:color w:val="96276C"/>
          <w:lang w:bidi="ar-TN"/>
        </w:rPr>
        <w:t>+1</w:t>
      </w:r>
      <w:r w:rsidRPr="00D8412E">
        <w:rPr>
          <w:bCs/>
          <w:color w:val="96276C"/>
          <w:lang w:bidi="ar-TN"/>
        </w:rPr>
        <w:t xml:space="preserve">, </w:t>
      </w:r>
      <w:r w:rsidRPr="000D218D">
        <w:t>ο οποίος είναι ο μέσος</w:t>
      </w:r>
      <w:r w:rsidRPr="00D8412E">
        <w:t xml:space="preserve"> </w:t>
      </w:r>
      <w:r>
        <w:t>των δεικτών Οικονομικής Συγκυρίας και Παραγωγικών Συντελεστών, δ</w:t>
      </w:r>
      <w:r w:rsidRPr="00EE3C2C">
        <w:t xml:space="preserve">ιαμορφώθηκε σε </w:t>
      </w:r>
      <w:r>
        <w:t>46,1%, έναντι 29,3% που ήταν η τιμή του τρίτου τριμήνου</w:t>
      </w:r>
      <w:r w:rsidR="004F79A8">
        <w:t xml:space="preserve"> 2020</w:t>
      </w:r>
      <w:r>
        <w:t xml:space="preserve">. </w:t>
      </w:r>
    </w:p>
    <w:p w14:paraId="4508B73B" w14:textId="77777777" w:rsidR="00922FE2" w:rsidRDefault="00922FE2" w:rsidP="00721A01">
      <w:pPr>
        <w:pStyle w:val="maintext"/>
        <w:suppressAutoHyphens/>
        <w:spacing w:after="0" w:line="240" w:lineRule="atLeast"/>
      </w:pPr>
    </w:p>
    <w:p w14:paraId="7A6A3E8D" w14:textId="3B7086A4" w:rsidR="00922FE2" w:rsidRDefault="00922FE2" w:rsidP="00721A01">
      <w:pPr>
        <w:pStyle w:val="maintext"/>
        <w:suppressAutoHyphens/>
        <w:spacing w:after="0" w:line="240" w:lineRule="atLeast"/>
        <w:rPr>
          <w:b/>
          <w:bCs/>
          <w:color w:val="96276C"/>
          <w:lang w:bidi="ar-TN"/>
        </w:rPr>
      </w:pPr>
      <w:r>
        <w:t xml:space="preserve">Η μεγαλύτερη αισιοδοξία οφείλεται στην έναρξη των εμβολιασμών, τις προσδοκίες εισροής κεφαλαίων από το Ταμείο Ανάκαμψης, τη μικρή -έστω- αύξηση των εξαγωγών προϊόντων το τρίτο τρίμηνο, καθώς και στις προβλέψεις για θετικό ρυθμό οικονομικής μεγέθυνσης της ελληνικής οικονομίας το 2021. Ωστόσο, λόγω της πανδημίας, η οποία ανέτρεψε την αισιοδοξία του 2019, η εικόνα που προκύπτει από τη σύγκριση ολόκληρου του 2020 με το 2019 είναι αρκετά διαφορετική. Η μέση τιμή του δείκτη μειώθηκε το 2020 σε 27,5% από 42,5% το προηγούμενο έτος, τιμή που ήταν η υψηλότερη από το 2014 όταν άρχισε η δημοσιοποίηση του </w:t>
      </w:r>
      <w:r w:rsidRPr="00EE3C2C">
        <w:rPr>
          <w:b/>
        </w:rPr>
        <w:t>Γενικ</w:t>
      </w:r>
      <w:r>
        <w:rPr>
          <w:b/>
        </w:rPr>
        <w:t>ού</w:t>
      </w:r>
      <w:r w:rsidRPr="00EE3C2C">
        <w:rPr>
          <w:b/>
        </w:rPr>
        <w:t xml:space="preserve"> Δείκτη</w:t>
      </w:r>
      <w:r w:rsidRPr="00EE3C2C">
        <w:t xml:space="preserve"> </w:t>
      </w:r>
      <w:r w:rsidRPr="00EE3C2C">
        <w:rPr>
          <w:b/>
          <w:bCs/>
          <w:color w:val="0070C0"/>
          <w:lang w:bidi="ar-TN"/>
        </w:rPr>
        <w:t>GR</w:t>
      </w:r>
      <w:r w:rsidRPr="00EE3C2C">
        <w:rPr>
          <w:b/>
          <w:bCs/>
          <w:color w:val="9C9984"/>
          <w:lang w:bidi="ar-TN"/>
        </w:rPr>
        <w:t>e</w:t>
      </w:r>
      <w:r w:rsidRPr="00EE3C2C">
        <w:rPr>
          <w:b/>
          <w:bCs/>
          <w:color w:val="96276C"/>
          <w:lang w:bidi="ar-TN"/>
        </w:rPr>
        <w:t>+1</w:t>
      </w:r>
      <w:r>
        <w:rPr>
          <w:b/>
          <w:bCs/>
          <w:color w:val="96276C"/>
          <w:lang w:bidi="ar-TN"/>
        </w:rPr>
        <w:t>.</w:t>
      </w:r>
    </w:p>
    <w:p w14:paraId="66EA25E8" w14:textId="77777777" w:rsidR="00922FE2" w:rsidRDefault="00922FE2" w:rsidP="00721A01">
      <w:pPr>
        <w:pStyle w:val="maintext"/>
        <w:suppressAutoHyphens/>
        <w:spacing w:after="0" w:line="240" w:lineRule="atLeast"/>
      </w:pPr>
    </w:p>
    <w:p w14:paraId="34A68875" w14:textId="77777777" w:rsidR="00A57F70" w:rsidRPr="004F79A8" w:rsidRDefault="00A57F70" w:rsidP="00721A01">
      <w:pPr>
        <w:suppressAutoHyphens/>
        <w:autoSpaceDE w:val="0"/>
        <w:autoSpaceDN w:val="0"/>
        <w:adjustRightInd w:val="0"/>
        <w:spacing w:line="240" w:lineRule="atLeast"/>
        <w:jc w:val="center"/>
        <w:textAlignment w:val="center"/>
        <w:rPr>
          <w:rFonts w:asciiTheme="minorHAnsi" w:hAnsiTheme="minorHAnsi" w:cstheme="minorHAnsi"/>
          <w:lang w:val="el-GR"/>
        </w:rPr>
      </w:pPr>
      <w:r w:rsidRPr="004F79A8">
        <w:rPr>
          <w:rFonts w:asciiTheme="minorHAnsi" w:hAnsiTheme="minorHAnsi" w:cstheme="minorHAnsi"/>
          <w:b/>
          <w:bCs/>
          <w:caps/>
          <w:color w:val="9B9984"/>
          <w:lang w:val="el-GR"/>
        </w:rPr>
        <w:t xml:space="preserve">Γενικός Δείκτης </w:t>
      </w:r>
      <w:proofErr w:type="spellStart"/>
      <w:r w:rsidRPr="004F79A8">
        <w:rPr>
          <w:rFonts w:asciiTheme="minorHAnsi" w:hAnsiTheme="minorHAnsi" w:cstheme="minorHAnsi"/>
          <w:b/>
          <w:bCs/>
          <w:color w:val="0070C0"/>
          <w:lang w:bidi="ar-TN"/>
        </w:rPr>
        <w:t>GR</w:t>
      </w:r>
      <w:r w:rsidRPr="004F79A8">
        <w:rPr>
          <w:rFonts w:asciiTheme="minorHAnsi" w:hAnsiTheme="minorHAnsi" w:cstheme="minorHAnsi"/>
          <w:b/>
          <w:bCs/>
          <w:color w:val="9C9984"/>
          <w:lang w:bidi="ar-TN"/>
        </w:rPr>
        <w:t>e</w:t>
      </w:r>
      <w:proofErr w:type="spellEnd"/>
      <w:r w:rsidRPr="004F79A8">
        <w:rPr>
          <w:rFonts w:asciiTheme="minorHAnsi" w:hAnsiTheme="minorHAnsi" w:cstheme="minorHAnsi"/>
          <w:b/>
          <w:bCs/>
          <w:color w:val="96276C"/>
          <w:lang w:val="el-GR" w:bidi="ar-TN"/>
        </w:rPr>
        <w:t>+1</w:t>
      </w:r>
    </w:p>
    <w:p w14:paraId="73CDC758" w14:textId="77777777" w:rsidR="00A57F70" w:rsidRPr="00D62195" w:rsidRDefault="00A57F70" w:rsidP="00721A01">
      <w:pPr>
        <w:suppressAutoHyphens/>
        <w:autoSpaceDE w:val="0"/>
        <w:autoSpaceDN w:val="0"/>
        <w:adjustRightInd w:val="0"/>
        <w:spacing w:line="240" w:lineRule="atLeast"/>
        <w:textAlignment w:val="center"/>
        <w:rPr>
          <w:rFonts w:asciiTheme="minorHAnsi" w:hAnsiTheme="minorHAnsi" w:cstheme="minorHAnsi"/>
          <w:lang w:val="el-GR"/>
        </w:rPr>
      </w:pPr>
      <w:r w:rsidRPr="004F79A8">
        <w:rPr>
          <w:rFonts w:asciiTheme="minorHAnsi" w:hAnsiTheme="minorHAnsi" w:cstheme="minorHAnsi"/>
          <w:lang w:val="el-GR"/>
        </w:rPr>
        <w:t xml:space="preserve">  </w:t>
      </w:r>
      <w:r w:rsidRPr="004F79A8">
        <w:rPr>
          <w:rFonts w:asciiTheme="minorHAnsi" w:hAnsiTheme="minorHAnsi" w:cstheme="minorHAnsi"/>
          <w:sz w:val="18"/>
          <w:szCs w:val="18"/>
          <w:lang w:val="el-GR"/>
        </w:rPr>
        <w:t xml:space="preserve"> %</w:t>
      </w:r>
    </w:p>
    <w:p w14:paraId="25CD17E2" w14:textId="4119411B" w:rsidR="004F79A8" w:rsidRDefault="004F79A8" w:rsidP="00721A01">
      <w:pPr>
        <w:pStyle w:val="maintext"/>
        <w:suppressAutoHyphens/>
        <w:spacing w:after="0" w:line="240" w:lineRule="atLeast"/>
      </w:pPr>
      <w:r w:rsidRPr="0083353E">
        <w:rPr>
          <w:noProof/>
          <w:shd w:val="clear" w:color="auto" w:fill="CCECFF"/>
          <w:lang w:val="en-GB" w:eastAsia="en-GB"/>
        </w:rPr>
        <w:drawing>
          <wp:inline distT="0" distB="0" distL="0" distR="0" wp14:anchorId="00E38772" wp14:editId="412E1201">
            <wp:extent cx="5969000" cy="2159000"/>
            <wp:effectExtent l="0" t="0" r="0" b="12700"/>
            <wp:docPr id="7" name="Γράφημα 7">
              <a:extLst xmlns:a="http://schemas.openxmlformats.org/drawingml/2006/main">
                <a:ext uri="{FF2B5EF4-FFF2-40B4-BE49-F238E27FC236}">
                  <a16:creationId xmlns:a16="http://schemas.microsoft.com/office/drawing/2014/main" id="{C84B7439-A41E-4116-BEB9-782A25D7A9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80B3F1E" w14:textId="77777777" w:rsidR="004F79A8" w:rsidRDefault="004F79A8" w:rsidP="00721A01">
      <w:pPr>
        <w:pStyle w:val="maintext"/>
        <w:suppressAutoHyphens/>
        <w:spacing w:after="0" w:line="240" w:lineRule="atLeast"/>
      </w:pPr>
    </w:p>
    <w:p w14:paraId="029817DD" w14:textId="4819FCFD" w:rsidR="00922FE2" w:rsidRPr="00F1446A" w:rsidRDefault="00922FE2" w:rsidP="00721A01">
      <w:pPr>
        <w:pStyle w:val="maintext"/>
        <w:suppressAutoHyphens/>
        <w:spacing w:after="0" w:line="240" w:lineRule="atLeast"/>
      </w:pPr>
      <w:r>
        <w:t xml:space="preserve">Συνεχίστηκε και το τέταρτο τρίμηνο του 2020 η ανάκαμψη της αισιοδοξίας των συμβούλων μάνατζμεντ για την πορεία των  θεμελιωδών οικονομικών μεγεθών μετά από ένα έτος, ήτοι το τέταρτο τρίμηνο του 2021. Ο Δείκτης Οικονομικής Συγκυρίας σημείωσε νέα άνοδο. Σε αυτό συνέβαλαν η έναρξη των εμβολιασμών, οι προσδοκίες εισροής κεφαλαίων από το Ταμείο Ανάκαμψης, η μικρή -έστω- αύξηση των εξαγωγών προϊόντων το τρίτο τρίμηνο 2020, καθώς και οι προβλέψεις για θετικό ρυθμό οικονομικής μεγέθυνσης της ελληνικής οικονομίας το 2021. </w:t>
      </w:r>
    </w:p>
    <w:p w14:paraId="1FD83A7A" w14:textId="77777777" w:rsidR="00922FE2" w:rsidRDefault="00922FE2" w:rsidP="00721A01">
      <w:pPr>
        <w:pStyle w:val="maintext"/>
        <w:suppressAutoHyphens/>
        <w:spacing w:after="0" w:line="240" w:lineRule="atLeast"/>
      </w:pPr>
    </w:p>
    <w:p w14:paraId="45480ED9" w14:textId="46058952" w:rsidR="00922FE2" w:rsidRDefault="00922FE2" w:rsidP="00721A01">
      <w:pPr>
        <w:pStyle w:val="maintext"/>
        <w:suppressAutoHyphens/>
        <w:spacing w:after="0" w:line="240" w:lineRule="atLeast"/>
      </w:pPr>
      <w:r>
        <w:t>Συγκεκριμένα, στο τέλος του 2020, ο μέσος</w:t>
      </w:r>
      <w:r w:rsidRPr="00EE3C2C">
        <w:t xml:space="preserve"> </w:t>
      </w:r>
      <w:r>
        <w:t xml:space="preserve">όρος </w:t>
      </w:r>
      <w:r w:rsidRPr="00EE3C2C">
        <w:t xml:space="preserve">της διαφοράς μεταξύ των ποσοστών «θετικών» </w:t>
      </w:r>
      <w:r>
        <w:t xml:space="preserve">και </w:t>
      </w:r>
      <w:r w:rsidRPr="00EE3C2C">
        <w:t xml:space="preserve">«αρνητικών» απαντήσεων για τις </w:t>
      </w:r>
      <w:r>
        <w:t xml:space="preserve">πέντε </w:t>
      </w:r>
      <w:r w:rsidRPr="00EE3C2C">
        <w:t>μεταβλητές του Δείκτη Οικονομικής Συγκυρίας (ρυθμός οικονομικής μεγέθυνσης, ανεργία, ιδιωτικές επενδύσεις παγίου κεφαλαίου, εξαγωγές και ποσοστό μεταβολής του γενικού επιπέδου των τιμών)</w:t>
      </w:r>
      <w:r>
        <w:t xml:space="preserve"> αυξήθηκε από 29,7% που ήταν στο τέλος Σεπτεμβρίου </w:t>
      </w:r>
      <w:r w:rsidR="004F79A8">
        <w:t xml:space="preserve">2020 </w:t>
      </w:r>
      <w:r>
        <w:t xml:space="preserve">σε 47,2%. Η βελτίωση του </w:t>
      </w:r>
      <w:r w:rsidR="004F79A8" w:rsidRPr="004F79A8">
        <w:rPr>
          <w:highlight w:val="yellow"/>
        </w:rPr>
        <w:t>τέταρτου</w:t>
      </w:r>
      <w:r>
        <w:t xml:space="preserve"> τριμήνου οφείλεται στην άνοδο όλων των συνιστωσών του δείκτη, αλλά κυρίως στις προβλέψεις για τη μεγέθυνση του ΑΕΠ, τις επενδύσεις και  τις εξαγωγές. </w:t>
      </w:r>
    </w:p>
    <w:p w14:paraId="786E71F8" w14:textId="77777777" w:rsidR="00922FE2" w:rsidRDefault="00922FE2" w:rsidP="00721A01">
      <w:pPr>
        <w:pStyle w:val="maintext"/>
        <w:suppressAutoHyphens/>
        <w:spacing w:after="0" w:line="240" w:lineRule="atLeast"/>
      </w:pPr>
    </w:p>
    <w:p w14:paraId="401740D0" w14:textId="77777777" w:rsidR="00922FE2" w:rsidRPr="00F44271" w:rsidRDefault="00922FE2" w:rsidP="00721A01">
      <w:pPr>
        <w:pStyle w:val="maintext"/>
        <w:suppressAutoHyphens/>
        <w:spacing w:after="0" w:line="240" w:lineRule="atLeast"/>
      </w:pPr>
      <w:r>
        <w:t xml:space="preserve">Ωστόσο, καταγράφηκε επιδείνωση του Δείκτη Οικονομικής Συγκυρίας σε επίπεδο συνολικού έτους μεταξύ του 2020 και του 2019. Ο μέσος όρος της διαφοράς «αισιοδοξίας» - «απαισιοδοξίας» περιορίστηκε σε 21,1%, από 45,3%. Η κάμψη αυτή μάλιστα αφορά σε όλα τα επιμέρους μεγέθη. Τούτο οφείλεται στην απότομη </w:t>
      </w:r>
      <w:r>
        <w:lastRenderedPageBreak/>
        <w:t>επιδείνωση των προσδοκιών το πρώτο και το δεύτερο τρίμηνο του έτους. Εν συνεχεία, υπήρξε βελτίωση η οποία καταγράφηκε στην προηγούμενη και στην ανά χείρας έκδοση.</w:t>
      </w:r>
    </w:p>
    <w:p w14:paraId="49E7149F" w14:textId="77777777" w:rsidR="00AC755B" w:rsidRDefault="00AC755B" w:rsidP="00721A01">
      <w:pPr>
        <w:pStyle w:val="maintext"/>
        <w:suppressAutoHyphens/>
        <w:spacing w:after="0" w:line="240" w:lineRule="atLeast"/>
      </w:pPr>
    </w:p>
    <w:p w14:paraId="410EF367" w14:textId="77777777" w:rsidR="00D7440B" w:rsidRPr="008C42AA" w:rsidRDefault="00D7440B" w:rsidP="00721A01">
      <w:pPr>
        <w:pStyle w:val="charttitle"/>
        <w:spacing w:line="240" w:lineRule="atLeast"/>
        <w:jc w:val="center"/>
        <w:rPr>
          <w:rFonts w:asciiTheme="minorHAnsi" w:hAnsiTheme="minorHAnsi" w:cstheme="minorHAnsi"/>
          <w:b/>
          <w:bCs/>
          <w:sz w:val="20"/>
          <w:szCs w:val="20"/>
        </w:rPr>
      </w:pPr>
      <w:r w:rsidRPr="004F79A8">
        <w:rPr>
          <w:rFonts w:asciiTheme="minorHAnsi" w:hAnsiTheme="minorHAnsi" w:cstheme="minorHAnsi"/>
          <w:noProof/>
          <w:sz w:val="20"/>
          <w:szCs w:val="20"/>
          <w:lang w:val="en-US"/>
        </w:rPr>
        <mc:AlternateContent>
          <mc:Choice Requires="wps">
            <w:drawing>
              <wp:anchor distT="0" distB="0" distL="114300" distR="114300" simplePos="0" relativeHeight="251687936" behindDoc="0" locked="0" layoutInCell="1" allowOverlap="1" wp14:anchorId="0272C103" wp14:editId="1B66302A">
                <wp:simplePos x="0" y="0"/>
                <wp:positionH relativeFrom="column">
                  <wp:posOffset>1905</wp:posOffset>
                </wp:positionH>
                <wp:positionV relativeFrom="paragraph">
                  <wp:posOffset>130175</wp:posOffset>
                </wp:positionV>
                <wp:extent cx="341630" cy="31242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341630" cy="312420"/>
                        </a:xfrm>
                        <a:prstGeom prst="rect">
                          <a:avLst/>
                        </a:prstGeom>
                        <a:noFill/>
                        <a:ln w="6350">
                          <a:noFill/>
                        </a:ln>
                        <a:effectLst/>
                      </wps:spPr>
                      <wps:txbx>
                        <w:txbxContent>
                          <w:p w14:paraId="770C5E67" w14:textId="77777777" w:rsidR="008D395D" w:rsidRPr="00225C04" w:rsidRDefault="008D395D" w:rsidP="00D7440B">
                            <w:pPr>
                              <w:autoSpaceDE w:val="0"/>
                              <w:autoSpaceDN w:val="0"/>
                              <w:adjustRightInd w:val="0"/>
                              <w:spacing w:after="170" w:line="300" w:lineRule="atLeast"/>
                              <w:textAlignment w:val="center"/>
                              <w:rPr>
                                <w:rFonts w:ascii="Calibri" w:hAnsi="Calibri" w:cs="Calibri"/>
                                <w:bCs/>
                                <w:color w:val="000000" w:themeColor="text1"/>
                                <w:szCs w:val="28"/>
                                <w:lang w:val="en-US"/>
                              </w:rPr>
                            </w:pPr>
                            <w:r w:rsidRPr="00DE4FF6">
                              <w:rPr>
                                <w:rFonts w:ascii="Calibri" w:hAnsi="Calibri" w:cs="Calibri"/>
                                <w:bCs/>
                                <w:color w:val="000000" w:themeColor="text1"/>
                                <w:sz w:val="18"/>
                                <w:szCs w:val="24"/>
                                <w:lang w:val="en-US"/>
                              </w:rPr>
                              <w:t xml:space="preserve">% </w:t>
                            </w:r>
                            <w:r w:rsidRPr="00225C04">
                              <w:rPr>
                                <w:rFonts w:ascii="Calibri" w:hAnsi="Calibri" w:cs="Calibri"/>
                                <w:bCs/>
                                <w:color w:val="000000" w:themeColor="text1"/>
                                <w:szCs w:val="28"/>
                                <w:lang w:val="en-US"/>
                              </w:rPr>
                              <w:t xml:space="preserve"> </w:t>
                            </w:r>
                            <w:r w:rsidRPr="00225C04">
                              <w:rPr>
                                <w:rFonts w:ascii="Calibri" w:hAnsi="Calibri" w:cs="Calibri"/>
                                <w:bCs/>
                                <w:color w:val="000000" w:themeColor="text1"/>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72C103" id="_x0000_t202" coordsize="21600,21600" o:spt="202" path="m,l,21600r21600,l21600,xe">
                <v:stroke joinstyle="miter"/>
                <v:path gradientshapeok="t" o:connecttype="rect"/>
              </v:shapetype>
              <v:shape id="Text Box 38" o:spid="_x0000_s1026" type="#_x0000_t202" style="position:absolute;left:0;text-align:left;margin-left:.15pt;margin-top:10.25pt;width:26.9pt;height:24.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" filled="f" stroked="f" strokeweight=".5pt">
                <v:textbox>
                  <w:txbxContent>
                    <w:p w14:paraId="770C5E67" w14:textId="77777777" w:rsidR="008D395D" w:rsidRPr="00225C04" w:rsidRDefault="008D395D" w:rsidP="00D7440B">
                      <w:pPr>
                        <w:autoSpaceDE w:val="0"/>
                        <w:autoSpaceDN w:val="0"/>
                        <w:adjustRightInd w:val="0"/>
                        <w:spacing w:after="170" w:line="300" w:lineRule="atLeast"/>
                        <w:textAlignment w:val="center"/>
                        <w:rPr>
                          <w:rFonts w:ascii="Calibri" w:hAnsi="Calibri" w:cs="Calibri"/>
                          <w:bCs/>
                          <w:color w:val="000000" w:themeColor="text1"/>
                          <w:szCs w:val="28"/>
                          <w:lang w:val="en-US"/>
                        </w:rPr>
                      </w:pPr>
                      <w:r w:rsidRPr="00DE4FF6">
                        <w:rPr>
                          <w:rFonts w:ascii="Calibri" w:hAnsi="Calibri" w:cs="Calibri"/>
                          <w:bCs/>
                          <w:color w:val="000000" w:themeColor="text1"/>
                          <w:sz w:val="18"/>
                          <w:szCs w:val="24"/>
                          <w:lang w:val="en-US"/>
                        </w:rPr>
                        <w:t xml:space="preserve">% </w:t>
                      </w:r>
                      <w:r w:rsidRPr="00225C04">
                        <w:rPr>
                          <w:rFonts w:ascii="Calibri" w:hAnsi="Calibri" w:cs="Calibri"/>
                          <w:bCs/>
                          <w:color w:val="000000" w:themeColor="text1"/>
                          <w:szCs w:val="28"/>
                          <w:lang w:val="en-US"/>
                        </w:rPr>
                        <w:t xml:space="preserve"> </w:t>
                      </w:r>
                      <w:r w:rsidRPr="00225C04">
                        <w:rPr>
                          <w:rFonts w:ascii="Calibri" w:hAnsi="Calibri" w:cs="Calibri"/>
                          <w:bCs/>
                          <w:color w:val="000000" w:themeColor="text1"/>
                          <w:szCs w:val="28"/>
                        </w:rPr>
                        <w:t xml:space="preserve">   </w:t>
                      </w:r>
                    </w:p>
                  </w:txbxContent>
                </v:textbox>
              </v:shape>
            </w:pict>
          </mc:Fallback>
        </mc:AlternateContent>
      </w:r>
      <w:r w:rsidRPr="004F79A8">
        <w:rPr>
          <w:rFonts w:asciiTheme="minorHAnsi" w:hAnsiTheme="minorHAnsi" w:cstheme="minorHAnsi"/>
          <w:b/>
          <w:bCs/>
          <w:color w:val="0070C0"/>
          <w:sz w:val="20"/>
          <w:szCs w:val="20"/>
        </w:rPr>
        <w:t xml:space="preserve">δεικτησ </w:t>
      </w:r>
      <w:r w:rsidRPr="004F79A8">
        <w:rPr>
          <w:rFonts w:asciiTheme="minorHAnsi" w:hAnsiTheme="minorHAnsi" w:cstheme="minorHAnsi"/>
          <w:b/>
          <w:bCs/>
          <w:sz w:val="20"/>
          <w:szCs w:val="20"/>
        </w:rPr>
        <w:t>OIKONOMIKHΣ ΣΥΓΚΥΡΙΑΣ</w:t>
      </w:r>
    </w:p>
    <w:p w14:paraId="759C8683" w14:textId="77777777" w:rsidR="00D7440B" w:rsidRPr="00DE4FF6" w:rsidRDefault="00D7440B" w:rsidP="00721A01">
      <w:pPr>
        <w:pStyle w:val="charttitle"/>
        <w:spacing w:line="240" w:lineRule="atLeast"/>
        <w:rPr>
          <w:rFonts w:asciiTheme="minorHAnsi" w:hAnsiTheme="minorHAnsi" w:cstheme="minorHAnsi"/>
          <w:b/>
          <w:bCs/>
          <w:sz w:val="20"/>
          <w:szCs w:val="20"/>
        </w:rPr>
      </w:pPr>
    </w:p>
    <w:p w14:paraId="2A7166FD" w14:textId="22062F66" w:rsidR="00DE4FF6" w:rsidRDefault="004F79A8" w:rsidP="00721A01">
      <w:pPr>
        <w:pStyle w:val="Mpeztitles"/>
        <w:spacing w:line="240" w:lineRule="atLeast"/>
        <w:jc w:val="center"/>
        <w:rPr>
          <w:bCs/>
          <w:highlight w:val="yellow"/>
        </w:rPr>
      </w:pPr>
      <w:r w:rsidRPr="0083353E">
        <w:rPr>
          <w:noProof/>
          <w:shd w:val="clear" w:color="auto" w:fill="99CCFF"/>
          <w:lang w:val="en-GB" w:eastAsia="en-GB"/>
        </w:rPr>
        <w:drawing>
          <wp:inline distT="0" distB="0" distL="0" distR="0" wp14:anchorId="62552F99" wp14:editId="2D96F44F">
            <wp:extent cx="5880100" cy="2203450"/>
            <wp:effectExtent l="0" t="0" r="6350" b="6350"/>
            <wp:docPr id="8" name="Γράφημα 8">
              <a:extLst xmlns:a="http://schemas.openxmlformats.org/drawingml/2006/main">
                <a:ext uri="{FF2B5EF4-FFF2-40B4-BE49-F238E27FC236}">
                  <a16:creationId xmlns:a16="http://schemas.microsoft.com/office/drawing/2014/main" id="{7D847C52-EF5F-4BA7-9E05-6130C4A43F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5208B1B" w14:textId="77777777" w:rsidR="00DE4FF6" w:rsidRDefault="00DE4FF6" w:rsidP="00721A01">
      <w:pPr>
        <w:pStyle w:val="maintext"/>
        <w:suppressAutoHyphens/>
        <w:spacing w:after="0" w:line="240" w:lineRule="atLeast"/>
        <w:rPr>
          <w:lang w:eastAsia="el-GR"/>
        </w:rPr>
      </w:pPr>
    </w:p>
    <w:p w14:paraId="23A85E84" w14:textId="77777777" w:rsidR="00922FE2" w:rsidRDefault="00922FE2" w:rsidP="00721A01">
      <w:pPr>
        <w:pStyle w:val="maintext"/>
        <w:suppressAutoHyphens/>
        <w:spacing w:after="0" w:line="240" w:lineRule="atLeast"/>
      </w:pPr>
      <w:r>
        <w:rPr>
          <w:lang w:eastAsia="el-GR"/>
        </w:rPr>
        <w:t>Βελτίωση υπήρξε επίσης και στις προσδοκίες για τους συντελεστές της παραγωγής μετά από ένα έτος. Συγκεκριμένα, ο</w:t>
      </w:r>
      <w:r w:rsidRPr="00EE3C2C">
        <w:rPr>
          <w:lang w:eastAsia="el-GR"/>
        </w:rPr>
        <w:t xml:space="preserve"> μέσος όρος της διαφοράς «</w:t>
      </w:r>
      <w:r>
        <w:rPr>
          <w:lang w:eastAsia="el-GR"/>
        </w:rPr>
        <w:t>αισιοδοξίας</w:t>
      </w:r>
      <w:r w:rsidRPr="00EE3C2C">
        <w:rPr>
          <w:lang w:eastAsia="el-GR"/>
        </w:rPr>
        <w:t>» και «</w:t>
      </w:r>
      <w:r>
        <w:rPr>
          <w:lang w:eastAsia="el-GR"/>
        </w:rPr>
        <w:t>απαισιοδοξίας</w:t>
      </w:r>
      <w:r w:rsidRPr="00EE3C2C">
        <w:rPr>
          <w:lang w:eastAsia="el-GR"/>
        </w:rPr>
        <w:t xml:space="preserve">» </w:t>
      </w:r>
      <w:r>
        <w:rPr>
          <w:lang w:eastAsia="el-GR"/>
        </w:rPr>
        <w:t>για τις μεταβλητές του Δ</w:t>
      </w:r>
      <w:r w:rsidRPr="00EE3C2C">
        <w:rPr>
          <w:lang w:eastAsia="el-GR"/>
        </w:rPr>
        <w:t xml:space="preserve">είκτη Παραγωγικών Συντελεστών (ανθρώπινο δυναμικό, συνθήκες χρηματοδότησης, δημόσιες υποδομές, </w:t>
      </w:r>
      <w:r w:rsidRPr="00EE3C2C">
        <w:t xml:space="preserve">επιχειρηματικότητα και θεσμικό πλαίσιο) </w:t>
      </w:r>
      <w:r>
        <w:t>διευρύνθηκε σε 44,9% στο τέλος του έτους από 28,8% το τρίτο τρίμηνο 2020. Η βελτίωση μάλιστα αυτή προήλθε από όλες τις μεταβλητές, δηλαδή</w:t>
      </w:r>
      <w:r w:rsidRPr="00AD488C">
        <w:t xml:space="preserve">: </w:t>
      </w:r>
      <w:r>
        <w:t>ανθρώπινο δυναμικό, χρηματοδότηση, επιχειρηματικότητα, δημόσιες υποδομές και θεσμικό πλαίσιο.</w:t>
      </w:r>
    </w:p>
    <w:p w14:paraId="0D3EB24B" w14:textId="77777777" w:rsidR="00922FE2" w:rsidRPr="00EF6857" w:rsidRDefault="00922FE2" w:rsidP="00721A01">
      <w:pPr>
        <w:pStyle w:val="maintext"/>
        <w:suppressAutoHyphens/>
        <w:spacing w:after="0" w:line="240" w:lineRule="atLeast"/>
      </w:pPr>
    </w:p>
    <w:p w14:paraId="394A8D89" w14:textId="77777777" w:rsidR="00922FE2" w:rsidRDefault="00922FE2" w:rsidP="00721A01">
      <w:pPr>
        <w:pStyle w:val="maintext"/>
        <w:suppressAutoHyphens/>
        <w:spacing w:after="0" w:line="240" w:lineRule="atLeast"/>
        <w:rPr>
          <w:lang w:eastAsia="el-GR"/>
        </w:rPr>
      </w:pPr>
      <w:r>
        <w:t xml:space="preserve">Η εικόνα που προκύπτει για το σύνολο του 2020 είναι όμως διαφορετική. </w:t>
      </w:r>
      <w:r>
        <w:rPr>
          <w:lang w:eastAsia="el-GR"/>
        </w:rPr>
        <w:t>Ο</w:t>
      </w:r>
      <w:r w:rsidRPr="00EE3C2C">
        <w:rPr>
          <w:lang w:eastAsia="el-GR"/>
        </w:rPr>
        <w:t xml:space="preserve"> μέσος όρος των τεσσάρων τριμήνων του Δείκτη Παραγωγικών Συντελεστών </w:t>
      </w:r>
      <w:r>
        <w:rPr>
          <w:lang w:eastAsia="el-GR"/>
        </w:rPr>
        <w:t xml:space="preserve">διαμορφώθηκε σε 34,0%, καταγράφοντας μικρή πτώση έναντι μέσου όρου 39,8% το 2019. Η εξέλιξη αυτή προήλθε κυρίως από τη μείωση των δεικτών για την επιχειρηματικότητα και τη χρηματοδότηση και δευτερευόντως από την κάμψη του δείκτη για το θεσμικό πλαίσιο. Αντίθετα, περισσότερη αισιοδοξία καταγράφηκε για τις δημόσιες υποδομές και την αποτελεσματικότητα του ανθρώπινου δυναμικού. Πρέπει ωστόσο να σημειωθεί ότι η τιμή του Δείκτη το 2020 είναι η δεύτερη υψηλότερη από το 2014, όταν παρουσιάστηκε για πρώτη φορά το Βαρόμετρο και οι συνιστώσες του. </w:t>
      </w:r>
    </w:p>
    <w:p w14:paraId="1EC3449D" w14:textId="77777777" w:rsidR="000A4B17" w:rsidRPr="008C42AA" w:rsidRDefault="00093DF3" w:rsidP="00721A01">
      <w:pPr>
        <w:pStyle w:val="Mpeztitles"/>
        <w:spacing w:line="240" w:lineRule="atLeast"/>
        <w:jc w:val="center"/>
        <w:rPr>
          <w:rFonts w:asciiTheme="minorHAnsi" w:hAnsiTheme="minorHAnsi" w:cstheme="minorHAnsi"/>
          <w:sz w:val="20"/>
          <w:szCs w:val="20"/>
          <w:lang w:eastAsia="el-GR"/>
        </w:rPr>
      </w:pPr>
      <w:r w:rsidRPr="004F79A8">
        <w:rPr>
          <w:rFonts w:asciiTheme="minorHAnsi" w:hAnsiTheme="minorHAnsi" w:cstheme="minorHAnsi"/>
          <w:noProof/>
          <w:sz w:val="20"/>
          <w:szCs w:val="20"/>
          <w:lang w:val="en-US"/>
        </w:rPr>
        <mc:AlternateContent>
          <mc:Choice Requires="wps">
            <w:drawing>
              <wp:anchor distT="0" distB="0" distL="114300" distR="114300" simplePos="0" relativeHeight="251685888" behindDoc="0" locked="0" layoutInCell="1" allowOverlap="1" wp14:anchorId="04C81301" wp14:editId="0A8DB0F3">
                <wp:simplePos x="0" y="0"/>
                <wp:positionH relativeFrom="column">
                  <wp:posOffset>-1905</wp:posOffset>
                </wp:positionH>
                <wp:positionV relativeFrom="paragraph">
                  <wp:posOffset>161290</wp:posOffset>
                </wp:positionV>
                <wp:extent cx="271145" cy="316865"/>
                <wp:effectExtent l="0" t="0" r="0" b="6985"/>
                <wp:wrapNone/>
                <wp:docPr id="40" name="Text Box 40"/>
                <wp:cNvGraphicFramePr/>
                <a:graphic xmlns:a="http://schemas.openxmlformats.org/drawingml/2006/main">
                  <a:graphicData uri="http://schemas.microsoft.com/office/word/2010/wordprocessingShape">
                    <wps:wsp>
                      <wps:cNvSpPr txBox="1"/>
                      <wps:spPr>
                        <a:xfrm>
                          <a:off x="0" y="0"/>
                          <a:ext cx="271145" cy="316865"/>
                        </a:xfrm>
                        <a:prstGeom prst="rect">
                          <a:avLst/>
                        </a:prstGeom>
                        <a:noFill/>
                        <a:ln w="6350">
                          <a:noFill/>
                        </a:ln>
                        <a:effectLst/>
                      </wps:spPr>
                      <wps:txbx>
                        <w:txbxContent>
                          <w:p w14:paraId="67513A7A" w14:textId="77777777" w:rsidR="008D395D" w:rsidRPr="00225C04" w:rsidRDefault="008D395D" w:rsidP="000A4B17">
                            <w:pPr>
                              <w:autoSpaceDE w:val="0"/>
                              <w:autoSpaceDN w:val="0"/>
                              <w:adjustRightInd w:val="0"/>
                              <w:spacing w:after="170" w:line="300" w:lineRule="atLeast"/>
                              <w:textAlignment w:val="center"/>
                              <w:rPr>
                                <w:rFonts w:ascii="Calibri" w:hAnsi="Calibri" w:cs="Calibri"/>
                                <w:bCs/>
                                <w:color w:val="000000" w:themeColor="text1"/>
                                <w:szCs w:val="28"/>
                                <w:lang w:val="en-US"/>
                              </w:rPr>
                            </w:pPr>
                            <w:r w:rsidRPr="00C45FC7">
                              <w:rPr>
                                <w:rFonts w:ascii="Calibri" w:hAnsi="Calibri" w:cs="Calibri"/>
                                <w:bCs/>
                                <w:color w:val="000000" w:themeColor="text1"/>
                                <w:sz w:val="18"/>
                                <w:szCs w:val="24"/>
                                <w:lang w:val="en-US"/>
                              </w:rPr>
                              <w:t xml:space="preserve">% </w:t>
                            </w:r>
                            <w:r w:rsidRPr="00225C04">
                              <w:rPr>
                                <w:rFonts w:ascii="Calibri" w:hAnsi="Calibri" w:cs="Calibri"/>
                                <w:bCs/>
                                <w:color w:val="000000" w:themeColor="text1"/>
                                <w:szCs w:val="28"/>
                                <w:lang w:val="en-US"/>
                              </w:rPr>
                              <w:t xml:space="preserve"> </w:t>
                            </w:r>
                            <w:r w:rsidRPr="00225C04">
                              <w:rPr>
                                <w:rFonts w:ascii="Calibri" w:hAnsi="Calibri" w:cs="Calibri"/>
                                <w:bCs/>
                                <w:color w:val="000000" w:themeColor="text1"/>
                                <w:szCs w:val="28"/>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C81301" id="Text Box 40" o:spid="_x0000_s1027" type="#_x0000_t202" style="position:absolute;left:0;text-align:left;margin-left:-.15pt;margin-top:12.7pt;width:21.35pt;height:24.95pt;z-index:2516858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" filled="f" stroked="f" strokeweight=".5pt">
                <v:textbox>
                  <w:txbxContent>
                    <w:p w14:paraId="67513A7A" w14:textId="77777777" w:rsidR="008D395D" w:rsidRPr="00225C04" w:rsidRDefault="008D395D" w:rsidP="000A4B17">
                      <w:pPr>
                        <w:autoSpaceDE w:val="0"/>
                        <w:autoSpaceDN w:val="0"/>
                        <w:adjustRightInd w:val="0"/>
                        <w:spacing w:after="170" w:line="300" w:lineRule="atLeast"/>
                        <w:textAlignment w:val="center"/>
                        <w:rPr>
                          <w:rFonts w:ascii="Calibri" w:hAnsi="Calibri" w:cs="Calibri"/>
                          <w:bCs/>
                          <w:color w:val="000000" w:themeColor="text1"/>
                          <w:szCs w:val="28"/>
                          <w:lang w:val="en-US"/>
                        </w:rPr>
                      </w:pPr>
                      <w:r w:rsidRPr="00C45FC7">
                        <w:rPr>
                          <w:rFonts w:ascii="Calibri" w:hAnsi="Calibri" w:cs="Calibri"/>
                          <w:bCs/>
                          <w:color w:val="000000" w:themeColor="text1"/>
                          <w:sz w:val="18"/>
                          <w:szCs w:val="24"/>
                          <w:lang w:val="en-US"/>
                        </w:rPr>
                        <w:t xml:space="preserve">% </w:t>
                      </w:r>
                      <w:r w:rsidRPr="00225C04">
                        <w:rPr>
                          <w:rFonts w:ascii="Calibri" w:hAnsi="Calibri" w:cs="Calibri"/>
                          <w:bCs/>
                          <w:color w:val="000000" w:themeColor="text1"/>
                          <w:szCs w:val="28"/>
                          <w:lang w:val="en-US"/>
                        </w:rPr>
                        <w:t xml:space="preserve"> </w:t>
                      </w:r>
                      <w:r w:rsidRPr="00225C04">
                        <w:rPr>
                          <w:rFonts w:ascii="Calibri" w:hAnsi="Calibri" w:cs="Calibri"/>
                          <w:bCs/>
                          <w:color w:val="000000" w:themeColor="text1"/>
                          <w:szCs w:val="28"/>
                        </w:rPr>
                        <w:t xml:space="preserve">   </w:t>
                      </w:r>
                    </w:p>
                  </w:txbxContent>
                </v:textbox>
              </v:shape>
            </w:pict>
          </mc:Fallback>
        </mc:AlternateContent>
      </w:r>
      <w:r w:rsidR="000A4B17" w:rsidRPr="004F79A8">
        <w:rPr>
          <w:rFonts w:asciiTheme="minorHAnsi" w:hAnsiTheme="minorHAnsi" w:cstheme="minorHAnsi"/>
          <w:color w:val="0077BE"/>
          <w:sz w:val="20"/>
          <w:szCs w:val="20"/>
          <w:lang w:eastAsia="el-GR"/>
        </w:rPr>
        <w:t>δεικτησ</w:t>
      </w:r>
      <w:r w:rsidR="000A4B17" w:rsidRPr="004F79A8">
        <w:rPr>
          <w:rFonts w:asciiTheme="minorHAnsi" w:hAnsiTheme="minorHAnsi" w:cstheme="minorHAnsi"/>
          <w:bCs/>
          <w:color w:val="0077BE"/>
          <w:sz w:val="20"/>
          <w:szCs w:val="20"/>
          <w:lang w:bidi="ar-TN"/>
        </w:rPr>
        <w:t xml:space="preserve"> </w:t>
      </w:r>
      <w:r w:rsidR="000A4B17" w:rsidRPr="004F79A8">
        <w:rPr>
          <w:rFonts w:asciiTheme="minorHAnsi" w:hAnsiTheme="minorHAnsi" w:cstheme="minorHAnsi"/>
          <w:sz w:val="20"/>
          <w:szCs w:val="20"/>
          <w:lang w:eastAsia="el-GR"/>
        </w:rPr>
        <w:t>Παραγωγικων Συντελεστων</w:t>
      </w:r>
    </w:p>
    <w:p w14:paraId="442C0045" w14:textId="77777777" w:rsidR="00093DF3" w:rsidRPr="008C42AA" w:rsidRDefault="00093DF3" w:rsidP="00721A01">
      <w:pPr>
        <w:pStyle w:val="Mpeztitles"/>
        <w:spacing w:line="240" w:lineRule="atLeast"/>
        <w:rPr>
          <w:rFonts w:asciiTheme="minorHAnsi" w:hAnsiTheme="minorHAnsi" w:cstheme="minorHAnsi"/>
          <w:sz w:val="20"/>
          <w:szCs w:val="20"/>
          <w:lang w:eastAsia="el-GR"/>
        </w:rPr>
      </w:pPr>
    </w:p>
    <w:p w14:paraId="67132A9C" w14:textId="77777777" w:rsidR="00D62195" w:rsidRDefault="00D62195" w:rsidP="00721A01">
      <w:pPr>
        <w:pStyle w:val="Mpeztitles"/>
        <w:spacing w:line="240" w:lineRule="atLeast"/>
        <w:jc w:val="center"/>
        <w:rPr>
          <w:highlight w:val="yellow"/>
          <w:lang w:eastAsia="el-GR"/>
        </w:rPr>
      </w:pPr>
    </w:p>
    <w:p w14:paraId="7085FB5A" w14:textId="355B65F8" w:rsidR="00C45FC7" w:rsidRDefault="004F79A8" w:rsidP="00721A01">
      <w:pPr>
        <w:pStyle w:val="Mpeztitles"/>
        <w:spacing w:line="240" w:lineRule="atLeast"/>
        <w:jc w:val="center"/>
        <w:rPr>
          <w:highlight w:val="yellow"/>
          <w:lang w:eastAsia="el-GR"/>
        </w:rPr>
      </w:pPr>
      <w:r>
        <w:rPr>
          <w:noProof/>
          <w:lang w:val="en-GB" w:eastAsia="en-GB"/>
        </w:rPr>
        <w:drawing>
          <wp:inline distT="0" distB="0" distL="0" distR="0" wp14:anchorId="0E63B409" wp14:editId="75020062">
            <wp:extent cx="5975350" cy="2032000"/>
            <wp:effectExtent l="0" t="0" r="6350" b="6350"/>
            <wp:docPr id="18" name="Γράφημα 18">
              <a:extLst xmlns:a="http://schemas.openxmlformats.org/drawingml/2006/main">
                <a:ext uri="{FF2B5EF4-FFF2-40B4-BE49-F238E27FC236}">
                  <a16:creationId xmlns:a16="http://schemas.microsoft.com/office/drawing/2014/main" id="{B2B6A19A-B5E2-46B5-8B32-B528DA93B9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96C740E" w14:textId="77777777" w:rsidR="00721A01" w:rsidRDefault="00721A01" w:rsidP="00721A01">
      <w:pPr>
        <w:pStyle w:val="Bluetitles"/>
        <w:spacing w:before="0" w:after="0" w:line="240" w:lineRule="atLeast"/>
        <w:jc w:val="both"/>
        <w:rPr>
          <w:lang w:eastAsia="el-GR"/>
        </w:rPr>
      </w:pPr>
    </w:p>
    <w:p w14:paraId="7C27EAA2" w14:textId="7E352F81" w:rsidR="00922FE2" w:rsidRDefault="00922FE2" w:rsidP="00721A01">
      <w:pPr>
        <w:pStyle w:val="Bluetitles"/>
        <w:spacing w:before="0" w:after="0" w:line="240" w:lineRule="atLeast"/>
        <w:jc w:val="both"/>
        <w:rPr>
          <w:lang w:eastAsia="el-GR"/>
        </w:rPr>
      </w:pPr>
      <w:r>
        <w:rPr>
          <w:lang w:eastAsia="el-GR"/>
        </w:rPr>
        <w:t>Οι απόψεις των συμβουλων μανατζμεντ για τΗΝ ΑΠΟΤΕλεσΜΑΤΙΚΟΤΕΡΗ ΑΞΙΟΠΟΙΗΣΗ ΤΩΝ ΠΟΡΩΝ ΤΟΥ ΤΑΜΕΙΟΥ ανακαμψης</w:t>
      </w:r>
    </w:p>
    <w:p w14:paraId="05D02817" w14:textId="77777777" w:rsidR="00922FE2" w:rsidRDefault="00922FE2" w:rsidP="00721A01">
      <w:pPr>
        <w:spacing w:line="240" w:lineRule="atLeast"/>
        <w:rPr>
          <w:lang w:val="el-GR"/>
        </w:rPr>
      </w:pPr>
    </w:p>
    <w:p w14:paraId="2114A756" w14:textId="29B4F3CD" w:rsidR="00922FE2" w:rsidRDefault="00922FE2" w:rsidP="00721A01">
      <w:pPr>
        <w:pStyle w:val="Bluetitles"/>
        <w:spacing w:before="0" w:after="0" w:line="240" w:lineRule="atLeast"/>
        <w:ind w:left="0" w:firstLine="0"/>
        <w:jc w:val="both"/>
        <w:rPr>
          <w:b w:val="0"/>
          <w:bCs w:val="0"/>
          <w:caps w:val="0"/>
          <w:color w:val="000000"/>
          <w:spacing w:val="0"/>
          <w:sz w:val="21"/>
          <w:szCs w:val="21"/>
        </w:rPr>
      </w:pPr>
      <w:r>
        <w:rPr>
          <w:b w:val="0"/>
          <w:bCs w:val="0"/>
          <w:caps w:val="0"/>
          <w:color w:val="000000"/>
          <w:spacing w:val="0"/>
          <w:sz w:val="21"/>
          <w:szCs w:val="21"/>
        </w:rPr>
        <w:t>Η έρευνα εξέτασε επίσης τις απόψεις των</w:t>
      </w:r>
      <w:r w:rsidRPr="001E0B55">
        <w:rPr>
          <w:b w:val="0"/>
          <w:bCs w:val="0"/>
          <w:caps w:val="0"/>
          <w:color w:val="000000"/>
          <w:spacing w:val="0"/>
          <w:sz w:val="21"/>
          <w:szCs w:val="21"/>
        </w:rPr>
        <w:t xml:space="preserve"> </w:t>
      </w:r>
      <w:r w:rsidR="009E4162">
        <w:rPr>
          <w:b w:val="0"/>
          <w:bCs w:val="0"/>
          <w:caps w:val="0"/>
          <w:color w:val="000000"/>
          <w:spacing w:val="0"/>
          <w:sz w:val="21"/>
          <w:szCs w:val="21"/>
        </w:rPr>
        <w:t>σ</w:t>
      </w:r>
      <w:r>
        <w:rPr>
          <w:b w:val="0"/>
          <w:bCs w:val="0"/>
          <w:caps w:val="0"/>
          <w:color w:val="000000"/>
          <w:spacing w:val="0"/>
          <w:sz w:val="21"/>
          <w:szCs w:val="21"/>
        </w:rPr>
        <w:t xml:space="preserve">υμβούλων μάνατζμεντ για την όσο το δυνατόν αποτελεσματικότερη αξιοποίηση των πόρων που αναμένεται να εισρεύσουν στη χώρα την επόμενη πενταετία μέσω του Ταμείου Ανάκαμψης. </w:t>
      </w:r>
    </w:p>
    <w:p w14:paraId="30645EF2" w14:textId="77777777" w:rsidR="00922FE2" w:rsidRDefault="00922FE2" w:rsidP="00721A01">
      <w:pPr>
        <w:pStyle w:val="Bluetitles"/>
        <w:spacing w:before="0" w:after="0" w:line="240" w:lineRule="atLeast"/>
        <w:ind w:left="0" w:firstLine="0"/>
        <w:jc w:val="both"/>
        <w:rPr>
          <w:b w:val="0"/>
          <w:bCs w:val="0"/>
          <w:caps w:val="0"/>
          <w:color w:val="000000"/>
          <w:spacing w:val="0"/>
          <w:sz w:val="21"/>
          <w:szCs w:val="21"/>
        </w:rPr>
      </w:pPr>
    </w:p>
    <w:p w14:paraId="159B2616" w14:textId="77777777" w:rsidR="00922FE2" w:rsidRPr="00724433" w:rsidRDefault="00922FE2" w:rsidP="00721A01">
      <w:pPr>
        <w:pStyle w:val="Bluetitles"/>
        <w:spacing w:before="0" w:after="0" w:line="240" w:lineRule="atLeast"/>
        <w:ind w:left="0" w:firstLine="0"/>
        <w:jc w:val="both"/>
        <w:rPr>
          <w:b w:val="0"/>
          <w:bCs w:val="0"/>
          <w:caps w:val="0"/>
          <w:color w:val="000000"/>
          <w:spacing w:val="0"/>
          <w:sz w:val="21"/>
          <w:szCs w:val="21"/>
        </w:rPr>
      </w:pPr>
      <w:r>
        <w:rPr>
          <w:b w:val="0"/>
          <w:bCs w:val="0"/>
          <w:caps w:val="0"/>
          <w:color w:val="000000"/>
          <w:spacing w:val="0"/>
          <w:sz w:val="21"/>
          <w:szCs w:val="21"/>
        </w:rPr>
        <w:t xml:space="preserve">Οι σύμβουλοι μάνατζμεντ θεωρούν ότι ο ορθολογικός σχεδιασμός των έργων, τα οποία θα χρηματοδοτηθούν από το Ταμείο, αποτελεί την πρώτη προτεραιότητα για την αξιοποίηση των πόρων με αποτελεσματικό τρόπο. Δεύτερος σε σημασία παράγων είναι η προσέλκυση ιδιωτικών επενδύσεων και ακολουθούν η σύναψη συμβάσεων – πλαίσιο με τους προμηθευτές και η </w:t>
      </w:r>
      <w:r w:rsidRPr="005426EA">
        <w:rPr>
          <w:b w:val="0"/>
          <w:bCs w:val="0"/>
          <w:caps w:val="0"/>
          <w:color w:val="000000"/>
          <w:spacing w:val="0"/>
          <w:sz w:val="21"/>
          <w:szCs w:val="21"/>
        </w:rPr>
        <w:t xml:space="preserve">εισαγωγή των απαραίτητων νομοθετικών ρυθμίσεων για την επιτάχυνση των </w:t>
      </w:r>
      <w:r>
        <w:rPr>
          <w:b w:val="0"/>
          <w:bCs w:val="0"/>
          <w:caps w:val="0"/>
          <w:color w:val="000000"/>
          <w:spacing w:val="0"/>
          <w:sz w:val="21"/>
          <w:szCs w:val="21"/>
        </w:rPr>
        <w:t xml:space="preserve">έργων. </w:t>
      </w:r>
    </w:p>
    <w:p w14:paraId="7C10C7FF" w14:textId="77777777" w:rsidR="00922FE2" w:rsidRDefault="00922FE2" w:rsidP="00721A01">
      <w:pPr>
        <w:pStyle w:val="Bluetitles"/>
        <w:spacing w:before="0" w:after="0" w:line="240" w:lineRule="atLeast"/>
        <w:ind w:left="0" w:firstLine="0"/>
        <w:jc w:val="center"/>
        <w:rPr>
          <w:b w:val="0"/>
          <w:bCs w:val="0"/>
          <w:caps w:val="0"/>
          <w:color w:val="000000"/>
          <w:spacing w:val="0"/>
          <w:sz w:val="21"/>
          <w:szCs w:val="21"/>
        </w:rPr>
      </w:pPr>
      <w:r>
        <w:rPr>
          <w:noProof/>
          <w:lang w:val="en-GB" w:eastAsia="en-GB"/>
        </w:rPr>
        <w:drawing>
          <wp:anchor distT="0" distB="0" distL="114300" distR="114300" simplePos="0" relativeHeight="251689984" behindDoc="1" locked="0" layoutInCell="1" allowOverlap="1" wp14:anchorId="02362358" wp14:editId="71F68BC1">
            <wp:simplePos x="0" y="0"/>
            <wp:positionH relativeFrom="column">
              <wp:posOffset>-614045</wp:posOffset>
            </wp:positionH>
            <wp:positionV relativeFrom="paragraph">
              <wp:posOffset>197485</wp:posOffset>
            </wp:positionV>
            <wp:extent cx="6432550" cy="2324100"/>
            <wp:effectExtent l="0" t="0" r="6350" b="0"/>
            <wp:wrapTight wrapText="bothSides">
              <wp:wrapPolygon edited="0">
                <wp:start x="0" y="0"/>
                <wp:lineTo x="0" y="21423"/>
                <wp:lineTo x="21557" y="21423"/>
                <wp:lineTo x="21557" y="0"/>
                <wp:lineTo x="0" y="0"/>
              </wp:wrapPolygon>
            </wp:wrapTight>
            <wp:docPr id="257" name="Γράφημα 257">
              <a:extLst xmlns:a="http://schemas.openxmlformats.org/drawingml/2006/main">
                <a:ext uri="{FF2B5EF4-FFF2-40B4-BE49-F238E27FC236}">
                  <a16:creationId xmlns:a16="http://schemas.microsoft.com/office/drawing/2014/main" id="{256B73C8-1257-45FC-8488-F17AB5E9CD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2AD56FB5" w14:textId="77777777" w:rsidR="00922FE2" w:rsidRPr="001E0B55" w:rsidRDefault="00922FE2" w:rsidP="00721A01">
      <w:pPr>
        <w:pStyle w:val="Bluetitles"/>
        <w:spacing w:before="0" w:after="0" w:line="240" w:lineRule="atLeast"/>
        <w:ind w:left="0" w:firstLine="0"/>
        <w:jc w:val="both"/>
        <w:rPr>
          <w:b w:val="0"/>
          <w:bCs w:val="0"/>
          <w:caps w:val="0"/>
          <w:color w:val="000000"/>
          <w:spacing w:val="0"/>
          <w:sz w:val="21"/>
          <w:szCs w:val="21"/>
        </w:rPr>
      </w:pPr>
      <w:r>
        <w:rPr>
          <w:noProof/>
          <w:lang w:val="en-GB" w:eastAsia="en-GB"/>
        </w:rPr>
        <w:drawing>
          <wp:anchor distT="0" distB="0" distL="114300" distR="114300" simplePos="0" relativeHeight="251691008" behindDoc="1" locked="0" layoutInCell="1" allowOverlap="1" wp14:anchorId="1A5C7270" wp14:editId="57258373">
            <wp:simplePos x="0" y="0"/>
            <wp:positionH relativeFrom="column">
              <wp:posOffset>-194945</wp:posOffset>
            </wp:positionH>
            <wp:positionV relativeFrom="paragraph">
              <wp:posOffset>3150235</wp:posOffset>
            </wp:positionV>
            <wp:extent cx="6121400" cy="2489200"/>
            <wp:effectExtent l="0" t="0" r="0" b="6350"/>
            <wp:wrapTight wrapText="bothSides">
              <wp:wrapPolygon edited="0">
                <wp:start x="0" y="0"/>
                <wp:lineTo x="0" y="21490"/>
                <wp:lineTo x="21510" y="21490"/>
                <wp:lineTo x="21510" y="0"/>
                <wp:lineTo x="0" y="0"/>
              </wp:wrapPolygon>
            </wp:wrapTight>
            <wp:docPr id="258" name="Γράφημα 258">
              <a:extLst xmlns:a="http://schemas.openxmlformats.org/drawingml/2006/main">
                <a:ext uri="{FF2B5EF4-FFF2-40B4-BE49-F238E27FC236}">
                  <a16:creationId xmlns:a16="http://schemas.microsoft.com/office/drawing/2014/main" id="{F9C87C3C-F6C5-4FAF-990F-4A690301BC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Pr>
          <w:b w:val="0"/>
          <w:bCs w:val="0"/>
          <w:caps w:val="0"/>
          <w:color w:val="000000"/>
          <w:spacing w:val="0"/>
          <w:sz w:val="21"/>
          <w:szCs w:val="21"/>
        </w:rPr>
        <w:t>Από την άλλη πλευρά, οι σημαντικότεροι κίνδυνοι που ελλοχεύουν είναι κατά σειρά σημασίας:</w:t>
      </w:r>
      <w:r w:rsidRPr="00826407">
        <w:rPr>
          <w:b w:val="0"/>
          <w:bCs w:val="0"/>
          <w:caps w:val="0"/>
          <w:color w:val="000000"/>
          <w:spacing w:val="0"/>
          <w:sz w:val="21"/>
          <w:szCs w:val="21"/>
        </w:rPr>
        <w:t xml:space="preserve"> </w:t>
      </w:r>
      <w:r>
        <w:rPr>
          <w:b w:val="0"/>
          <w:bCs w:val="0"/>
          <w:caps w:val="0"/>
          <w:color w:val="000000"/>
          <w:spacing w:val="0"/>
          <w:sz w:val="21"/>
          <w:szCs w:val="21"/>
        </w:rPr>
        <w:t>οι καθυστερήσεις στις αναθέσεις των έργων και ο ενδεχόμενος χαμηλός βαθμός «ωριμότητας» σημαντικών έργων</w:t>
      </w:r>
      <w:r w:rsidRPr="001E0B55">
        <w:rPr>
          <w:b w:val="0"/>
          <w:bCs w:val="0"/>
          <w:caps w:val="0"/>
          <w:color w:val="000000"/>
          <w:spacing w:val="0"/>
          <w:sz w:val="21"/>
          <w:szCs w:val="21"/>
        </w:rPr>
        <w:t>.</w:t>
      </w:r>
    </w:p>
    <w:p w14:paraId="592B4626" w14:textId="77777777" w:rsidR="00922FE2" w:rsidRDefault="00922FE2" w:rsidP="00721A01">
      <w:pPr>
        <w:pStyle w:val="Bluetitles"/>
        <w:spacing w:before="0" w:after="0" w:line="240" w:lineRule="atLeast"/>
        <w:ind w:left="0" w:firstLine="0"/>
        <w:jc w:val="both"/>
        <w:rPr>
          <w:b w:val="0"/>
          <w:bCs w:val="0"/>
          <w:caps w:val="0"/>
          <w:color w:val="000000"/>
          <w:spacing w:val="0"/>
          <w:sz w:val="21"/>
          <w:szCs w:val="21"/>
        </w:rPr>
      </w:pPr>
      <w:r>
        <w:rPr>
          <w:b w:val="0"/>
          <w:bCs w:val="0"/>
          <w:caps w:val="0"/>
          <w:color w:val="000000"/>
          <w:spacing w:val="0"/>
          <w:sz w:val="21"/>
          <w:szCs w:val="21"/>
        </w:rPr>
        <w:t xml:space="preserve"> </w:t>
      </w:r>
    </w:p>
    <w:p w14:paraId="6C2F0003" w14:textId="77777777" w:rsidR="00922FE2" w:rsidRDefault="00922FE2" w:rsidP="00721A01">
      <w:pPr>
        <w:pStyle w:val="Bluetitles"/>
        <w:spacing w:before="0" w:after="0" w:line="240" w:lineRule="atLeast"/>
        <w:ind w:left="0" w:firstLine="0"/>
        <w:jc w:val="both"/>
        <w:rPr>
          <w:b w:val="0"/>
          <w:bCs w:val="0"/>
          <w:caps w:val="0"/>
          <w:color w:val="000000"/>
          <w:spacing w:val="0"/>
          <w:sz w:val="21"/>
          <w:szCs w:val="21"/>
        </w:rPr>
      </w:pPr>
      <w:r>
        <w:rPr>
          <w:b w:val="0"/>
          <w:bCs w:val="0"/>
          <w:caps w:val="0"/>
          <w:color w:val="000000"/>
          <w:spacing w:val="0"/>
          <w:sz w:val="21"/>
          <w:szCs w:val="21"/>
        </w:rPr>
        <w:lastRenderedPageBreak/>
        <w:t>Ο συμβουλευτικός τομέας αντιμετωπίζει σημαντικές προκλήσεις σχετιζόμενες με την αξιοποίηση των πόρων του Ταμείου Ανάκαμψης. Οι κυριότερες είναι: η στρατηγική συνεργασία με άλλες εταιρείες για την από κοινού ανάληψη μεγάλων έργων, η διεύρυνση της αγοράς των συμβουλευτικών  υπηρεσιών στον ιδιωτικό αλλά και στον δημόσιο τομέα και ο σχεδιασμός και η παροχή νέων / διαφοροποιημένων συμβουλευτικών υπηρεσιών.</w:t>
      </w:r>
    </w:p>
    <w:p w14:paraId="6220559E" w14:textId="77777777" w:rsidR="00922FE2" w:rsidRDefault="00922FE2" w:rsidP="00721A01">
      <w:pPr>
        <w:pStyle w:val="Bluetitles"/>
        <w:spacing w:before="0" w:after="0" w:line="240" w:lineRule="atLeast"/>
        <w:ind w:left="0" w:firstLine="0"/>
        <w:rPr>
          <w:b w:val="0"/>
          <w:bCs w:val="0"/>
          <w:caps w:val="0"/>
          <w:color w:val="000000"/>
          <w:spacing w:val="0"/>
          <w:sz w:val="21"/>
          <w:szCs w:val="21"/>
        </w:rPr>
      </w:pPr>
      <w:r>
        <w:rPr>
          <w:noProof/>
          <w:lang w:val="en-GB" w:eastAsia="en-GB"/>
        </w:rPr>
        <w:drawing>
          <wp:inline distT="0" distB="0" distL="0" distR="0" wp14:anchorId="59A54040" wp14:editId="339EC5C5">
            <wp:extent cx="5226050" cy="2940050"/>
            <wp:effectExtent l="0" t="0" r="0" b="0"/>
            <wp:docPr id="259" name="Γράφημα 259">
              <a:extLst xmlns:a="http://schemas.openxmlformats.org/drawingml/2006/main">
                <a:ext uri="{FF2B5EF4-FFF2-40B4-BE49-F238E27FC236}">
                  <a16:creationId xmlns:a16="http://schemas.microsoft.com/office/drawing/2014/main" id="{A948F481-465A-4100-9037-C0F26878A5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818936" w14:textId="77777777" w:rsidR="00922FE2" w:rsidRDefault="00922FE2" w:rsidP="00721A01">
      <w:pPr>
        <w:pStyle w:val="Bluetitles"/>
        <w:spacing w:before="0" w:after="0" w:line="240" w:lineRule="atLeast"/>
        <w:ind w:left="0" w:firstLine="0"/>
        <w:jc w:val="both"/>
        <w:rPr>
          <w:b w:val="0"/>
          <w:bCs w:val="0"/>
          <w:caps w:val="0"/>
          <w:color w:val="000000"/>
          <w:spacing w:val="0"/>
          <w:sz w:val="21"/>
          <w:szCs w:val="21"/>
        </w:rPr>
      </w:pPr>
      <w:r>
        <w:rPr>
          <w:b w:val="0"/>
          <w:bCs w:val="0"/>
          <w:caps w:val="0"/>
          <w:color w:val="000000"/>
          <w:spacing w:val="0"/>
          <w:sz w:val="21"/>
          <w:szCs w:val="21"/>
        </w:rPr>
        <w:t>Μεγάλο ενδιαφέρον παρουσιάζουν επίσης οι απόψεις για τους πυλώνες του Ταμείου Ανάκαμψης στους οποίους οι σύμβουλοι εκτιμούν ότι μπορούν να συνεισφέρουν αυξάνοντας την προστιθέμενη αξία των έργων. Οι δύο πυλώνες που είχαν το υψηλότερο σκορ ήταν ο ψηφιακός μετασχηματισμός (2</w:t>
      </w:r>
      <w:r w:rsidRPr="00452FF9">
        <w:rPr>
          <w:b w:val="0"/>
          <w:bCs w:val="0"/>
          <w:caps w:val="0"/>
          <w:color w:val="000000"/>
          <w:spacing w:val="0"/>
          <w:sz w:val="21"/>
          <w:szCs w:val="21"/>
          <w:vertAlign w:val="superscript"/>
        </w:rPr>
        <w:t>ος</w:t>
      </w:r>
      <w:r>
        <w:rPr>
          <w:b w:val="0"/>
          <w:bCs w:val="0"/>
          <w:caps w:val="0"/>
          <w:color w:val="000000"/>
          <w:spacing w:val="0"/>
          <w:sz w:val="21"/>
          <w:szCs w:val="21"/>
        </w:rPr>
        <w:t xml:space="preserve"> πυλώνας) και οι ιδιωτικές επενδύσεις για τον μετασχηματισμό της οικονομίας (4</w:t>
      </w:r>
      <w:r w:rsidRPr="00452FF9">
        <w:rPr>
          <w:b w:val="0"/>
          <w:bCs w:val="0"/>
          <w:caps w:val="0"/>
          <w:color w:val="000000"/>
          <w:spacing w:val="0"/>
          <w:sz w:val="21"/>
          <w:szCs w:val="21"/>
          <w:vertAlign w:val="superscript"/>
        </w:rPr>
        <w:t>ος</w:t>
      </w:r>
      <w:r>
        <w:rPr>
          <w:b w:val="0"/>
          <w:bCs w:val="0"/>
          <w:caps w:val="0"/>
          <w:color w:val="000000"/>
          <w:spacing w:val="0"/>
          <w:sz w:val="21"/>
          <w:szCs w:val="21"/>
        </w:rPr>
        <w:t xml:space="preserve"> πυλώνας). </w:t>
      </w:r>
    </w:p>
    <w:p w14:paraId="0D19910E" w14:textId="77777777" w:rsidR="00922FE2" w:rsidRDefault="00922FE2" w:rsidP="00721A01">
      <w:pPr>
        <w:pStyle w:val="Bluetitles"/>
        <w:spacing w:before="0" w:after="0" w:line="240" w:lineRule="atLeast"/>
        <w:ind w:left="0" w:firstLine="0"/>
        <w:jc w:val="both"/>
        <w:rPr>
          <w:b w:val="0"/>
          <w:bCs w:val="0"/>
          <w:caps w:val="0"/>
          <w:color w:val="000000"/>
          <w:spacing w:val="0"/>
          <w:sz w:val="21"/>
          <w:szCs w:val="21"/>
        </w:rPr>
      </w:pPr>
    </w:p>
    <w:p w14:paraId="3D7984EE" w14:textId="30AD113B" w:rsidR="00922FE2" w:rsidRDefault="00922FE2" w:rsidP="00721A01">
      <w:pPr>
        <w:pStyle w:val="Bluetitles"/>
        <w:spacing w:before="0" w:after="0" w:line="240" w:lineRule="atLeast"/>
        <w:ind w:left="0" w:firstLine="0"/>
        <w:jc w:val="both"/>
        <w:rPr>
          <w:b w:val="0"/>
          <w:bCs w:val="0"/>
          <w:caps w:val="0"/>
          <w:color w:val="000000"/>
          <w:spacing w:val="0"/>
          <w:sz w:val="21"/>
          <w:szCs w:val="21"/>
        </w:rPr>
      </w:pPr>
      <w:r>
        <w:rPr>
          <w:b w:val="0"/>
          <w:bCs w:val="0"/>
          <w:caps w:val="0"/>
          <w:color w:val="000000"/>
          <w:spacing w:val="0"/>
          <w:sz w:val="21"/>
          <w:szCs w:val="21"/>
        </w:rPr>
        <w:t xml:space="preserve">Ειδικότερα, στον δεύτερο πυλώνα σημαντικότερος τομέας θεωρήθηκε ο ψηφιακός μετασχηματισμός του κράτους, που είχε και το υψηλότερο σκορ, 5,9. Στον τέταρτο πυλώνα, σημαντικότερος τομέας ήταν ο εκσυγχρονισμός της δημόσιας διοίκησης. </w:t>
      </w:r>
    </w:p>
    <w:p w14:paraId="7A7ADD98" w14:textId="77777777" w:rsidR="00721A01" w:rsidRPr="00193237" w:rsidRDefault="00721A01" w:rsidP="00721A01">
      <w:pPr>
        <w:pStyle w:val="Bluetitles"/>
        <w:spacing w:before="0" w:after="0" w:line="240" w:lineRule="atLeast"/>
        <w:ind w:left="0" w:firstLine="0"/>
        <w:jc w:val="both"/>
        <w:rPr>
          <w:b w:val="0"/>
          <w:bCs w:val="0"/>
          <w:caps w:val="0"/>
          <w:color w:val="000000"/>
          <w:spacing w:val="0"/>
          <w:sz w:val="21"/>
          <w:szCs w:val="21"/>
        </w:rPr>
      </w:pPr>
    </w:p>
    <w:p w14:paraId="79ED6DA8" w14:textId="77777777" w:rsidR="00922FE2" w:rsidRDefault="00922FE2" w:rsidP="00721A01">
      <w:pPr>
        <w:pStyle w:val="Bluetitles"/>
        <w:spacing w:before="0" w:after="0" w:line="240" w:lineRule="atLeast"/>
        <w:jc w:val="center"/>
        <w:rPr>
          <w:b w:val="0"/>
          <w:bCs w:val="0"/>
          <w:caps w:val="0"/>
          <w:color w:val="000000"/>
          <w:spacing w:val="0"/>
          <w:sz w:val="21"/>
          <w:szCs w:val="21"/>
        </w:rPr>
      </w:pPr>
      <w:r>
        <w:rPr>
          <w:b w:val="0"/>
          <w:bCs w:val="0"/>
          <w:caps w:val="0"/>
          <w:color w:val="000000"/>
          <w:spacing w:val="0"/>
          <w:sz w:val="21"/>
          <w:szCs w:val="21"/>
        </w:rPr>
        <w:t>Οι επτά άξονες με την μεγαλύτερη προστιθέμενη αξία</w:t>
      </w:r>
    </w:p>
    <w:p w14:paraId="2494C603" w14:textId="77777777" w:rsidR="00922FE2" w:rsidRDefault="00922FE2" w:rsidP="00721A01">
      <w:pPr>
        <w:pStyle w:val="Bluetitles"/>
        <w:spacing w:before="0" w:after="0" w:line="240" w:lineRule="atLeast"/>
        <w:ind w:left="0" w:firstLine="0"/>
        <w:rPr>
          <w:b w:val="0"/>
          <w:bCs w:val="0"/>
          <w:caps w:val="0"/>
          <w:color w:val="000000"/>
          <w:spacing w:val="0"/>
          <w:sz w:val="21"/>
          <w:szCs w:val="21"/>
        </w:rPr>
      </w:pPr>
      <w:r>
        <w:rPr>
          <w:noProof/>
          <w:lang w:val="en-GB" w:eastAsia="en-GB"/>
        </w:rPr>
        <w:drawing>
          <wp:inline distT="0" distB="0" distL="0" distR="0" wp14:anchorId="6D15ED55" wp14:editId="0054C4E6">
            <wp:extent cx="5689600" cy="2743200"/>
            <wp:effectExtent l="0" t="0" r="6350" b="0"/>
            <wp:docPr id="261" name="Γράφημα 261">
              <a:extLst xmlns:a="http://schemas.openxmlformats.org/drawingml/2006/main">
                <a:ext uri="{FF2B5EF4-FFF2-40B4-BE49-F238E27FC236}">
                  <a16:creationId xmlns:a16="http://schemas.microsoft.com/office/drawing/2014/main" id="{CAC79B3E-89DC-4F92-B67B-41290512AF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A7D1DDA" w14:textId="77777777" w:rsidR="00922FE2" w:rsidRDefault="00922FE2" w:rsidP="00721A01">
      <w:pPr>
        <w:pStyle w:val="Bluetitles"/>
        <w:spacing w:before="0" w:after="0" w:line="240" w:lineRule="atLeast"/>
        <w:ind w:left="0" w:firstLine="0"/>
        <w:rPr>
          <w:b w:val="0"/>
          <w:bCs w:val="0"/>
          <w:caps w:val="0"/>
          <w:color w:val="000000"/>
          <w:spacing w:val="0"/>
          <w:sz w:val="21"/>
          <w:szCs w:val="21"/>
        </w:rPr>
      </w:pPr>
    </w:p>
    <w:p w14:paraId="2CEF4050" w14:textId="77777777" w:rsidR="00922FE2" w:rsidRDefault="00922FE2" w:rsidP="00721A01">
      <w:pPr>
        <w:pStyle w:val="Bluetitles"/>
        <w:spacing w:before="0" w:after="0" w:line="240" w:lineRule="atLeast"/>
        <w:ind w:left="0" w:firstLine="0"/>
        <w:rPr>
          <w:b w:val="0"/>
          <w:bCs w:val="0"/>
          <w:caps w:val="0"/>
          <w:color w:val="000000"/>
          <w:spacing w:val="0"/>
          <w:sz w:val="21"/>
          <w:szCs w:val="21"/>
          <w:highlight w:val="yellow"/>
        </w:rPr>
      </w:pPr>
    </w:p>
    <w:p w14:paraId="71830A50" w14:textId="77777777" w:rsidR="00922FE2" w:rsidRDefault="00922FE2" w:rsidP="00721A01">
      <w:pPr>
        <w:pStyle w:val="Bluetitles"/>
        <w:spacing w:before="0" w:after="0" w:line="240" w:lineRule="atLeast"/>
        <w:ind w:left="0" w:firstLine="0"/>
        <w:rPr>
          <w:b w:val="0"/>
          <w:bCs w:val="0"/>
          <w:caps w:val="0"/>
          <w:color w:val="000000"/>
          <w:spacing w:val="0"/>
          <w:sz w:val="21"/>
          <w:szCs w:val="21"/>
          <w:highlight w:val="yellow"/>
        </w:rPr>
      </w:pPr>
    </w:p>
    <w:p w14:paraId="4B2F8351" w14:textId="77777777" w:rsidR="00922FE2" w:rsidRDefault="00922FE2" w:rsidP="00721A01">
      <w:pPr>
        <w:pStyle w:val="Bluetitles"/>
        <w:spacing w:before="0" w:after="0" w:line="240" w:lineRule="atLeast"/>
        <w:ind w:left="0" w:firstLine="0"/>
        <w:rPr>
          <w:b w:val="0"/>
          <w:bCs w:val="0"/>
          <w:caps w:val="0"/>
          <w:color w:val="000000"/>
          <w:spacing w:val="0"/>
          <w:sz w:val="21"/>
          <w:szCs w:val="21"/>
        </w:rPr>
      </w:pPr>
      <w:r w:rsidRPr="00452FF9">
        <w:rPr>
          <w:b w:val="0"/>
          <w:bCs w:val="0"/>
          <w:caps w:val="0"/>
          <w:color w:val="000000"/>
          <w:spacing w:val="0"/>
          <w:sz w:val="21"/>
          <w:szCs w:val="21"/>
        </w:rPr>
        <w:t>Η σημαντικότητα της παρέμβασης των συμβούλων ανά πυλώνα (ΜΟ) παρουσιάζεται στη συνέχεια</w:t>
      </w:r>
      <w:r>
        <w:rPr>
          <w:b w:val="0"/>
          <w:bCs w:val="0"/>
          <w:caps w:val="0"/>
          <w:color w:val="000000"/>
          <w:spacing w:val="0"/>
          <w:sz w:val="21"/>
          <w:szCs w:val="21"/>
        </w:rPr>
        <w:t>.</w:t>
      </w:r>
      <w:r w:rsidRPr="00452FF9">
        <w:rPr>
          <w:b w:val="0"/>
          <w:bCs w:val="0"/>
          <w:caps w:val="0"/>
          <w:color w:val="000000"/>
          <w:spacing w:val="0"/>
          <w:sz w:val="21"/>
          <w:szCs w:val="21"/>
        </w:rPr>
        <w:t xml:space="preserve"> </w:t>
      </w:r>
      <w:r>
        <w:rPr>
          <w:b w:val="0"/>
          <w:bCs w:val="0"/>
          <w:caps w:val="0"/>
          <w:color w:val="000000"/>
          <w:spacing w:val="0"/>
          <w:sz w:val="21"/>
          <w:szCs w:val="21"/>
        </w:rPr>
        <w:t xml:space="preserve"> </w:t>
      </w:r>
    </w:p>
    <w:p w14:paraId="78CD95C3" w14:textId="77777777" w:rsidR="00922FE2" w:rsidRDefault="00922FE2" w:rsidP="00721A01">
      <w:pPr>
        <w:pStyle w:val="Bluetitles"/>
        <w:spacing w:before="0" w:after="0" w:line="240" w:lineRule="atLeast"/>
        <w:ind w:left="0" w:firstLine="0"/>
        <w:rPr>
          <w:b w:val="0"/>
          <w:bCs w:val="0"/>
          <w:caps w:val="0"/>
          <w:color w:val="000000"/>
          <w:spacing w:val="0"/>
          <w:sz w:val="21"/>
          <w:szCs w:val="21"/>
        </w:rPr>
      </w:pPr>
    </w:p>
    <w:p w14:paraId="01F743CB" w14:textId="77777777" w:rsidR="00922FE2" w:rsidRDefault="00922FE2" w:rsidP="00721A01">
      <w:pPr>
        <w:pStyle w:val="Bluetitles"/>
        <w:spacing w:before="0" w:after="0" w:line="240" w:lineRule="atLeast"/>
        <w:ind w:left="0" w:firstLine="0"/>
        <w:rPr>
          <w:b w:val="0"/>
          <w:bCs w:val="0"/>
          <w:caps w:val="0"/>
          <w:color w:val="000000"/>
          <w:spacing w:val="0"/>
          <w:sz w:val="21"/>
          <w:szCs w:val="21"/>
        </w:rPr>
      </w:pPr>
      <w:r>
        <w:rPr>
          <w:noProof/>
          <w:lang w:val="en-GB" w:eastAsia="en-GB"/>
        </w:rPr>
        <w:drawing>
          <wp:inline distT="0" distB="0" distL="0" distR="0" wp14:anchorId="6ADC2116" wp14:editId="4A91A864">
            <wp:extent cx="5632450" cy="1854200"/>
            <wp:effectExtent l="0" t="0" r="6350" b="0"/>
            <wp:docPr id="59" name="Γράφημα 59">
              <a:extLst xmlns:a="http://schemas.openxmlformats.org/drawingml/2006/main">
                <a:ext uri="{FF2B5EF4-FFF2-40B4-BE49-F238E27FC236}">
                  <a16:creationId xmlns:a16="http://schemas.microsoft.com/office/drawing/2014/main" id="{4308AB28-2ADA-4E5E-9C58-1E30767D39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40E44B9" w14:textId="14C0FE76" w:rsidR="00922FE2" w:rsidRDefault="00922FE2" w:rsidP="00721A01">
      <w:pPr>
        <w:pStyle w:val="Bluetitles"/>
        <w:spacing w:before="0" w:after="0" w:line="240" w:lineRule="atLeast"/>
        <w:ind w:left="0" w:firstLine="0"/>
        <w:rPr>
          <w:b w:val="0"/>
          <w:bCs w:val="0"/>
          <w:caps w:val="0"/>
          <w:color w:val="000000"/>
          <w:spacing w:val="0"/>
          <w:sz w:val="21"/>
          <w:szCs w:val="21"/>
        </w:rPr>
      </w:pPr>
      <w:r>
        <w:rPr>
          <w:b w:val="0"/>
          <w:bCs w:val="0"/>
          <w:caps w:val="0"/>
          <w:color w:val="000000"/>
          <w:spacing w:val="0"/>
          <w:sz w:val="21"/>
          <w:szCs w:val="21"/>
        </w:rPr>
        <w:t xml:space="preserve">Η σημαντικότητα για κάθε δράση των πυλώνων του Ταμείου Ανάκαμψης παρουσιάζεται στη συνέχεια.  </w:t>
      </w:r>
    </w:p>
    <w:p w14:paraId="133F4FB4" w14:textId="4AEEC1D1" w:rsidR="00922FE2" w:rsidRDefault="00721A01" w:rsidP="00721A01">
      <w:pPr>
        <w:pStyle w:val="Bluetitles"/>
        <w:spacing w:before="0" w:after="0" w:line="240" w:lineRule="atLeast"/>
        <w:ind w:left="0" w:firstLine="0"/>
        <w:rPr>
          <w:b w:val="0"/>
          <w:bCs w:val="0"/>
          <w:caps w:val="0"/>
          <w:color w:val="000000"/>
          <w:spacing w:val="0"/>
          <w:sz w:val="21"/>
          <w:szCs w:val="21"/>
        </w:rPr>
      </w:pPr>
      <w:r w:rsidRPr="00534FAD">
        <w:rPr>
          <w:noProof/>
          <w:color w:val="CC0066"/>
          <w:lang w:val="en-GB" w:eastAsia="en-GB"/>
        </w:rPr>
        <w:drawing>
          <wp:anchor distT="0" distB="0" distL="114300" distR="114300" simplePos="0" relativeHeight="251693056" behindDoc="1" locked="0" layoutInCell="1" allowOverlap="1" wp14:anchorId="627E374F" wp14:editId="534CC828">
            <wp:simplePos x="0" y="0"/>
            <wp:positionH relativeFrom="column">
              <wp:posOffset>-67310</wp:posOffset>
            </wp:positionH>
            <wp:positionV relativeFrom="paragraph">
              <wp:posOffset>407670</wp:posOffset>
            </wp:positionV>
            <wp:extent cx="5702300" cy="2190750"/>
            <wp:effectExtent l="0" t="0" r="0" b="0"/>
            <wp:wrapTight wrapText="bothSides">
              <wp:wrapPolygon edited="0">
                <wp:start x="0" y="0"/>
                <wp:lineTo x="0" y="21412"/>
                <wp:lineTo x="21504" y="21412"/>
                <wp:lineTo x="21504" y="0"/>
                <wp:lineTo x="0" y="0"/>
              </wp:wrapPolygon>
            </wp:wrapTight>
            <wp:docPr id="62" name="Γράφημα 62">
              <a:extLst xmlns:a="http://schemas.openxmlformats.org/drawingml/2006/main">
                <a:ext uri="{FF2B5EF4-FFF2-40B4-BE49-F238E27FC236}">
                  <a16:creationId xmlns:a16="http://schemas.microsoft.com/office/drawing/2014/main" id="{14A00B30-E6AD-4F34-AA12-5196C85BF5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V relativeFrom="margin">
              <wp14:pctHeight>0</wp14:pctHeight>
            </wp14:sizeRelV>
          </wp:anchor>
        </w:drawing>
      </w:r>
    </w:p>
    <w:p w14:paraId="7EE16B8D" w14:textId="5FDC77D0" w:rsidR="00922FE2" w:rsidRDefault="00922FE2" w:rsidP="00721A01">
      <w:pPr>
        <w:pStyle w:val="Bluetitles"/>
        <w:spacing w:before="0" w:after="0" w:line="240" w:lineRule="atLeast"/>
        <w:ind w:left="0" w:firstLine="0"/>
        <w:rPr>
          <w:b w:val="0"/>
          <w:bCs w:val="0"/>
          <w:caps w:val="0"/>
          <w:color w:val="000000"/>
          <w:spacing w:val="0"/>
          <w:sz w:val="21"/>
          <w:szCs w:val="21"/>
        </w:rPr>
      </w:pPr>
      <w:r w:rsidRPr="00534FAD">
        <w:rPr>
          <w:noProof/>
          <w:color w:val="002060"/>
          <w:lang w:val="en-GB" w:eastAsia="en-GB"/>
        </w:rPr>
        <w:lastRenderedPageBreak/>
        <w:drawing>
          <wp:inline distT="0" distB="0" distL="0" distR="0" wp14:anchorId="2E34CD88" wp14:editId="0C9CEA51">
            <wp:extent cx="5664200" cy="2362200"/>
            <wp:effectExtent l="0" t="0" r="0" b="0"/>
            <wp:docPr id="63" name="Γράφημα 63">
              <a:extLst xmlns:a="http://schemas.openxmlformats.org/drawingml/2006/main">
                <a:ext uri="{FF2B5EF4-FFF2-40B4-BE49-F238E27FC236}">
                  <a16:creationId xmlns:a16="http://schemas.microsoft.com/office/drawing/2014/main" id="{119072EA-1A63-4250-BB70-9E7DD7C087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81A3F45" w14:textId="27ED5DA0" w:rsidR="00922FE2" w:rsidRDefault="00721A01" w:rsidP="00721A01">
      <w:pPr>
        <w:pStyle w:val="Bluetitles"/>
        <w:spacing w:before="0" w:after="0" w:line="240" w:lineRule="atLeast"/>
        <w:ind w:left="0" w:firstLine="0"/>
        <w:rPr>
          <w:b w:val="0"/>
          <w:bCs w:val="0"/>
          <w:caps w:val="0"/>
          <w:color w:val="000000"/>
          <w:spacing w:val="0"/>
          <w:sz w:val="21"/>
          <w:szCs w:val="21"/>
        </w:rPr>
      </w:pPr>
      <w:r>
        <w:rPr>
          <w:noProof/>
          <w:lang w:val="en-GB" w:eastAsia="en-GB"/>
        </w:rPr>
        <w:drawing>
          <wp:anchor distT="0" distB="0" distL="114300" distR="114300" simplePos="0" relativeHeight="251692032" behindDoc="1" locked="0" layoutInCell="1" allowOverlap="1" wp14:anchorId="1B11C28D" wp14:editId="356CD97A">
            <wp:simplePos x="0" y="0"/>
            <wp:positionH relativeFrom="column">
              <wp:posOffset>-403860</wp:posOffset>
            </wp:positionH>
            <wp:positionV relativeFrom="paragraph">
              <wp:posOffset>453390</wp:posOffset>
            </wp:positionV>
            <wp:extent cx="6229350" cy="2768600"/>
            <wp:effectExtent l="0" t="0" r="0" b="0"/>
            <wp:wrapTight wrapText="bothSides">
              <wp:wrapPolygon edited="0">
                <wp:start x="0" y="0"/>
                <wp:lineTo x="0" y="21402"/>
                <wp:lineTo x="21534" y="21402"/>
                <wp:lineTo x="21534" y="0"/>
                <wp:lineTo x="0" y="0"/>
              </wp:wrapPolygon>
            </wp:wrapTight>
            <wp:docPr id="256" name="Γράφημα 256">
              <a:extLst xmlns:a="http://schemas.openxmlformats.org/drawingml/2006/main">
                <a:ext uri="{FF2B5EF4-FFF2-40B4-BE49-F238E27FC236}">
                  <a16:creationId xmlns:a16="http://schemas.microsoft.com/office/drawing/2014/main" id="{10E5714E-B769-4CBF-84FD-2C2D26B9C8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51FA2A4F" w14:textId="77777777" w:rsidR="00922FE2" w:rsidRDefault="00922FE2" w:rsidP="00721A01">
      <w:pPr>
        <w:pStyle w:val="Bluetitles"/>
        <w:spacing w:before="0" w:after="0" w:line="240" w:lineRule="atLeast"/>
        <w:ind w:left="0" w:firstLine="0"/>
        <w:rPr>
          <w:b w:val="0"/>
          <w:bCs w:val="0"/>
          <w:caps w:val="0"/>
          <w:color w:val="000000"/>
          <w:spacing w:val="0"/>
          <w:sz w:val="21"/>
          <w:szCs w:val="21"/>
        </w:rPr>
      </w:pPr>
      <w:r w:rsidRPr="007E7F49">
        <w:rPr>
          <w:noProof/>
          <w:color w:val="002060"/>
          <w:lang w:val="en-GB" w:eastAsia="en-GB"/>
        </w:rPr>
        <w:lastRenderedPageBreak/>
        <w:drawing>
          <wp:inline distT="0" distB="0" distL="0" distR="0" wp14:anchorId="1ADDAF1E" wp14:editId="4593E392">
            <wp:extent cx="5575300" cy="2622550"/>
            <wp:effectExtent l="0" t="0" r="6350" b="6350"/>
            <wp:docPr id="264" name="Γράφημα 264">
              <a:extLst xmlns:a="http://schemas.openxmlformats.org/drawingml/2006/main">
                <a:ext uri="{FF2B5EF4-FFF2-40B4-BE49-F238E27FC236}">
                  <a16:creationId xmlns:a16="http://schemas.microsoft.com/office/drawing/2014/main" id="{3A53FFE1-0EC4-4D75-9A05-9CC186B341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F3BC51B" w14:textId="77777777" w:rsidR="007C6B64" w:rsidRDefault="007C6B64" w:rsidP="00721A01">
      <w:pPr>
        <w:pStyle w:val="maintext"/>
        <w:suppressAutoHyphens/>
        <w:spacing w:after="0" w:line="240" w:lineRule="atLeast"/>
      </w:pPr>
      <w:r w:rsidRPr="00E033E8">
        <w:t>H παρούσα, 2</w:t>
      </w:r>
      <w:r>
        <w:t>8</w:t>
      </w:r>
      <w:r w:rsidRPr="00E033E8">
        <w:rPr>
          <w:vertAlign w:val="superscript"/>
        </w:rPr>
        <w:t>η</w:t>
      </w:r>
      <w:r w:rsidRPr="00E033E8">
        <w:t xml:space="preserve"> έρευνα πραγματοποιήθηκε από </w:t>
      </w:r>
      <w:r w:rsidRPr="00BC54A6">
        <w:t>21-12-2020 έως 15-01-2021</w:t>
      </w:r>
      <w:r w:rsidRPr="00E033E8">
        <w:t xml:space="preserve"> και κατέγραψε τις προσδοκίες και τις απόψεις που διαμορφώθηκαν κατά το τ</w:t>
      </w:r>
      <w:r>
        <w:t xml:space="preserve">έταρτο </w:t>
      </w:r>
      <w:r w:rsidRPr="00E033E8">
        <w:t>τρίμηνο του 2020. Συλλέχθηκαν 7</w:t>
      </w:r>
      <w:r w:rsidRPr="00B17F79">
        <w:t>2</w:t>
      </w:r>
      <w:r w:rsidRPr="00E033E8">
        <w:t xml:space="preserve"> απαντήσεις που αντιστοιχεί σε ποσοστό ανταπόκρισης </w:t>
      </w:r>
      <w:r w:rsidRPr="00BC54A6">
        <w:t>60,0%.</w:t>
      </w:r>
      <w:r w:rsidRPr="00EE3C2C">
        <w:t xml:space="preserve"> </w:t>
      </w:r>
    </w:p>
    <w:p w14:paraId="24F48031" w14:textId="4BF55466" w:rsidR="002E5AE4" w:rsidRPr="008D395D" w:rsidRDefault="002E5AE4" w:rsidP="00721A01">
      <w:pPr>
        <w:pStyle w:val="maintext"/>
        <w:suppressAutoHyphens/>
        <w:spacing w:after="0" w:line="240" w:lineRule="atLeast"/>
        <w:rPr>
          <w:rFonts w:cstheme="minorHAnsi"/>
        </w:rPr>
      </w:pPr>
    </w:p>
    <w:p w14:paraId="52E6A14E" w14:textId="345E3E70" w:rsidR="00343149" w:rsidRPr="008D395D" w:rsidRDefault="00343149" w:rsidP="00721A01">
      <w:pPr>
        <w:spacing w:line="240" w:lineRule="atLeast"/>
        <w:rPr>
          <w:rFonts w:ascii="Calibri" w:eastAsiaTheme="minorHAnsi" w:hAnsi="Calibri" w:cstheme="minorHAnsi"/>
          <w:color w:val="000000"/>
          <w:sz w:val="21"/>
          <w:szCs w:val="21"/>
          <w:lang w:val="el-GR" w:eastAsia="en-US"/>
        </w:rPr>
      </w:pPr>
      <w:r w:rsidRPr="008D395D">
        <w:rPr>
          <w:rFonts w:ascii="Calibri" w:eastAsiaTheme="minorHAnsi" w:hAnsi="Calibri" w:cstheme="minorHAnsi"/>
          <w:color w:val="000000"/>
          <w:sz w:val="21"/>
          <w:szCs w:val="21"/>
          <w:lang w:val="el-GR" w:eastAsia="en-US"/>
        </w:rPr>
        <w:t>Ο ΣΕΣΜΑ</w:t>
      </w:r>
    </w:p>
    <w:p w14:paraId="1381EE7A" w14:textId="2889FBC4" w:rsidR="002A77B6" w:rsidRPr="008D395D" w:rsidRDefault="00343149" w:rsidP="00721A01">
      <w:pPr>
        <w:spacing w:line="240" w:lineRule="atLeast"/>
        <w:rPr>
          <w:rFonts w:ascii="Calibri" w:eastAsiaTheme="minorHAnsi" w:hAnsi="Calibri" w:cstheme="minorHAnsi"/>
          <w:color w:val="000000"/>
          <w:sz w:val="21"/>
          <w:szCs w:val="21"/>
          <w:lang w:val="el-GR" w:eastAsia="en-US"/>
        </w:rPr>
      </w:pPr>
      <w:r w:rsidRPr="008D395D">
        <w:rPr>
          <w:rFonts w:ascii="Calibri" w:eastAsiaTheme="minorHAnsi" w:hAnsi="Calibri" w:cstheme="minorHAnsi"/>
          <w:color w:val="000000"/>
          <w:sz w:val="21"/>
          <w:szCs w:val="21"/>
          <w:lang w:val="el-GR" w:eastAsia="en-US"/>
        </w:rPr>
        <w:t>Ο Σύνδεσμος Εταιρειών Συμβούλων Μάνατζμεντ Ελλάδος (ΣΕΣΜΑ) ιδρύθηκε το 1991 και αποτελεί τον επαγγελματικό συλλογικό φορέα των οργανωμένων εταιρειών συμβούλων επιχειρήσεων στην Ελλάδα, με 46 εταιρείες –μέλη, στις οποίες απασχολούνται περισσότερα από 2.000 εξειδικευμένα στελέχη. Κύριος στόχος του ΣΕΣΜΑ είναι η ανάπτυξη και διεύρυνση της αγοράς συμβουλευτικών υπηρεσιών, στην Ελλάδα και στο εξωτερικό, και η ενίσχυση και παγίωση της αξιοπιστίας και της προστιθέμενης αξίας των συμβουλευτικών υπηρεσιών και της επιχειρηματικής υποστήριξης, τόσο στον δημόσιο, όσο και τον ιδιωτικό τομέα</w:t>
      </w:r>
      <w:r w:rsidR="00670C7A" w:rsidRPr="008D395D">
        <w:rPr>
          <w:rFonts w:ascii="Calibri" w:eastAsiaTheme="minorHAnsi" w:hAnsi="Calibri" w:cstheme="minorHAnsi"/>
          <w:color w:val="000000"/>
          <w:sz w:val="21"/>
          <w:szCs w:val="21"/>
          <w:lang w:val="el-GR" w:eastAsia="en-US"/>
        </w:rPr>
        <w:t>.</w:t>
      </w:r>
    </w:p>
    <w:p w14:paraId="7AA687AC" w14:textId="77777777" w:rsidR="00932370" w:rsidRPr="008D395D" w:rsidRDefault="00932370" w:rsidP="00721A01">
      <w:pPr>
        <w:spacing w:line="240" w:lineRule="atLeast"/>
        <w:rPr>
          <w:rFonts w:ascii="Calibri" w:eastAsiaTheme="minorHAnsi" w:hAnsi="Calibri" w:cstheme="minorHAnsi"/>
          <w:color w:val="000000"/>
          <w:sz w:val="21"/>
          <w:szCs w:val="21"/>
          <w:lang w:val="el-GR" w:eastAsia="en-US"/>
        </w:rPr>
      </w:pPr>
    </w:p>
    <w:p w14:paraId="61AFCB04" w14:textId="77777777" w:rsidR="00932370" w:rsidRPr="008D395D" w:rsidRDefault="00932370" w:rsidP="00721A01">
      <w:pPr>
        <w:pStyle w:val="Bluetitles"/>
        <w:spacing w:before="0" w:after="0" w:line="240" w:lineRule="atLeast"/>
        <w:ind w:left="504" w:hanging="504"/>
        <w:rPr>
          <w:lang w:eastAsia="el-GR"/>
        </w:rPr>
      </w:pPr>
      <w:r w:rsidRPr="008D395D">
        <w:rPr>
          <w:lang w:eastAsia="el-GR"/>
        </w:rPr>
        <w:t>Επιστημονικός υπεύθυνος</w:t>
      </w:r>
    </w:p>
    <w:p w14:paraId="300C4A45" w14:textId="77777777" w:rsidR="00932370" w:rsidRPr="008D395D" w:rsidRDefault="00932370" w:rsidP="00721A01">
      <w:pPr>
        <w:pStyle w:val="maintext"/>
        <w:suppressAutoHyphens/>
        <w:spacing w:after="0" w:line="240" w:lineRule="atLeast"/>
      </w:pPr>
    </w:p>
    <w:p w14:paraId="628A0F88" w14:textId="77777777" w:rsidR="00932370" w:rsidRPr="008D395D" w:rsidRDefault="00932370" w:rsidP="00721A01">
      <w:pPr>
        <w:pStyle w:val="maintext"/>
        <w:suppressAutoHyphens/>
        <w:spacing w:after="0" w:line="240" w:lineRule="atLeast"/>
      </w:pPr>
      <w:r w:rsidRPr="008D395D">
        <w:t>Επιστημονικός υπεύθυνος είναι ο κ. Κωνσταντίνος Αϊβαλής και υπεύθυνος της έρευνας ο κ. Αλέξανδρος Καλόμοιρος, Ταμίας ΔΣ ΣΕΣΜΑ.</w:t>
      </w:r>
    </w:p>
    <w:p w14:paraId="6582C5C5" w14:textId="77777777" w:rsidR="00932370" w:rsidRPr="008D395D" w:rsidRDefault="00932370" w:rsidP="00721A01">
      <w:pPr>
        <w:pStyle w:val="maintext"/>
        <w:suppressAutoHyphens/>
        <w:spacing w:after="0" w:line="240" w:lineRule="atLeast"/>
      </w:pPr>
    </w:p>
    <w:p w14:paraId="64EA0FF3" w14:textId="77777777" w:rsidR="00932370" w:rsidRPr="008D395D" w:rsidRDefault="00932370" w:rsidP="00721A01">
      <w:pPr>
        <w:spacing w:line="240" w:lineRule="atLeast"/>
        <w:rPr>
          <w:rFonts w:ascii="Calibri" w:hAnsi="Calibri" w:cstheme="minorHAnsi"/>
          <w:sz w:val="21"/>
          <w:szCs w:val="21"/>
          <w:lang w:val="el-GR"/>
        </w:rPr>
      </w:pPr>
    </w:p>
    <w:sectPr w:rsidR="00932370" w:rsidRPr="008D395D" w:rsidSect="00093DF3">
      <w:headerReference w:type="default" r:id="rId20"/>
      <w:footerReference w:type="default" r:id="rId21"/>
      <w:pgSz w:w="11906" w:h="16838"/>
      <w:pgMar w:top="179" w:right="1274" w:bottom="1438" w:left="1276" w:header="720" w:footer="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45B992" w14:textId="77777777" w:rsidR="00E80841" w:rsidRDefault="00E80841" w:rsidP="00B14017">
      <w:r>
        <w:separator/>
      </w:r>
    </w:p>
  </w:endnote>
  <w:endnote w:type="continuationSeparator" w:id="0">
    <w:p w14:paraId="21E90366" w14:textId="77777777" w:rsidR="00E80841" w:rsidRDefault="00E80841" w:rsidP="00B14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A1"/>
    <w:family w:val="swiss"/>
    <w:pitch w:val="variable"/>
    <w:sig w:usb0="E0002EFF" w:usb1="C000785B" w:usb2="00000009" w:usb3="00000000" w:csb0="000001FF" w:csb1="00000000"/>
  </w:font>
  <w:font w:name="Minion Pro">
    <w:altName w:val="Cambria Math"/>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A1"/>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4256565"/>
      <w:docPartObj>
        <w:docPartGallery w:val="Page Numbers (Bottom of Page)"/>
        <w:docPartUnique/>
      </w:docPartObj>
    </w:sdtPr>
    <w:sdtEndPr/>
    <w:sdtContent>
      <w:p w14:paraId="203A53D0" w14:textId="77777777" w:rsidR="008D395D" w:rsidRPr="002A77B6" w:rsidRDefault="008D395D" w:rsidP="00093DF3">
        <w:pPr>
          <w:pStyle w:val="a3"/>
          <w:tabs>
            <w:tab w:val="center" w:pos="4678"/>
            <w:tab w:val="left" w:pos="7037"/>
          </w:tabs>
          <w:jc w:val="right"/>
          <w:rPr>
            <w:sz w:val="18"/>
            <w:lang w:val="el-GR"/>
          </w:rPr>
        </w:pPr>
        <w:r w:rsidRPr="002A77B6">
          <w:rPr>
            <w:sz w:val="18"/>
          </w:rPr>
          <w:fldChar w:fldCharType="begin"/>
        </w:r>
        <w:r w:rsidRPr="002A77B6">
          <w:rPr>
            <w:sz w:val="18"/>
          </w:rPr>
          <w:instrText>PAGE</w:instrText>
        </w:r>
        <w:r w:rsidRPr="002A77B6">
          <w:rPr>
            <w:sz w:val="18"/>
            <w:lang w:val="el-GR"/>
          </w:rPr>
          <w:instrText xml:space="preserve">   \* </w:instrText>
        </w:r>
        <w:r w:rsidRPr="002A77B6">
          <w:rPr>
            <w:sz w:val="18"/>
          </w:rPr>
          <w:instrText>MERGEFORMAT</w:instrText>
        </w:r>
        <w:r w:rsidRPr="002A77B6">
          <w:rPr>
            <w:sz w:val="18"/>
          </w:rPr>
          <w:fldChar w:fldCharType="separate"/>
        </w:r>
        <w:r w:rsidR="00DE09D7" w:rsidRPr="00DE09D7">
          <w:rPr>
            <w:noProof/>
            <w:sz w:val="18"/>
            <w:lang w:val="el-GR"/>
          </w:rPr>
          <w:t>4</w:t>
        </w:r>
        <w:r w:rsidRPr="002A77B6">
          <w:rPr>
            <w:sz w:val="18"/>
          </w:rPr>
          <w:fldChar w:fldCharType="end"/>
        </w:r>
      </w:p>
      <w:p w14:paraId="78AE0F1A" w14:textId="77777777" w:rsidR="008D395D" w:rsidRPr="00072021" w:rsidRDefault="008D395D" w:rsidP="00093DF3">
        <w:pPr>
          <w:pStyle w:val="a3"/>
          <w:pBdr>
            <w:top w:val="single" w:sz="4" w:space="1" w:color="auto"/>
          </w:pBdr>
          <w:tabs>
            <w:tab w:val="center" w:pos="4678"/>
            <w:tab w:val="left" w:pos="7037"/>
          </w:tabs>
          <w:jc w:val="center"/>
          <w:rPr>
            <w:rFonts w:ascii="Tahoma" w:hAnsi="Tahoma" w:cs="Tahoma"/>
            <w:sz w:val="18"/>
            <w:szCs w:val="18"/>
            <w:lang w:val="el-GR"/>
          </w:rPr>
        </w:pPr>
        <w:r>
          <w:rPr>
            <w:lang w:val="el-GR"/>
          </w:rPr>
          <w:t xml:space="preserve"> </w:t>
        </w:r>
        <w:r w:rsidRPr="00072021">
          <w:rPr>
            <w:rFonts w:ascii="Tahoma" w:hAnsi="Tahoma" w:cs="Tahoma"/>
            <w:sz w:val="18"/>
            <w:szCs w:val="18"/>
            <w:lang w:val="el-GR"/>
          </w:rPr>
          <w:t>Βασ. Σοφίας 101, Πλατεία Μαβίλη, 115 21 Αθήνα</w:t>
        </w:r>
      </w:p>
      <w:p w14:paraId="48864FA8" w14:textId="77777777" w:rsidR="008D395D" w:rsidRPr="00343149" w:rsidRDefault="008D395D" w:rsidP="00093DF3">
        <w:pPr>
          <w:pStyle w:val="a3"/>
          <w:jc w:val="center"/>
          <w:rPr>
            <w:rFonts w:ascii="Tahoma" w:hAnsi="Tahoma" w:cs="Tahoma"/>
            <w:sz w:val="18"/>
            <w:szCs w:val="18"/>
            <w:lang w:val="el-GR"/>
          </w:rPr>
        </w:pPr>
        <w:r w:rsidRPr="00072021">
          <w:rPr>
            <w:rFonts w:ascii="Tahoma" w:hAnsi="Tahoma" w:cs="Tahoma"/>
            <w:sz w:val="18"/>
            <w:szCs w:val="18"/>
            <w:lang w:val="el-GR"/>
          </w:rPr>
          <w:t>Τηλ</w:t>
        </w:r>
        <w:r w:rsidRPr="00343149">
          <w:rPr>
            <w:rFonts w:ascii="Tahoma" w:hAnsi="Tahoma" w:cs="Tahoma"/>
            <w:sz w:val="18"/>
            <w:szCs w:val="18"/>
            <w:lang w:val="el-GR"/>
          </w:rPr>
          <w:t xml:space="preserve">: 210 6470660  </w:t>
        </w:r>
        <w:r w:rsidRPr="00343149">
          <w:rPr>
            <w:rFonts w:ascii="Tahoma" w:hAnsi="Tahoma" w:cs="Tahoma"/>
            <w:spacing w:val="20"/>
            <w:sz w:val="18"/>
            <w:szCs w:val="18"/>
            <w:lang w:val="el-GR"/>
          </w:rPr>
          <w:t xml:space="preserve">• </w:t>
        </w:r>
        <w:r w:rsidRPr="00072021">
          <w:rPr>
            <w:rFonts w:ascii="Tahoma" w:hAnsi="Tahoma" w:cs="Tahoma"/>
            <w:sz w:val="18"/>
            <w:szCs w:val="18"/>
            <w:lang w:val="en-US"/>
          </w:rPr>
          <w:t>Fax</w:t>
        </w:r>
        <w:r w:rsidRPr="00343149">
          <w:rPr>
            <w:rFonts w:ascii="Tahoma" w:hAnsi="Tahoma" w:cs="Tahoma"/>
            <w:sz w:val="18"/>
            <w:szCs w:val="18"/>
            <w:lang w:val="el-GR"/>
          </w:rPr>
          <w:t xml:space="preserve">: 210 6470661  </w:t>
        </w:r>
        <w:r w:rsidRPr="00343149">
          <w:rPr>
            <w:rFonts w:ascii="Tahoma" w:hAnsi="Tahoma" w:cs="Tahoma"/>
            <w:spacing w:val="20"/>
            <w:sz w:val="18"/>
            <w:szCs w:val="18"/>
            <w:lang w:val="el-GR"/>
          </w:rPr>
          <w:t xml:space="preserve">• </w:t>
        </w:r>
        <w:r w:rsidRPr="00072021">
          <w:rPr>
            <w:rFonts w:ascii="Tahoma" w:hAnsi="Tahoma" w:cs="Tahoma"/>
            <w:sz w:val="18"/>
            <w:szCs w:val="18"/>
            <w:lang w:val="en-US"/>
          </w:rPr>
          <w:t>email</w:t>
        </w:r>
        <w:r w:rsidRPr="00343149">
          <w:rPr>
            <w:rFonts w:ascii="Tahoma" w:hAnsi="Tahoma" w:cs="Tahoma"/>
            <w:sz w:val="18"/>
            <w:szCs w:val="18"/>
            <w:lang w:val="el-GR"/>
          </w:rPr>
          <w:t xml:space="preserve">: </w:t>
        </w:r>
        <w:hyperlink r:id="rId1" w:history="1">
          <w:r w:rsidRPr="00072021">
            <w:rPr>
              <w:rStyle w:val="-"/>
              <w:rFonts w:ascii="Tahoma" w:hAnsi="Tahoma" w:cs="Tahoma"/>
              <w:sz w:val="18"/>
              <w:szCs w:val="18"/>
              <w:lang w:val="en-US"/>
            </w:rPr>
            <w:t>info</w:t>
          </w:r>
          <w:r w:rsidRPr="00343149">
            <w:rPr>
              <w:rStyle w:val="-"/>
              <w:rFonts w:ascii="Tahoma" w:hAnsi="Tahoma" w:cs="Tahoma"/>
              <w:sz w:val="18"/>
              <w:szCs w:val="18"/>
              <w:lang w:val="el-GR"/>
            </w:rPr>
            <w:t>@</w:t>
          </w:r>
          <w:r w:rsidRPr="00072021">
            <w:rPr>
              <w:rStyle w:val="-"/>
              <w:rFonts w:ascii="Tahoma" w:hAnsi="Tahoma" w:cs="Tahoma"/>
              <w:sz w:val="18"/>
              <w:szCs w:val="18"/>
              <w:lang w:val="en-US"/>
            </w:rPr>
            <w:t>sesma</w:t>
          </w:r>
          <w:r w:rsidRPr="00343149">
            <w:rPr>
              <w:rStyle w:val="-"/>
              <w:rFonts w:ascii="Tahoma" w:hAnsi="Tahoma" w:cs="Tahoma"/>
              <w:sz w:val="18"/>
              <w:szCs w:val="18"/>
              <w:lang w:val="el-GR"/>
            </w:rPr>
            <w:t>.</w:t>
          </w:r>
          <w:r w:rsidRPr="00072021">
            <w:rPr>
              <w:rStyle w:val="-"/>
              <w:rFonts w:ascii="Tahoma" w:hAnsi="Tahoma" w:cs="Tahoma"/>
              <w:sz w:val="18"/>
              <w:szCs w:val="18"/>
              <w:lang w:val="en-US"/>
            </w:rPr>
            <w:t>gr</w:t>
          </w:r>
        </w:hyperlink>
        <w:r w:rsidRPr="00343149">
          <w:rPr>
            <w:rFonts w:ascii="Tahoma" w:hAnsi="Tahoma" w:cs="Tahoma"/>
            <w:sz w:val="18"/>
            <w:szCs w:val="18"/>
            <w:lang w:val="el-GR"/>
          </w:rPr>
          <w:t xml:space="preserve">  </w:t>
        </w:r>
        <w:r w:rsidRPr="00343149">
          <w:rPr>
            <w:rFonts w:ascii="Tahoma" w:hAnsi="Tahoma" w:cs="Tahoma"/>
            <w:spacing w:val="20"/>
            <w:sz w:val="18"/>
            <w:szCs w:val="18"/>
            <w:lang w:val="el-GR"/>
          </w:rPr>
          <w:t xml:space="preserve">• </w:t>
        </w:r>
        <w:r w:rsidRPr="00343149">
          <w:rPr>
            <w:rFonts w:ascii="Tahoma" w:hAnsi="Tahoma" w:cs="Tahoma"/>
            <w:sz w:val="18"/>
            <w:szCs w:val="18"/>
            <w:lang w:val="el-GR"/>
          </w:rPr>
          <w:t xml:space="preserve"> </w:t>
        </w:r>
        <w:r w:rsidRPr="00072021">
          <w:rPr>
            <w:rFonts w:ascii="Tahoma" w:hAnsi="Tahoma" w:cs="Tahoma"/>
            <w:sz w:val="18"/>
            <w:szCs w:val="18"/>
            <w:lang w:val="en-US"/>
          </w:rPr>
          <w:t>website</w:t>
        </w:r>
        <w:r w:rsidRPr="00343149">
          <w:rPr>
            <w:rFonts w:ascii="Tahoma" w:hAnsi="Tahoma" w:cs="Tahoma"/>
            <w:sz w:val="18"/>
            <w:szCs w:val="18"/>
            <w:lang w:val="el-GR"/>
          </w:rPr>
          <w:t xml:space="preserve">: </w:t>
        </w:r>
        <w:hyperlink r:id="rId2" w:history="1">
          <w:r w:rsidRPr="00072021">
            <w:rPr>
              <w:rStyle w:val="-"/>
              <w:rFonts w:ascii="Tahoma" w:hAnsi="Tahoma" w:cs="Tahoma"/>
              <w:sz w:val="18"/>
              <w:szCs w:val="18"/>
              <w:lang w:val="en-US"/>
            </w:rPr>
            <w:t>www</w:t>
          </w:r>
          <w:r w:rsidRPr="00343149">
            <w:rPr>
              <w:rStyle w:val="-"/>
              <w:rFonts w:ascii="Tahoma" w:hAnsi="Tahoma" w:cs="Tahoma"/>
              <w:sz w:val="18"/>
              <w:szCs w:val="18"/>
              <w:lang w:val="el-GR"/>
            </w:rPr>
            <w:t>.</w:t>
          </w:r>
          <w:r w:rsidRPr="00072021">
            <w:rPr>
              <w:rStyle w:val="-"/>
              <w:rFonts w:ascii="Tahoma" w:hAnsi="Tahoma" w:cs="Tahoma"/>
              <w:sz w:val="18"/>
              <w:szCs w:val="18"/>
              <w:lang w:val="en-US"/>
            </w:rPr>
            <w:t>sesma</w:t>
          </w:r>
          <w:r w:rsidRPr="00343149">
            <w:rPr>
              <w:rStyle w:val="-"/>
              <w:rFonts w:ascii="Tahoma" w:hAnsi="Tahoma" w:cs="Tahoma"/>
              <w:sz w:val="18"/>
              <w:szCs w:val="18"/>
              <w:lang w:val="el-GR"/>
            </w:rPr>
            <w:t>.</w:t>
          </w:r>
          <w:r w:rsidRPr="00072021">
            <w:rPr>
              <w:rStyle w:val="-"/>
              <w:rFonts w:ascii="Tahoma" w:hAnsi="Tahoma" w:cs="Tahoma"/>
              <w:sz w:val="18"/>
              <w:szCs w:val="18"/>
              <w:lang w:val="en-US"/>
            </w:rPr>
            <w:t>gr</w:t>
          </w:r>
        </w:hyperlink>
      </w:p>
      <w:p w14:paraId="63AAB992" w14:textId="77777777" w:rsidR="008D395D" w:rsidRDefault="008D395D" w:rsidP="00093DF3">
        <w:pPr>
          <w:pStyle w:val="a3"/>
          <w:tabs>
            <w:tab w:val="center" w:pos="4678"/>
          </w:tabs>
        </w:pPr>
        <w:r w:rsidRPr="00343149">
          <w:rPr>
            <w:lang w:val="el-GR"/>
          </w:rPr>
          <w:tab/>
        </w:r>
        <w:r w:rsidRPr="00343149">
          <w:rPr>
            <w:lang w:val="el-GR"/>
          </w:rPr>
          <w:tab/>
        </w:r>
      </w:p>
    </w:sdtContent>
  </w:sdt>
  <w:p w14:paraId="279DF234" w14:textId="77777777" w:rsidR="008D395D" w:rsidRPr="00997DAC" w:rsidRDefault="008D395D" w:rsidP="00093DF3">
    <w:pPr>
      <w:pStyle w:val="a3"/>
      <w:jc w:val="center"/>
      <w:rPr>
        <w:rFonts w:cs="Tahoma"/>
        <w:sz w:val="18"/>
        <w:szCs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10C847" w14:textId="77777777" w:rsidR="00E80841" w:rsidRDefault="00E80841" w:rsidP="00B14017">
      <w:r>
        <w:separator/>
      </w:r>
    </w:p>
  </w:footnote>
  <w:footnote w:type="continuationSeparator" w:id="0">
    <w:p w14:paraId="7AF093EC" w14:textId="77777777" w:rsidR="00E80841" w:rsidRDefault="00E80841" w:rsidP="00B140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E7A7B8" w14:textId="77777777" w:rsidR="008D395D" w:rsidRDefault="008D395D" w:rsidP="0010259F">
    <w:pPr>
      <w:pStyle w:val="a3"/>
      <w:pBdr>
        <w:bottom w:val="single" w:sz="4" w:space="1" w:color="auto"/>
      </w:pBdr>
      <w:jc w:val="center"/>
    </w:pPr>
    <w:r>
      <w:rPr>
        <w:noProof/>
        <w:lang w:val="en-US" w:eastAsia="en-US"/>
      </w:rPr>
      <w:drawing>
        <wp:inline distT="0" distB="0" distL="0" distR="0" wp14:anchorId="285B6948" wp14:editId="55E2C0D4">
          <wp:extent cx="1825138" cy="936462"/>
          <wp:effectExtent l="0" t="0" r="381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0298" cy="944240"/>
                  </a:xfrm>
                  <a:prstGeom prst="rect">
                    <a:avLst/>
                  </a:prstGeom>
                  <a:noFill/>
                  <a:ln>
                    <a:noFill/>
                  </a:ln>
                </pic:spPr>
              </pic:pic>
            </a:graphicData>
          </a:graphic>
        </wp:inline>
      </w:drawing>
    </w:r>
  </w:p>
  <w:p w14:paraId="4619DE70" w14:textId="77777777" w:rsidR="008D395D" w:rsidRPr="00997DAC" w:rsidRDefault="008D395D" w:rsidP="0010259F">
    <w:pPr>
      <w:pStyle w:val="a3"/>
      <w:pBdr>
        <w:bottom w:val="single" w:sz="4" w:space="1" w:color="auto"/>
      </w:pBdr>
      <w:jc w:val="center"/>
      <w:rPr>
        <w:rFonts w:cs="Tahoma"/>
        <w:spacing w:val="20"/>
        <w:sz w:val="15"/>
        <w:szCs w:val="15"/>
        <w:lang w:val="el-GR"/>
      </w:rPr>
    </w:pPr>
    <w:r w:rsidRPr="00997DAC">
      <w:rPr>
        <w:rFonts w:cs="Tahoma"/>
        <w:spacing w:val="20"/>
        <w:sz w:val="15"/>
        <w:szCs w:val="15"/>
        <w:lang w:val="el-GR"/>
      </w:rPr>
      <w:t xml:space="preserve"> ΜΕΛΟΣ ΤΗΣ ΕΥΡΩΠΑΪΚΗΣ ΟΜΟΣΠΟΝΔΙΑΣ ΕΝΩΣΕΩΝ ΣΥΜΒΟΥΛΩΝ ΜΑΝΑΤΖΜΕΝΤ (</w:t>
    </w:r>
    <w:r w:rsidRPr="00997DAC">
      <w:rPr>
        <w:rFonts w:cs="Tahoma"/>
        <w:spacing w:val="20"/>
        <w:sz w:val="15"/>
        <w:szCs w:val="15"/>
        <w:lang w:val="en-US"/>
      </w:rPr>
      <w:t>FEACO</w:t>
    </w:r>
    <w:r w:rsidRPr="00997DAC">
      <w:rPr>
        <w:rFonts w:cs="Tahoma"/>
        <w:spacing w:val="20"/>
        <w:sz w:val="15"/>
        <w:szCs w:val="15"/>
        <w:lang w:val="el-G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53EDB"/>
    <w:multiLevelType w:val="hybridMultilevel"/>
    <w:tmpl w:val="1FF8CA3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09564D02"/>
    <w:multiLevelType w:val="hybridMultilevel"/>
    <w:tmpl w:val="244A991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0E044F98"/>
    <w:multiLevelType w:val="hybridMultilevel"/>
    <w:tmpl w:val="786C4188"/>
    <w:lvl w:ilvl="0" w:tplc="0408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0D0C5C"/>
    <w:multiLevelType w:val="hybridMultilevel"/>
    <w:tmpl w:val="5A4A38B0"/>
    <w:lvl w:ilvl="0" w:tplc="0A6E8F58">
      <w:start w:val="1"/>
      <w:numFmt w:val="decimal"/>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A62BC"/>
    <w:multiLevelType w:val="hybridMultilevel"/>
    <w:tmpl w:val="9DC88224"/>
    <w:lvl w:ilvl="0" w:tplc="04090005">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 w15:restartNumberingAfterBreak="0">
    <w:nsid w:val="229570E1"/>
    <w:multiLevelType w:val="hybridMultilevel"/>
    <w:tmpl w:val="7A1036F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25FE4D4C"/>
    <w:multiLevelType w:val="hybridMultilevel"/>
    <w:tmpl w:val="62468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15D6B"/>
    <w:multiLevelType w:val="hybridMultilevel"/>
    <w:tmpl w:val="11125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0B04B7"/>
    <w:multiLevelType w:val="hybridMultilevel"/>
    <w:tmpl w:val="4DAE61F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37295943"/>
    <w:multiLevelType w:val="hybridMultilevel"/>
    <w:tmpl w:val="FA5AFBF8"/>
    <w:lvl w:ilvl="0" w:tplc="04090005">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0" w15:restartNumberingAfterBreak="0">
    <w:nsid w:val="3C287E43"/>
    <w:multiLevelType w:val="hybridMultilevel"/>
    <w:tmpl w:val="4B62869E"/>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1" w15:restartNumberingAfterBreak="0">
    <w:nsid w:val="430562DC"/>
    <w:multiLevelType w:val="hybridMultilevel"/>
    <w:tmpl w:val="2BEC8B54"/>
    <w:lvl w:ilvl="0" w:tplc="04090005">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2" w15:restartNumberingAfterBreak="0">
    <w:nsid w:val="46D76C54"/>
    <w:multiLevelType w:val="hybridMultilevel"/>
    <w:tmpl w:val="5D0ADFF6"/>
    <w:lvl w:ilvl="0" w:tplc="04090005">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3" w15:restartNumberingAfterBreak="0">
    <w:nsid w:val="49080832"/>
    <w:multiLevelType w:val="hybridMultilevel"/>
    <w:tmpl w:val="DAA69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1745D2"/>
    <w:multiLevelType w:val="hybridMultilevel"/>
    <w:tmpl w:val="A17A4F40"/>
    <w:lvl w:ilvl="0" w:tplc="F684B310">
      <w:start w:val="1"/>
      <w:numFmt w:val="bullet"/>
      <w:lvlText w:val="▫"/>
      <w:lvlJc w:val="left"/>
      <w:pPr>
        <w:ind w:left="360" w:hanging="360"/>
      </w:pPr>
      <w:rPr>
        <w:rFonts w:ascii="Calibri" w:hAnsi="Calibri"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5" w15:restartNumberingAfterBreak="0">
    <w:nsid w:val="539709F3"/>
    <w:multiLevelType w:val="hybridMultilevel"/>
    <w:tmpl w:val="7FBCCDFA"/>
    <w:lvl w:ilvl="0" w:tplc="04090005">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6" w15:restartNumberingAfterBreak="0">
    <w:nsid w:val="547C5C57"/>
    <w:multiLevelType w:val="hybridMultilevel"/>
    <w:tmpl w:val="11125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7B5612"/>
    <w:multiLevelType w:val="hybridMultilevel"/>
    <w:tmpl w:val="22A43226"/>
    <w:lvl w:ilvl="0" w:tplc="04090005">
      <w:start w:val="1"/>
      <w:numFmt w:val="bullet"/>
      <w:lvlText w:val=""/>
      <w:lvlJc w:val="left"/>
      <w:pPr>
        <w:ind w:left="360" w:hanging="360"/>
      </w:pPr>
      <w:rPr>
        <w:rFonts w:ascii="Wingdings" w:hAnsi="Wingdings" w:hint="default"/>
      </w:rPr>
    </w:lvl>
    <w:lvl w:ilvl="1" w:tplc="F684B310">
      <w:start w:val="1"/>
      <w:numFmt w:val="bullet"/>
      <w:lvlText w:val="▫"/>
      <w:lvlJc w:val="left"/>
      <w:pPr>
        <w:ind w:left="1080" w:hanging="360"/>
      </w:pPr>
      <w:rPr>
        <w:rFonts w:ascii="Calibri" w:hAnsi="Calibri"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8" w15:restartNumberingAfterBreak="0">
    <w:nsid w:val="5BCF67A1"/>
    <w:multiLevelType w:val="hybridMultilevel"/>
    <w:tmpl w:val="AF62CDEE"/>
    <w:lvl w:ilvl="0" w:tplc="0408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D271A1"/>
    <w:multiLevelType w:val="multilevel"/>
    <w:tmpl w:val="2012A2A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4F94922"/>
    <w:multiLevelType w:val="hybridMultilevel"/>
    <w:tmpl w:val="AE0693B8"/>
    <w:lvl w:ilvl="0" w:tplc="04080001">
      <w:start w:val="1"/>
      <w:numFmt w:val="bullet"/>
      <w:lvlText w:val=""/>
      <w:lvlJc w:val="left"/>
      <w:pPr>
        <w:ind w:left="1791" w:hanging="360"/>
      </w:pPr>
      <w:rPr>
        <w:rFonts w:ascii="Symbol" w:hAnsi="Symbol" w:hint="default"/>
      </w:rPr>
    </w:lvl>
    <w:lvl w:ilvl="1" w:tplc="04080003" w:tentative="1">
      <w:start w:val="1"/>
      <w:numFmt w:val="bullet"/>
      <w:lvlText w:val="o"/>
      <w:lvlJc w:val="left"/>
      <w:pPr>
        <w:ind w:left="2511" w:hanging="360"/>
      </w:pPr>
      <w:rPr>
        <w:rFonts w:ascii="Courier New" w:hAnsi="Courier New" w:cs="Courier New" w:hint="default"/>
      </w:rPr>
    </w:lvl>
    <w:lvl w:ilvl="2" w:tplc="04080005" w:tentative="1">
      <w:start w:val="1"/>
      <w:numFmt w:val="bullet"/>
      <w:lvlText w:val=""/>
      <w:lvlJc w:val="left"/>
      <w:pPr>
        <w:ind w:left="3231" w:hanging="360"/>
      </w:pPr>
      <w:rPr>
        <w:rFonts w:ascii="Wingdings" w:hAnsi="Wingdings" w:hint="default"/>
      </w:rPr>
    </w:lvl>
    <w:lvl w:ilvl="3" w:tplc="04080001" w:tentative="1">
      <w:start w:val="1"/>
      <w:numFmt w:val="bullet"/>
      <w:lvlText w:val=""/>
      <w:lvlJc w:val="left"/>
      <w:pPr>
        <w:ind w:left="3951" w:hanging="360"/>
      </w:pPr>
      <w:rPr>
        <w:rFonts w:ascii="Symbol" w:hAnsi="Symbol" w:hint="default"/>
      </w:rPr>
    </w:lvl>
    <w:lvl w:ilvl="4" w:tplc="04080003" w:tentative="1">
      <w:start w:val="1"/>
      <w:numFmt w:val="bullet"/>
      <w:lvlText w:val="o"/>
      <w:lvlJc w:val="left"/>
      <w:pPr>
        <w:ind w:left="4671" w:hanging="360"/>
      </w:pPr>
      <w:rPr>
        <w:rFonts w:ascii="Courier New" w:hAnsi="Courier New" w:cs="Courier New" w:hint="default"/>
      </w:rPr>
    </w:lvl>
    <w:lvl w:ilvl="5" w:tplc="04080005" w:tentative="1">
      <w:start w:val="1"/>
      <w:numFmt w:val="bullet"/>
      <w:lvlText w:val=""/>
      <w:lvlJc w:val="left"/>
      <w:pPr>
        <w:ind w:left="5391" w:hanging="360"/>
      </w:pPr>
      <w:rPr>
        <w:rFonts w:ascii="Wingdings" w:hAnsi="Wingdings" w:hint="default"/>
      </w:rPr>
    </w:lvl>
    <w:lvl w:ilvl="6" w:tplc="04080001" w:tentative="1">
      <w:start w:val="1"/>
      <w:numFmt w:val="bullet"/>
      <w:lvlText w:val=""/>
      <w:lvlJc w:val="left"/>
      <w:pPr>
        <w:ind w:left="6111" w:hanging="360"/>
      </w:pPr>
      <w:rPr>
        <w:rFonts w:ascii="Symbol" w:hAnsi="Symbol" w:hint="default"/>
      </w:rPr>
    </w:lvl>
    <w:lvl w:ilvl="7" w:tplc="04080003" w:tentative="1">
      <w:start w:val="1"/>
      <w:numFmt w:val="bullet"/>
      <w:lvlText w:val="o"/>
      <w:lvlJc w:val="left"/>
      <w:pPr>
        <w:ind w:left="6831" w:hanging="360"/>
      </w:pPr>
      <w:rPr>
        <w:rFonts w:ascii="Courier New" w:hAnsi="Courier New" w:cs="Courier New" w:hint="default"/>
      </w:rPr>
    </w:lvl>
    <w:lvl w:ilvl="8" w:tplc="04080005" w:tentative="1">
      <w:start w:val="1"/>
      <w:numFmt w:val="bullet"/>
      <w:lvlText w:val=""/>
      <w:lvlJc w:val="left"/>
      <w:pPr>
        <w:ind w:left="7551" w:hanging="360"/>
      </w:pPr>
      <w:rPr>
        <w:rFonts w:ascii="Wingdings" w:hAnsi="Wingdings" w:hint="default"/>
      </w:rPr>
    </w:lvl>
  </w:abstractNum>
  <w:num w:numId="1">
    <w:abstractNumId w:val="1"/>
  </w:num>
  <w:num w:numId="2">
    <w:abstractNumId w:val="10"/>
  </w:num>
  <w:num w:numId="3">
    <w:abstractNumId w:val="0"/>
  </w:num>
  <w:num w:numId="4">
    <w:abstractNumId w:val="16"/>
  </w:num>
  <w:num w:numId="5">
    <w:abstractNumId w:val="13"/>
  </w:num>
  <w:num w:numId="6">
    <w:abstractNumId w:val="2"/>
  </w:num>
  <w:num w:numId="7">
    <w:abstractNumId w:val="18"/>
  </w:num>
  <w:num w:numId="8">
    <w:abstractNumId w:val="6"/>
  </w:num>
  <w:num w:numId="9">
    <w:abstractNumId w:val="7"/>
  </w:num>
  <w:num w:numId="10">
    <w:abstractNumId w:val="19"/>
  </w:num>
  <w:num w:numId="11">
    <w:abstractNumId w:val="3"/>
  </w:num>
  <w:num w:numId="12">
    <w:abstractNumId w:val="8"/>
  </w:num>
  <w:num w:numId="13">
    <w:abstractNumId w:val="20"/>
  </w:num>
  <w:num w:numId="14">
    <w:abstractNumId w:val="5"/>
  </w:num>
  <w:num w:numId="15">
    <w:abstractNumId w:val="9"/>
  </w:num>
  <w:num w:numId="16">
    <w:abstractNumId w:val="15"/>
  </w:num>
  <w:num w:numId="17">
    <w:abstractNumId w:val="4"/>
  </w:num>
  <w:num w:numId="18">
    <w:abstractNumId w:val="11"/>
  </w:num>
  <w:num w:numId="19">
    <w:abstractNumId w:val="12"/>
  </w:num>
  <w:num w:numId="20">
    <w:abstractNumId w:val="17"/>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739"/>
    <w:rsid w:val="00000E9E"/>
    <w:rsid w:val="00001BC2"/>
    <w:rsid w:val="00002968"/>
    <w:rsid w:val="00006D87"/>
    <w:rsid w:val="000170A9"/>
    <w:rsid w:val="000205F6"/>
    <w:rsid w:val="00030180"/>
    <w:rsid w:val="00030B23"/>
    <w:rsid w:val="000321BA"/>
    <w:rsid w:val="0003500E"/>
    <w:rsid w:val="00046534"/>
    <w:rsid w:val="000523AA"/>
    <w:rsid w:val="00057008"/>
    <w:rsid w:val="00057EB0"/>
    <w:rsid w:val="0006105D"/>
    <w:rsid w:val="000648F3"/>
    <w:rsid w:val="00072021"/>
    <w:rsid w:val="00077086"/>
    <w:rsid w:val="00080985"/>
    <w:rsid w:val="00083B95"/>
    <w:rsid w:val="00086555"/>
    <w:rsid w:val="000906B0"/>
    <w:rsid w:val="00093DF3"/>
    <w:rsid w:val="000A4B17"/>
    <w:rsid w:val="000B11F7"/>
    <w:rsid w:val="000C3A88"/>
    <w:rsid w:val="000C4118"/>
    <w:rsid w:val="000C4F9B"/>
    <w:rsid w:val="000C5D25"/>
    <w:rsid w:val="000D0B4D"/>
    <w:rsid w:val="0010259F"/>
    <w:rsid w:val="00107574"/>
    <w:rsid w:val="00116D17"/>
    <w:rsid w:val="001247D3"/>
    <w:rsid w:val="00126D4E"/>
    <w:rsid w:val="001418E3"/>
    <w:rsid w:val="00173B55"/>
    <w:rsid w:val="0019202B"/>
    <w:rsid w:val="00193019"/>
    <w:rsid w:val="001A54AF"/>
    <w:rsid w:val="001A7392"/>
    <w:rsid w:val="001A771B"/>
    <w:rsid w:val="001B1E72"/>
    <w:rsid w:val="001B22D3"/>
    <w:rsid w:val="001C5C5F"/>
    <w:rsid w:val="001D44A0"/>
    <w:rsid w:val="001E5C51"/>
    <w:rsid w:val="001F7CCA"/>
    <w:rsid w:val="00207D8A"/>
    <w:rsid w:val="00214830"/>
    <w:rsid w:val="00215699"/>
    <w:rsid w:val="00220A0B"/>
    <w:rsid w:val="002221E8"/>
    <w:rsid w:val="00222C5C"/>
    <w:rsid w:val="002528B0"/>
    <w:rsid w:val="00256766"/>
    <w:rsid w:val="00260461"/>
    <w:rsid w:val="002650A3"/>
    <w:rsid w:val="00265226"/>
    <w:rsid w:val="002775A7"/>
    <w:rsid w:val="0029201F"/>
    <w:rsid w:val="002A77B6"/>
    <w:rsid w:val="002C1146"/>
    <w:rsid w:val="002C2016"/>
    <w:rsid w:val="002C3CC8"/>
    <w:rsid w:val="002E40C3"/>
    <w:rsid w:val="002E5AE4"/>
    <w:rsid w:val="002F1FC9"/>
    <w:rsid w:val="002F4600"/>
    <w:rsid w:val="003072C2"/>
    <w:rsid w:val="0031094E"/>
    <w:rsid w:val="00313917"/>
    <w:rsid w:val="00314333"/>
    <w:rsid w:val="00327E0F"/>
    <w:rsid w:val="00332C16"/>
    <w:rsid w:val="00333765"/>
    <w:rsid w:val="00334B5F"/>
    <w:rsid w:val="00343149"/>
    <w:rsid w:val="003513AA"/>
    <w:rsid w:val="0036413A"/>
    <w:rsid w:val="003713DB"/>
    <w:rsid w:val="00372311"/>
    <w:rsid w:val="0037424B"/>
    <w:rsid w:val="00382499"/>
    <w:rsid w:val="003A22C9"/>
    <w:rsid w:val="003A4C86"/>
    <w:rsid w:val="003A7CEA"/>
    <w:rsid w:val="003B4C85"/>
    <w:rsid w:val="003C36F8"/>
    <w:rsid w:val="003C67F9"/>
    <w:rsid w:val="003D4DA2"/>
    <w:rsid w:val="003E1282"/>
    <w:rsid w:val="003E49E6"/>
    <w:rsid w:val="003F61C4"/>
    <w:rsid w:val="00405989"/>
    <w:rsid w:val="00407054"/>
    <w:rsid w:val="00412B60"/>
    <w:rsid w:val="0042264F"/>
    <w:rsid w:val="00425D95"/>
    <w:rsid w:val="0042663A"/>
    <w:rsid w:val="0043693E"/>
    <w:rsid w:val="004408A3"/>
    <w:rsid w:val="00462464"/>
    <w:rsid w:val="0047774A"/>
    <w:rsid w:val="00482E4E"/>
    <w:rsid w:val="004909DC"/>
    <w:rsid w:val="00492B7C"/>
    <w:rsid w:val="00495765"/>
    <w:rsid w:val="00497159"/>
    <w:rsid w:val="004A189B"/>
    <w:rsid w:val="004A59A8"/>
    <w:rsid w:val="004A607E"/>
    <w:rsid w:val="004C07E5"/>
    <w:rsid w:val="004D11D4"/>
    <w:rsid w:val="004D29A3"/>
    <w:rsid w:val="004E0B38"/>
    <w:rsid w:val="004E1B31"/>
    <w:rsid w:val="004F44F7"/>
    <w:rsid w:val="004F4B27"/>
    <w:rsid w:val="004F79A8"/>
    <w:rsid w:val="00502B24"/>
    <w:rsid w:val="0050706F"/>
    <w:rsid w:val="005335E6"/>
    <w:rsid w:val="005504C0"/>
    <w:rsid w:val="00552F64"/>
    <w:rsid w:val="00556915"/>
    <w:rsid w:val="0056004D"/>
    <w:rsid w:val="00560B00"/>
    <w:rsid w:val="005649B6"/>
    <w:rsid w:val="00567AB1"/>
    <w:rsid w:val="005712B7"/>
    <w:rsid w:val="00572E7B"/>
    <w:rsid w:val="00573C1E"/>
    <w:rsid w:val="00584566"/>
    <w:rsid w:val="00590D2E"/>
    <w:rsid w:val="00597412"/>
    <w:rsid w:val="005A3549"/>
    <w:rsid w:val="005A5966"/>
    <w:rsid w:val="005B2FB8"/>
    <w:rsid w:val="005B725D"/>
    <w:rsid w:val="005C1E79"/>
    <w:rsid w:val="005C2E45"/>
    <w:rsid w:val="005C49A2"/>
    <w:rsid w:val="005D4A31"/>
    <w:rsid w:val="005D5119"/>
    <w:rsid w:val="005E0A8C"/>
    <w:rsid w:val="005E5EC3"/>
    <w:rsid w:val="005F1739"/>
    <w:rsid w:val="005F1F98"/>
    <w:rsid w:val="0060664F"/>
    <w:rsid w:val="00607D24"/>
    <w:rsid w:val="00615FD0"/>
    <w:rsid w:val="0061761A"/>
    <w:rsid w:val="00650DBA"/>
    <w:rsid w:val="00662A42"/>
    <w:rsid w:val="00662F78"/>
    <w:rsid w:val="00670C7A"/>
    <w:rsid w:val="006713F2"/>
    <w:rsid w:val="0067443E"/>
    <w:rsid w:val="00681A82"/>
    <w:rsid w:val="006929B4"/>
    <w:rsid w:val="00692E67"/>
    <w:rsid w:val="006A04CD"/>
    <w:rsid w:val="006A3E88"/>
    <w:rsid w:val="006B3DE9"/>
    <w:rsid w:val="006B443C"/>
    <w:rsid w:val="006B7246"/>
    <w:rsid w:val="006F3BAE"/>
    <w:rsid w:val="006F6FD2"/>
    <w:rsid w:val="007026EB"/>
    <w:rsid w:val="00704256"/>
    <w:rsid w:val="00714E0D"/>
    <w:rsid w:val="0072099B"/>
    <w:rsid w:val="00720D33"/>
    <w:rsid w:val="00721A01"/>
    <w:rsid w:val="00722A50"/>
    <w:rsid w:val="00731520"/>
    <w:rsid w:val="00733A57"/>
    <w:rsid w:val="00736A5E"/>
    <w:rsid w:val="00743D1E"/>
    <w:rsid w:val="00745F30"/>
    <w:rsid w:val="007559F5"/>
    <w:rsid w:val="00763506"/>
    <w:rsid w:val="00764C90"/>
    <w:rsid w:val="00793DAD"/>
    <w:rsid w:val="00794662"/>
    <w:rsid w:val="00795362"/>
    <w:rsid w:val="007B6F46"/>
    <w:rsid w:val="007B78B4"/>
    <w:rsid w:val="007C6B64"/>
    <w:rsid w:val="007C709D"/>
    <w:rsid w:val="007D6481"/>
    <w:rsid w:val="007D7D89"/>
    <w:rsid w:val="007E1576"/>
    <w:rsid w:val="007E5198"/>
    <w:rsid w:val="007E64A3"/>
    <w:rsid w:val="008005D4"/>
    <w:rsid w:val="008066E3"/>
    <w:rsid w:val="008135FA"/>
    <w:rsid w:val="00842B10"/>
    <w:rsid w:val="00846730"/>
    <w:rsid w:val="008509FD"/>
    <w:rsid w:val="00884E04"/>
    <w:rsid w:val="0088607B"/>
    <w:rsid w:val="00893697"/>
    <w:rsid w:val="00895B43"/>
    <w:rsid w:val="008B4E5E"/>
    <w:rsid w:val="008B6715"/>
    <w:rsid w:val="008C1CB8"/>
    <w:rsid w:val="008C42AA"/>
    <w:rsid w:val="008D395D"/>
    <w:rsid w:val="008E29EE"/>
    <w:rsid w:val="008E7D00"/>
    <w:rsid w:val="008F16EC"/>
    <w:rsid w:val="00901B37"/>
    <w:rsid w:val="009113F3"/>
    <w:rsid w:val="00911CF1"/>
    <w:rsid w:val="00917961"/>
    <w:rsid w:val="00922FE2"/>
    <w:rsid w:val="009277D0"/>
    <w:rsid w:val="009303F6"/>
    <w:rsid w:val="00932370"/>
    <w:rsid w:val="009331BD"/>
    <w:rsid w:val="009368A3"/>
    <w:rsid w:val="00941854"/>
    <w:rsid w:val="00941F37"/>
    <w:rsid w:val="00952B92"/>
    <w:rsid w:val="009605FE"/>
    <w:rsid w:val="00962C17"/>
    <w:rsid w:val="00970869"/>
    <w:rsid w:val="00972768"/>
    <w:rsid w:val="009754C7"/>
    <w:rsid w:val="0098442D"/>
    <w:rsid w:val="00987EA8"/>
    <w:rsid w:val="009901F0"/>
    <w:rsid w:val="0099515C"/>
    <w:rsid w:val="00997DAC"/>
    <w:rsid w:val="009A01EA"/>
    <w:rsid w:val="009A1C03"/>
    <w:rsid w:val="009A2558"/>
    <w:rsid w:val="009B01F2"/>
    <w:rsid w:val="009C3D31"/>
    <w:rsid w:val="009C7EB6"/>
    <w:rsid w:val="009D139F"/>
    <w:rsid w:val="009D23C5"/>
    <w:rsid w:val="009E4162"/>
    <w:rsid w:val="009F41CC"/>
    <w:rsid w:val="00A07BDE"/>
    <w:rsid w:val="00A118C7"/>
    <w:rsid w:val="00A2004A"/>
    <w:rsid w:val="00A215F1"/>
    <w:rsid w:val="00A2255C"/>
    <w:rsid w:val="00A23967"/>
    <w:rsid w:val="00A335A6"/>
    <w:rsid w:val="00A416F7"/>
    <w:rsid w:val="00A47321"/>
    <w:rsid w:val="00A57F70"/>
    <w:rsid w:val="00A62D78"/>
    <w:rsid w:val="00A66398"/>
    <w:rsid w:val="00A679BA"/>
    <w:rsid w:val="00A74872"/>
    <w:rsid w:val="00A80236"/>
    <w:rsid w:val="00A92EB0"/>
    <w:rsid w:val="00AA7E0F"/>
    <w:rsid w:val="00AC1D49"/>
    <w:rsid w:val="00AC755B"/>
    <w:rsid w:val="00AD1F6B"/>
    <w:rsid w:val="00AF2E17"/>
    <w:rsid w:val="00B00D3E"/>
    <w:rsid w:val="00B0328A"/>
    <w:rsid w:val="00B14017"/>
    <w:rsid w:val="00B25895"/>
    <w:rsid w:val="00B3490A"/>
    <w:rsid w:val="00B45B68"/>
    <w:rsid w:val="00B468AB"/>
    <w:rsid w:val="00B47698"/>
    <w:rsid w:val="00B5344C"/>
    <w:rsid w:val="00B73359"/>
    <w:rsid w:val="00B80B79"/>
    <w:rsid w:val="00B84603"/>
    <w:rsid w:val="00B96FF7"/>
    <w:rsid w:val="00B971DB"/>
    <w:rsid w:val="00BA1E50"/>
    <w:rsid w:val="00BA6D47"/>
    <w:rsid w:val="00BA7323"/>
    <w:rsid w:val="00BB1E48"/>
    <w:rsid w:val="00BC4723"/>
    <w:rsid w:val="00BC685D"/>
    <w:rsid w:val="00BE04A5"/>
    <w:rsid w:val="00BE4EE7"/>
    <w:rsid w:val="00BF3134"/>
    <w:rsid w:val="00BF315C"/>
    <w:rsid w:val="00BF5BC6"/>
    <w:rsid w:val="00C0423B"/>
    <w:rsid w:val="00C14705"/>
    <w:rsid w:val="00C361B8"/>
    <w:rsid w:val="00C43B82"/>
    <w:rsid w:val="00C45FC7"/>
    <w:rsid w:val="00C5387E"/>
    <w:rsid w:val="00C54726"/>
    <w:rsid w:val="00C64F36"/>
    <w:rsid w:val="00C67FEA"/>
    <w:rsid w:val="00C73151"/>
    <w:rsid w:val="00C731A5"/>
    <w:rsid w:val="00C73A04"/>
    <w:rsid w:val="00C75319"/>
    <w:rsid w:val="00C87EB3"/>
    <w:rsid w:val="00C919D0"/>
    <w:rsid w:val="00CA5A29"/>
    <w:rsid w:val="00CB3ABD"/>
    <w:rsid w:val="00CD24D0"/>
    <w:rsid w:val="00CE28A7"/>
    <w:rsid w:val="00CE471B"/>
    <w:rsid w:val="00CF04EE"/>
    <w:rsid w:val="00CF3C2D"/>
    <w:rsid w:val="00D0456E"/>
    <w:rsid w:val="00D07414"/>
    <w:rsid w:val="00D07CB8"/>
    <w:rsid w:val="00D21DB0"/>
    <w:rsid w:val="00D5576C"/>
    <w:rsid w:val="00D57AB7"/>
    <w:rsid w:val="00D62195"/>
    <w:rsid w:val="00D6595E"/>
    <w:rsid w:val="00D7440B"/>
    <w:rsid w:val="00D7517B"/>
    <w:rsid w:val="00D757A8"/>
    <w:rsid w:val="00D90BF0"/>
    <w:rsid w:val="00D92DBB"/>
    <w:rsid w:val="00DA2E37"/>
    <w:rsid w:val="00DA7655"/>
    <w:rsid w:val="00DC1F6B"/>
    <w:rsid w:val="00DD7FD5"/>
    <w:rsid w:val="00DE09D7"/>
    <w:rsid w:val="00DE474D"/>
    <w:rsid w:val="00DE4FF6"/>
    <w:rsid w:val="00DE6CBC"/>
    <w:rsid w:val="00DF323F"/>
    <w:rsid w:val="00DF3951"/>
    <w:rsid w:val="00DF3BC7"/>
    <w:rsid w:val="00DF46C5"/>
    <w:rsid w:val="00E175D8"/>
    <w:rsid w:val="00E40055"/>
    <w:rsid w:val="00E462DE"/>
    <w:rsid w:val="00E500E8"/>
    <w:rsid w:val="00E57B04"/>
    <w:rsid w:val="00E65A35"/>
    <w:rsid w:val="00E677BF"/>
    <w:rsid w:val="00E72653"/>
    <w:rsid w:val="00E75316"/>
    <w:rsid w:val="00E7573F"/>
    <w:rsid w:val="00E7773F"/>
    <w:rsid w:val="00E80841"/>
    <w:rsid w:val="00E81AB7"/>
    <w:rsid w:val="00E82F7C"/>
    <w:rsid w:val="00E9169C"/>
    <w:rsid w:val="00E96268"/>
    <w:rsid w:val="00EA2A72"/>
    <w:rsid w:val="00EA57C6"/>
    <w:rsid w:val="00EA5AAC"/>
    <w:rsid w:val="00EA756E"/>
    <w:rsid w:val="00EB5F23"/>
    <w:rsid w:val="00ED2E31"/>
    <w:rsid w:val="00ED6EF2"/>
    <w:rsid w:val="00EE1659"/>
    <w:rsid w:val="00F00026"/>
    <w:rsid w:val="00F27423"/>
    <w:rsid w:val="00F55B02"/>
    <w:rsid w:val="00F55FFC"/>
    <w:rsid w:val="00F66CDE"/>
    <w:rsid w:val="00F673A9"/>
    <w:rsid w:val="00F73F8F"/>
    <w:rsid w:val="00F75E85"/>
    <w:rsid w:val="00F844A9"/>
    <w:rsid w:val="00FA097B"/>
    <w:rsid w:val="00FA55AD"/>
    <w:rsid w:val="00FC0949"/>
    <w:rsid w:val="00FD36C0"/>
    <w:rsid w:val="00FF4C92"/>
    <w:rsid w:val="00FF4D01"/>
    <w:rsid w:val="00FF7AB5"/>
  </w:rsids>
  <m:mathPr>
    <m:mathFont m:val="Cambria Math"/>
    <m:brkBin m:val="before"/>
    <m:brkBinSub m:val="--"/>
    <m:smallFrac m:val="0"/>
    <m:dispDef/>
    <m:lMargin m:val="0"/>
    <m:rMargin m:val="0"/>
    <m:defJc m:val="centerGroup"/>
    <m:wrapIndent m:val="1440"/>
    <m:intLim m:val="subSup"/>
    <m:naryLim m:val="undOvr"/>
  </m:mathPr>
  <w:themeFontLang w:val="el-G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264BAB5"/>
  <w15:docId w15:val="{1EF28EC4-B912-9E4F-8823-741BE6D3F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24D0"/>
    <w:pPr>
      <w:spacing w:after="0" w:line="240" w:lineRule="auto"/>
      <w:jc w:val="both"/>
    </w:pPr>
    <w:rPr>
      <w:rFonts w:ascii="Verdana" w:eastAsia="Times New Roman" w:hAnsi="Verdana" w:cs="Times New Roman"/>
      <w:sz w:val="20"/>
      <w:szCs w:val="20"/>
      <w:lang w:val="en-GB" w:eastAsia="el-GR"/>
    </w:rPr>
  </w:style>
  <w:style w:type="paragraph" w:styleId="4">
    <w:name w:val="heading 4"/>
    <w:basedOn w:val="a"/>
    <w:next w:val="a"/>
    <w:link w:val="4Char"/>
    <w:qFormat/>
    <w:rsid w:val="00B0328A"/>
    <w:pPr>
      <w:keepNext/>
      <w:outlineLvl w:val="3"/>
    </w:pPr>
    <w:rPr>
      <w:rFonts w:ascii="Bookman Old Style" w:hAnsi="Bookman Old Style"/>
      <w:b/>
      <w:sz w:val="22"/>
      <w:lang w:val="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5F1739"/>
    <w:pPr>
      <w:tabs>
        <w:tab w:val="center" w:pos="4153"/>
        <w:tab w:val="right" w:pos="8306"/>
      </w:tabs>
    </w:pPr>
  </w:style>
  <w:style w:type="character" w:customStyle="1" w:styleId="Char">
    <w:name w:val="Υποσέλιδο Char"/>
    <w:basedOn w:val="a0"/>
    <w:link w:val="a3"/>
    <w:uiPriority w:val="99"/>
    <w:rsid w:val="005F1739"/>
    <w:rPr>
      <w:rFonts w:ascii="Times New Roman" w:eastAsia="Times New Roman" w:hAnsi="Times New Roman" w:cs="Times New Roman"/>
      <w:sz w:val="20"/>
      <w:szCs w:val="20"/>
      <w:lang w:val="en-GB" w:eastAsia="el-GR"/>
    </w:rPr>
  </w:style>
  <w:style w:type="character" w:styleId="-">
    <w:name w:val="Hyperlink"/>
    <w:rsid w:val="005F1739"/>
    <w:rPr>
      <w:color w:val="0000FF"/>
      <w:u w:val="single"/>
    </w:rPr>
  </w:style>
  <w:style w:type="paragraph" w:styleId="a4">
    <w:name w:val="Balloon Text"/>
    <w:basedOn w:val="a"/>
    <w:link w:val="Char0"/>
    <w:uiPriority w:val="99"/>
    <w:semiHidden/>
    <w:unhideWhenUsed/>
    <w:rsid w:val="005F1739"/>
    <w:rPr>
      <w:rFonts w:ascii="Tahoma" w:hAnsi="Tahoma" w:cs="Tahoma"/>
      <w:sz w:val="16"/>
      <w:szCs w:val="16"/>
    </w:rPr>
  </w:style>
  <w:style w:type="character" w:customStyle="1" w:styleId="Char0">
    <w:name w:val="Κείμενο πλαισίου Char"/>
    <w:basedOn w:val="a0"/>
    <w:link w:val="a4"/>
    <w:uiPriority w:val="99"/>
    <w:semiHidden/>
    <w:rsid w:val="005F1739"/>
    <w:rPr>
      <w:rFonts w:ascii="Tahoma" w:eastAsia="Times New Roman" w:hAnsi="Tahoma" w:cs="Tahoma"/>
      <w:sz w:val="16"/>
      <w:szCs w:val="16"/>
      <w:lang w:val="en-GB" w:eastAsia="el-GR"/>
    </w:rPr>
  </w:style>
  <w:style w:type="paragraph" w:styleId="a5">
    <w:name w:val="List Paragraph"/>
    <w:basedOn w:val="a"/>
    <w:uiPriority w:val="34"/>
    <w:qFormat/>
    <w:rsid w:val="001B1E72"/>
    <w:pPr>
      <w:ind w:left="720"/>
      <w:contextualSpacing/>
    </w:pPr>
  </w:style>
  <w:style w:type="paragraph" w:styleId="a6">
    <w:name w:val="Body Text Indent"/>
    <w:basedOn w:val="a"/>
    <w:link w:val="Char1"/>
    <w:rsid w:val="001B1E72"/>
    <w:pPr>
      <w:spacing w:after="120"/>
      <w:ind w:left="283"/>
    </w:pPr>
  </w:style>
  <w:style w:type="character" w:customStyle="1" w:styleId="Char1">
    <w:name w:val="Σώμα κείμενου με εσοχή Char"/>
    <w:basedOn w:val="a0"/>
    <w:link w:val="a6"/>
    <w:rsid w:val="001B1E72"/>
    <w:rPr>
      <w:rFonts w:ascii="Times New Roman" w:eastAsia="Times New Roman" w:hAnsi="Times New Roman" w:cs="Times New Roman"/>
      <w:sz w:val="20"/>
      <w:szCs w:val="20"/>
      <w:lang w:val="en-GB" w:eastAsia="el-GR"/>
    </w:rPr>
  </w:style>
  <w:style w:type="paragraph" w:customStyle="1" w:styleId="ecxmsonormal">
    <w:name w:val="ecxmsonormal"/>
    <w:basedOn w:val="a"/>
    <w:rsid w:val="00901B37"/>
    <w:pPr>
      <w:spacing w:after="324"/>
    </w:pPr>
    <w:rPr>
      <w:sz w:val="24"/>
      <w:szCs w:val="24"/>
      <w:lang w:val="el-GR"/>
    </w:rPr>
  </w:style>
  <w:style w:type="paragraph" w:styleId="a7">
    <w:name w:val="header"/>
    <w:basedOn w:val="a"/>
    <w:link w:val="Char2"/>
    <w:uiPriority w:val="99"/>
    <w:unhideWhenUsed/>
    <w:rsid w:val="00B14017"/>
    <w:pPr>
      <w:tabs>
        <w:tab w:val="center" w:pos="4153"/>
        <w:tab w:val="right" w:pos="8306"/>
      </w:tabs>
    </w:pPr>
  </w:style>
  <w:style w:type="character" w:customStyle="1" w:styleId="Char2">
    <w:name w:val="Κεφαλίδα Char"/>
    <w:basedOn w:val="a0"/>
    <w:link w:val="a7"/>
    <w:uiPriority w:val="99"/>
    <w:rsid w:val="00B14017"/>
    <w:rPr>
      <w:rFonts w:ascii="Times New Roman" w:eastAsia="Times New Roman" w:hAnsi="Times New Roman" w:cs="Times New Roman"/>
      <w:sz w:val="20"/>
      <w:szCs w:val="20"/>
      <w:lang w:val="en-GB" w:eastAsia="el-GR"/>
    </w:rPr>
  </w:style>
  <w:style w:type="paragraph" w:customStyle="1" w:styleId="ecxmsolistparagraph">
    <w:name w:val="ecxmsolistparagraph"/>
    <w:basedOn w:val="a"/>
    <w:rsid w:val="005C2E45"/>
    <w:pPr>
      <w:spacing w:after="324"/>
    </w:pPr>
    <w:rPr>
      <w:sz w:val="24"/>
      <w:szCs w:val="24"/>
      <w:lang w:val="el-GR"/>
    </w:rPr>
  </w:style>
  <w:style w:type="paragraph" w:styleId="Web">
    <w:name w:val="Normal (Web)"/>
    <w:basedOn w:val="a"/>
    <w:uiPriority w:val="99"/>
    <w:unhideWhenUsed/>
    <w:rsid w:val="00DF46C5"/>
    <w:pPr>
      <w:spacing w:before="100" w:beforeAutospacing="1" w:after="100" w:afterAutospacing="1"/>
    </w:pPr>
    <w:rPr>
      <w:sz w:val="24"/>
      <w:szCs w:val="24"/>
      <w:lang w:val="en-US" w:eastAsia="en-US"/>
    </w:rPr>
  </w:style>
  <w:style w:type="paragraph" w:customStyle="1" w:styleId="CharChar">
    <w:name w:val="Char Char"/>
    <w:basedOn w:val="a"/>
    <w:rsid w:val="00B971DB"/>
    <w:pPr>
      <w:spacing w:after="160" w:line="240" w:lineRule="exact"/>
    </w:pPr>
    <w:rPr>
      <w:lang w:val="en-US" w:eastAsia="en-US"/>
    </w:rPr>
  </w:style>
  <w:style w:type="character" w:customStyle="1" w:styleId="Picturecaption">
    <w:name w:val="Picture caption_"/>
    <w:basedOn w:val="a0"/>
    <w:link w:val="Picturecaption0"/>
    <w:rsid w:val="00B25895"/>
    <w:rPr>
      <w:rFonts w:ascii="Tahoma" w:eastAsia="Tahoma" w:hAnsi="Tahoma" w:cs="Tahoma"/>
      <w:spacing w:val="20"/>
      <w:sz w:val="14"/>
      <w:szCs w:val="14"/>
      <w:shd w:val="clear" w:color="auto" w:fill="FFFFFF"/>
    </w:rPr>
  </w:style>
  <w:style w:type="character" w:customStyle="1" w:styleId="Bodytext">
    <w:name w:val="Body text_"/>
    <w:basedOn w:val="a0"/>
    <w:link w:val="1"/>
    <w:rsid w:val="00B25895"/>
    <w:rPr>
      <w:rFonts w:ascii="Tahoma" w:eastAsia="Tahoma" w:hAnsi="Tahoma" w:cs="Tahoma"/>
      <w:sz w:val="20"/>
      <w:szCs w:val="20"/>
      <w:shd w:val="clear" w:color="auto" w:fill="FFFFFF"/>
    </w:rPr>
  </w:style>
  <w:style w:type="character" w:customStyle="1" w:styleId="Bodytext2">
    <w:name w:val="Body text (2)_"/>
    <w:basedOn w:val="a0"/>
    <w:rsid w:val="00B25895"/>
    <w:rPr>
      <w:rFonts w:ascii="Tahoma" w:eastAsia="Tahoma" w:hAnsi="Tahoma" w:cs="Tahoma"/>
      <w:b w:val="0"/>
      <w:bCs w:val="0"/>
      <w:i w:val="0"/>
      <w:iCs w:val="0"/>
      <w:smallCaps w:val="0"/>
      <w:strike w:val="0"/>
      <w:spacing w:val="0"/>
      <w:sz w:val="16"/>
      <w:szCs w:val="16"/>
    </w:rPr>
  </w:style>
  <w:style w:type="character" w:customStyle="1" w:styleId="Bodytext20">
    <w:name w:val="Body text (2)"/>
    <w:basedOn w:val="Bodytext2"/>
    <w:rsid w:val="00B25895"/>
    <w:rPr>
      <w:rFonts w:ascii="Tahoma" w:eastAsia="Tahoma" w:hAnsi="Tahoma" w:cs="Tahoma"/>
      <w:b w:val="0"/>
      <w:bCs w:val="0"/>
      <w:i w:val="0"/>
      <w:iCs w:val="0"/>
      <w:smallCaps w:val="0"/>
      <w:strike w:val="0"/>
      <w:spacing w:val="0"/>
      <w:sz w:val="16"/>
      <w:szCs w:val="16"/>
      <w:u w:val="single"/>
      <w:lang w:val="en-US"/>
    </w:rPr>
  </w:style>
  <w:style w:type="paragraph" w:customStyle="1" w:styleId="Picturecaption0">
    <w:name w:val="Picture caption"/>
    <w:basedOn w:val="a"/>
    <w:link w:val="Picturecaption"/>
    <w:rsid w:val="00B25895"/>
    <w:pPr>
      <w:shd w:val="clear" w:color="auto" w:fill="FFFFFF"/>
      <w:spacing w:line="0" w:lineRule="atLeast"/>
    </w:pPr>
    <w:rPr>
      <w:rFonts w:ascii="Tahoma" w:eastAsia="Tahoma" w:hAnsi="Tahoma" w:cs="Tahoma"/>
      <w:spacing w:val="20"/>
      <w:sz w:val="14"/>
      <w:szCs w:val="14"/>
      <w:lang w:val="el-GR" w:eastAsia="en-US"/>
    </w:rPr>
  </w:style>
  <w:style w:type="paragraph" w:customStyle="1" w:styleId="1">
    <w:name w:val="Σώμα κειμένου1"/>
    <w:basedOn w:val="a"/>
    <w:link w:val="Bodytext"/>
    <w:rsid w:val="00B25895"/>
    <w:pPr>
      <w:shd w:val="clear" w:color="auto" w:fill="FFFFFF"/>
      <w:spacing w:before="240" w:after="240" w:line="264" w:lineRule="exact"/>
      <w:ind w:hanging="420"/>
      <w:jc w:val="center"/>
    </w:pPr>
    <w:rPr>
      <w:rFonts w:ascii="Tahoma" w:eastAsia="Tahoma" w:hAnsi="Tahoma" w:cs="Tahoma"/>
      <w:lang w:val="el-GR" w:eastAsia="en-US"/>
    </w:rPr>
  </w:style>
  <w:style w:type="character" w:customStyle="1" w:styleId="4Char">
    <w:name w:val="Επικεφαλίδα 4 Char"/>
    <w:basedOn w:val="a0"/>
    <w:link w:val="4"/>
    <w:rsid w:val="00B0328A"/>
    <w:rPr>
      <w:rFonts w:ascii="Bookman Old Style" w:eastAsia="Times New Roman" w:hAnsi="Bookman Old Style" w:cs="Times New Roman"/>
      <w:b/>
      <w:szCs w:val="20"/>
      <w:lang w:eastAsia="el-GR"/>
    </w:rPr>
  </w:style>
  <w:style w:type="paragraph" w:styleId="3">
    <w:name w:val="Body Text 3"/>
    <w:basedOn w:val="a"/>
    <w:link w:val="3Char"/>
    <w:rsid w:val="00126D4E"/>
    <w:pPr>
      <w:spacing w:after="120"/>
    </w:pPr>
    <w:rPr>
      <w:sz w:val="16"/>
      <w:szCs w:val="16"/>
    </w:rPr>
  </w:style>
  <w:style w:type="character" w:customStyle="1" w:styleId="3Char">
    <w:name w:val="Σώμα κείμενου 3 Char"/>
    <w:basedOn w:val="a0"/>
    <w:link w:val="3"/>
    <w:rsid w:val="00126D4E"/>
    <w:rPr>
      <w:rFonts w:ascii="Times New Roman" w:eastAsia="Times New Roman" w:hAnsi="Times New Roman" w:cs="Times New Roman"/>
      <w:sz w:val="16"/>
      <w:szCs w:val="16"/>
      <w:lang w:val="en-GB" w:eastAsia="el-GR"/>
    </w:rPr>
  </w:style>
  <w:style w:type="paragraph" w:styleId="a8">
    <w:name w:val="Body Text"/>
    <w:basedOn w:val="a"/>
    <w:link w:val="Char3"/>
    <w:rsid w:val="00126D4E"/>
    <w:pPr>
      <w:spacing w:after="120"/>
    </w:pPr>
  </w:style>
  <w:style w:type="character" w:customStyle="1" w:styleId="Char3">
    <w:name w:val="Σώμα κειμένου Char"/>
    <w:basedOn w:val="a0"/>
    <w:link w:val="a8"/>
    <w:rsid w:val="00126D4E"/>
    <w:rPr>
      <w:rFonts w:ascii="Times New Roman" w:eastAsia="Times New Roman" w:hAnsi="Times New Roman" w:cs="Times New Roman"/>
      <w:sz w:val="20"/>
      <w:szCs w:val="20"/>
      <w:lang w:val="en-GB" w:eastAsia="el-GR"/>
    </w:rPr>
  </w:style>
  <w:style w:type="paragraph" w:customStyle="1" w:styleId="SubjectLine">
    <w:name w:val="Subject Line"/>
    <w:basedOn w:val="a8"/>
    <w:next w:val="a8"/>
    <w:rsid w:val="00126D4E"/>
    <w:rPr>
      <w:rFonts w:ascii="Arial" w:hAnsi="Arial"/>
      <w:b/>
      <w:i/>
      <w:sz w:val="22"/>
      <w:lang w:val="en-US"/>
    </w:rPr>
  </w:style>
  <w:style w:type="character" w:styleId="a9">
    <w:name w:val="Strong"/>
    <w:qFormat/>
    <w:rsid w:val="00126D4E"/>
    <w:rPr>
      <w:b/>
    </w:rPr>
  </w:style>
  <w:style w:type="paragraph" w:styleId="aa">
    <w:name w:val="Title"/>
    <w:basedOn w:val="a"/>
    <w:link w:val="Char4"/>
    <w:qFormat/>
    <w:rsid w:val="00405989"/>
    <w:pPr>
      <w:jc w:val="center"/>
    </w:pPr>
    <w:rPr>
      <w:rFonts w:ascii="Bookman Old Style" w:hAnsi="Bookman Old Style"/>
      <w:b/>
      <w:sz w:val="22"/>
      <w:u w:val="single"/>
      <w:lang w:val="en-US"/>
    </w:rPr>
  </w:style>
  <w:style w:type="character" w:customStyle="1" w:styleId="Char4">
    <w:name w:val="Τίτλος Char"/>
    <w:basedOn w:val="a0"/>
    <w:link w:val="aa"/>
    <w:rsid w:val="00405989"/>
    <w:rPr>
      <w:rFonts w:ascii="Bookman Old Style" w:eastAsia="Times New Roman" w:hAnsi="Bookman Old Style" w:cs="Times New Roman"/>
      <w:b/>
      <w:szCs w:val="20"/>
      <w:u w:val="single"/>
      <w:lang w:val="en-US" w:eastAsia="el-GR"/>
    </w:rPr>
  </w:style>
  <w:style w:type="paragraph" w:styleId="ab">
    <w:name w:val="footnote text"/>
    <w:basedOn w:val="a"/>
    <w:link w:val="Char5"/>
    <w:uiPriority w:val="99"/>
    <w:semiHidden/>
    <w:unhideWhenUsed/>
    <w:rsid w:val="00080985"/>
  </w:style>
  <w:style w:type="character" w:customStyle="1" w:styleId="Char5">
    <w:name w:val="Κείμενο υποσημείωσης Char"/>
    <w:basedOn w:val="a0"/>
    <w:link w:val="ab"/>
    <w:uiPriority w:val="99"/>
    <w:semiHidden/>
    <w:rsid w:val="00080985"/>
    <w:rPr>
      <w:rFonts w:ascii="Times New Roman" w:eastAsia="Times New Roman" w:hAnsi="Times New Roman" w:cs="Times New Roman"/>
      <w:sz w:val="20"/>
      <w:szCs w:val="20"/>
      <w:lang w:val="en-GB" w:eastAsia="el-GR"/>
    </w:rPr>
  </w:style>
  <w:style w:type="character" w:styleId="ac">
    <w:name w:val="footnote reference"/>
    <w:basedOn w:val="a0"/>
    <w:uiPriority w:val="99"/>
    <w:semiHidden/>
    <w:unhideWhenUsed/>
    <w:rsid w:val="00080985"/>
    <w:rPr>
      <w:vertAlign w:val="superscript"/>
    </w:rPr>
  </w:style>
  <w:style w:type="table" w:styleId="ad">
    <w:name w:val="Table Grid"/>
    <w:basedOn w:val="a1"/>
    <w:rsid w:val="00BF315C"/>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List Accent 1"/>
    <w:basedOn w:val="a1"/>
    <w:uiPriority w:val="61"/>
    <w:rsid w:val="00C361B8"/>
    <w:pPr>
      <w:spacing w:after="0" w:line="240" w:lineRule="auto"/>
    </w:pPr>
    <w:rPr>
      <w:rFonts w:ascii="Times New Roman" w:eastAsia="Times New Roman" w:hAnsi="Times New Roman" w:cs="Times New Roman"/>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maintext">
    <w:name w:val="main text"/>
    <w:basedOn w:val="a"/>
    <w:link w:val="maintextChar"/>
    <w:qFormat/>
    <w:rsid w:val="004D29A3"/>
    <w:pPr>
      <w:autoSpaceDE w:val="0"/>
      <w:autoSpaceDN w:val="0"/>
      <w:adjustRightInd w:val="0"/>
      <w:spacing w:after="170" w:line="300" w:lineRule="atLeast"/>
      <w:textAlignment w:val="center"/>
    </w:pPr>
    <w:rPr>
      <w:rFonts w:ascii="Calibri" w:eastAsiaTheme="minorHAnsi" w:hAnsi="Calibri" w:cs="Calibri"/>
      <w:color w:val="000000"/>
      <w:sz w:val="21"/>
      <w:szCs w:val="21"/>
      <w:lang w:val="el-GR" w:eastAsia="en-US"/>
    </w:rPr>
  </w:style>
  <w:style w:type="character" w:customStyle="1" w:styleId="maintextChar">
    <w:name w:val="main text Char"/>
    <w:basedOn w:val="a0"/>
    <w:link w:val="maintext"/>
    <w:rsid w:val="004D29A3"/>
    <w:rPr>
      <w:rFonts w:ascii="Calibri" w:hAnsi="Calibri" w:cs="Calibri"/>
      <w:color w:val="000000"/>
      <w:sz w:val="21"/>
      <w:szCs w:val="21"/>
    </w:rPr>
  </w:style>
  <w:style w:type="paragraph" w:customStyle="1" w:styleId="charttitle">
    <w:name w:val="chart title"/>
    <w:basedOn w:val="a"/>
    <w:link w:val="charttitleChar"/>
    <w:uiPriority w:val="99"/>
    <w:rsid w:val="00CE471B"/>
    <w:pPr>
      <w:suppressAutoHyphens/>
      <w:autoSpaceDE w:val="0"/>
      <w:autoSpaceDN w:val="0"/>
      <w:adjustRightInd w:val="0"/>
      <w:spacing w:line="300" w:lineRule="atLeast"/>
      <w:jc w:val="left"/>
      <w:textAlignment w:val="center"/>
    </w:pPr>
    <w:rPr>
      <w:rFonts w:ascii="Calibri" w:eastAsiaTheme="minorHAnsi" w:hAnsi="Calibri" w:cs="Calibri"/>
      <w:caps/>
      <w:color w:val="9B9984"/>
      <w:spacing w:val="-1"/>
      <w:sz w:val="22"/>
      <w:szCs w:val="22"/>
      <w:lang w:val="el-GR" w:eastAsia="en-US"/>
    </w:rPr>
  </w:style>
  <w:style w:type="character" w:customStyle="1" w:styleId="charttitleChar">
    <w:name w:val="chart title Char"/>
    <w:basedOn w:val="a0"/>
    <w:link w:val="charttitle"/>
    <w:uiPriority w:val="99"/>
    <w:rsid w:val="00CE471B"/>
    <w:rPr>
      <w:rFonts w:ascii="Calibri" w:hAnsi="Calibri" w:cs="Calibri"/>
      <w:caps/>
      <w:color w:val="9B9984"/>
      <w:spacing w:val="-1"/>
    </w:rPr>
  </w:style>
  <w:style w:type="paragraph" w:customStyle="1" w:styleId="Mpeztitles">
    <w:name w:val="Mpez titles"/>
    <w:basedOn w:val="charttitle"/>
    <w:link w:val="MpeztitlesChar"/>
    <w:qFormat/>
    <w:rsid w:val="00CE471B"/>
    <w:rPr>
      <w:b/>
    </w:rPr>
  </w:style>
  <w:style w:type="character" w:customStyle="1" w:styleId="MpeztitlesChar">
    <w:name w:val="Mpez titles Char"/>
    <w:basedOn w:val="charttitleChar"/>
    <w:link w:val="Mpeztitles"/>
    <w:rsid w:val="00CE471B"/>
    <w:rPr>
      <w:rFonts w:ascii="Calibri" w:hAnsi="Calibri" w:cs="Calibri"/>
      <w:b/>
      <w:caps/>
      <w:color w:val="9B9984"/>
      <w:spacing w:val="-1"/>
    </w:rPr>
  </w:style>
  <w:style w:type="paragraph" w:customStyle="1" w:styleId="BasicParagraph">
    <w:name w:val="[Basic Paragraph]"/>
    <w:basedOn w:val="a"/>
    <w:link w:val="BasicParagraphChar"/>
    <w:uiPriority w:val="99"/>
    <w:rsid w:val="00FF7AB5"/>
    <w:pPr>
      <w:autoSpaceDE w:val="0"/>
      <w:autoSpaceDN w:val="0"/>
      <w:adjustRightInd w:val="0"/>
      <w:spacing w:line="288" w:lineRule="auto"/>
      <w:jc w:val="left"/>
      <w:textAlignment w:val="center"/>
    </w:pPr>
    <w:rPr>
      <w:rFonts w:ascii="Minion Pro" w:eastAsiaTheme="minorHAnsi" w:hAnsi="Minion Pro" w:cs="Minion Pro"/>
      <w:color w:val="000000"/>
      <w:sz w:val="24"/>
      <w:szCs w:val="24"/>
      <w:lang w:val="en-US" w:eastAsia="en-US"/>
    </w:rPr>
  </w:style>
  <w:style w:type="character" w:customStyle="1" w:styleId="BasicParagraphChar">
    <w:name w:val="[Basic Paragraph] Char"/>
    <w:basedOn w:val="a0"/>
    <w:link w:val="BasicParagraph"/>
    <w:uiPriority w:val="99"/>
    <w:rsid w:val="00FF7AB5"/>
    <w:rPr>
      <w:rFonts w:ascii="Minion Pro" w:hAnsi="Minion Pro" w:cs="Minion Pro"/>
      <w:color w:val="000000"/>
      <w:sz w:val="24"/>
      <w:szCs w:val="24"/>
      <w:lang w:val="en-US"/>
    </w:rPr>
  </w:style>
  <w:style w:type="paragraph" w:customStyle="1" w:styleId="anasxetikosmpez">
    <w:name w:val="anasxetikos mpez"/>
    <w:basedOn w:val="BasicParagraph"/>
    <w:link w:val="anasxetikosmpezChar"/>
    <w:qFormat/>
    <w:rsid w:val="00FF7AB5"/>
    <w:rPr>
      <w:rFonts w:ascii="Calibri" w:hAnsi="Calibri" w:cs="Calibri"/>
      <w:b/>
      <w:bCs/>
      <w:caps/>
      <w:color w:val="9B9984"/>
      <w:sz w:val="18"/>
      <w:szCs w:val="18"/>
    </w:rPr>
  </w:style>
  <w:style w:type="character" w:customStyle="1" w:styleId="anasxetikosmpezChar">
    <w:name w:val="anasxetikos mpez Char"/>
    <w:basedOn w:val="BasicParagraphChar"/>
    <w:link w:val="anasxetikosmpez"/>
    <w:rsid w:val="00FF7AB5"/>
    <w:rPr>
      <w:rFonts w:ascii="Calibri" w:hAnsi="Calibri" w:cs="Calibri"/>
      <w:b/>
      <w:bCs/>
      <w:caps/>
      <w:color w:val="9B9984"/>
      <w:sz w:val="18"/>
      <w:szCs w:val="18"/>
      <w:lang w:val="en-US"/>
    </w:rPr>
  </w:style>
  <w:style w:type="paragraph" w:customStyle="1" w:styleId="Bluetitles">
    <w:name w:val="Blue titles"/>
    <w:basedOn w:val="a"/>
    <w:link w:val="BluetitlesChar"/>
    <w:qFormat/>
    <w:rsid w:val="00314333"/>
    <w:pPr>
      <w:suppressAutoHyphens/>
      <w:autoSpaceDE w:val="0"/>
      <w:autoSpaceDN w:val="0"/>
      <w:adjustRightInd w:val="0"/>
      <w:spacing w:before="340" w:after="227" w:line="300" w:lineRule="atLeast"/>
      <w:ind w:left="510" w:hanging="510"/>
      <w:jc w:val="left"/>
      <w:textAlignment w:val="center"/>
    </w:pPr>
    <w:rPr>
      <w:rFonts w:ascii="Calibri" w:eastAsiaTheme="minorHAnsi" w:hAnsi="Calibri" w:cs="Calibri"/>
      <w:b/>
      <w:bCs/>
      <w:caps/>
      <w:color w:val="0076BD"/>
      <w:spacing w:val="-1"/>
      <w:sz w:val="27"/>
      <w:szCs w:val="27"/>
      <w:lang w:val="el-GR" w:eastAsia="en-US"/>
    </w:rPr>
  </w:style>
  <w:style w:type="character" w:customStyle="1" w:styleId="BluetitlesChar">
    <w:name w:val="Blue titles Char"/>
    <w:basedOn w:val="a0"/>
    <w:link w:val="Bluetitles"/>
    <w:rsid w:val="00314333"/>
    <w:rPr>
      <w:rFonts w:ascii="Calibri" w:hAnsi="Calibri" w:cs="Calibri"/>
      <w:b/>
      <w:bCs/>
      <w:caps/>
      <w:color w:val="0076BD"/>
      <w:spacing w:val="-1"/>
      <w:sz w:val="27"/>
      <w:szCs w:val="27"/>
    </w:rPr>
  </w:style>
  <w:style w:type="table" w:styleId="-5">
    <w:name w:val="Light Shading Accent 5"/>
    <w:basedOn w:val="a1"/>
    <w:uiPriority w:val="60"/>
    <w:rsid w:val="0029201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930643">
      <w:bodyDiv w:val="1"/>
      <w:marLeft w:val="0"/>
      <w:marRight w:val="0"/>
      <w:marTop w:val="0"/>
      <w:marBottom w:val="0"/>
      <w:divBdr>
        <w:top w:val="none" w:sz="0" w:space="0" w:color="auto"/>
        <w:left w:val="none" w:sz="0" w:space="0" w:color="auto"/>
        <w:bottom w:val="none" w:sz="0" w:space="0" w:color="auto"/>
        <w:right w:val="none" w:sz="0" w:space="0" w:color="auto"/>
      </w:divBdr>
    </w:div>
    <w:div w:id="179398896">
      <w:bodyDiv w:val="1"/>
      <w:marLeft w:val="0"/>
      <w:marRight w:val="0"/>
      <w:marTop w:val="0"/>
      <w:marBottom w:val="0"/>
      <w:divBdr>
        <w:top w:val="none" w:sz="0" w:space="0" w:color="auto"/>
        <w:left w:val="none" w:sz="0" w:space="0" w:color="auto"/>
        <w:bottom w:val="none" w:sz="0" w:space="0" w:color="auto"/>
        <w:right w:val="none" w:sz="0" w:space="0" w:color="auto"/>
      </w:divBdr>
    </w:div>
    <w:div w:id="335229440">
      <w:bodyDiv w:val="1"/>
      <w:marLeft w:val="0"/>
      <w:marRight w:val="0"/>
      <w:marTop w:val="0"/>
      <w:marBottom w:val="0"/>
      <w:divBdr>
        <w:top w:val="none" w:sz="0" w:space="0" w:color="auto"/>
        <w:left w:val="none" w:sz="0" w:space="0" w:color="auto"/>
        <w:bottom w:val="none" w:sz="0" w:space="0" w:color="auto"/>
        <w:right w:val="none" w:sz="0" w:space="0" w:color="auto"/>
      </w:divBdr>
      <w:divsChild>
        <w:div w:id="760639696">
          <w:marLeft w:val="0"/>
          <w:marRight w:val="0"/>
          <w:marTop w:val="0"/>
          <w:marBottom w:val="0"/>
          <w:divBdr>
            <w:top w:val="none" w:sz="0" w:space="0" w:color="auto"/>
            <w:left w:val="none" w:sz="0" w:space="0" w:color="auto"/>
            <w:bottom w:val="none" w:sz="0" w:space="0" w:color="auto"/>
            <w:right w:val="none" w:sz="0" w:space="0" w:color="auto"/>
          </w:divBdr>
          <w:divsChild>
            <w:div w:id="1759716102">
              <w:marLeft w:val="0"/>
              <w:marRight w:val="0"/>
              <w:marTop w:val="0"/>
              <w:marBottom w:val="0"/>
              <w:divBdr>
                <w:top w:val="none" w:sz="0" w:space="0" w:color="auto"/>
                <w:left w:val="none" w:sz="0" w:space="0" w:color="auto"/>
                <w:bottom w:val="none" w:sz="0" w:space="0" w:color="auto"/>
                <w:right w:val="none" w:sz="0" w:space="0" w:color="auto"/>
              </w:divBdr>
              <w:divsChild>
                <w:div w:id="164126179">
                  <w:marLeft w:val="0"/>
                  <w:marRight w:val="0"/>
                  <w:marTop w:val="0"/>
                  <w:marBottom w:val="0"/>
                  <w:divBdr>
                    <w:top w:val="none" w:sz="0" w:space="0" w:color="auto"/>
                    <w:left w:val="none" w:sz="0" w:space="0" w:color="auto"/>
                    <w:bottom w:val="none" w:sz="0" w:space="0" w:color="auto"/>
                    <w:right w:val="none" w:sz="0" w:space="0" w:color="auto"/>
                  </w:divBdr>
                  <w:divsChild>
                    <w:div w:id="2013988377">
                      <w:marLeft w:val="0"/>
                      <w:marRight w:val="0"/>
                      <w:marTop w:val="0"/>
                      <w:marBottom w:val="0"/>
                      <w:divBdr>
                        <w:top w:val="none" w:sz="0" w:space="0" w:color="auto"/>
                        <w:left w:val="none" w:sz="0" w:space="0" w:color="auto"/>
                        <w:bottom w:val="none" w:sz="0" w:space="0" w:color="auto"/>
                        <w:right w:val="none" w:sz="0" w:space="0" w:color="auto"/>
                      </w:divBdr>
                      <w:divsChild>
                        <w:div w:id="727804742">
                          <w:marLeft w:val="0"/>
                          <w:marRight w:val="0"/>
                          <w:marTop w:val="0"/>
                          <w:marBottom w:val="0"/>
                          <w:divBdr>
                            <w:top w:val="none" w:sz="0" w:space="0" w:color="auto"/>
                            <w:left w:val="none" w:sz="0" w:space="0" w:color="auto"/>
                            <w:bottom w:val="none" w:sz="0" w:space="0" w:color="auto"/>
                            <w:right w:val="none" w:sz="0" w:space="0" w:color="auto"/>
                          </w:divBdr>
                          <w:divsChild>
                            <w:div w:id="1981499525">
                              <w:marLeft w:val="0"/>
                              <w:marRight w:val="0"/>
                              <w:marTop w:val="0"/>
                              <w:marBottom w:val="0"/>
                              <w:divBdr>
                                <w:top w:val="none" w:sz="0" w:space="0" w:color="auto"/>
                                <w:left w:val="none" w:sz="0" w:space="0" w:color="auto"/>
                                <w:bottom w:val="none" w:sz="0" w:space="0" w:color="auto"/>
                                <w:right w:val="none" w:sz="0" w:space="0" w:color="auto"/>
                              </w:divBdr>
                              <w:divsChild>
                                <w:div w:id="1196044658">
                                  <w:marLeft w:val="0"/>
                                  <w:marRight w:val="0"/>
                                  <w:marTop w:val="0"/>
                                  <w:marBottom w:val="0"/>
                                  <w:divBdr>
                                    <w:top w:val="none" w:sz="0" w:space="0" w:color="auto"/>
                                    <w:left w:val="none" w:sz="0" w:space="0" w:color="auto"/>
                                    <w:bottom w:val="none" w:sz="0" w:space="0" w:color="auto"/>
                                    <w:right w:val="none" w:sz="0" w:space="0" w:color="auto"/>
                                  </w:divBdr>
                                  <w:divsChild>
                                    <w:div w:id="1340498919">
                                      <w:marLeft w:val="0"/>
                                      <w:marRight w:val="0"/>
                                      <w:marTop w:val="0"/>
                                      <w:marBottom w:val="0"/>
                                      <w:divBdr>
                                        <w:top w:val="none" w:sz="0" w:space="0" w:color="auto"/>
                                        <w:left w:val="none" w:sz="0" w:space="0" w:color="auto"/>
                                        <w:bottom w:val="none" w:sz="0" w:space="0" w:color="auto"/>
                                        <w:right w:val="none" w:sz="0" w:space="0" w:color="auto"/>
                                      </w:divBdr>
                                      <w:divsChild>
                                        <w:div w:id="708989326">
                                          <w:marLeft w:val="0"/>
                                          <w:marRight w:val="0"/>
                                          <w:marTop w:val="0"/>
                                          <w:marBottom w:val="0"/>
                                          <w:divBdr>
                                            <w:top w:val="none" w:sz="0" w:space="0" w:color="auto"/>
                                            <w:left w:val="none" w:sz="0" w:space="0" w:color="auto"/>
                                            <w:bottom w:val="none" w:sz="0" w:space="0" w:color="auto"/>
                                            <w:right w:val="none" w:sz="0" w:space="0" w:color="auto"/>
                                          </w:divBdr>
                                          <w:divsChild>
                                            <w:div w:id="657072258">
                                              <w:marLeft w:val="0"/>
                                              <w:marRight w:val="0"/>
                                              <w:marTop w:val="0"/>
                                              <w:marBottom w:val="0"/>
                                              <w:divBdr>
                                                <w:top w:val="none" w:sz="0" w:space="0" w:color="auto"/>
                                                <w:left w:val="none" w:sz="0" w:space="0" w:color="auto"/>
                                                <w:bottom w:val="none" w:sz="0" w:space="0" w:color="auto"/>
                                                <w:right w:val="none" w:sz="0" w:space="0" w:color="auto"/>
                                              </w:divBdr>
                                              <w:divsChild>
                                                <w:div w:id="2067873317">
                                                  <w:marLeft w:val="0"/>
                                                  <w:marRight w:val="90"/>
                                                  <w:marTop w:val="0"/>
                                                  <w:marBottom w:val="0"/>
                                                  <w:divBdr>
                                                    <w:top w:val="none" w:sz="0" w:space="0" w:color="auto"/>
                                                    <w:left w:val="none" w:sz="0" w:space="0" w:color="auto"/>
                                                    <w:bottom w:val="none" w:sz="0" w:space="0" w:color="auto"/>
                                                    <w:right w:val="none" w:sz="0" w:space="0" w:color="auto"/>
                                                  </w:divBdr>
                                                  <w:divsChild>
                                                    <w:div w:id="1669284638">
                                                      <w:marLeft w:val="0"/>
                                                      <w:marRight w:val="0"/>
                                                      <w:marTop w:val="0"/>
                                                      <w:marBottom w:val="0"/>
                                                      <w:divBdr>
                                                        <w:top w:val="none" w:sz="0" w:space="0" w:color="auto"/>
                                                        <w:left w:val="none" w:sz="0" w:space="0" w:color="auto"/>
                                                        <w:bottom w:val="none" w:sz="0" w:space="0" w:color="auto"/>
                                                        <w:right w:val="none" w:sz="0" w:space="0" w:color="auto"/>
                                                      </w:divBdr>
                                                      <w:divsChild>
                                                        <w:div w:id="1747919877">
                                                          <w:marLeft w:val="0"/>
                                                          <w:marRight w:val="0"/>
                                                          <w:marTop w:val="0"/>
                                                          <w:marBottom w:val="0"/>
                                                          <w:divBdr>
                                                            <w:top w:val="none" w:sz="0" w:space="0" w:color="auto"/>
                                                            <w:left w:val="none" w:sz="0" w:space="0" w:color="auto"/>
                                                            <w:bottom w:val="none" w:sz="0" w:space="0" w:color="auto"/>
                                                            <w:right w:val="none" w:sz="0" w:space="0" w:color="auto"/>
                                                          </w:divBdr>
                                                          <w:divsChild>
                                                            <w:div w:id="386800174">
                                                              <w:marLeft w:val="0"/>
                                                              <w:marRight w:val="0"/>
                                                              <w:marTop w:val="0"/>
                                                              <w:marBottom w:val="0"/>
                                                              <w:divBdr>
                                                                <w:top w:val="none" w:sz="0" w:space="0" w:color="auto"/>
                                                                <w:left w:val="none" w:sz="0" w:space="0" w:color="auto"/>
                                                                <w:bottom w:val="none" w:sz="0" w:space="0" w:color="auto"/>
                                                                <w:right w:val="none" w:sz="0" w:space="0" w:color="auto"/>
                                                              </w:divBdr>
                                                              <w:divsChild>
                                                                <w:div w:id="1655571830">
                                                                  <w:marLeft w:val="0"/>
                                                                  <w:marRight w:val="0"/>
                                                                  <w:marTop w:val="0"/>
                                                                  <w:marBottom w:val="105"/>
                                                                  <w:divBdr>
                                                                    <w:top w:val="single" w:sz="6" w:space="0" w:color="EDEDED"/>
                                                                    <w:left w:val="single" w:sz="6" w:space="0" w:color="EDEDED"/>
                                                                    <w:bottom w:val="single" w:sz="6" w:space="0" w:color="EDEDED"/>
                                                                    <w:right w:val="single" w:sz="6" w:space="0" w:color="EDEDED"/>
                                                                  </w:divBdr>
                                                                  <w:divsChild>
                                                                    <w:div w:id="1183711415">
                                                                      <w:marLeft w:val="0"/>
                                                                      <w:marRight w:val="0"/>
                                                                      <w:marTop w:val="0"/>
                                                                      <w:marBottom w:val="0"/>
                                                                      <w:divBdr>
                                                                        <w:top w:val="none" w:sz="0" w:space="0" w:color="auto"/>
                                                                        <w:left w:val="none" w:sz="0" w:space="0" w:color="auto"/>
                                                                        <w:bottom w:val="none" w:sz="0" w:space="0" w:color="auto"/>
                                                                        <w:right w:val="none" w:sz="0" w:space="0" w:color="auto"/>
                                                                      </w:divBdr>
                                                                      <w:divsChild>
                                                                        <w:div w:id="623658191">
                                                                          <w:marLeft w:val="0"/>
                                                                          <w:marRight w:val="0"/>
                                                                          <w:marTop w:val="0"/>
                                                                          <w:marBottom w:val="0"/>
                                                                          <w:divBdr>
                                                                            <w:top w:val="none" w:sz="0" w:space="0" w:color="auto"/>
                                                                            <w:left w:val="none" w:sz="0" w:space="0" w:color="auto"/>
                                                                            <w:bottom w:val="none" w:sz="0" w:space="0" w:color="auto"/>
                                                                            <w:right w:val="none" w:sz="0" w:space="0" w:color="auto"/>
                                                                          </w:divBdr>
                                                                          <w:divsChild>
                                                                            <w:div w:id="1876698442">
                                                                              <w:marLeft w:val="0"/>
                                                                              <w:marRight w:val="0"/>
                                                                              <w:marTop w:val="0"/>
                                                                              <w:marBottom w:val="0"/>
                                                                              <w:divBdr>
                                                                                <w:top w:val="none" w:sz="0" w:space="0" w:color="auto"/>
                                                                                <w:left w:val="none" w:sz="0" w:space="0" w:color="auto"/>
                                                                                <w:bottom w:val="none" w:sz="0" w:space="0" w:color="auto"/>
                                                                                <w:right w:val="none" w:sz="0" w:space="0" w:color="auto"/>
                                                                              </w:divBdr>
                                                                              <w:divsChild>
                                                                                <w:div w:id="782501014">
                                                                                  <w:marLeft w:val="180"/>
                                                                                  <w:marRight w:val="180"/>
                                                                                  <w:marTop w:val="0"/>
                                                                                  <w:marBottom w:val="0"/>
                                                                                  <w:divBdr>
                                                                                    <w:top w:val="none" w:sz="0" w:space="0" w:color="auto"/>
                                                                                    <w:left w:val="none" w:sz="0" w:space="0" w:color="auto"/>
                                                                                    <w:bottom w:val="none" w:sz="0" w:space="0" w:color="auto"/>
                                                                                    <w:right w:val="none" w:sz="0" w:space="0" w:color="auto"/>
                                                                                  </w:divBdr>
                                                                                  <w:divsChild>
                                                                                    <w:div w:id="1077247840">
                                                                                      <w:marLeft w:val="0"/>
                                                                                      <w:marRight w:val="0"/>
                                                                                      <w:marTop w:val="0"/>
                                                                                      <w:marBottom w:val="0"/>
                                                                                      <w:divBdr>
                                                                                        <w:top w:val="none" w:sz="0" w:space="0" w:color="auto"/>
                                                                                        <w:left w:val="none" w:sz="0" w:space="0" w:color="auto"/>
                                                                                        <w:bottom w:val="none" w:sz="0" w:space="0" w:color="auto"/>
                                                                                        <w:right w:val="none" w:sz="0" w:space="0" w:color="auto"/>
                                                                                      </w:divBdr>
                                                                                      <w:divsChild>
                                                                                        <w:div w:id="3030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2708969">
      <w:bodyDiv w:val="1"/>
      <w:marLeft w:val="0"/>
      <w:marRight w:val="0"/>
      <w:marTop w:val="0"/>
      <w:marBottom w:val="0"/>
      <w:divBdr>
        <w:top w:val="none" w:sz="0" w:space="0" w:color="auto"/>
        <w:left w:val="none" w:sz="0" w:space="0" w:color="auto"/>
        <w:bottom w:val="none" w:sz="0" w:space="0" w:color="auto"/>
        <w:right w:val="none" w:sz="0" w:space="0" w:color="auto"/>
      </w:divBdr>
    </w:div>
    <w:div w:id="477456288">
      <w:bodyDiv w:val="1"/>
      <w:marLeft w:val="0"/>
      <w:marRight w:val="0"/>
      <w:marTop w:val="0"/>
      <w:marBottom w:val="0"/>
      <w:divBdr>
        <w:top w:val="none" w:sz="0" w:space="0" w:color="auto"/>
        <w:left w:val="none" w:sz="0" w:space="0" w:color="auto"/>
        <w:bottom w:val="none" w:sz="0" w:space="0" w:color="auto"/>
        <w:right w:val="none" w:sz="0" w:space="0" w:color="auto"/>
      </w:divBdr>
    </w:div>
    <w:div w:id="521893091">
      <w:bodyDiv w:val="1"/>
      <w:marLeft w:val="0"/>
      <w:marRight w:val="0"/>
      <w:marTop w:val="0"/>
      <w:marBottom w:val="0"/>
      <w:divBdr>
        <w:top w:val="none" w:sz="0" w:space="0" w:color="auto"/>
        <w:left w:val="none" w:sz="0" w:space="0" w:color="auto"/>
        <w:bottom w:val="none" w:sz="0" w:space="0" w:color="auto"/>
        <w:right w:val="none" w:sz="0" w:space="0" w:color="auto"/>
      </w:divBdr>
      <w:divsChild>
        <w:div w:id="160585188">
          <w:marLeft w:val="0"/>
          <w:marRight w:val="0"/>
          <w:marTop w:val="0"/>
          <w:marBottom w:val="0"/>
          <w:divBdr>
            <w:top w:val="none" w:sz="0" w:space="0" w:color="auto"/>
            <w:left w:val="none" w:sz="0" w:space="0" w:color="auto"/>
            <w:bottom w:val="none" w:sz="0" w:space="0" w:color="auto"/>
            <w:right w:val="none" w:sz="0" w:space="0" w:color="auto"/>
          </w:divBdr>
          <w:divsChild>
            <w:div w:id="803545314">
              <w:marLeft w:val="0"/>
              <w:marRight w:val="0"/>
              <w:marTop w:val="0"/>
              <w:marBottom w:val="0"/>
              <w:divBdr>
                <w:top w:val="none" w:sz="0" w:space="0" w:color="auto"/>
                <w:left w:val="none" w:sz="0" w:space="0" w:color="auto"/>
                <w:bottom w:val="none" w:sz="0" w:space="0" w:color="auto"/>
                <w:right w:val="none" w:sz="0" w:space="0" w:color="auto"/>
              </w:divBdr>
              <w:divsChild>
                <w:div w:id="1421414756">
                  <w:marLeft w:val="0"/>
                  <w:marRight w:val="0"/>
                  <w:marTop w:val="0"/>
                  <w:marBottom w:val="0"/>
                  <w:divBdr>
                    <w:top w:val="none" w:sz="0" w:space="0" w:color="auto"/>
                    <w:left w:val="none" w:sz="0" w:space="0" w:color="auto"/>
                    <w:bottom w:val="none" w:sz="0" w:space="0" w:color="auto"/>
                    <w:right w:val="none" w:sz="0" w:space="0" w:color="auto"/>
                  </w:divBdr>
                  <w:divsChild>
                    <w:div w:id="834876021">
                      <w:marLeft w:val="0"/>
                      <w:marRight w:val="0"/>
                      <w:marTop w:val="0"/>
                      <w:marBottom w:val="0"/>
                      <w:divBdr>
                        <w:top w:val="none" w:sz="0" w:space="0" w:color="auto"/>
                        <w:left w:val="none" w:sz="0" w:space="0" w:color="auto"/>
                        <w:bottom w:val="none" w:sz="0" w:space="0" w:color="auto"/>
                        <w:right w:val="none" w:sz="0" w:space="0" w:color="auto"/>
                      </w:divBdr>
                      <w:divsChild>
                        <w:div w:id="1077048169">
                          <w:marLeft w:val="0"/>
                          <w:marRight w:val="0"/>
                          <w:marTop w:val="0"/>
                          <w:marBottom w:val="0"/>
                          <w:divBdr>
                            <w:top w:val="none" w:sz="0" w:space="0" w:color="auto"/>
                            <w:left w:val="none" w:sz="0" w:space="0" w:color="auto"/>
                            <w:bottom w:val="none" w:sz="0" w:space="0" w:color="auto"/>
                            <w:right w:val="none" w:sz="0" w:space="0" w:color="auto"/>
                          </w:divBdr>
                          <w:divsChild>
                            <w:div w:id="1440487017">
                              <w:marLeft w:val="0"/>
                              <w:marRight w:val="0"/>
                              <w:marTop w:val="0"/>
                              <w:marBottom w:val="0"/>
                              <w:divBdr>
                                <w:top w:val="none" w:sz="0" w:space="0" w:color="auto"/>
                                <w:left w:val="none" w:sz="0" w:space="0" w:color="auto"/>
                                <w:bottom w:val="none" w:sz="0" w:space="0" w:color="auto"/>
                                <w:right w:val="none" w:sz="0" w:space="0" w:color="auto"/>
                              </w:divBdr>
                              <w:divsChild>
                                <w:div w:id="28073099">
                                  <w:marLeft w:val="0"/>
                                  <w:marRight w:val="0"/>
                                  <w:marTop w:val="0"/>
                                  <w:marBottom w:val="0"/>
                                  <w:divBdr>
                                    <w:top w:val="none" w:sz="0" w:space="0" w:color="auto"/>
                                    <w:left w:val="none" w:sz="0" w:space="0" w:color="auto"/>
                                    <w:bottom w:val="none" w:sz="0" w:space="0" w:color="auto"/>
                                    <w:right w:val="none" w:sz="0" w:space="0" w:color="auto"/>
                                  </w:divBdr>
                                  <w:divsChild>
                                    <w:div w:id="1558860092">
                                      <w:marLeft w:val="0"/>
                                      <w:marRight w:val="0"/>
                                      <w:marTop w:val="0"/>
                                      <w:marBottom w:val="0"/>
                                      <w:divBdr>
                                        <w:top w:val="none" w:sz="0" w:space="0" w:color="auto"/>
                                        <w:left w:val="none" w:sz="0" w:space="0" w:color="auto"/>
                                        <w:bottom w:val="none" w:sz="0" w:space="0" w:color="auto"/>
                                        <w:right w:val="none" w:sz="0" w:space="0" w:color="auto"/>
                                      </w:divBdr>
                                      <w:divsChild>
                                        <w:div w:id="280961679">
                                          <w:marLeft w:val="0"/>
                                          <w:marRight w:val="0"/>
                                          <w:marTop w:val="0"/>
                                          <w:marBottom w:val="0"/>
                                          <w:divBdr>
                                            <w:top w:val="none" w:sz="0" w:space="0" w:color="auto"/>
                                            <w:left w:val="none" w:sz="0" w:space="0" w:color="auto"/>
                                            <w:bottom w:val="none" w:sz="0" w:space="0" w:color="auto"/>
                                            <w:right w:val="none" w:sz="0" w:space="0" w:color="auto"/>
                                          </w:divBdr>
                                          <w:divsChild>
                                            <w:div w:id="32194635">
                                              <w:marLeft w:val="0"/>
                                              <w:marRight w:val="0"/>
                                              <w:marTop w:val="0"/>
                                              <w:marBottom w:val="0"/>
                                              <w:divBdr>
                                                <w:top w:val="none" w:sz="0" w:space="0" w:color="auto"/>
                                                <w:left w:val="none" w:sz="0" w:space="0" w:color="auto"/>
                                                <w:bottom w:val="none" w:sz="0" w:space="0" w:color="auto"/>
                                                <w:right w:val="none" w:sz="0" w:space="0" w:color="auto"/>
                                              </w:divBdr>
                                              <w:divsChild>
                                                <w:div w:id="1134442827">
                                                  <w:marLeft w:val="0"/>
                                                  <w:marRight w:val="90"/>
                                                  <w:marTop w:val="0"/>
                                                  <w:marBottom w:val="0"/>
                                                  <w:divBdr>
                                                    <w:top w:val="none" w:sz="0" w:space="0" w:color="auto"/>
                                                    <w:left w:val="none" w:sz="0" w:space="0" w:color="auto"/>
                                                    <w:bottom w:val="none" w:sz="0" w:space="0" w:color="auto"/>
                                                    <w:right w:val="none" w:sz="0" w:space="0" w:color="auto"/>
                                                  </w:divBdr>
                                                  <w:divsChild>
                                                    <w:div w:id="1253707188">
                                                      <w:marLeft w:val="0"/>
                                                      <w:marRight w:val="0"/>
                                                      <w:marTop w:val="0"/>
                                                      <w:marBottom w:val="0"/>
                                                      <w:divBdr>
                                                        <w:top w:val="none" w:sz="0" w:space="0" w:color="auto"/>
                                                        <w:left w:val="none" w:sz="0" w:space="0" w:color="auto"/>
                                                        <w:bottom w:val="none" w:sz="0" w:space="0" w:color="auto"/>
                                                        <w:right w:val="none" w:sz="0" w:space="0" w:color="auto"/>
                                                      </w:divBdr>
                                                      <w:divsChild>
                                                        <w:div w:id="538202757">
                                                          <w:marLeft w:val="0"/>
                                                          <w:marRight w:val="0"/>
                                                          <w:marTop w:val="0"/>
                                                          <w:marBottom w:val="0"/>
                                                          <w:divBdr>
                                                            <w:top w:val="none" w:sz="0" w:space="0" w:color="auto"/>
                                                            <w:left w:val="none" w:sz="0" w:space="0" w:color="auto"/>
                                                            <w:bottom w:val="none" w:sz="0" w:space="0" w:color="auto"/>
                                                            <w:right w:val="none" w:sz="0" w:space="0" w:color="auto"/>
                                                          </w:divBdr>
                                                          <w:divsChild>
                                                            <w:div w:id="425656681">
                                                              <w:marLeft w:val="0"/>
                                                              <w:marRight w:val="0"/>
                                                              <w:marTop w:val="0"/>
                                                              <w:marBottom w:val="0"/>
                                                              <w:divBdr>
                                                                <w:top w:val="none" w:sz="0" w:space="0" w:color="auto"/>
                                                                <w:left w:val="none" w:sz="0" w:space="0" w:color="auto"/>
                                                                <w:bottom w:val="none" w:sz="0" w:space="0" w:color="auto"/>
                                                                <w:right w:val="none" w:sz="0" w:space="0" w:color="auto"/>
                                                              </w:divBdr>
                                                              <w:divsChild>
                                                                <w:div w:id="1610503678">
                                                                  <w:marLeft w:val="0"/>
                                                                  <w:marRight w:val="0"/>
                                                                  <w:marTop w:val="0"/>
                                                                  <w:marBottom w:val="105"/>
                                                                  <w:divBdr>
                                                                    <w:top w:val="single" w:sz="6" w:space="0" w:color="EDEDED"/>
                                                                    <w:left w:val="single" w:sz="6" w:space="0" w:color="EDEDED"/>
                                                                    <w:bottom w:val="single" w:sz="6" w:space="0" w:color="EDEDED"/>
                                                                    <w:right w:val="single" w:sz="6" w:space="0" w:color="EDEDED"/>
                                                                  </w:divBdr>
                                                                  <w:divsChild>
                                                                    <w:div w:id="746876911">
                                                                      <w:marLeft w:val="0"/>
                                                                      <w:marRight w:val="0"/>
                                                                      <w:marTop w:val="0"/>
                                                                      <w:marBottom w:val="0"/>
                                                                      <w:divBdr>
                                                                        <w:top w:val="none" w:sz="0" w:space="0" w:color="auto"/>
                                                                        <w:left w:val="none" w:sz="0" w:space="0" w:color="auto"/>
                                                                        <w:bottom w:val="none" w:sz="0" w:space="0" w:color="auto"/>
                                                                        <w:right w:val="none" w:sz="0" w:space="0" w:color="auto"/>
                                                                      </w:divBdr>
                                                                      <w:divsChild>
                                                                        <w:div w:id="1946424673">
                                                                          <w:marLeft w:val="0"/>
                                                                          <w:marRight w:val="0"/>
                                                                          <w:marTop w:val="0"/>
                                                                          <w:marBottom w:val="0"/>
                                                                          <w:divBdr>
                                                                            <w:top w:val="none" w:sz="0" w:space="0" w:color="auto"/>
                                                                            <w:left w:val="none" w:sz="0" w:space="0" w:color="auto"/>
                                                                            <w:bottom w:val="none" w:sz="0" w:space="0" w:color="auto"/>
                                                                            <w:right w:val="none" w:sz="0" w:space="0" w:color="auto"/>
                                                                          </w:divBdr>
                                                                          <w:divsChild>
                                                                            <w:div w:id="655501731">
                                                                              <w:marLeft w:val="0"/>
                                                                              <w:marRight w:val="0"/>
                                                                              <w:marTop w:val="0"/>
                                                                              <w:marBottom w:val="0"/>
                                                                              <w:divBdr>
                                                                                <w:top w:val="none" w:sz="0" w:space="0" w:color="auto"/>
                                                                                <w:left w:val="none" w:sz="0" w:space="0" w:color="auto"/>
                                                                                <w:bottom w:val="none" w:sz="0" w:space="0" w:color="auto"/>
                                                                                <w:right w:val="none" w:sz="0" w:space="0" w:color="auto"/>
                                                                              </w:divBdr>
                                                                              <w:divsChild>
                                                                                <w:div w:id="370230238">
                                                                                  <w:marLeft w:val="180"/>
                                                                                  <w:marRight w:val="180"/>
                                                                                  <w:marTop w:val="0"/>
                                                                                  <w:marBottom w:val="0"/>
                                                                                  <w:divBdr>
                                                                                    <w:top w:val="none" w:sz="0" w:space="0" w:color="auto"/>
                                                                                    <w:left w:val="none" w:sz="0" w:space="0" w:color="auto"/>
                                                                                    <w:bottom w:val="none" w:sz="0" w:space="0" w:color="auto"/>
                                                                                    <w:right w:val="none" w:sz="0" w:space="0" w:color="auto"/>
                                                                                  </w:divBdr>
                                                                                  <w:divsChild>
                                                                                    <w:div w:id="734855539">
                                                                                      <w:marLeft w:val="0"/>
                                                                                      <w:marRight w:val="0"/>
                                                                                      <w:marTop w:val="0"/>
                                                                                      <w:marBottom w:val="0"/>
                                                                                      <w:divBdr>
                                                                                        <w:top w:val="none" w:sz="0" w:space="0" w:color="auto"/>
                                                                                        <w:left w:val="none" w:sz="0" w:space="0" w:color="auto"/>
                                                                                        <w:bottom w:val="none" w:sz="0" w:space="0" w:color="auto"/>
                                                                                        <w:right w:val="none" w:sz="0" w:space="0" w:color="auto"/>
                                                                                      </w:divBdr>
                                                                                      <w:divsChild>
                                                                                        <w:div w:id="134836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5572721">
      <w:bodyDiv w:val="1"/>
      <w:marLeft w:val="0"/>
      <w:marRight w:val="0"/>
      <w:marTop w:val="0"/>
      <w:marBottom w:val="0"/>
      <w:divBdr>
        <w:top w:val="none" w:sz="0" w:space="0" w:color="auto"/>
        <w:left w:val="none" w:sz="0" w:space="0" w:color="auto"/>
        <w:bottom w:val="none" w:sz="0" w:space="0" w:color="auto"/>
        <w:right w:val="none" w:sz="0" w:space="0" w:color="auto"/>
      </w:divBdr>
    </w:div>
    <w:div w:id="652560969">
      <w:bodyDiv w:val="1"/>
      <w:marLeft w:val="0"/>
      <w:marRight w:val="0"/>
      <w:marTop w:val="0"/>
      <w:marBottom w:val="0"/>
      <w:divBdr>
        <w:top w:val="none" w:sz="0" w:space="0" w:color="auto"/>
        <w:left w:val="none" w:sz="0" w:space="0" w:color="auto"/>
        <w:bottom w:val="none" w:sz="0" w:space="0" w:color="auto"/>
        <w:right w:val="none" w:sz="0" w:space="0" w:color="auto"/>
      </w:divBdr>
    </w:div>
    <w:div w:id="667946339">
      <w:bodyDiv w:val="1"/>
      <w:marLeft w:val="0"/>
      <w:marRight w:val="0"/>
      <w:marTop w:val="0"/>
      <w:marBottom w:val="0"/>
      <w:divBdr>
        <w:top w:val="none" w:sz="0" w:space="0" w:color="auto"/>
        <w:left w:val="none" w:sz="0" w:space="0" w:color="auto"/>
        <w:bottom w:val="none" w:sz="0" w:space="0" w:color="auto"/>
        <w:right w:val="none" w:sz="0" w:space="0" w:color="auto"/>
      </w:divBdr>
    </w:div>
    <w:div w:id="735323478">
      <w:bodyDiv w:val="1"/>
      <w:marLeft w:val="0"/>
      <w:marRight w:val="0"/>
      <w:marTop w:val="0"/>
      <w:marBottom w:val="0"/>
      <w:divBdr>
        <w:top w:val="none" w:sz="0" w:space="0" w:color="auto"/>
        <w:left w:val="none" w:sz="0" w:space="0" w:color="auto"/>
        <w:bottom w:val="none" w:sz="0" w:space="0" w:color="auto"/>
        <w:right w:val="none" w:sz="0" w:space="0" w:color="auto"/>
      </w:divBdr>
    </w:div>
    <w:div w:id="834803474">
      <w:bodyDiv w:val="1"/>
      <w:marLeft w:val="0"/>
      <w:marRight w:val="0"/>
      <w:marTop w:val="0"/>
      <w:marBottom w:val="0"/>
      <w:divBdr>
        <w:top w:val="none" w:sz="0" w:space="0" w:color="auto"/>
        <w:left w:val="none" w:sz="0" w:space="0" w:color="auto"/>
        <w:bottom w:val="none" w:sz="0" w:space="0" w:color="auto"/>
        <w:right w:val="none" w:sz="0" w:space="0" w:color="auto"/>
      </w:divBdr>
    </w:div>
    <w:div w:id="867569717">
      <w:bodyDiv w:val="1"/>
      <w:marLeft w:val="0"/>
      <w:marRight w:val="0"/>
      <w:marTop w:val="0"/>
      <w:marBottom w:val="0"/>
      <w:divBdr>
        <w:top w:val="none" w:sz="0" w:space="0" w:color="auto"/>
        <w:left w:val="none" w:sz="0" w:space="0" w:color="auto"/>
        <w:bottom w:val="none" w:sz="0" w:space="0" w:color="auto"/>
        <w:right w:val="none" w:sz="0" w:space="0" w:color="auto"/>
      </w:divBdr>
    </w:div>
    <w:div w:id="1358971301">
      <w:bodyDiv w:val="1"/>
      <w:marLeft w:val="0"/>
      <w:marRight w:val="0"/>
      <w:marTop w:val="0"/>
      <w:marBottom w:val="0"/>
      <w:divBdr>
        <w:top w:val="none" w:sz="0" w:space="0" w:color="auto"/>
        <w:left w:val="none" w:sz="0" w:space="0" w:color="auto"/>
        <w:bottom w:val="none" w:sz="0" w:space="0" w:color="auto"/>
        <w:right w:val="none" w:sz="0" w:space="0" w:color="auto"/>
      </w:divBdr>
    </w:div>
    <w:div w:id="1396709426">
      <w:bodyDiv w:val="1"/>
      <w:marLeft w:val="0"/>
      <w:marRight w:val="0"/>
      <w:marTop w:val="0"/>
      <w:marBottom w:val="0"/>
      <w:divBdr>
        <w:top w:val="none" w:sz="0" w:space="0" w:color="auto"/>
        <w:left w:val="none" w:sz="0" w:space="0" w:color="auto"/>
        <w:bottom w:val="none" w:sz="0" w:space="0" w:color="auto"/>
        <w:right w:val="none" w:sz="0" w:space="0" w:color="auto"/>
      </w:divBdr>
    </w:div>
    <w:div w:id="1605066353">
      <w:bodyDiv w:val="1"/>
      <w:marLeft w:val="0"/>
      <w:marRight w:val="0"/>
      <w:marTop w:val="0"/>
      <w:marBottom w:val="0"/>
      <w:divBdr>
        <w:top w:val="none" w:sz="0" w:space="0" w:color="auto"/>
        <w:left w:val="none" w:sz="0" w:space="0" w:color="auto"/>
        <w:bottom w:val="none" w:sz="0" w:space="0" w:color="auto"/>
        <w:right w:val="none" w:sz="0" w:space="0" w:color="auto"/>
      </w:divBdr>
    </w:div>
    <w:div w:id="1662541736">
      <w:bodyDiv w:val="1"/>
      <w:marLeft w:val="0"/>
      <w:marRight w:val="0"/>
      <w:marTop w:val="0"/>
      <w:marBottom w:val="0"/>
      <w:divBdr>
        <w:top w:val="none" w:sz="0" w:space="0" w:color="auto"/>
        <w:left w:val="none" w:sz="0" w:space="0" w:color="auto"/>
        <w:bottom w:val="none" w:sz="0" w:space="0" w:color="auto"/>
        <w:right w:val="none" w:sz="0" w:space="0" w:color="auto"/>
      </w:divBdr>
    </w:div>
    <w:div w:id="1951083103">
      <w:bodyDiv w:val="1"/>
      <w:marLeft w:val="0"/>
      <w:marRight w:val="0"/>
      <w:marTop w:val="0"/>
      <w:marBottom w:val="0"/>
      <w:divBdr>
        <w:top w:val="none" w:sz="0" w:space="0" w:color="auto"/>
        <w:left w:val="none" w:sz="0" w:space="0" w:color="auto"/>
        <w:bottom w:val="none" w:sz="0" w:space="0" w:color="auto"/>
        <w:right w:val="none" w:sz="0" w:space="0" w:color="auto"/>
      </w:divBdr>
    </w:div>
    <w:div w:id="208609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esma.gr" TargetMode="External"/><Relationship Id="rId1" Type="http://schemas.openxmlformats.org/officeDocument/2006/relationships/hyperlink" Target="mailto:info@sesma.g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Sesma\Desktop\SESMA%20DOCS\DEIKTHS%20GMCCI\D%20TRIMHNO%202020\&#917;&#769;&#961;&#949;&#965;&#957;&#945;%20&#931;&#917;&#931;&#924;&#913;%20-%20&#931;&#965;&#769;&#957;&#952;&#949;&#964;&#959;&#962;%20&#916;&#949;&#953;&#769;&#954;&#964;&#951;&#962;%20final%20data%20IV%202020%20fin%20charts.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Sesma\Desktop\SESMA%20DOCS\DEIKTHS%20GMCCI\D%20TRIMHNO%202020\&#917;&#769;&#961;&#949;&#965;&#957;&#945;%20&#931;&#917;&#931;&#924;&#913;%20-%20&#931;&#965;&#769;&#957;&#952;&#949;&#964;&#959;&#962;%20&#916;&#949;&#953;&#769;&#954;&#964;&#951;&#962;%20final%20data%20IV%202020%20fin%20charts.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2.xm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Sesma\Desktop\SESMA%20DOCS\DEIKTHS%20GMCCI\D%20TRIMHNO%202020\&#917;&#769;&#961;&#949;&#965;&#957;&#945;%20&#931;&#917;&#931;&#924;&#913;%20-%20&#931;&#965;&#769;&#957;&#952;&#949;&#964;&#959;&#962;%20&#916;&#949;&#953;&#769;&#954;&#964;&#951;&#962;%20final%20data%20IV%202020%20fin%20charts.xlsx"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file:///C:\Users\Sesma\Desktop\SESMA%20DOCS\DEIKTHS%20GMCCI\D%20TRIMHNO%202020\&#917;&#769;&#961;&#949;&#965;&#957;&#945;%20&#931;&#917;&#931;&#924;&#913;%20-%20&#917;&#957;&#959;&#769;&#964;&#951;&#964;&#945;%20&#916;%20final%20data%20IV%202020%20fin.xlsx" TargetMode="External"/><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esma\Desktop\SESMA%20DOCS\DEIKTHS%20GMCCI\D%20TRIMHNO%202020\&#917;&#769;&#961;&#949;&#965;&#957;&#945;%20&#931;&#917;&#931;&#924;&#913;%20-%20&#917;&#957;&#959;&#769;&#964;&#951;&#964;&#945;%20&#916;%20final%20data%20IV%202020%20fin.xlsx"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esma\Desktop\SESMA%20DOCS\DEIKTHS%20GMCCI\D%20TRIMHNO%202020\&#917;&#769;&#961;&#949;&#965;&#957;&#945;%20&#931;&#917;&#931;&#924;&#913;%20-%20&#917;&#957;&#959;&#769;&#964;&#951;&#964;&#945;%20&#916;%20final%20data%20IV%202020%20fin.xlsx"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3" Type="http://schemas.openxmlformats.org/officeDocument/2006/relationships/oleObject" Target="&#914;&#953;&#946;&#955;&#943;&#959;1" TargetMode="External"/><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Sesma\Desktop\SESMA%20DOCS\DEIKTHS%20GMCCI\D%20TRIMHNO%202020\&#917;&#769;&#961;&#949;&#965;&#957;&#945;%20&#931;&#917;&#931;&#924;&#913;%20-%20&#917;&#957;&#959;&#769;&#964;&#951;&#964;&#945;%20&#916;%20final%20data%20IV%202020%20fin.xlsx" TargetMode="External"/><Relationship Id="rId2" Type="http://schemas.microsoft.com/office/2011/relationships/chartColorStyle" Target="colors6.xml"/><Relationship Id="rId1" Type="http://schemas.microsoft.com/office/2011/relationships/chartStyle" Target="style6.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Sesma\Desktop\SESMA%20DOCS\DEIKTHS%20GMCCI\D%20TRIMHNO%202020\&#917;&#769;&#961;&#949;&#965;&#957;&#945;%20&#931;&#917;&#931;&#924;&#913;%20-%20&#917;&#957;&#959;&#769;&#964;&#951;&#964;&#945;%20&#916;%20final%20data%20IV%202020%20fin.xlsx" TargetMode="External"/><Relationship Id="rId2" Type="http://schemas.microsoft.com/office/2011/relationships/chartColorStyle" Target="colors7.xml"/><Relationship Id="rId1" Type="http://schemas.microsoft.com/office/2011/relationships/chartStyle" Target="style7.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Sesma\Desktop\SESMA%20DOCS\DEIKTHS%20GMCCI\D%20TRIMHNO%202020\&#917;&#769;&#961;&#949;&#965;&#957;&#945;%20&#931;&#917;&#931;&#924;&#913;%20-%20&#917;&#957;&#959;&#769;&#964;&#951;&#964;&#945;%20&#916;%20final%20data%20IV%202020%20fin.xlsx" TargetMode="External"/><Relationship Id="rId2" Type="http://schemas.microsoft.com/office/2011/relationships/chartColorStyle" Target="colors8.xml"/><Relationship Id="rId1" Type="http://schemas.microsoft.com/office/2011/relationships/chartStyle" Target="style8.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Sesma\Desktop\SESMA%20DOCS\DEIKTHS%20GMCCI\D%20TRIMHNO%202020\&#917;&#769;&#961;&#949;&#965;&#957;&#945;%20&#931;&#917;&#931;&#924;&#913;%20-%20&#917;&#957;&#959;&#769;&#964;&#951;&#964;&#945;%20&#916;%20final%20data%20IV%202020%20fin.xlsx" TargetMode="External"/><Relationship Id="rId2" Type="http://schemas.microsoft.com/office/2011/relationships/chartColorStyle" Target="colors9.xml"/><Relationship Id="rId1" Type="http://schemas.microsoft.com/office/2011/relationships/chartStyle" Target="style9.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Sesma\Desktop\SESMA%20DOCS\DEIKTHS%20GMCCI\D%20TRIMHNO%202020\&#917;&#769;&#961;&#949;&#965;&#957;&#945;%20&#931;&#917;&#931;&#924;&#913;%20-%20&#917;&#957;&#959;&#769;&#964;&#951;&#964;&#945;%20&#916;%20final%20data%20IV%202020%20fin.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3532837724893324E-2"/>
          <c:y val="2.2604257801108196E-2"/>
          <c:w val="0.95142304139356881"/>
          <c:h val="0.81583770778652664"/>
        </c:manualLayout>
      </c:layout>
      <c:barChart>
        <c:barDir val="col"/>
        <c:grouping val="clustered"/>
        <c:varyColors val="0"/>
        <c:ser>
          <c:idx val="0"/>
          <c:order val="0"/>
          <c:tx>
            <c:strRef>
              <c:f>Sheet1!$G$1</c:f>
              <c:strCache>
                <c:ptCount val="1"/>
                <c:pt idx="0">
                  <c:v>GMCCI</c:v>
                </c:pt>
              </c:strCache>
            </c:strRef>
          </c:tx>
          <c:spPr>
            <a:solidFill>
              <a:srgbClr val="0077BE"/>
            </a:solidFill>
            <a:ln>
              <a:noFill/>
            </a:ln>
            <a:effectLst/>
          </c:spPr>
          <c:invertIfNegative val="0"/>
          <c:dPt>
            <c:idx val="27"/>
            <c:invertIfNegative val="0"/>
            <c:bubble3D val="0"/>
            <c:spPr>
              <a:solidFill>
                <a:srgbClr val="002060"/>
              </a:solidFill>
              <a:ln>
                <a:noFill/>
              </a:ln>
              <a:effectLst/>
            </c:spPr>
            <c:extLst>
              <c:ext xmlns:c16="http://schemas.microsoft.com/office/drawing/2014/chart" uri="{C3380CC4-5D6E-409C-BE32-E72D297353CC}">
                <c16:uniqueId val="{00000001-F237-4441-B9AA-DE2F05F2D7CC}"/>
              </c:ext>
            </c:extLst>
          </c:dPt>
          <c:dLbls>
            <c:dLbl>
              <c:idx val="0"/>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237-4441-B9AA-DE2F05F2D7CC}"/>
                </c:ext>
              </c:extLst>
            </c:dLbl>
            <c:dLbl>
              <c:idx val="22"/>
              <c:layout>
                <c:manualLayout>
                  <c:x val="-1.1695906432748537E-2"/>
                  <c:y val="-3.9785420025062477E-18"/>
                </c:manualLayout>
              </c:layout>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rgbClr val="0077BE"/>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6.2759688558483268E-2"/>
                      <c:h val="4.1597404491105279E-2"/>
                    </c:manualLayout>
                  </c15:layout>
                </c:ext>
                <c:ext xmlns:c16="http://schemas.microsoft.com/office/drawing/2014/chart" uri="{C3380CC4-5D6E-409C-BE32-E72D297353CC}">
                  <c16:uniqueId val="{00000003-F237-4441-B9AA-DE2F05F2D7CC}"/>
                </c:ext>
              </c:extLst>
            </c:dLbl>
            <c:dLbl>
              <c:idx val="23"/>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rgbClr val="0077BE"/>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4-F237-4441-B9AA-DE2F05F2D7CC}"/>
                </c:ext>
              </c:extLst>
            </c:dLbl>
            <c:dLbl>
              <c:idx val="25"/>
              <c:layout>
                <c:manualLayout>
                  <c:x val="-2.2346368715085436E-3"/>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237-4441-B9AA-DE2F05F2D7CC}"/>
                </c:ext>
              </c:extLst>
            </c:dLbl>
            <c:dLbl>
              <c:idx val="27"/>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rgbClr val="002060"/>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1-F237-4441-B9AA-DE2F05F2D7CC}"/>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rgbClr val="0077BE"/>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Sheet1!$A$2:$B$29</c:f>
              <c:multiLvlStrCache>
                <c:ptCount val="28"/>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Ι</c:v>
                  </c:pt>
                  <c:pt idx="17">
                    <c:v>ΙΙ</c:v>
                  </c:pt>
                  <c:pt idx="18">
                    <c:v>ΙΙΙ</c:v>
                  </c:pt>
                  <c:pt idx="19">
                    <c:v>IV</c:v>
                  </c:pt>
                  <c:pt idx="20">
                    <c:v>Ι</c:v>
                  </c:pt>
                  <c:pt idx="21">
                    <c:v>ΙΙ</c:v>
                  </c:pt>
                  <c:pt idx="22">
                    <c:v>ΙΙΙ</c:v>
                  </c:pt>
                  <c:pt idx="23">
                    <c:v>IV</c:v>
                  </c:pt>
                  <c:pt idx="24">
                    <c:v>Ι</c:v>
                  </c:pt>
                  <c:pt idx="25">
                    <c:v>ΙΙ</c:v>
                  </c:pt>
                  <c:pt idx="26">
                    <c:v>ΙΙΙ</c:v>
                  </c:pt>
                  <c:pt idx="27">
                    <c:v>IV</c:v>
                  </c:pt>
                </c:lvl>
                <c:lvl>
                  <c:pt idx="0">
                    <c:v>2014</c:v>
                  </c:pt>
                  <c:pt idx="4">
                    <c:v>2015</c:v>
                  </c:pt>
                  <c:pt idx="8">
                    <c:v>2016</c:v>
                  </c:pt>
                  <c:pt idx="12">
                    <c:v>2017</c:v>
                  </c:pt>
                  <c:pt idx="16">
                    <c:v>2018</c:v>
                  </c:pt>
                  <c:pt idx="20">
                    <c:v>2019</c:v>
                  </c:pt>
                  <c:pt idx="24">
                    <c:v>2020</c:v>
                  </c:pt>
                </c:lvl>
              </c:multiLvlStrCache>
            </c:multiLvlStrRef>
          </c:cat>
          <c:val>
            <c:numRef>
              <c:f>Sheet1!$G$2:$G$29</c:f>
              <c:numCache>
                <c:formatCode>#,##0.0</c:formatCode>
                <c:ptCount val="28"/>
                <c:pt idx="0">
                  <c:v>38.833163265306126</c:v>
                </c:pt>
                <c:pt idx="1">
                  <c:v>40.880102040816325</c:v>
                </c:pt>
                <c:pt idx="2">
                  <c:v>33.314285714285717</c:v>
                </c:pt>
                <c:pt idx="3">
                  <c:v>2.7267875235200458</c:v>
                </c:pt>
                <c:pt idx="4">
                  <c:v>-20.255272108843538</c:v>
                </c:pt>
                <c:pt idx="5">
                  <c:v>-36.74396135265701</c:v>
                </c:pt>
                <c:pt idx="6">
                  <c:v>-10.43539827278429</c:v>
                </c:pt>
                <c:pt idx="7">
                  <c:v>-5.1952380952380945</c:v>
                </c:pt>
                <c:pt idx="8">
                  <c:v>-20.175510204081633</c:v>
                </c:pt>
                <c:pt idx="9">
                  <c:v>-12.35969387755102</c:v>
                </c:pt>
                <c:pt idx="10">
                  <c:v>-10.383673469387755</c:v>
                </c:pt>
                <c:pt idx="11">
                  <c:v>-7.8367346938775508</c:v>
                </c:pt>
                <c:pt idx="12">
                  <c:v>-7.481632653061224</c:v>
                </c:pt>
                <c:pt idx="13">
                  <c:v>6.415986394557823</c:v>
                </c:pt>
                <c:pt idx="14">
                  <c:v>14.15</c:v>
                </c:pt>
                <c:pt idx="15">
                  <c:v>16.5</c:v>
                </c:pt>
                <c:pt idx="16">
                  <c:v>17.5</c:v>
                </c:pt>
                <c:pt idx="17">
                  <c:v>18.05</c:v>
                </c:pt>
                <c:pt idx="18">
                  <c:v>14.65</c:v>
                </c:pt>
                <c:pt idx="19">
                  <c:v>22.45</c:v>
                </c:pt>
                <c:pt idx="20">
                  <c:v>23.950000000000003</c:v>
                </c:pt>
                <c:pt idx="21">
                  <c:v>41.25</c:v>
                </c:pt>
                <c:pt idx="22">
                  <c:v>54.150000000000006</c:v>
                </c:pt>
                <c:pt idx="23">
                  <c:v>50.75</c:v>
                </c:pt>
                <c:pt idx="24">
                  <c:v>7.3000000000000007</c:v>
                </c:pt>
                <c:pt idx="25">
                  <c:v>27.450000000000003</c:v>
                </c:pt>
                <c:pt idx="26">
                  <c:v>29.25</c:v>
                </c:pt>
                <c:pt idx="27">
                  <c:v>46.05</c:v>
                </c:pt>
              </c:numCache>
            </c:numRef>
          </c:val>
          <c:extLst>
            <c:ext xmlns:c16="http://schemas.microsoft.com/office/drawing/2014/chart" uri="{C3380CC4-5D6E-409C-BE32-E72D297353CC}">
              <c16:uniqueId val="{00000006-F237-4441-B9AA-DE2F05F2D7CC}"/>
            </c:ext>
          </c:extLst>
        </c:ser>
        <c:dLbls>
          <c:showLegendKey val="0"/>
          <c:showVal val="0"/>
          <c:showCatName val="0"/>
          <c:showSerName val="0"/>
          <c:showPercent val="0"/>
          <c:showBubbleSize val="0"/>
        </c:dLbls>
        <c:gapWidth val="10"/>
        <c:overlap val="-27"/>
        <c:axId val="543507296"/>
        <c:axId val="543503360"/>
      </c:barChart>
      <c:catAx>
        <c:axId val="54350729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43503360"/>
        <c:crosses val="autoZero"/>
        <c:auto val="1"/>
        <c:lblAlgn val="ctr"/>
        <c:lblOffset val="100"/>
        <c:noMultiLvlLbl val="0"/>
      </c:catAx>
      <c:valAx>
        <c:axId val="543503360"/>
        <c:scaling>
          <c:orientation val="minMax"/>
        </c:scaling>
        <c:delete val="0"/>
        <c:axPos val="l"/>
        <c:majorGridlines>
          <c:spPr>
            <a:ln w="9525" cap="flat" cmpd="sng" algn="ctr">
              <a:no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43507296"/>
        <c:crosses val="autoZero"/>
        <c:crossBetween val="between"/>
        <c:majorUnit val="20"/>
      </c:valAx>
      <c:spPr>
        <a:solidFill>
          <a:srgbClr val="CCECFF"/>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Sheet1!$C$1</c:f>
              <c:strCache>
                <c:ptCount val="1"/>
                <c:pt idx="0">
                  <c:v>Οικ Μεγ</c:v>
                </c:pt>
              </c:strCache>
            </c:strRef>
          </c:tx>
          <c:spPr>
            <a:solidFill>
              <a:srgbClr val="0077BE"/>
            </a:solidFill>
            <a:ln>
              <a:noFill/>
            </a:ln>
            <a:effectLst/>
          </c:spPr>
          <c:invertIfNegative val="0"/>
          <c:dPt>
            <c:idx val="27"/>
            <c:invertIfNegative val="0"/>
            <c:bubble3D val="0"/>
            <c:spPr>
              <a:solidFill>
                <a:srgbClr val="002060"/>
              </a:solidFill>
              <a:ln>
                <a:noFill/>
              </a:ln>
              <a:effectLst/>
            </c:spPr>
            <c:extLst>
              <c:ext xmlns:c16="http://schemas.microsoft.com/office/drawing/2014/chart" uri="{C3380CC4-5D6E-409C-BE32-E72D297353CC}">
                <c16:uniqueId val="{00000001-B1E7-4C14-8D53-E3E0BE42526D}"/>
              </c:ext>
            </c:extLst>
          </c:dPt>
          <c:dLbls>
            <c:dLbl>
              <c:idx val="17"/>
              <c:layout>
                <c:manualLayout>
                  <c:x val="-8.7508933401187535E-17"/>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1E7-4C14-8D53-E3E0BE42526D}"/>
                </c:ext>
              </c:extLst>
            </c:dLbl>
            <c:dLbl>
              <c:idx val="20"/>
              <c:layout>
                <c:manualLayout>
                  <c:x val="-8.7508933401187535E-17"/>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1E7-4C14-8D53-E3E0BE42526D}"/>
                </c:ext>
              </c:extLst>
            </c:dLbl>
            <c:dLbl>
              <c:idx val="22"/>
              <c:layout>
                <c:manualLayout>
                  <c:x val="-1.4319809069212411E-2"/>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1E7-4C14-8D53-E3E0BE42526D}"/>
                </c:ext>
              </c:extLst>
            </c:dLbl>
            <c:dLbl>
              <c:idx val="23"/>
              <c:layout>
                <c:manualLayout>
                  <c:x val="-1.7501786680237507E-16"/>
                  <c:y val="4.62962962962962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1E7-4C14-8D53-E3E0BE42526D}"/>
                </c:ext>
              </c:extLst>
            </c:dLbl>
            <c:dLbl>
              <c:idx val="27"/>
              <c:spPr>
                <a:noFill/>
                <a:ln>
                  <a:noFill/>
                </a:ln>
                <a:effectLst/>
              </c:spPr>
              <c:txPr>
                <a:bodyPr rot="0" spcFirstLastPara="1" vertOverflow="ellipsis" vert="horz" wrap="square" anchor="ctr" anchorCtr="1"/>
                <a:lstStyle/>
                <a:p>
                  <a:pPr>
                    <a:defRPr sz="800" b="1" i="0" u="none" strike="noStrike" kern="1200" baseline="0">
                      <a:solidFill>
                        <a:srgbClr val="002060"/>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1-B1E7-4C14-8D53-E3E0BE42526D}"/>
                </c:ext>
              </c:extLst>
            </c:dLbl>
            <c:spPr>
              <a:noFill/>
              <a:ln>
                <a:noFill/>
              </a:ln>
              <a:effectLst/>
            </c:spPr>
            <c:txPr>
              <a:bodyPr rot="0" spcFirstLastPara="1" vertOverflow="ellipsis" vert="horz" wrap="square" anchor="ctr" anchorCtr="1"/>
              <a:lstStyle/>
              <a:p>
                <a:pPr>
                  <a:defRPr sz="800" b="1" i="0" u="none" strike="noStrike" kern="1200" baseline="0">
                    <a:solidFill>
                      <a:srgbClr val="0077BE"/>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Sheet1!$A$2:$B$29</c:f>
              <c:multiLvlStrCache>
                <c:ptCount val="28"/>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Ι</c:v>
                  </c:pt>
                  <c:pt idx="17">
                    <c:v>ΙΙ</c:v>
                  </c:pt>
                  <c:pt idx="18">
                    <c:v>ΙΙΙ</c:v>
                  </c:pt>
                  <c:pt idx="19">
                    <c:v>IV</c:v>
                  </c:pt>
                  <c:pt idx="20">
                    <c:v>Ι</c:v>
                  </c:pt>
                  <c:pt idx="21">
                    <c:v>ΙΙ</c:v>
                  </c:pt>
                  <c:pt idx="22">
                    <c:v>ΙΙΙ</c:v>
                  </c:pt>
                  <c:pt idx="23">
                    <c:v>IV</c:v>
                  </c:pt>
                  <c:pt idx="24">
                    <c:v>Ι</c:v>
                  </c:pt>
                  <c:pt idx="25">
                    <c:v>ΙΙ</c:v>
                  </c:pt>
                  <c:pt idx="26">
                    <c:v>ΙΙΙ</c:v>
                  </c:pt>
                  <c:pt idx="27">
                    <c:v>IV</c:v>
                  </c:pt>
                </c:lvl>
                <c:lvl>
                  <c:pt idx="0">
                    <c:v>2014</c:v>
                  </c:pt>
                  <c:pt idx="4">
                    <c:v>2015</c:v>
                  </c:pt>
                  <c:pt idx="8">
                    <c:v>2016</c:v>
                  </c:pt>
                  <c:pt idx="12">
                    <c:v>2017</c:v>
                  </c:pt>
                  <c:pt idx="16">
                    <c:v>2018</c:v>
                  </c:pt>
                  <c:pt idx="20">
                    <c:v>2019</c:v>
                  </c:pt>
                  <c:pt idx="24">
                    <c:v>2020</c:v>
                  </c:pt>
                </c:lvl>
              </c:multiLvlStrCache>
            </c:multiLvlStrRef>
          </c:cat>
          <c:val>
            <c:numRef>
              <c:f>Sheet1!$C$2:$C$29</c:f>
              <c:numCache>
                <c:formatCode>#,##0.0</c:formatCode>
                <c:ptCount val="28"/>
                <c:pt idx="0">
                  <c:v>43.036734693877555</c:v>
                </c:pt>
                <c:pt idx="1">
                  <c:v>48.698979591836732</c:v>
                </c:pt>
                <c:pt idx="2">
                  <c:v>36.906122448979588</c:v>
                </c:pt>
                <c:pt idx="3">
                  <c:v>3.8209219858156027</c:v>
                </c:pt>
                <c:pt idx="4">
                  <c:v>-15.493877551020409</c:v>
                </c:pt>
                <c:pt idx="5">
                  <c:v>-32.850241545893724</c:v>
                </c:pt>
                <c:pt idx="6">
                  <c:v>-6.6400709219858145</c:v>
                </c:pt>
                <c:pt idx="7">
                  <c:v>-2.7741496598639452</c:v>
                </c:pt>
                <c:pt idx="8">
                  <c:v>-16.751020408163264</c:v>
                </c:pt>
                <c:pt idx="9">
                  <c:v>-4.5663265306122431</c:v>
                </c:pt>
                <c:pt idx="10">
                  <c:v>-7.5673469387755095</c:v>
                </c:pt>
                <c:pt idx="11">
                  <c:v>-1.9346938775510203</c:v>
                </c:pt>
                <c:pt idx="12">
                  <c:v>0.4</c:v>
                </c:pt>
                <c:pt idx="13">
                  <c:v>17.272789115646258</c:v>
                </c:pt>
                <c:pt idx="14">
                  <c:v>25.3</c:v>
                </c:pt>
                <c:pt idx="15">
                  <c:v>31.2</c:v>
                </c:pt>
                <c:pt idx="16">
                  <c:v>25.3</c:v>
                </c:pt>
                <c:pt idx="17">
                  <c:v>29.3</c:v>
                </c:pt>
                <c:pt idx="18">
                  <c:v>28.7</c:v>
                </c:pt>
                <c:pt idx="19">
                  <c:v>29.2</c:v>
                </c:pt>
                <c:pt idx="20">
                  <c:v>30.6</c:v>
                </c:pt>
                <c:pt idx="21">
                  <c:v>43.8</c:v>
                </c:pt>
                <c:pt idx="22">
                  <c:v>53.6</c:v>
                </c:pt>
                <c:pt idx="23">
                  <c:v>53.1</c:v>
                </c:pt>
                <c:pt idx="24">
                  <c:v>-11</c:v>
                </c:pt>
                <c:pt idx="25">
                  <c:v>18.3</c:v>
                </c:pt>
                <c:pt idx="26">
                  <c:v>29.7</c:v>
                </c:pt>
                <c:pt idx="27">
                  <c:v>47.2</c:v>
                </c:pt>
              </c:numCache>
            </c:numRef>
          </c:val>
          <c:extLst>
            <c:ext xmlns:c16="http://schemas.microsoft.com/office/drawing/2014/chart" uri="{C3380CC4-5D6E-409C-BE32-E72D297353CC}">
              <c16:uniqueId val="{00000006-B1E7-4C14-8D53-E3E0BE42526D}"/>
            </c:ext>
          </c:extLst>
        </c:ser>
        <c:dLbls>
          <c:showLegendKey val="0"/>
          <c:showVal val="0"/>
          <c:showCatName val="0"/>
          <c:showSerName val="0"/>
          <c:showPercent val="0"/>
          <c:showBubbleSize val="0"/>
        </c:dLbls>
        <c:gapWidth val="10"/>
        <c:overlap val="-27"/>
        <c:axId val="514830208"/>
        <c:axId val="514827256"/>
      </c:barChart>
      <c:catAx>
        <c:axId val="51483020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14827256"/>
        <c:crosses val="autoZero"/>
        <c:auto val="1"/>
        <c:lblAlgn val="ctr"/>
        <c:lblOffset val="100"/>
        <c:noMultiLvlLbl val="0"/>
      </c:catAx>
      <c:valAx>
        <c:axId val="514827256"/>
        <c:scaling>
          <c:orientation val="minMax"/>
        </c:scaling>
        <c:delete val="0"/>
        <c:axPos val="l"/>
        <c:majorGridlines>
          <c:spPr>
            <a:ln w="9525" cap="flat" cmpd="sng" algn="ctr">
              <a:no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14830208"/>
        <c:crosses val="autoZero"/>
        <c:crossBetween val="between"/>
        <c:majorUnit val="20"/>
      </c:valAx>
      <c:spPr>
        <a:solidFill>
          <a:srgbClr val="CCECFF"/>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800"/>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7630672082860058E-2"/>
          <c:y val="2.2604257801108196E-2"/>
          <c:w val="0.94643051036713322"/>
          <c:h val="0.83248396033829108"/>
        </c:manualLayout>
      </c:layout>
      <c:barChart>
        <c:barDir val="col"/>
        <c:grouping val="clustered"/>
        <c:varyColors val="0"/>
        <c:ser>
          <c:idx val="0"/>
          <c:order val="0"/>
          <c:tx>
            <c:strRef>
              <c:f>Sheet1!$E$1</c:f>
              <c:strCache>
                <c:ptCount val="1"/>
                <c:pt idx="0">
                  <c:v>Παρ Συντ</c:v>
                </c:pt>
              </c:strCache>
            </c:strRef>
          </c:tx>
          <c:spPr>
            <a:solidFill>
              <a:srgbClr val="0077BE"/>
            </a:solidFill>
            <a:ln>
              <a:noFill/>
            </a:ln>
            <a:effectLst/>
          </c:spPr>
          <c:invertIfNegative val="0"/>
          <c:dPt>
            <c:idx val="27"/>
            <c:invertIfNegative val="0"/>
            <c:bubble3D val="0"/>
            <c:spPr>
              <a:solidFill>
                <a:srgbClr val="002060"/>
              </a:solidFill>
              <a:ln>
                <a:noFill/>
              </a:ln>
              <a:effectLst/>
            </c:spPr>
            <c:extLst>
              <c:ext xmlns:c16="http://schemas.microsoft.com/office/drawing/2014/chart" uri="{C3380CC4-5D6E-409C-BE32-E72D297353CC}">
                <c16:uniqueId val="{00000001-AB54-4156-8FF5-5545323E5491}"/>
              </c:ext>
            </c:extLst>
          </c:dPt>
          <c:dLbls>
            <c:dLbl>
              <c:idx val="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rgbClr val="0077BE"/>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2-AB54-4156-8FF5-5545323E5491}"/>
                </c:ext>
              </c:extLst>
            </c:dLbl>
            <c:dLbl>
              <c:idx val="4"/>
              <c:layout>
                <c:manualLayout>
                  <c:x val="-1.2224938875305624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B54-4156-8FF5-5545323E5491}"/>
                </c:ext>
              </c:extLst>
            </c:dLbl>
            <c:dLbl>
              <c:idx val="8"/>
              <c:layout>
                <c:manualLayout>
                  <c:x val="-4.4824258062466476E-17"/>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B54-4156-8FF5-5545323E5491}"/>
                </c:ext>
              </c:extLst>
            </c:dLbl>
            <c:dLbl>
              <c:idx val="10"/>
              <c:layout>
                <c:manualLayout>
                  <c:x val="0"/>
                  <c:y val="1.38888888888889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B54-4156-8FF5-5545323E5491}"/>
                </c:ext>
              </c:extLst>
            </c:dLbl>
            <c:dLbl>
              <c:idx val="11"/>
              <c:layout>
                <c:manualLayout>
                  <c:x val="-7.3349633251833741E-3"/>
                  <c:y val="-2.31481481481481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B54-4156-8FF5-5545323E5491}"/>
                </c:ext>
              </c:extLst>
            </c:dLbl>
            <c:dLbl>
              <c:idx val="12"/>
              <c:layout>
                <c:manualLayout>
                  <c:x val="1.4669926650366658E-2"/>
                  <c:y val="-1.8226888305628463E-7"/>
                </c:manualLayout>
              </c:layout>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rgbClr val="0077BE"/>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5.5623471882640586E-2"/>
                      <c:h val="4.5208515602216386E-2"/>
                    </c:manualLayout>
                  </c15:layout>
                </c:ext>
                <c:ext xmlns:c16="http://schemas.microsoft.com/office/drawing/2014/chart" uri="{C3380CC4-5D6E-409C-BE32-E72D297353CC}">
                  <c16:uniqueId val="{00000007-AB54-4156-8FF5-5545323E5491}"/>
                </c:ext>
              </c:extLst>
            </c:dLbl>
            <c:dLbl>
              <c:idx val="19"/>
              <c:layout>
                <c:manualLayout>
                  <c:x val="-2.4449877750611335E-2"/>
                  <c:y val="-1.3888706620005832E-2"/>
                </c:manualLayout>
              </c:layout>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rgbClr val="0077BE"/>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4.963325183374083E-2"/>
                      <c:h val="2.6689997083697865E-2"/>
                    </c:manualLayout>
                  </c15:layout>
                </c:ext>
                <c:ext xmlns:c16="http://schemas.microsoft.com/office/drawing/2014/chart" uri="{C3380CC4-5D6E-409C-BE32-E72D297353CC}">
                  <c16:uniqueId val="{00000008-AB54-4156-8FF5-5545323E5491}"/>
                </c:ext>
              </c:extLst>
            </c:dLbl>
            <c:dLbl>
              <c:idx val="27"/>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rgbClr val="002060"/>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1-AB54-4156-8FF5-5545323E5491}"/>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rgbClr val="0077BE"/>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Sheet1!$A$2:$B$29</c:f>
              <c:multiLvlStrCache>
                <c:ptCount val="28"/>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Ι</c:v>
                  </c:pt>
                  <c:pt idx="17">
                    <c:v>ΙΙ</c:v>
                  </c:pt>
                  <c:pt idx="18">
                    <c:v>ΙΙΙ</c:v>
                  </c:pt>
                  <c:pt idx="19">
                    <c:v>IV</c:v>
                  </c:pt>
                  <c:pt idx="20">
                    <c:v>Ι</c:v>
                  </c:pt>
                  <c:pt idx="21">
                    <c:v>ΙΙ</c:v>
                  </c:pt>
                  <c:pt idx="22">
                    <c:v>ΙΙΙ</c:v>
                  </c:pt>
                  <c:pt idx="23">
                    <c:v>IV</c:v>
                  </c:pt>
                  <c:pt idx="24">
                    <c:v>Ι</c:v>
                  </c:pt>
                  <c:pt idx="25">
                    <c:v>ΙΙ</c:v>
                  </c:pt>
                  <c:pt idx="26">
                    <c:v>ΙΙΙ</c:v>
                  </c:pt>
                  <c:pt idx="27">
                    <c:v>IV</c:v>
                  </c:pt>
                </c:lvl>
                <c:lvl>
                  <c:pt idx="0">
                    <c:v>2014</c:v>
                  </c:pt>
                  <c:pt idx="4">
                    <c:v>2015</c:v>
                  </c:pt>
                  <c:pt idx="8">
                    <c:v>2016</c:v>
                  </c:pt>
                  <c:pt idx="12">
                    <c:v>2017</c:v>
                  </c:pt>
                  <c:pt idx="16">
                    <c:v>2018</c:v>
                  </c:pt>
                  <c:pt idx="20">
                    <c:v>2019</c:v>
                  </c:pt>
                  <c:pt idx="24">
                    <c:v>2020</c:v>
                  </c:pt>
                </c:lvl>
              </c:multiLvlStrCache>
            </c:multiLvlStrRef>
          </c:cat>
          <c:val>
            <c:numRef>
              <c:f>Sheet1!$E$2:$E$29</c:f>
              <c:numCache>
                <c:formatCode>#,##0.0</c:formatCode>
                <c:ptCount val="28"/>
                <c:pt idx="0">
                  <c:v>34.62959183673469</c:v>
                </c:pt>
                <c:pt idx="1">
                  <c:v>33.061224489795919</c:v>
                </c:pt>
                <c:pt idx="2">
                  <c:v>29.722448979591839</c:v>
                </c:pt>
                <c:pt idx="3">
                  <c:v>1.6326530612244894</c:v>
                </c:pt>
                <c:pt idx="4">
                  <c:v>-25.016666666666666</c:v>
                </c:pt>
                <c:pt idx="5">
                  <c:v>-40.637681159420289</c:v>
                </c:pt>
                <c:pt idx="6">
                  <c:v>-14.230725623582767</c:v>
                </c:pt>
                <c:pt idx="7">
                  <c:v>-7.6163265306122439</c:v>
                </c:pt>
                <c:pt idx="8">
                  <c:v>-23.6</c:v>
                </c:pt>
                <c:pt idx="9">
                  <c:v>-20.153061224489797</c:v>
                </c:pt>
                <c:pt idx="10">
                  <c:v>-13.2</c:v>
                </c:pt>
                <c:pt idx="11">
                  <c:v>-13.738775510204082</c:v>
                </c:pt>
                <c:pt idx="12">
                  <c:v>-15.363265306122448</c:v>
                </c:pt>
                <c:pt idx="13">
                  <c:v>-4.4408163265306131</c:v>
                </c:pt>
                <c:pt idx="14">
                  <c:v>3</c:v>
                </c:pt>
                <c:pt idx="15">
                  <c:v>1.8</c:v>
                </c:pt>
                <c:pt idx="16">
                  <c:v>9.6999999999999993</c:v>
                </c:pt>
                <c:pt idx="17">
                  <c:v>6.8</c:v>
                </c:pt>
                <c:pt idx="18">
                  <c:v>0.6</c:v>
                </c:pt>
                <c:pt idx="19">
                  <c:v>15.7</c:v>
                </c:pt>
                <c:pt idx="20">
                  <c:v>17.3</c:v>
                </c:pt>
                <c:pt idx="21">
                  <c:v>38.700000000000003</c:v>
                </c:pt>
                <c:pt idx="22">
                  <c:v>54.7</c:v>
                </c:pt>
                <c:pt idx="23">
                  <c:v>48.4</c:v>
                </c:pt>
                <c:pt idx="24">
                  <c:v>25.6</c:v>
                </c:pt>
                <c:pt idx="25">
                  <c:v>36.6</c:v>
                </c:pt>
                <c:pt idx="26">
                  <c:v>28.8</c:v>
                </c:pt>
                <c:pt idx="27">
                  <c:v>44.9</c:v>
                </c:pt>
              </c:numCache>
            </c:numRef>
          </c:val>
          <c:extLst>
            <c:ext xmlns:c16="http://schemas.microsoft.com/office/drawing/2014/chart" uri="{C3380CC4-5D6E-409C-BE32-E72D297353CC}">
              <c16:uniqueId val="{00000009-AB54-4156-8FF5-5545323E5491}"/>
            </c:ext>
          </c:extLst>
        </c:ser>
        <c:dLbls>
          <c:showLegendKey val="0"/>
          <c:showVal val="0"/>
          <c:showCatName val="0"/>
          <c:showSerName val="0"/>
          <c:showPercent val="0"/>
          <c:showBubbleSize val="0"/>
        </c:dLbls>
        <c:gapWidth val="10"/>
        <c:overlap val="-27"/>
        <c:axId val="517717280"/>
        <c:axId val="517725152"/>
      </c:barChart>
      <c:catAx>
        <c:axId val="51771728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17725152"/>
        <c:crosses val="autoZero"/>
        <c:auto val="1"/>
        <c:lblAlgn val="ctr"/>
        <c:lblOffset val="100"/>
        <c:noMultiLvlLbl val="0"/>
      </c:catAx>
      <c:valAx>
        <c:axId val="517725152"/>
        <c:scaling>
          <c:orientation val="minMax"/>
        </c:scaling>
        <c:delete val="0"/>
        <c:axPos val="l"/>
        <c:majorGridlines>
          <c:spPr>
            <a:ln w="9525" cap="flat" cmpd="sng" algn="ctr">
              <a:no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17717280"/>
        <c:crosses val="autoZero"/>
        <c:crossBetween val="between"/>
      </c:valAx>
      <c:spPr>
        <a:solidFill>
          <a:srgbClr val="CCECFF"/>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050" b="1" i="0" u="none" strike="noStrike" kern="1200" spc="0" baseline="0">
                <a:solidFill>
                  <a:srgbClr val="962764"/>
                </a:solidFill>
                <a:latin typeface="+mn-lt"/>
                <a:ea typeface="+mn-ea"/>
                <a:cs typeface="+mn-cs"/>
              </a:defRPr>
            </a:pPr>
            <a:r>
              <a:rPr lang="el-GR" sz="1050">
                <a:solidFill>
                  <a:srgbClr val="962764"/>
                </a:solidFill>
              </a:rPr>
              <a:t>Προτεραιότητες για αποτελεσματική αξιοποίηση πόρων </a:t>
            </a:r>
          </a:p>
          <a:p>
            <a:pPr algn="ctr">
              <a:defRPr sz="1050">
                <a:solidFill>
                  <a:srgbClr val="962764"/>
                </a:solidFill>
              </a:defRPr>
            </a:pPr>
            <a:r>
              <a:rPr lang="el-GR" sz="1050">
                <a:solidFill>
                  <a:srgbClr val="962764"/>
                </a:solidFill>
              </a:rPr>
              <a:t>Ταμείου Ανάκαμψης</a:t>
            </a:r>
          </a:p>
        </c:rich>
      </c:tx>
      <c:layout>
        <c:manualLayout>
          <c:xMode val="edge"/>
          <c:yMode val="edge"/>
          <c:x val="0.23873372573477819"/>
          <c:y val="0"/>
        </c:manualLayout>
      </c:layout>
      <c:overlay val="0"/>
      <c:spPr>
        <a:noFill/>
        <a:ln>
          <a:noFill/>
        </a:ln>
        <a:effectLst/>
      </c:spPr>
      <c:txPr>
        <a:bodyPr rot="0" spcFirstLastPara="1" vertOverflow="ellipsis" vert="horz" wrap="square" anchor="ctr" anchorCtr="1"/>
        <a:lstStyle/>
        <a:p>
          <a:pPr algn="ctr">
            <a:defRPr sz="1050" b="1" i="0" u="none" strike="noStrike" kern="1200" spc="0" baseline="0">
              <a:solidFill>
                <a:srgbClr val="962764"/>
              </a:solidFill>
              <a:latin typeface="+mn-lt"/>
              <a:ea typeface="+mn-ea"/>
              <a:cs typeface="+mn-cs"/>
            </a:defRPr>
          </a:pPr>
          <a:endParaRPr lang="en-US"/>
        </a:p>
      </c:txPr>
    </c:title>
    <c:autoTitleDeleted val="0"/>
    <c:plotArea>
      <c:layout>
        <c:manualLayout>
          <c:layoutTarget val="inner"/>
          <c:xMode val="edge"/>
          <c:yMode val="edge"/>
          <c:x val="0.59202537182852144"/>
          <c:y val="0.15476851851851853"/>
          <c:w val="0.377419072615923"/>
          <c:h val="0.7943055555555556"/>
        </c:manualLayout>
      </c:layout>
      <c:barChart>
        <c:barDir val="bar"/>
        <c:grouping val="clustered"/>
        <c:varyColors val="0"/>
        <c:ser>
          <c:idx val="0"/>
          <c:order val="0"/>
          <c:spPr>
            <a:solidFill>
              <a:schemeClr val="accent1"/>
            </a:solidFill>
            <a:ln>
              <a:noFill/>
            </a:ln>
            <a:effectLst/>
          </c:spPr>
          <c:invertIfNegative val="0"/>
          <c:cat>
            <c:strRef>
              <c:f>'1, 2,3'!$D$85:$D$90</c:f>
              <c:strCache>
                <c:ptCount val="6"/>
                <c:pt idx="0">
                  <c:v>Αποτελεσματικός σχεδιασμός έργων</c:v>
                </c:pt>
                <c:pt idx="1">
                  <c:v>Προσέλκυση ιδιωτικών κεφαλαίων </c:v>
                </c:pt>
                <c:pt idx="2">
                  <c:v>Σύναψη συμβάσεων – πλαίσιο με τους προμηθευτές</c:v>
                </c:pt>
                <c:pt idx="3">
                  <c:v>Νομοθετικές ρυθμίσεις για την επιτάχυνση των έργων</c:v>
                </c:pt>
                <c:pt idx="4">
                  <c:v>Ενίσχυση μηχανισμού διαχείρισης των πόρων/ Ειδική Υπηρεσία Συντονισμού</c:v>
                </c:pt>
                <c:pt idx="5">
                  <c:v>Συνεργασίες μεταξύ προμηθευτών</c:v>
                </c:pt>
              </c:strCache>
            </c:strRef>
          </c:cat>
          <c:val>
            <c:numRef>
              <c:f>'1, 2,3'!$E$85:$E$90</c:f>
              <c:numCache>
                <c:formatCode>General</c:formatCode>
                <c:ptCount val="6"/>
              </c:numCache>
            </c:numRef>
          </c:val>
          <c:extLst>
            <c:ext xmlns:c16="http://schemas.microsoft.com/office/drawing/2014/chart" uri="{C3380CC4-5D6E-409C-BE32-E72D297353CC}">
              <c16:uniqueId val="{00000000-58DA-0646-8CCC-A185AF4EE999}"/>
            </c:ext>
          </c:extLst>
        </c:ser>
        <c:ser>
          <c:idx val="1"/>
          <c:order val="1"/>
          <c:spPr>
            <a:solidFill>
              <a:schemeClr val="accent2"/>
            </a:solidFill>
            <a:ln>
              <a:noFill/>
            </a:ln>
            <a:effectLst/>
          </c:spPr>
          <c:invertIfNegative val="0"/>
          <c:cat>
            <c:strRef>
              <c:f>'1, 2,3'!$D$85:$D$90</c:f>
              <c:strCache>
                <c:ptCount val="6"/>
                <c:pt idx="0">
                  <c:v>Αποτελεσματικός σχεδιασμός έργων</c:v>
                </c:pt>
                <c:pt idx="1">
                  <c:v>Προσέλκυση ιδιωτικών κεφαλαίων </c:v>
                </c:pt>
                <c:pt idx="2">
                  <c:v>Σύναψη συμβάσεων – πλαίσιο με τους προμηθευτές</c:v>
                </c:pt>
                <c:pt idx="3">
                  <c:v>Νομοθετικές ρυθμίσεις για την επιτάχυνση των έργων</c:v>
                </c:pt>
                <c:pt idx="4">
                  <c:v>Ενίσχυση μηχανισμού διαχείρισης των πόρων/ Ειδική Υπηρεσία Συντονισμού</c:v>
                </c:pt>
                <c:pt idx="5">
                  <c:v>Συνεργασίες μεταξύ προμηθευτών</c:v>
                </c:pt>
              </c:strCache>
            </c:strRef>
          </c:cat>
          <c:val>
            <c:numRef>
              <c:f>'1, 2,3'!$F$85:$F$90</c:f>
              <c:numCache>
                <c:formatCode>General</c:formatCode>
                <c:ptCount val="6"/>
              </c:numCache>
            </c:numRef>
          </c:val>
          <c:extLst>
            <c:ext xmlns:c16="http://schemas.microsoft.com/office/drawing/2014/chart" uri="{C3380CC4-5D6E-409C-BE32-E72D297353CC}">
              <c16:uniqueId val="{00000001-58DA-0646-8CCC-A185AF4EE999}"/>
            </c:ext>
          </c:extLst>
        </c:ser>
        <c:ser>
          <c:idx val="2"/>
          <c:order val="2"/>
          <c:spPr>
            <a:solidFill>
              <a:schemeClr val="accent3"/>
            </a:solidFill>
            <a:ln>
              <a:noFill/>
            </a:ln>
            <a:effectLst/>
          </c:spPr>
          <c:invertIfNegative val="0"/>
          <c:dPt>
            <c:idx val="0"/>
            <c:invertIfNegative val="0"/>
            <c:bubble3D val="0"/>
            <c:spPr>
              <a:solidFill>
                <a:srgbClr val="002060"/>
              </a:solidFill>
              <a:ln>
                <a:noFill/>
              </a:ln>
              <a:effectLst/>
            </c:spPr>
            <c:extLst>
              <c:ext xmlns:c16="http://schemas.microsoft.com/office/drawing/2014/chart" uri="{C3380CC4-5D6E-409C-BE32-E72D297353CC}">
                <c16:uniqueId val="{00000003-58DA-0646-8CCC-A185AF4EE999}"/>
              </c:ext>
            </c:extLst>
          </c:dPt>
          <c:dPt>
            <c:idx val="1"/>
            <c:invertIfNegative val="0"/>
            <c:bubble3D val="0"/>
            <c:spPr>
              <a:solidFill>
                <a:srgbClr val="002060"/>
              </a:solidFill>
              <a:ln>
                <a:noFill/>
              </a:ln>
              <a:effectLst/>
            </c:spPr>
            <c:extLst>
              <c:ext xmlns:c16="http://schemas.microsoft.com/office/drawing/2014/chart" uri="{C3380CC4-5D6E-409C-BE32-E72D297353CC}">
                <c16:uniqueId val="{00000005-58DA-0646-8CCC-A185AF4EE999}"/>
              </c:ext>
            </c:extLst>
          </c:dPt>
          <c:dPt>
            <c:idx val="2"/>
            <c:invertIfNegative val="0"/>
            <c:bubble3D val="0"/>
            <c:spPr>
              <a:solidFill>
                <a:srgbClr val="002060"/>
              </a:solidFill>
              <a:ln>
                <a:noFill/>
              </a:ln>
              <a:effectLst/>
            </c:spPr>
            <c:extLst>
              <c:ext xmlns:c16="http://schemas.microsoft.com/office/drawing/2014/chart" uri="{C3380CC4-5D6E-409C-BE32-E72D297353CC}">
                <c16:uniqueId val="{00000007-58DA-0646-8CCC-A185AF4EE999}"/>
              </c:ext>
            </c:extLst>
          </c:dPt>
          <c:dPt>
            <c:idx val="3"/>
            <c:invertIfNegative val="0"/>
            <c:bubble3D val="0"/>
            <c:spPr>
              <a:solidFill>
                <a:srgbClr val="002060"/>
              </a:solidFill>
              <a:ln>
                <a:noFill/>
              </a:ln>
              <a:effectLst/>
            </c:spPr>
            <c:extLst>
              <c:ext xmlns:c16="http://schemas.microsoft.com/office/drawing/2014/chart" uri="{C3380CC4-5D6E-409C-BE32-E72D297353CC}">
                <c16:uniqueId val="{00000009-58DA-0646-8CCC-A185AF4EE999}"/>
              </c:ext>
            </c:extLst>
          </c:dPt>
          <c:dPt>
            <c:idx val="4"/>
            <c:invertIfNegative val="0"/>
            <c:bubble3D val="0"/>
            <c:spPr>
              <a:solidFill>
                <a:srgbClr val="002060"/>
              </a:solidFill>
              <a:ln>
                <a:noFill/>
              </a:ln>
              <a:effectLst/>
            </c:spPr>
            <c:extLst>
              <c:ext xmlns:c16="http://schemas.microsoft.com/office/drawing/2014/chart" uri="{C3380CC4-5D6E-409C-BE32-E72D297353CC}">
                <c16:uniqueId val="{0000000B-58DA-0646-8CCC-A185AF4EE999}"/>
              </c:ext>
            </c:extLst>
          </c:dPt>
          <c:dPt>
            <c:idx val="5"/>
            <c:invertIfNegative val="0"/>
            <c:bubble3D val="0"/>
            <c:spPr>
              <a:solidFill>
                <a:srgbClr val="002060"/>
              </a:solidFill>
              <a:ln>
                <a:noFill/>
              </a:ln>
              <a:effectLst/>
            </c:spPr>
            <c:extLst>
              <c:ext xmlns:c16="http://schemas.microsoft.com/office/drawing/2014/chart" uri="{C3380CC4-5D6E-409C-BE32-E72D297353CC}">
                <c16:uniqueId val="{0000000D-58DA-0646-8CCC-A185AF4EE99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 2,3'!$D$85:$D$90</c:f>
              <c:strCache>
                <c:ptCount val="6"/>
                <c:pt idx="0">
                  <c:v>Αποτελεσματικός σχεδιασμός έργων</c:v>
                </c:pt>
                <c:pt idx="1">
                  <c:v>Προσέλκυση ιδιωτικών κεφαλαίων </c:v>
                </c:pt>
                <c:pt idx="2">
                  <c:v>Σύναψη συμβάσεων – πλαίσιο με τους προμηθευτές</c:v>
                </c:pt>
                <c:pt idx="3">
                  <c:v>Νομοθετικές ρυθμίσεις για την επιτάχυνση των έργων</c:v>
                </c:pt>
                <c:pt idx="4">
                  <c:v>Ενίσχυση μηχανισμού διαχείρισης των πόρων/ Ειδική Υπηρεσία Συντονισμού</c:v>
                </c:pt>
                <c:pt idx="5">
                  <c:v>Συνεργασίες μεταξύ προμηθευτών</c:v>
                </c:pt>
              </c:strCache>
            </c:strRef>
          </c:cat>
          <c:val>
            <c:numRef>
              <c:f>'1, 2,3'!$G$85:$G$90</c:f>
              <c:numCache>
                <c:formatCode>0.00</c:formatCode>
                <c:ptCount val="6"/>
                <c:pt idx="0">
                  <c:v>2.5857000000000001</c:v>
                </c:pt>
                <c:pt idx="1">
                  <c:v>2.2806999999999999</c:v>
                </c:pt>
                <c:pt idx="2">
                  <c:v>2.2585999999999999</c:v>
                </c:pt>
                <c:pt idx="3">
                  <c:v>2.2576000000000001</c:v>
                </c:pt>
                <c:pt idx="4">
                  <c:v>2.1833</c:v>
                </c:pt>
                <c:pt idx="5">
                  <c:v>1.7255</c:v>
                </c:pt>
              </c:numCache>
            </c:numRef>
          </c:val>
          <c:extLst>
            <c:ext xmlns:c16="http://schemas.microsoft.com/office/drawing/2014/chart" uri="{C3380CC4-5D6E-409C-BE32-E72D297353CC}">
              <c16:uniqueId val="{0000000E-58DA-0646-8CCC-A185AF4EE999}"/>
            </c:ext>
          </c:extLst>
        </c:ser>
        <c:dLbls>
          <c:showLegendKey val="0"/>
          <c:showVal val="0"/>
          <c:showCatName val="0"/>
          <c:showSerName val="0"/>
          <c:showPercent val="0"/>
          <c:showBubbleSize val="0"/>
        </c:dLbls>
        <c:gapWidth val="182"/>
        <c:overlap val="80"/>
        <c:axId val="548175504"/>
        <c:axId val="548173864"/>
      </c:barChart>
      <c:catAx>
        <c:axId val="54817550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48173864"/>
        <c:crosses val="autoZero"/>
        <c:auto val="1"/>
        <c:lblAlgn val="ctr"/>
        <c:lblOffset val="100"/>
        <c:noMultiLvlLbl val="0"/>
      </c:catAx>
      <c:valAx>
        <c:axId val="548173864"/>
        <c:scaling>
          <c:orientation val="minMax"/>
        </c:scaling>
        <c:delete val="1"/>
        <c:axPos val="t"/>
        <c:majorGridlines>
          <c:spPr>
            <a:ln w="9525" cap="flat" cmpd="sng" algn="ctr">
              <a:noFill/>
              <a:round/>
            </a:ln>
            <a:effectLst/>
          </c:spPr>
        </c:majorGridlines>
        <c:numFmt formatCode="General" sourceLinked="1"/>
        <c:majorTickMark val="none"/>
        <c:minorTickMark val="none"/>
        <c:tickLblPos val="nextTo"/>
        <c:crossAx val="5481755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b="1"/>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rgbClr val="962764"/>
                </a:solidFill>
                <a:latin typeface="+mn-lt"/>
                <a:ea typeface="+mn-ea"/>
                <a:cs typeface="+mn-cs"/>
              </a:defRPr>
            </a:pPr>
            <a:r>
              <a:rPr lang="el-GR" sz="1100" b="1">
                <a:solidFill>
                  <a:srgbClr val="962764"/>
                </a:solidFill>
              </a:rPr>
              <a:t>Σημαντικότεροι κίνδυνοι για την αποτελεσματική</a:t>
            </a:r>
            <a:r>
              <a:rPr lang="el-GR" sz="1100" b="1" baseline="0">
                <a:solidFill>
                  <a:srgbClr val="962764"/>
                </a:solidFill>
              </a:rPr>
              <a:t> αξιοποίηση των πόρων του Ταμείου Ανάκαμψης</a:t>
            </a:r>
            <a:endParaRPr lang="el-GR" sz="1100" b="1">
              <a:solidFill>
                <a:srgbClr val="962764"/>
              </a:solidFill>
            </a:endParaRPr>
          </a:p>
        </c:rich>
      </c:tx>
      <c:layout>
        <c:manualLayout>
          <c:xMode val="edge"/>
          <c:yMode val="edge"/>
          <c:x val="0.11011925376547849"/>
          <c:y val="0"/>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rgbClr val="962764"/>
              </a:solidFill>
              <a:latin typeface="+mn-lt"/>
              <a:ea typeface="+mn-ea"/>
              <a:cs typeface="+mn-cs"/>
            </a:defRPr>
          </a:pPr>
          <a:endParaRPr lang="en-US"/>
        </a:p>
      </c:txPr>
    </c:title>
    <c:autoTitleDeleted val="0"/>
    <c:plotArea>
      <c:layout>
        <c:manualLayout>
          <c:layoutTarget val="inner"/>
          <c:xMode val="edge"/>
          <c:yMode val="edge"/>
          <c:x val="0.52484241950672195"/>
          <c:y val="0.21976278281670486"/>
          <c:w val="0.4449684291498841"/>
          <c:h val="0.67301497598191584"/>
        </c:manualLayout>
      </c:layout>
      <c:barChart>
        <c:barDir val="bar"/>
        <c:grouping val="clustered"/>
        <c:varyColors val="0"/>
        <c:ser>
          <c:idx val="0"/>
          <c:order val="0"/>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 2,3'!$W$86:$W$91</c:f>
              <c:strCache>
                <c:ptCount val="6"/>
                <c:pt idx="0">
                  <c:v>Καθυστερήσεις στην ανάθεση των έργων</c:v>
                </c:pt>
                <c:pt idx="1">
                  <c:v>Βαθμός ωριμότητας σημαντικών έργων</c:v>
                </c:pt>
                <c:pt idx="2">
                  <c:v>Ανεπαρκής προετοιμασία φορέων για την παραλαβή των έργων</c:v>
                </c:pt>
                <c:pt idx="3">
                  <c:v>Ανεπαρκής δομή παρακολούθησης της εξέλιξης των έργων</c:v>
                </c:pt>
                <c:pt idx="4">
                  <c:v>Υπερβάσεις χρόνου και κόστους</c:v>
                </c:pt>
                <c:pt idx="5">
                  <c:v>Σχετικά μικρό μέγεθος προμηθευτών</c:v>
                </c:pt>
              </c:strCache>
            </c:strRef>
          </c:cat>
          <c:val>
            <c:numRef>
              <c:f>'1, 2,3'!$X$86:$X$91</c:f>
              <c:numCache>
                <c:formatCode>0.00</c:formatCode>
                <c:ptCount val="6"/>
                <c:pt idx="0">
                  <c:v>2.52</c:v>
                </c:pt>
                <c:pt idx="1">
                  <c:v>2.4241999999999999</c:v>
                </c:pt>
                <c:pt idx="2">
                  <c:v>2.2115</c:v>
                </c:pt>
                <c:pt idx="3">
                  <c:v>2.2069000000000001</c:v>
                </c:pt>
                <c:pt idx="4">
                  <c:v>2.1364000000000001</c:v>
                </c:pt>
                <c:pt idx="5">
                  <c:v>1.77708</c:v>
                </c:pt>
              </c:numCache>
            </c:numRef>
          </c:val>
          <c:extLst>
            <c:ext xmlns:c16="http://schemas.microsoft.com/office/drawing/2014/chart" uri="{C3380CC4-5D6E-409C-BE32-E72D297353CC}">
              <c16:uniqueId val="{00000000-5FDD-D44F-AD6B-0C9B299BFB31}"/>
            </c:ext>
          </c:extLst>
        </c:ser>
        <c:dLbls>
          <c:showLegendKey val="0"/>
          <c:showVal val="0"/>
          <c:showCatName val="0"/>
          <c:showSerName val="0"/>
          <c:showPercent val="0"/>
          <c:showBubbleSize val="0"/>
        </c:dLbls>
        <c:gapWidth val="182"/>
        <c:overlap val="80"/>
        <c:axId val="518903704"/>
        <c:axId val="518905672"/>
      </c:barChart>
      <c:catAx>
        <c:axId val="51890370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18905672"/>
        <c:crosses val="autoZero"/>
        <c:auto val="1"/>
        <c:lblAlgn val="ctr"/>
        <c:lblOffset val="100"/>
        <c:noMultiLvlLbl val="0"/>
      </c:catAx>
      <c:valAx>
        <c:axId val="518905672"/>
        <c:scaling>
          <c:orientation val="minMax"/>
        </c:scaling>
        <c:delete val="1"/>
        <c:axPos val="t"/>
        <c:majorGridlines>
          <c:spPr>
            <a:ln w="9525" cap="flat" cmpd="sng" algn="ctr">
              <a:noFill/>
              <a:round/>
            </a:ln>
            <a:effectLst/>
          </c:spPr>
        </c:majorGridlines>
        <c:numFmt formatCode="0.00" sourceLinked="1"/>
        <c:majorTickMark val="none"/>
        <c:minorTickMark val="none"/>
        <c:tickLblPos val="nextTo"/>
        <c:crossAx val="518903704"/>
        <c:crossesAt val="1"/>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rgbClr val="962764"/>
                </a:solidFill>
                <a:latin typeface="+mn-lt"/>
                <a:ea typeface="+mn-ea"/>
                <a:cs typeface="+mn-cs"/>
              </a:defRPr>
            </a:pPr>
            <a:r>
              <a:rPr lang="el-GR" sz="1100" b="1">
                <a:solidFill>
                  <a:srgbClr val="962764"/>
                </a:solidFill>
              </a:rPr>
              <a:t>Σημαντικότερες προκλήσεις της αγοράς των συμβουλευτικών υπηρεσιών στο πλαίσιο της αξιοποίησης των πόρων του Ταμείου Ανάκαμψης</a:t>
            </a:r>
          </a:p>
        </c:rich>
      </c:tx>
      <c:overlay val="0"/>
      <c:spPr>
        <a:noFill/>
        <a:ln>
          <a:noFill/>
        </a:ln>
        <a:effectLst/>
      </c:spPr>
      <c:txPr>
        <a:bodyPr rot="0" spcFirstLastPara="1" vertOverflow="ellipsis" vert="horz" wrap="square" anchor="ctr" anchorCtr="1"/>
        <a:lstStyle/>
        <a:p>
          <a:pPr>
            <a:defRPr sz="1400" b="1" i="0" u="none" strike="noStrike" kern="1200" spc="0" baseline="0">
              <a:solidFill>
                <a:srgbClr val="962764"/>
              </a:solidFill>
              <a:latin typeface="+mn-lt"/>
              <a:ea typeface="+mn-ea"/>
              <a:cs typeface="+mn-cs"/>
            </a:defRPr>
          </a:pPr>
          <a:endParaRPr lang="en-US"/>
        </a:p>
      </c:txPr>
    </c:title>
    <c:autoTitleDeleted val="0"/>
    <c:plotArea>
      <c:layout>
        <c:manualLayout>
          <c:layoutTarget val="inner"/>
          <c:xMode val="edge"/>
          <c:yMode val="edge"/>
          <c:x val="0.50518613484371555"/>
          <c:y val="0.23451403887688985"/>
          <c:w val="0.4680823949254217"/>
          <c:h val="0.69205183585313179"/>
        </c:manualLayout>
      </c:layout>
      <c:barChart>
        <c:barDir val="bar"/>
        <c:grouping val="clustered"/>
        <c:varyColors val="0"/>
        <c:ser>
          <c:idx val="0"/>
          <c:order val="0"/>
          <c:spPr>
            <a:solidFill>
              <a:schemeClr val="accent1"/>
            </a:solidFill>
            <a:ln>
              <a:noFill/>
            </a:ln>
            <a:effectLst/>
          </c:spPr>
          <c:invertIfNegative val="0"/>
          <c:cat>
            <c:strRef>
              <c:f>'1, 2,3'!$AR$86:$AR$91</c:f>
              <c:strCache>
                <c:ptCount val="6"/>
                <c:pt idx="0">
                  <c:v>Ανάπτυξη στρατηγικών συμμαχιών για την ανάληψη μεγάλων έργων</c:v>
                </c:pt>
                <c:pt idx="1">
                  <c:v>Διεύρυνση της αγοράς των συμβουλευτικών υπηρεσιών στον ιδιωτικό τομέα</c:v>
                </c:pt>
                <c:pt idx="2">
                  <c:v>Διεύρυνση της αγοράς των συμβουλευτικών υπηρεσιών στον δημόσιο τομέα</c:v>
                </c:pt>
                <c:pt idx="3">
                  <c:v>Σχεδιασμός και παροχή νέων / διαφοροποιημένων συμβουλευτικών υπηρεσιών</c:v>
                </c:pt>
                <c:pt idx="4">
                  <c:v>Σύναψη συνεργασιών με διεθνείς οίκους</c:v>
                </c:pt>
                <c:pt idx="5">
                  <c:v>Συγχωνεύσεις εταιρειών </c:v>
                </c:pt>
              </c:strCache>
            </c:strRef>
          </c:cat>
          <c:val>
            <c:numRef>
              <c:f>'1, 2,3'!$AS$86:$AS$91</c:f>
              <c:numCache>
                <c:formatCode>General</c:formatCode>
                <c:ptCount val="6"/>
              </c:numCache>
            </c:numRef>
          </c:val>
          <c:extLst>
            <c:ext xmlns:c16="http://schemas.microsoft.com/office/drawing/2014/chart" uri="{C3380CC4-5D6E-409C-BE32-E72D297353CC}">
              <c16:uniqueId val="{00000000-B076-4B43-9B28-FC2DAD5672FB}"/>
            </c:ext>
          </c:extLst>
        </c:ser>
        <c:ser>
          <c:idx val="1"/>
          <c:order val="1"/>
          <c:spPr>
            <a:solidFill>
              <a:schemeClr val="accent2"/>
            </a:solidFill>
            <a:ln>
              <a:noFill/>
            </a:ln>
            <a:effectLst/>
          </c:spPr>
          <c:invertIfNegative val="0"/>
          <c:cat>
            <c:strRef>
              <c:f>'1, 2,3'!$AR$86:$AR$91</c:f>
              <c:strCache>
                <c:ptCount val="6"/>
                <c:pt idx="0">
                  <c:v>Ανάπτυξη στρατηγικών συμμαχιών για την ανάληψη μεγάλων έργων</c:v>
                </c:pt>
                <c:pt idx="1">
                  <c:v>Διεύρυνση της αγοράς των συμβουλευτικών υπηρεσιών στον ιδιωτικό τομέα</c:v>
                </c:pt>
                <c:pt idx="2">
                  <c:v>Διεύρυνση της αγοράς των συμβουλευτικών υπηρεσιών στον δημόσιο τομέα</c:v>
                </c:pt>
                <c:pt idx="3">
                  <c:v>Σχεδιασμός και παροχή νέων / διαφοροποιημένων συμβουλευτικών υπηρεσιών</c:v>
                </c:pt>
                <c:pt idx="4">
                  <c:v>Σύναψη συνεργασιών με διεθνείς οίκους</c:v>
                </c:pt>
                <c:pt idx="5">
                  <c:v>Συγχωνεύσεις εταιρειών </c:v>
                </c:pt>
              </c:strCache>
            </c:strRef>
          </c:cat>
          <c:val>
            <c:numRef>
              <c:f>'1, 2,3'!$AT$86:$AT$91</c:f>
              <c:numCache>
                <c:formatCode>General</c:formatCode>
                <c:ptCount val="6"/>
              </c:numCache>
            </c:numRef>
          </c:val>
          <c:extLst>
            <c:ext xmlns:c16="http://schemas.microsoft.com/office/drawing/2014/chart" uri="{C3380CC4-5D6E-409C-BE32-E72D297353CC}">
              <c16:uniqueId val="{00000001-B076-4B43-9B28-FC2DAD5672FB}"/>
            </c:ext>
          </c:extLst>
        </c:ser>
        <c:ser>
          <c:idx val="2"/>
          <c:order val="2"/>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 2,3'!$AR$86:$AR$91</c:f>
              <c:strCache>
                <c:ptCount val="6"/>
                <c:pt idx="0">
                  <c:v>Ανάπτυξη στρατηγικών συμμαχιών για την ανάληψη μεγάλων έργων</c:v>
                </c:pt>
                <c:pt idx="1">
                  <c:v>Διεύρυνση της αγοράς των συμβουλευτικών υπηρεσιών στον ιδιωτικό τομέα</c:v>
                </c:pt>
                <c:pt idx="2">
                  <c:v>Διεύρυνση της αγοράς των συμβουλευτικών υπηρεσιών στον δημόσιο τομέα</c:v>
                </c:pt>
                <c:pt idx="3">
                  <c:v>Σχεδιασμός και παροχή νέων / διαφοροποιημένων συμβουλευτικών υπηρεσιών</c:v>
                </c:pt>
                <c:pt idx="4">
                  <c:v>Σύναψη συνεργασιών με διεθνείς οίκους</c:v>
                </c:pt>
                <c:pt idx="5">
                  <c:v>Συγχωνεύσεις εταιρειών </c:v>
                </c:pt>
              </c:strCache>
            </c:strRef>
          </c:cat>
          <c:val>
            <c:numRef>
              <c:f>'1, 2,3'!$AU$86:$AU$91</c:f>
              <c:numCache>
                <c:formatCode>0.00</c:formatCode>
                <c:ptCount val="6"/>
                <c:pt idx="0">
                  <c:v>2.3437999999999999</c:v>
                </c:pt>
                <c:pt idx="1">
                  <c:v>2.3125</c:v>
                </c:pt>
                <c:pt idx="2">
                  <c:v>2.3090999999999999</c:v>
                </c:pt>
                <c:pt idx="3">
                  <c:v>2.2608999999999999</c:v>
                </c:pt>
                <c:pt idx="4">
                  <c:v>1.94</c:v>
                </c:pt>
                <c:pt idx="5">
                  <c:v>1.8125</c:v>
                </c:pt>
              </c:numCache>
            </c:numRef>
          </c:val>
          <c:extLst>
            <c:ext xmlns:c16="http://schemas.microsoft.com/office/drawing/2014/chart" uri="{C3380CC4-5D6E-409C-BE32-E72D297353CC}">
              <c16:uniqueId val="{00000002-B076-4B43-9B28-FC2DAD5672FB}"/>
            </c:ext>
          </c:extLst>
        </c:ser>
        <c:dLbls>
          <c:showLegendKey val="0"/>
          <c:showVal val="0"/>
          <c:showCatName val="0"/>
          <c:showSerName val="0"/>
          <c:showPercent val="0"/>
          <c:showBubbleSize val="0"/>
        </c:dLbls>
        <c:gapWidth val="182"/>
        <c:overlap val="80"/>
        <c:axId val="517720232"/>
        <c:axId val="517723512"/>
      </c:barChart>
      <c:catAx>
        <c:axId val="51772023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17723512"/>
        <c:crosses val="autoZero"/>
        <c:auto val="1"/>
        <c:lblAlgn val="ctr"/>
        <c:lblOffset val="100"/>
        <c:noMultiLvlLbl val="0"/>
      </c:catAx>
      <c:valAx>
        <c:axId val="517723512"/>
        <c:scaling>
          <c:orientation val="minMax"/>
        </c:scaling>
        <c:delete val="1"/>
        <c:axPos val="t"/>
        <c:majorGridlines>
          <c:spPr>
            <a:ln w="9525" cap="flat" cmpd="sng" algn="ctr">
              <a:noFill/>
              <a:round/>
            </a:ln>
            <a:effectLst/>
          </c:spPr>
        </c:majorGridlines>
        <c:numFmt formatCode="General" sourceLinked="1"/>
        <c:majorTickMark val="none"/>
        <c:minorTickMark val="none"/>
        <c:tickLblPos val="nextTo"/>
        <c:crossAx val="5177202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57685479361645564"/>
          <c:y val="5.0925925925925923E-2"/>
          <c:w val="0.39753403059774689"/>
          <c:h val="0.89814814814814814"/>
        </c:manualLayout>
      </c:layout>
      <c:barChart>
        <c:barDir val="bar"/>
        <c:grouping val="clustered"/>
        <c:varyColors val="0"/>
        <c:ser>
          <c:idx val="0"/>
          <c:order val="0"/>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Φύλλο1!$A$1:$A$8</c:f>
              <c:strCache>
                <c:ptCount val="8"/>
                <c:pt idx="0">
                  <c:v>2.2 Ψηφιακός μετασχηματισμός του κράτους</c:v>
                </c:pt>
                <c:pt idx="1">
                  <c:v>2.1 Συνδεσιμότητα για τους πολίτες, τις επιχειρήσεις, το κράτος</c:v>
                </c:pt>
                <c:pt idx="2">
                  <c:v>4.2 Εκσυγχρονισμός της δημόσιας διοίκησης </c:v>
                </c:pt>
                <c:pt idx="3">
                  <c:v>4.6 Εκσυγχρονισμός και βελτίωση της ανθεκτικότητας κύριων κλάδων οικονομίας της χώρας</c:v>
                </c:pt>
                <c:pt idx="4">
                  <c:v>4.1 Φορολογικά εργαλεία πιο φιλικά για την ανάπτυξη και βελτίωση της φορολογικής διοίκησης </c:v>
                </c:pt>
                <c:pt idx="5">
                  <c:v>4.4 Ενίσχυση του χρηματοπιστωτικού τομέα και των κεφαλαιαγορών </c:v>
                </c:pt>
                <c:pt idx="6">
                  <c:v>4.3 Βελτίωση της αποτελεσματικότητας του συστήματος δικαιοσύνης </c:v>
                </c:pt>
                <c:pt idx="7">
                  <c:v>4.7 Βελτίωση της ανταγωνιστικότητας και προώθηση ιδιωτικών επενδύσεων και εξαγωγών</c:v>
                </c:pt>
              </c:strCache>
            </c:strRef>
          </c:cat>
          <c:val>
            <c:numRef>
              <c:f>Φύλλο1!$B$1:$B$8</c:f>
              <c:numCache>
                <c:formatCode>General</c:formatCode>
                <c:ptCount val="8"/>
                <c:pt idx="0">
                  <c:v>5.88</c:v>
                </c:pt>
                <c:pt idx="1">
                  <c:v>5.63</c:v>
                </c:pt>
                <c:pt idx="2">
                  <c:v>5.46</c:v>
                </c:pt>
                <c:pt idx="3">
                  <c:v>5.39</c:v>
                </c:pt>
                <c:pt idx="4">
                  <c:v>5.38</c:v>
                </c:pt>
                <c:pt idx="5">
                  <c:v>5.31</c:v>
                </c:pt>
                <c:pt idx="6">
                  <c:v>5.3</c:v>
                </c:pt>
                <c:pt idx="7">
                  <c:v>5.25</c:v>
                </c:pt>
              </c:numCache>
            </c:numRef>
          </c:val>
          <c:extLst>
            <c:ext xmlns:c16="http://schemas.microsoft.com/office/drawing/2014/chart" uri="{C3380CC4-5D6E-409C-BE32-E72D297353CC}">
              <c16:uniqueId val="{00000000-488E-3449-A9CE-B13B3136FA3F}"/>
            </c:ext>
          </c:extLst>
        </c:ser>
        <c:dLbls>
          <c:showLegendKey val="0"/>
          <c:showVal val="0"/>
          <c:showCatName val="0"/>
          <c:showSerName val="0"/>
          <c:showPercent val="0"/>
          <c:showBubbleSize val="0"/>
        </c:dLbls>
        <c:gapWidth val="182"/>
        <c:axId val="548190920"/>
        <c:axId val="548133192"/>
      </c:barChart>
      <c:catAx>
        <c:axId val="54819092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48133192"/>
        <c:crosses val="autoZero"/>
        <c:auto val="1"/>
        <c:lblAlgn val="ctr"/>
        <c:lblOffset val="100"/>
        <c:noMultiLvlLbl val="0"/>
      </c:catAx>
      <c:valAx>
        <c:axId val="548133192"/>
        <c:scaling>
          <c:orientation val="minMax"/>
        </c:scaling>
        <c:delete val="1"/>
        <c:axPos val="t"/>
        <c:majorGridlines>
          <c:spPr>
            <a:ln w="9525" cap="flat" cmpd="sng" algn="ctr">
              <a:noFill/>
              <a:round/>
            </a:ln>
            <a:effectLst/>
          </c:spPr>
        </c:majorGridlines>
        <c:numFmt formatCode="General" sourceLinked="1"/>
        <c:majorTickMark val="none"/>
        <c:minorTickMark val="none"/>
        <c:tickLblPos val="nextTo"/>
        <c:crossAx val="5481909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0070C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'4 charts'!$A$48:$A$51</c:f>
              <c:strCache>
                <c:ptCount val="4"/>
                <c:pt idx="0">
                  <c:v>Πυλώνας 1: Πράσινη Μετάβαση</c:v>
                </c:pt>
                <c:pt idx="1">
                  <c:v>Πυλώνας 2: Ψηφιακός Μετασχηματισμός</c:v>
                </c:pt>
                <c:pt idx="2">
                  <c:v>Πυλώνας 3: Απασχόληση, δεξιότητες, κοινωνική συνοχή</c:v>
                </c:pt>
                <c:pt idx="3">
                  <c:v>Πυλώνας 4: Ιδιωτικές επενδύσεις και μετασχηματισμός της οικονομίας</c:v>
                </c:pt>
              </c:strCache>
            </c:strRef>
          </c:cat>
          <c:val>
            <c:numRef>
              <c:f>'4 charts'!$B$48:$B$51</c:f>
              <c:numCache>
                <c:formatCode>0.00</c:formatCode>
                <c:ptCount val="4"/>
                <c:pt idx="0">
                  <c:v>4.71</c:v>
                </c:pt>
                <c:pt idx="1">
                  <c:v>5.5</c:v>
                </c:pt>
                <c:pt idx="2">
                  <c:v>4.93</c:v>
                </c:pt>
                <c:pt idx="3">
                  <c:v>5.3</c:v>
                </c:pt>
              </c:numCache>
            </c:numRef>
          </c:val>
          <c:extLst>
            <c:ext xmlns:c16="http://schemas.microsoft.com/office/drawing/2014/chart" uri="{C3380CC4-5D6E-409C-BE32-E72D297353CC}">
              <c16:uniqueId val="{00000000-FC44-BE49-99D7-A806B74951D8}"/>
            </c:ext>
          </c:extLst>
        </c:ser>
        <c:dLbls>
          <c:showLegendKey val="0"/>
          <c:showVal val="0"/>
          <c:showCatName val="0"/>
          <c:showSerName val="0"/>
          <c:showPercent val="0"/>
          <c:showBubbleSize val="0"/>
        </c:dLbls>
        <c:gapWidth val="219"/>
        <c:overlap val="-27"/>
        <c:axId val="516550360"/>
        <c:axId val="516552656"/>
      </c:barChart>
      <c:catAx>
        <c:axId val="516550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16552656"/>
        <c:crosses val="autoZero"/>
        <c:auto val="1"/>
        <c:lblAlgn val="ctr"/>
        <c:lblOffset val="100"/>
        <c:noMultiLvlLbl val="0"/>
      </c:catAx>
      <c:valAx>
        <c:axId val="516552656"/>
        <c:scaling>
          <c:orientation val="minMax"/>
        </c:scaling>
        <c:delete val="1"/>
        <c:axPos val="l"/>
        <c:majorGridlines>
          <c:spPr>
            <a:ln w="9525" cap="flat" cmpd="sng" algn="ctr">
              <a:noFill/>
              <a:round/>
            </a:ln>
            <a:effectLst/>
          </c:spPr>
        </c:majorGridlines>
        <c:numFmt formatCode="0.00" sourceLinked="1"/>
        <c:majorTickMark val="none"/>
        <c:minorTickMark val="none"/>
        <c:tickLblPos val="nextTo"/>
        <c:crossAx val="5165503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rgbClr val="962764"/>
                </a:solidFill>
                <a:latin typeface="+mn-lt"/>
                <a:ea typeface="+mn-ea"/>
                <a:cs typeface="+mn-cs"/>
              </a:defRPr>
            </a:pPr>
            <a:r>
              <a:rPr lang="el-GR" sz="1100">
                <a:solidFill>
                  <a:srgbClr val="962764"/>
                </a:solidFill>
              </a:rPr>
              <a:t>Πυλώνας 1: Πράσινη Μετάβαση</a:t>
            </a:r>
          </a:p>
        </c:rich>
      </c:tx>
      <c:overlay val="0"/>
      <c:spPr>
        <a:noFill/>
        <a:ln>
          <a:noFill/>
        </a:ln>
        <a:effectLst/>
      </c:spPr>
      <c:txPr>
        <a:bodyPr rot="0" spcFirstLastPara="1" vertOverflow="ellipsis" vert="horz" wrap="square" anchor="ctr" anchorCtr="1"/>
        <a:lstStyle/>
        <a:p>
          <a:pPr>
            <a:defRPr sz="1100" b="0" i="0" u="none" strike="noStrike" kern="1200" spc="0" baseline="0">
              <a:solidFill>
                <a:srgbClr val="962764"/>
              </a:solidFill>
              <a:latin typeface="+mn-lt"/>
              <a:ea typeface="+mn-ea"/>
              <a:cs typeface="+mn-cs"/>
            </a:defRPr>
          </a:pPr>
          <a:endParaRPr lang="en-US"/>
        </a:p>
      </c:txPr>
    </c:title>
    <c:autoTitleDeleted val="0"/>
    <c:plotArea>
      <c:layout/>
      <c:barChart>
        <c:barDir val="bar"/>
        <c:grouping val="clustered"/>
        <c:varyColors val="0"/>
        <c:ser>
          <c:idx val="0"/>
          <c:order val="0"/>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206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'4 charts'!$A$21:$A$24</c:f>
              <c:strCache>
                <c:ptCount val="4"/>
                <c:pt idx="0">
                  <c:v>1.1 Μετάβαση σε νέο ενεργειακό μοντέλο φιλικό στο περιβάλλον</c:v>
                </c:pt>
                <c:pt idx="1">
                  <c:v>1.2 Ενεργειακή αναβάθμιση του κτιριακού αποθέματος της χώρας και χωροταξική μεταρρύθμιση</c:v>
                </c:pt>
                <c:pt idx="2">
                  <c:v>1.3 Μετάβαση σε ένα πράσινο και βιώσιμο σύστημα μεταφορών</c:v>
                </c:pt>
                <c:pt idx="3">
                  <c:v>1.4 Αειφόρος χρήση των πόρων, ανθεκτικότητα στην κλιματική αλλαγή και διατήρηση της βιοποικιλότητας</c:v>
                </c:pt>
              </c:strCache>
            </c:strRef>
          </c:cat>
          <c:val>
            <c:numRef>
              <c:f>'4 charts'!$B$21:$B$24</c:f>
              <c:numCache>
                <c:formatCode>General</c:formatCode>
                <c:ptCount val="4"/>
                <c:pt idx="0">
                  <c:v>4.84</c:v>
                </c:pt>
                <c:pt idx="1">
                  <c:v>4.8099999999999996</c:v>
                </c:pt>
                <c:pt idx="2">
                  <c:v>4.76</c:v>
                </c:pt>
                <c:pt idx="3">
                  <c:v>4.71</c:v>
                </c:pt>
              </c:numCache>
            </c:numRef>
          </c:val>
          <c:extLst>
            <c:ext xmlns:c16="http://schemas.microsoft.com/office/drawing/2014/chart" uri="{C3380CC4-5D6E-409C-BE32-E72D297353CC}">
              <c16:uniqueId val="{00000000-02A8-6A47-8BAB-3FC294B63666}"/>
            </c:ext>
          </c:extLst>
        </c:ser>
        <c:dLbls>
          <c:showLegendKey val="0"/>
          <c:showVal val="0"/>
          <c:showCatName val="0"/>
          <c:showSerName val="0"/>
          <c:showPercent val="0"/>
          <c:showBubbleSize val="0"/>
        </c:dLbls>
        <c:gapWidth val="182"/>
        <c:axId val="509519864"/>
        <c:axId val="509521832"/>
      </c:barChart>
      <c:catAx>
        <c:axId val="50951986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09521832"/>
        <c:crosses val="autoZero"/>
        <c:auto val="1"/>
        <c:lblAlgn val="ctr"/>
        <c:lblOffset val="100"/>
        <c:noMultiLvlLbl val="0"/>
      </c:catAx>
      <c:valAx>
        <c:axId val="509521832"/>
        <c:scaling>
          <c:orientation val="minMax"/>
        </c:scaling>
        <c:delete val="1"/>
        <c:axPos val="t"/>
        <c:majorGridlines>
          <c:spPr>
            <a:ln w="9525" cap="flat" cmpd="sng" algn="ctr">
              <a:noFill/>
              <a:round/>
            </a:ln>
            <a:effectLst/>
          </c:spPr>
        </c:majorGridlines>
        <c:numFmt formatCode="General" sourceLinked="1"/>
        <c:majorTickMark val="none"/>
        <c:minorTickMark val="none"/>
        <c:tickLblPos val="nextTo"/>
        <c:crossAx val="5095198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100" b="0" i="0" u="none" strike="noStrike" kern="1200" spc="0" baseline="0">
                <a:solidFill>
                  <a:srgbClr val="962764"/>
                </a:solidFill>
                <a:latin typeface="+mn-lt"/>
                <a:ea typeface="+mn-ea"/>
                <a:cs typeface="+mn-cs"/>
              </a:defRPr>
            </a:pPr>
            <a:r>
              <a:rPr lang="el-GR" sz="1100">
                <a:solidFill>
                  <a:srgbClr val="962764"/>
                </a:solidFill>
              </a:rPr>
              <a:t>Πυλώνας 2: Ψηφιακός Μετασχηματισμός</a:t>
            </a:r>
          </a:p>
        </c:rich>
      </c:tx>
      <c:layout>
        <c:manualLayout>
          <c:xMode val="edge"/>
          <c:yMode val="edge"/>
          <c:x val="0.164340113735783"/>
          <c:y val="9.538950715421303E-3"/>
        </c:manualLayout>
      </c:layout>
      <c:overlay val="0"/>
      <c:spPr>
        <a:noFill/>
        <a:ln>
          <a:noFill/>
        </a:ln>
        <a:effectLst/>
      </c:spPr>
      <c:txPr>
        <a:bodyPr rot="0" spcFirstLastPara="1" vertOverflow="ellipsis" vert="horz" wrap="square" anchor="ctr" anchorCtr="1"/>
        <a:lstStyle/>
        <a:p>
          <a:pPr algn="l">
            <a:defRPr sz="1100" b="0" i="0" u="none" strike="noStrike" kern="1200" spc="0" baseline="0">
              <a:solidFill>
                <a:srgbClr val="962764"/>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002060"/>
              </a:solidFill>
              <a:ln>
                <a:noFill/>
              </a:ln>
              <a:effectLst/>
            </c:spPr>
            <c:extLst>
              <c:ext xmlns:c16="http://schemas.microsoft.com/office/drawing/2014/chart" uri="{C3380CC4-5D6E-409C-BE32-E72D297353CC}">
                <c16:uniqueId val="{00000001-A900-304D-B2B9-6B19128DF55A}"/>
              </c:ext>
            </c:extLst>
          </c:dPt>
          <c:dPt>
            <c:idx val="1"/>
            <c:invertIfNegative val="0"/>
            <c:bubble3D val="0"/>
            <c:spPr>
              <a:solidFill>
                <a:srgbClr val="002060"/>
              </a:solidFill>
              <a:ln>
                <a:noFill/>
              </a:ln>
              <a:effectLst/>
            </c:spPr>
            <c:extLst>
              <c:ext xmlns:c16="http://schemas.microsoft.com/office/drawing/2014/chart" uri="{C3380CC4-5D6E-409C-BE32-E72D297353CC}">
                <c16:uniqueId val="{00000003-A900-304D-B2B9-6B19128DF55A}"/>
              </c:ext>
            </c:extLst>
          </c:dPt>
          <c:dPt>
            <c:idx val="2"/>
            <c:invertIfNegative val="0"/>
            <c:bubble3D val="0"/>
            <c:spPr>
              <a:solidFill>
                <a:srgbClr val="002060"/>
              </a:solidFill>
              <a:ln>
                <a:noFill/>
              </a:ln>
              <a:effectLst/>
            </c:spPr>
            <c:extLst>
              <c:ext xmlns:c16="http://schemas.microsoft.com/office/drawing/2014/chart" uri="{C3380CC4-5D6E-409C-BE32-E72D297353CC}">
                <c16:uniqueId val="{00000005-A900-304D-B2B9-6B19128DF55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206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'4 charts'!$A$26:$A$28</c:f>
              <c:strCache>
                <c:ptCount val="3"/>
                <c:pt idx="0">
                  <c:v>2.2 Ψηφιακός μετασχηματισμός του κράτους</c:v>
                </c:pt>
                <c:pt idx="1">
                  <c:v>2.1 Συνδεσιμότητα για τους πολίτες, τις επιχειρήσεις, το κράτος</c:v>
                </c:pt>
                <c:pt idx="2">
                  <c:v>2.3 Ψηφιακός μετασχηματισμός των επιχειρήσεων</c:v>
                </c:pt>
              </c:strCache>
            </c:strRef>
          </c:cat>
          <c:val>
            <c:numRef>
              <c:f>'4 charts'!$B$26:$B$28</c:f>
              <c:numCache>
                <c:formatCode>General</c:formatCode>
                <c:ptCount val="3"/>
                <c:pt idx="0">
                  <c:v>5.88</c:v>
                </c:pt>
                <c:pt idx="1">
                  <c:v>5.63</c:v>
                </c:pt>
                <c:pt idx="2">
                  <c:v>4.9800000000000004</c:v>
                </c:pt>
              </c:numCache>
            </c:numRef>
          </c:val>
          <c:extLst>
            <c:ext xmlns:c16="http://schemas.microsoft.com/office/drawing/2014/chart" uri="{C3380CC4-5D6E-409C-BE32-E72D297353CC}">
              <c16:uniqueId val="{00000006-A900-304D-B2B9-6B19128DF55A}"/>
            </c:ext>
          </c:extLst>
        </c:ser>
        <c:dLbls>
          <c:showLegendKey val="0"/>
          <c:showVal val="0"/>
          <c:showCatName val="0"/>
          <c:showSerName val="0"/>
          <c:showPercent val="0"/>
          <c:showBubbleSize val="0"/>
        </c:dLbls>
        <c:gapWidth val="182"/>
        <c:axId val="509500840"/>
        <c:axId val="509501168"/>
      </c:barChart>
      <c:catAx>
        <c:axId val="50950084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09501168"/>
        <c:crosses val="autoZero"/>
        <c:auto val="1"/>
        <c:lblAlgn val="ctr"/>
        <c:lblOffset val="100"/>
        <c:noMultiLvlLbl val="0"/>
      </c:catAx>
      <c:valAx>
        <c:axId val="509501168"/>
        <c:scaling>
          <c:orientation val="minMax"/>
        </c:scaling>
        <c:delete val="1"/>
        <c:axPos val="t"/>
        <c:majorGridlines>
          <c:spPr>
            <a:ln w="9525" cap="flat" cmpd="sng" algn="ctr">
              <a:noFill/>
              <a:round/>
            </a:ln>
            <a:effectLst/>
          </c:spPr>
        </c:majorGridlines>
        <c:numFmt formatCode="General" sourceLinked="1"/>
        <c:majorTickMark val="none"/>
        <c:minorTickMark val="none"/>
        <c:tickLblPos val="nextTo"/>
        <c:crossAx val="5095008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rgbClr val="962764"/>
                </a:solidFill>
                <a:latin typeface="+mn-lt"/>
                <a:ea typeface="+mn-ea"/>
                <a:cs typeface="+mn-cs"/>
              </a:defRPr>
            </a:pPr>
            <a:r>
              <a:rPr lang="el-GR" sz="1100">
                <a:solidFill>
                  <a:srgbClr val="962764"/>
                </a:solidFill>
              </a:rPr>
              <a:t>Πυλώνας 3: Απασχόληση, δεξιότητες, κοινωνική συνοχή</a:t>
            </a:r>
          </a:p>
        </c:rich>
      </c:tx>
      <c:overlay val="0"/>
      <c:spPr>
        <a:noFill/>
        <a:ln>
          <a:noFill/>
        </a:ln>
        <a:effectLst/>
      </c:spPr>
      <c:txPr>
        <a:bodyPr rot="0" spcFirstLastPara="1" vertOverflow="ellipsis" vert="horz" wrap="square" anchor="ctr" anchorCtr="1"/>
        <a:lstStyle/>
        <a:p>
          <a:pPr>
            <a:defRPr sz="1100" b="0" i="0" u="none" strike="noStrike" kern="1200" spc="0" baseline="0">
              <a:solidFill>
                <a:srgbClr val="962764"/>
              </a:solidFill>
              <a:latin typeface="+mn-lt"/>
              <a:ea typeface="+mn-ea"/>
              <a:cs typeface="+mn-cs"/>
            </a:defRPr>
          </a:pPr>
          <a:endParaRPr lang="en-US"/>
        </a:p>
      </c:txPr>
    </c:title>
    <c:autoTitleDeleted val="0"/>
    <c:plotArea>
      <c:layout>
        <c:manualLayout>
          <c:layoutTarget val="inner"/>
          <c:xMode val="edge"/>
          <c:yMode val="edge"/>
          <c:x val="0.64857357747734368"/>
          <c:y val="0.16033573141486809"/>
          <c:w val="0.32462988411825883"/>
          <c:h val="0.60944844124700237"/>
        </c:manualLayout>
      </c:layout>
      <c:barChart>
        <c:barDir val="bar"/>
        <c:grouping val="clustered"/>
        <c:varyColors val="0"/>
        <c:ser>
          <c:idx val="0"/>
          <c:order val="0"/>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206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'4 charts'!$A$32:$A$35</c:f>
              <c:strCache>
                <c:ptCount val="4"/>
                <c:pt idx="0">
                  <c:v>3.3. Ενίσχυση της προσβασιμότητας, της αποτελεσματικότητας και της ποιότητας του συστήματος υγείας</c:v>
                </c:pt>
                <c:pt idx="1">
                  <c:v>3.1 Αύξηση των θέσεων εργασίας και προώθηση της συμμετοχής στην αγορά εργασίας</c:v>
                </c:pt>
                <c:pt idx="2">
                  <c:v>3.2 Ενίσχυση των ψηφιακών δυνατοτήτων της εκπαίδευσης και εκσυγχρονισμός της επαγγελματικής εκπαίδευσης και κατάρτισης</c:v>
                </c:pt>
                <c:pt idx="3">
                  <c:v>3.4 Αύξηση της πρόσβασης σε αποτελεσματικές και χωρίς αποκλεισμούς κοινωνικές πολιτικές </c:v>
                </c:pt>
              </c:strCache>
            </c:strRef>
          </c:cat>
          <c:val>
            <c:numRef>
              <c:f>'4 charts'!$B$32:$B$35</c:f>
              <c:numCache>
                <c:formatCode>General</c:formatCode>
                <c:ptCount val="4"/>
                <c:pt idx="0">
                  <c:v>5.07</c:v>
                </c:pt>
                <c:pt idx="1">
                  <c:v>5.04</c:v>
                </c:pt>
                <c:pt idx="2">
                  <c:v>5.04</c:v>
                </c:pt>
                <c:pt idx="3">
                  <c:v>4.57</c:v>
                </c:pt>
              </c:numCache>
            </c:numRef>
          </c:val>
          <c:extLst>
            <c:ext xmlns:c16="http://schemas.microsoft.com/office/drawing/2014/chart" uri="{C3380CC4-5D6E-409C-BE32-E72D297353CC}">
              <c16:uniqueId val="{00000000-9FE4-184B-8431-C0E34636B142}"/>
            </c:ext>
          </c:extLst>
        </c:ser>
        <c:dLbls>
          <c:showLegendKey val="0"/>
          <c:showVal val="0"/>
          <c:showCatName val="0"/>
          <c:showSerName val="0"/>
          <c:showPercent val="0"/>
          <c:showBubbleSize val="0"/>
        </c:dLbls>
        <c:gapWidth val="182"/>
        <c:axId val="522811712"/>
        <c:axId val="522817944"/>
      </c:barChart>
      <c:catAx>
        <c:axId val="52281171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522817944"/>
        <c:crosses val="autoZero"/>
        <c:auto val="1"/>
        <c:lblAlgn val="ctr"/>
        <c:lblOffset val="100"/>
        <c:noMultiLvlLbl val="0"/>
      </c:catAx>
      <c:valAx>
        <c:axId val="522817944"/>
        <c:scaling>
          <c:orientation val="minMax"/>
        </c:scaling>
        <c:delete val="1"/>
        <c:axPos val="t"/>
        <c:majorGridlines>
          <c:spPr>
            <a:ln w="9525" cap="flat" cmpd="sng" algn="ctr">
              <a:noFill/>
              <a:round/>
            </a:ln>
            <a:effectLst/>
          </c:spPr>
        </c:majorGridlines>
        <c:numFmt formatCode="General" sourceLinked="1"/>
        <c:majorTickMark val="none"/>
        <c:minorTickMark val="none"/>
        <c:tickLblPos val="nextTo"/>
        <c:crossAx val="5228117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rgbClr val="962764"/>
                </a:solidFill>
                <a:latin typeface="+mn-lt"/>
                <a:ea typeface="+mn-ea"/>
                <a:cs typeface="+mn-cs"/>
              </a:defRPr>
            </a:pPr>
            <a:r>
              <a:rPr lang="el-GR" sz="1100">
                <a:solidFill>
                  <a:srgbClr val="962764"/>
                </a:solidFill>
              </a:rPr>
              <a:t>Πυλώνας 4: Ιδιωτικές επενδύσεις και μετασχηματισμός της οικονομίας</a:t>
            </a:r>
          </a:p>
        </c:rich>
      </c:tx>
      <c:layout>
        <c:manualLayout>
          <c:xMode val="edge"/>
          <c:yMode val="edge"/>
          <c:x val="0.11480506775873478"/>
          <c:y val="7.422680412371134E-2"/>
        </c:manualLayout>
      </c:layout>
      <c:overlay val="0"/>
      <c:spPr>
        <a:noFill/>
        <a:ln>
          <a:noFill/>
        </a:ln>
        <a:effectLst/>
      </c:spPr>
      <c:txPr>
        <a:bodyPr rot="0" spcFirstLastPara="1" vertOverflow="ellipsis" vert="horz" wrap="square" anchor="ctr" anchorCtr="1"/>
        <a:lstStyle/>
        <a:p>
          <a:pPr>
            <a:defRPr sz="1100" b="0" i="0" u="none" strike="noStrike" kern="1200" spc="0" baseline="0">
              <a:solidFill>
                <a:srgbClr val="962764"/>
              </a:solidFill>
              <a:latin typeface="+mn-lt"/>
              <a:ea typeface="+mn-ea"/>
              <a:cs typeface="+mn-cs"/>
            </a:defRPr>
          </a:pPr>
          <a:endParaRPr lang="en-US"/>
        </a:p>
      </c:txPr>
    </c:title>
    <c:autoTitleDeleted val="0"/>
    <c:plotArea>
      <c:layout>
        <c:manualLayout>
          <c:layoutTarget val="inner"/>
          <c:xMode val="edge"/>
          <c:yMode val="edge"/>
          <c:x val="0.52378604927733607"/>
          <c:y val="0.25083333333333335"/>
          <c:w val="0.44941736119769427"/>
          <c:h val="0.69824074074074072"/>
        </c:manualLayout>
      </c:layout>
      <c:barChart>
        <c:barDir val="bar"/>
        <c:grouping val="clustered"/>
        <c:varyColors val="0"/>
        <c:ser>
          <c:idx val="0"/>
          <c:order val="0"/>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206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'4 charts'!$A$38:$A$44</c:f>
              <c:strCache>
                <c:ptCount val="7"/>
                <c:pt idx="0">
                  <c:v>4.2 Εκσυγχρονισμός της δημόσιας διοίκησης </c:v>
                </c:pt>
                <c:pt idx="1">
                  <c:v>4.6 Εκσυγχρονισμός και βελτίωση της ανθεκτικότητας κύριων κλάδων οικονομίας της χώρας</c:v>
                </c:pt>
                <c:pt idx="2">
                  <c:v>4.1 Φορολογικά εργαλεία πιο φιλικά για την ανάπτυξη και βελτίωση της φορολογικής διοίκησης </c:v>
                </c:pt>
                <c:pt idx="3">
                  <c:v>4.4 Ενίσχυση του χρηματοπιστωτικού τομέα και των κεφαλαιαγορών </c:v>
                </c:pt>
                <c:pt idx="4">
                  <c:v>4.3 Βελτίωση της αποτελεσματικότητας του συστήματος δικαιοσύνης </c:v>
                </c:pt>
                <c:pt idx="5">
                  <c:v>4.7 Βελτίωση της ανταγωνιστικότητας και προώθηση ιδιωτικών επενδύσεων και εξαγωγών</c:v>
                </c:pt>
                <c:pt idx="6">
                  <c:v>4.5 Προώθηση της έρευνας και της καινοτομίας </c:v>
                </c:pt>
              </c:strCache>
            </c:strRef>
          </c:cat>
          <c:val>
            <c:numRef>
              <c:f>'4 charts'!$B$38:$B$44</c:f>
              <c:numCache>
                <c:formatCode>0.00</c:formatCode>
                <c:ptCount val="7"/>
                <c:pt idx="0">
                  <c:v>5.46</c:v>
                </c:pt>
                <c:pt idx="1">
                  <c:v>5.39</c:v>
                </c:pt>
                <c:pt idx="2">
                  <c:v>5.38</c:v>
                </c:pt>
                <c:pt idx="3">
                  <c:v>5.31</c:v>
                </c:pt>
                <c:pt idx="4">
                  <c:v>5.3</c:v>
                </c:pt>
                <c:pt idx="5">
                  <c:v>5.25</c:v>
                </c:pt>
                <c:pt idx="6">
                  <c:v>5.04</c:v>
                </c:pt>
              </c:numCache>
            </c:numRef>
          </c:val>
          <c:extLst>
            <c:ext xmlns:c16="http://schemas.microsoft.com/office/drawing/2014/chart" uri="{C3380CC4-5D6E-409C-BE32-E72D297353CC}">
              <c16:uniqueId val="{00000000-D248-8C43-BE6E-50D2330E9943}"/>
            </c:ext>
          </c:extLst>
        </c:ser>
        <c:dLbls>
          <c:showLegendKey val="0"/>
          <c:showVal val="0"/>
          <c:showCatName val="0"/>
          <c:showSerName val="0"/>
          <c:showPercent val="0"/>
          <c:showBubbleSize val="0"/>
        </c:dLbls>
        <c:gapWidth val="182"/>
        <c:axId val="522176424"/>
        <c:axId val="522176752"/>
      </c:barChart>
      <c:catAx>
        <c:axId val="52217642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522176752"/>
        <c:crosses val="autoZero"/>
        <c:auto val="1"/>
        <c:lblAlgn val="ctr"/>
        <c:lblOffset val="100"/>
        <c:noMultiLvlLbl val="0"/>
      </c:catAx>
      <c:valAx>
        <c:axId val="522176752"/>
        <c:scaling>
          <c:orientation val="minMax"/>
        </c:scaling>
        <c:delete val="1"/>
        <c:axPos val="t"/>
        <c:majorGridlines>
          <c:spPr>
            <a:ln w="9525" cap="flat" cmpd="sng" algn="ctr">
              <a:noFill/>
              <a:round/>
            </a:ln>
            <a:effectLst/>
          </c:spPr>
        </c:majorGridlines>
        <c:numFmt formatCode="0.00" sourceLinked="1"/>
        <c:majorTickMark val="none"/>
        <c:minorTickMark val="none"/>
        <c:tickLblPos val="nextTo"/>
        <c:crossAx val="5221764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0.18261</cdr:x>
      <cdr:y>0.0044</cdr:y>
    </cdr:from>
    <cdr:to>
      <cdr:x>0.18419</cdr:x>
      <cdr:y>0.9981</cdr:y>
    </cdr:to>
    <cdr:cxnSp macro="">
      <cdr:nvCxnSpPr>
        <cdr:cNvPr id="2" name="Ευθεία γραμμή σύνδεσης 1"/>
        <cdr:cNvCxnSpPr/>
      </cdr:nvCxnSpPr>
      <cdr:spPr>
        <a:xfrm xmlns:a="http://schemas.openxmlformats.org/drawingml/2006/main">
          <a:off x="991432" y="12065"/>
          <a:ext cx="8573" cy="2725935"/>
        </a:xfrm>
        <a:prstGeom xmlns:a="http://schemas.openxmlformats.org/drawingml/2006/main" prst="line">
          <a:avLst/>
        </a:prstGeom>
        <a:ln xmlns:a="http://schemas.openxmlformats.org/drawingml/2006/main" w="889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0.31477</cdr:x>
      <cdr:y>0</cdr:y>
    </cdr:from>
    <cdr:to>
      <cdr:x>0.31635</cdr:x>
      <cdr:y>0.99371</cdr:y>
    </cdr:to>
    <cdr:cxnSp macro="">
      <cdr:nvCxnSpPr>
        <cdr:cNvPr id="3" name="Ευθεία γραμμή σύνδεσης 2"/>
        <cdr:cNvCxnSpPr/>
      </cdr:nvCxnSpPr>
      <cdr:spPr>
        <a:xfrm xmlns:a="http://schemas.openxmlformats.org/drawingml/2006/main">
          <a:off x="1708982" y="-7099300"/>
          <a:ext cx="8573" cy="2725935"/>
        </a:xfrm>
        <a:prstGeom xmlns:a="http://schemas.openxmlformats.org/drawingml/2006/main" prst="line">
          <a:avLst/>
        </a:prstGeom>
        <a:ln xmlns:a="http://schemas.openxmlformats.org/drawingml/2006/main" w="1016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0.45395</cdr:x>
      <cdr:y>0</cdr:y>
    </cdr:from>
    <cdr:to>
      <cdr:x>0.45553</cdr:x>
      <cdr:y>0.99371</cdr:y>
    </cdr:to>
    <cdr:cxnSp macro="">
      <cdr:nvCxnSpPr>
        <cdr:cNvPr id="4" name="Ευθεία γραμμή σύνδεσης 3"/>
        <cdr:cNvCxnSpPr/>
      </cdr:nvCxnSpPr>
      <cdr:spPr>
        <a:xfrm xmlns:a="http://schemas.openxmlformats.org/drawingml/2006/main">
          <a:off x="2464632" y="0"/>
          <a:ext cx="8573" cy="2725935"/>
        </a:xfrm>
        <a:prstGeom xmlns:a="http://schemas.openxmlformats.org/drawingml/2006/main" prst="line">
          <a:avLst/>
        </a:prstGeom>
        <a:ln xmlns:a="http://schemas.openxmlformats.org/drawingml/2006/main" w="1016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0.58963</cdr:x>
      <cdr:y>0.00629</cdr:y>
    </cdr:from>
    <cdr:to>
      <cdr:x>0.59121</cdr:x>
      <cdr:y>1</cdr:y>
    </cdr:to>
    <cdr:cxnSp macro="">
      <cdr:nvCxnSpPr>
        <cdr:cNvPr id="5" name="Ευθεία γραμμή σύνδεσης 4"/>
        <cdr:cNvCxnSpPr/>
      </cdr:nvCxnSpPr>
      <cdr:spPr>
        <a:xfrm xmlns:a="http://schemas.openxmlformats.org/drawingml/2006/main">
          <a:off x="3201232" y="17265"/>
          <a:ext cx="8573" cy="2725935"/>
        </a:xfrm>
        <a:prstGeom xmlns:a="http://schemas.openxmlformats.org/drawingml/2006/main" prst="line">
          <a:avLst/>
        </a:prstGeom>
        <a:ln xmlns:a="http://schemas.openxmlformats.org/drawingml/2006/main" w="1016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0.72413</cdr:x>
      <cdr:y>0.00629</cdr:y>
    </cdr:from>
    <cdr:to>
      <cdr:x>0.72571</cdr:x>
      <cdr:y>1</cdr:y>
    </cdr:to>
    <cdr:cxnSp macro="">
      <cdr:nvCxnSpPr>
        <cdr:cNvPr id="6" name="Ευθεία γραμμή σύνδεσης 5"/>
        <cdr:cNvCxnSpPr/>
      </cdr:nvCxnSpPr>
      <cdr:spPr>
        <a:xfrm xmlns:a="http://schemas.openxmlformats.org/drawingml/2006/main">
          <a:off x="3931482" y="17265"/>
          <a:ext cx="8573" cy="2725935"/>
        </a:xfrm>
        <a:prstGeom xmlns:a="http://schemas.openxmlformats.org/drawingml/2006/main" prst="line">
          <a:avLst/>
        </a:prstGeom>
        <a:ln xmlns:a="http://schemas.openxmlformats.org/drawingml/2006/main" w="1016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0.8598</cdr:x>
      <cdr:y>0.00629</cdr:y>
    </cdr:from>
    <cdr:to>
      <cdr:x>0.86138</cdr:x>
      <cdr:y>1</cdr:y>
    </cdr:to>
    <cdr:cxnSp macro="">
      <cdr:nvCxnSpPr>
        <cdr:cNvPr id="7" name="Ευθεία γραμμή σύνδεσης 6"/>
        <cdr:cNvCxnSpPr/>
      </cdr:nvCxnSpPr>
      <cdr:spPr>
        <a:xfrm xmlns:a="http://schemas.openxmlformats.org/drawingml/2006/main">
          <a:off x="4668082" y="17265"/>
          <a:ext cx="8573" cy="2725935"/>
        </a:xfrm>
        <a:prstGeom xmlns:a="http://schemas.openxmlformats.org/drawingml/2006/main" prst="line">
          <a:avLst/>
        </a:prstGeom>
        <a:ln xmlns:a="http://schemas.openxmlformats.org/drawingml/2006/main" w="1016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0.1887</cdr:x>
      <cdr:y>0.00629</cdr:y>
    </cdr:from>
    <cdr:to>
      <cdr:x>0.19031</cdr:x>
      <cdr:y>1</cdr:y>
    </cdr:to>
    <cdr:cxnSp macro="">
      <cdr:nvCxnSpPr>
        <cdr:cNvPr id="2" name="Ευθεία γραμμή σύνδεσης 1"/>
        <cdr:cNvCxnSpPr/>
      </cdr:nvCxnSpPr>
      <cdr:spPr>
        <a:xfrm xmlns:a="http://schemas.openxmlformats.org/drawingml/2006/main">
          <a:off x="1004132" y="17265"/>
          <a:ext cx="8573" cy="2725935"/>
        </a:xfrm>
        <a:prstGeom xmlns:a="http://schemas.openxmlformats.org/drawingml/2006/main" prst="line">
          <a:avLst/>
        </a:prstGeom>
        <a:ln xmlns:a="http://schemas.openxmlformats.org/drawingml/2006/main" w="889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0.31639</cdr:x>
      <cdr:y>0.00629</cdr:y>
    </cdr:from>
    <cdr:to>
      <cdr:x>0.318</cdr:x>
      <cdr:y>1</cdr:y>
    </cdr:to>
    <cdr:cxnSp macro="">
      <cdr:nvCxnSpPr>
        <cdr:cNvPr id="3" name="Ευθεία γραμμή σύνδεσης 2"/>
        <cdr:cNvCxnSpPr/>
      </cdr:nvCxnSpPr>
      <cdr:spPr>
        <a:xfrm xmlns:a="http://schemas.openxmlformats.org/drawingml/2006/main">
          <a:off x="1683582" y="17265"/>
          <a:ext cx="8573" cy="2725935"/>
        </a:xfrm>
        <a:prstGeom xmlns:a="http://schemas.openxmlformats.org/drawingml/2006/main" prst="line">
          <a:avLst/>
        </a:prstGeom>
        <a:ln xmlns:a="http://schemas.openxmlformats.org/drawingml/2006/main" w="889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0.44765</cdr:x>
      <cdr:y>0.00629</cdr:y>
    </cdr:from>
    <cdr:to>
      <cdr:x>0.44926</cdr:x>
      <cdr:y>1</cdr:y>
    </cdr:to>
    <cdr:cxnSp macro="">
      <cdr:nvCxnSpPr>
        <cdr:cNvPr id="4" name="Ευθεία γραμμή σύνδεσης 3"/>
        <cdr:cNvCxnSpPr/>
      </cdr:nvCxnSpPr>
      <cdr:spPr>
        <a:xfrm xmlns:a="http://schemas.openxmlformats.org/drawingml/2006/main">
          <a:off x="2382082" y="17265"/>
          <a:ext cx="8573" cy="2725935"/>
        </a:xfrm>
        <a:prstGeom xmlns:a="http://schemas.openxmlformats.org/drawingml/2006/main" prst="line">
          <a:avLst/>
        </a:prstGeom>
        <a:ln xmlns:a="http://schemas.openxmlformats.org/drawingml/2006/main" w="889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0.58369</cdr:x>
      <cdr:y>0.00629</cdr:y>
    </cdr:from>
    <cdr:to>
      <cdr:x>0.5853</cdr:x>
      <cdr:y>1</cdr:y>
    </cdr:to>
    <cdr:cxnSp macro="">
      <cdr:nvCxnSpPr>
        <cdr:cNvPr id="5" name="Ευθεία γραμμή σύνδεσης 4"/>
        <cdr:cNvCxnSpPr/>
      </cdr:nvCxnSpPr>
      <cdr:spPr>
        <a:xfrm xmlns:a="http://schemas.openxmlformats.org/drawingml/2006/main">
          <a:off x="3105982" y="17265"/>
          <a:ext cx="8573" cy="2725935"/>
        </a:xfrm>
        <a:prstGeom xmlns:a="http://schemas.openxmlformats.org/drawingml/2006/main" prst="line">
          <a:avLst/>
        </a:prstGeom>
        <a:ln xmlns:a="http://schemas.openxmlformats.org/drawingml/2006/main" w="889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0.71376</cdr:x>
      <cdr:y>0.00629</cdr:y>
    </cdr:from>
    <cdr:to>
      <cdr:x>0.71537</cdr:x>
      <cdr:y>1</cdr:y>
    </cdr:to>
    <cdr:cxnSp macro="">
      <cdr:nvCxnSpPr>
        <cdr:cNvPr id="6" name="Ευθεία γραμμή σύνδεσης 5"/>
        <cdr:cNvCxnSpPr/>
      </cdr:nvCxnSpPr>
      <cdr:spPr>
        <a:xfrm xmlns:a="http://schemas.openxmlformats.org/drawingml/2006/main">
          <a:off x="3798132" y="17265"/>
          <a:ext cx="8573" cy="2725935"/>
        </a:xfrm>
        <a:prstGeom xmlns:a="http://schemas.openxmlformats.org/drawingml/2006/main" prst="line">
          <a:avLst/>
        </a:prstGeom>
        <a:ln xmlns:a="http://schemas.openxmlformats.org/drawingml/2006/main" w="889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0.84383</cdr:x>
      <cdr:y>0</cdr:y>
    </cdr:from>
    <cdr:to>
      <cdr:x>0.84544</cdr:x>
      <cdr:y>0.99371</cdr:y>
    </cdr:to>
    <cdr:cxnSp macro="">
      <cdr:nvCxnSpPr>
        <cdr:cNvPr id="7" name="Ευθεία γραμμή σύνδεσης 6"/>
        <cdr:cNvCxnSpPr/>
      </cdr:nvCxnSpPr>
      <cdr:spPr>
        <a:xfrm xmlns:a="http://schemas.openxmlformats.org/drawingml/2006/main">
          <a:off x="4490282" y="0"/>
          <a:ext cx="8573" cy="2725935"/>
        </a:xfrm>
        <a:prstGeom xmlns:a="http://schemas.openxmlformats.org/drawingml/2006/main" prst="line">
          <a:avLst/>
        </a:prstGeom>
        <a:ln xmlns:a="http://schemas.openxmlformats.org/drawingml/2006/main" w="889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3.xml><?xml version="1.0" encoding="utf-8"?>
<c:userShapes xmlns:c="http://schemas.openxmlformats.org/drawingml/2006/chart">
  <cdr:relSizeAnchor xmlns:cdr="http://schemas.openxmlformats.org/drawingml/2006/chartDrawing">
    <cdr:from>
      <cdr:x>0.17742</cdr:x>
      <cdr:y>0</cdr:y>
    </cdr:from>
    <cdr:to>
      <cdr:x>0.17907</cdr:x>
      <cdr:y>0.99371</cdr:y>
    </cdr:to>
    <cdr:cxnSp macro="">
      <cdr:nvCxnSpPr>
        <cdr:cNvPr id="2" name="Ευθεία γραμμή σύνδεσης 1"/>
        <cdr:cNvCxnSpPr/>
      </cdr:nvCxnSpPr>
      <cdr:spPr>
        <a:xfrm xmlns:a="http://schemas.openxmlformats.org/drawingml/2006/main">
          <a:off x="921582" y="0"/>
          <a:ext cx="8573" cy="2725935"/>
        </a:xfrm>
        <a:prstGeom xmlns:a="http://schemas.openxmlformats.org/drawingml/2006/main" prst="line">
          <a:avLst/>
        </a:prstGeom>
        <a:ln xmlns:a="http://schemas.openxmlformats.org/drawingml/2006/main" w="889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0.31679</cdr:x>
      <cdr:y>0</cdr:y>
    </cdr:from>
    <cdr:to>
      <cdr:x>0.31844</cdr:x>
      <cdr:y>0.99371</cdr:y>
    </cdr:to>
    <cdr:cxnSp macro="">
      <cdr:nvCxnSpPr>
        <cdr:cNvPr id="3" name="Ευθεία γραμμή σύνδεσης 2"/>
        <cdr:cNvCxnSpPr/>
      </cdr:nvCxnSpPr>
      <cdr:spPr>
        <a:xfrm xmlns:a="http://schemas.openxmlformats.org/drawingml/2006/main">
          <a:off x="1645482" y="-1644650"/>
          <a:ext cx="8573" cy="2725935"/>
        </a:xfrm>
        <a:prstGeom xmlns:a="http://schemas.openxmlformats.org/drawingml/2006/main" prst="line">
          <a:avLst/>
        </a:prstGeom>
        <a:ln xmlns:a="http://schemas.openxmlformats.org/drawingml/2006/main" w="889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0.45004</cdr:x>
      <cdr:y>0</cdr:y>
    </cdr:from>
    <cdr:to>
      <cdr:x>0.45169</cdr:x>
      <cdr:y>0.99371</cdr:y>
    </cdr:to>
    <cdr:cxnSp macro="">
      <cdr:nvCxnSpPr>
        <cdr:cNvPr id="4" name="Ευθεία γραμμή σύνδεσης 3"/>
        <cdr:cNvCxnSpPr/>
      </cdr:nvCxnSpPr>
      <cdr:spPr>
        <a:xfrm xmlns:a="http://schemas.openxmlformats.org/drawingml/2006/main">
          <a:off x="2337632" y="-1644650"/>
          <a:ext cx="8573" cy="2725935"/>
        </a:xfrm>
        <a:prstGeom xmlns:a="http://schemas.openxmlformats.org/drawingml/2006/main" prst="line">
          <a:avLst/>
        </a:prstGeom>
        <a:ln xmlns:a="http://schemas.openxmlformats.org/drawingml/2006/main" w="889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0.5894</cdr:x>
      <cdr:y>0</cdr:y>
    </cdr:from>
    <cdr:to>
      <cdr:x>0.59105</cdr:x>
      <cdr:y>0.99371</cdr:y>
    </cdr:to>
    <cdr:cxnSp macro="">
      <cdr:nvCxnSpPr>
        <cdr:cNvPr id="5" name="Ευθεία γραμμή σύνδεσης 4"/>
        <cdr:cNvCxnSpPr/>
      </cdr:nvCxnSpPr>
      <cdr:spPr>
        <a:xfrm xmlns:a="http://schemas.openxmlformats.org/drawingml/2006/main">
          <a:off x="3061532" y="0"/>
          <a:ext cx="8573" cy="2725935"/>
        </a:xfrm>
        <a:prstGeom xmlns:a="http://schemas.openxmlformats.org/drawingml/2006/main" prst="line">
          <a:avLst/>
        </a:prstGeom>
        <a:ln xmlns:a="http://schemas.openxmlformats.org/drawingml/2006/main" w="889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0.72021</cdr:x>
      <cdr:y>0.00629</cdr:y>
    </cdr:from>
    <cdr:to>
      <cdr:x>0.72186</cdr:x>
      <cdr:y>1</cdr:y>
    </cdr:to>
    <cdr:cxnSp macro="">
      <cdr:nvCxnSpPr>
        <cdr:cNvPr id="6" name="Ευθεία γραμμή σύνδεσης 5"/>
        <cdr:cNvCxnSpPr/>
      </cdr:nvCxnSpPr>
      <cdr:spPr>
        <a:xfrm xmlns:a="http://schemas.openxmlformats.org/drawingml/2006/main">
          <a:off x="3740982" y="17265"/>
          <a:ext cx="8573" cy="2725935"/>
        </a:xfrm>
        <a:prstGeom xmlns:a="http://schemas.openxmlformats.org/drawingml/2006/main" prst="line">
          <a:avLst/>
        </a:prstGeom>
        <a:ln xmlns:a="http://schemas.openxmlformats.org/drawingml/2006/main" w="889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0.85713</cdr:x>
      <cdr:y>0.00629</cdr:y>
    </cdr:from>
    <cdr:to>
      <cdr:x>0.85878</cdr:x>
      <cdr:y>1</cdr:y>
    </cdr:to>
    <cdr:cxnSp macro="">
      <cdr:nvCxnSpPr>
        <cdr:cNvPr id="7" name="Ευθεία γραμμή σύνδεσης 6"/>
        <cdr:cNvCxnSpPr/>
      </cdr:nvCxnSpPr>
      <cdr:spPr>
        <a:xfrm xmlns:a="http://schemas.openxmlformats.org/drawingml/2006/main">
          <a:off x="4452182" y="17265"/>
          <a:ext cx="8573" cy="2725935"/>
        </a:xfrm>
        <a:prstGeom xmlns:a="http://schemas.openxmlformats.org/drawingml/2006/main" prst="line">
          <a:avLst/>
        </a:prstGeom>
        <a:ln xmlns:a="http://schemas.openxmlformats.org/drawingml/2006/main" w="8890">
          <a:solidFill>
            <a:schemeClr val="bg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C8944-FAC2-7A4D-B9E1-ADCC6AD5F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1064</Words>
  <Characters>6066</Characters>
  <Application>Microsoft Office Word</Application>
  <DocSecurity>0</DocSecurity>
  <Lines>50</Lines>
  <Paragraphs>14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sesma</dc:creator>
  <cp:lastModifiedBy>SE SMA</cp:lastModifiedBy>
  <cp:revision>2</cp:revision>
  <cp:lastPrinted>2020-01-30T10:20:00Z</cp:lastPrinted>
  <dcterms:created xsi:type="dcterms:W3CDTF">2021-01-26T09:02:00Z</dcterms:created>
  <dcterms:modified xsi:type="dcterms:W3CDTF">2021-01-26T09:02:00Z</dcterms:modified>
</cp:coreProperties>
</file>