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DA8" w:rsidRPr="00F745E8" w:rsidRDefault="00467B87" w:rsidP="007962C5">
      <w:pPr>
        <w:pStyle w:val="Footer"/>
        <w:pBdr>
          <w:top w:val="single" w:sz="36" w:space="1" w:color="808000"/>
          <w:left w:val="single" w:sz="36" w:space="4" w:color="808000"/>
          <w:bottom w:val="single" w:sz="36" w:space="31" w:color="808000"/>
          <w:right w:val="single" w:sz="36" w:space="4" w:color="808000"/>
        </w:pBdr>
        <w:tabs>
          <w:tab w:val="right" w:pos="7371"/>
        </w:tabs>
        <w:jc w:val="center"/>
        <w:rPr>
          <w:rFonts w:ascii="Tahoma" w:hAnsi="Tahoma"/>
          <w:b/>
        </w:rPr>
      </w:pPr>
      <w:r w:rsidRPr="00467B87">
        <w:rPr>
          <w:noProof/>
        </w:rPr>
        <w:pict>
          <v:rect id="_x0000_s1026" style="position:absolute;left:0;text-align:left;margin-left:-3.5pt;margin-top:7.2pt;width:57.75pt;height:50.05pt;z-index:251658240" o:allowincell="f" filled="f" stroked="f" strokeweight="0">
            <v:textbox style="mso-next-textbox:#_x0000_s1026" inset="0,0,0,0">
              <w:txbxContent>
                <w:p w:rsidR="00085DA8" w:rsidRDefault="00085DA8" w:rsidP="007962C5">
                  <w:pPr>
                    <w:ind w:right="-3"/>
                  </w:pPr>
                  <w:r>
                    <w:object w:dxaOrig="2610" w:dyaOrig="2505">
                      <v:shape id="_x0000_i1025" type="#_x0000_t75" style="width:57.75pt;height:46.5pt" o:ole="" fillcolor="window">
                        <v:imagedata r:id="rId7" o:title=""/>
                      </v:shape>
                      <o:OLEObject Type="Embed" ProgID="MSPhotoEd.3" ShapeID="_x0000_i1025" DrawAspect="Content" ObjectID="_1416129943" r:id="rId8"/>
                    </w:object>
                  </w:r>
                </w:p>
              </w:txbxContent>
            </v:textbox>
          </v:rect>
        </w:pict>
      </w:r>
    </w:p>
    <w:p w:rsidR="00085DA8" w:rsidRPr="00F745E8" w:rsidRDefault="00085DA8" w:rsidP="007962C5">
      <w:pPr>
        <w:pStyle w:val="Footer"/>
        <w:pBdr>
          <w:top w:val="single" w:sz="36" w:space="1" w:color="808000"/>
          <w:left w:val="single" w:sz="36" w:space="4" w:color="808000"/>
          <w:bottom w:val="single" w:sz="36" w:space="31" w:color="808000"/>
          <w:right w:val="single" w:sz="36" w:space="4" w:color="808000"/>
        </w:pBdr>
        <w:tabs>
          <w:tab w:val="clear" w:pos="8306"/>
          <w:tab w:val="right" w:pos="7560"/>
          <w:tab w:val="right" w:pos="8820"/>
        </w:tabs>
        <w:jc w:val="center"/>
        <w:rPr>
          <w:rStyle w:val="PageNumber"/>
          <w:rFonts w:cs="Arial"/>
          <w:emboss/>
          <w:color w:val="808000"/>
        </w:rPr>
      </w:pPr>
      <w:r w:rsidRPr="00F745E8">
        <w:rPr>
          <w:rFonts w:ascii="Tahoma" w:hAnsi="Tahoma"/>
          <w:b/>
          <w:emboss/>
          <w:color w:val="808000"/>
        </w:rPr>
        <w:t>ΙΔΡΥΜΑ ΟΙΚΟΝΟΜΙΚΩΝ &amp; ΒΙΟΜΗΧΑΝΙΚΩΝ ΕΡΕΥΝΩΝ</w:t>
      </w:r>
    </w:p>
    <w:p w:rsidR="00085DA8" w:rsidRPr="00F745E8" w:rsidRDefault="00085DA8" w:rsidP="007962C5">
      <w:pPr>
        <w:pStyle w:val="BodyText"/>
        <w:pBdr>
          <w:top w:val="single" w:sz="36" w:space="1" w:color="808000"/>
          <w:left w:val="single" w:sz="36" w:space="4" w:color="808000"/>
          <w:bottom w:val="single" w:sz="36" w:space="31" w:color="808000"/>
          <w:right w:val="single" w:sz="36" w:space="4" w:color="808000"/>
        </w:pBdr>
        <w:spacing w:before="120" w:after="120" w:line="288" w:lineRule="auto"/>
        <w:jc w:val="center"/>
        <w:rPr>
          <w:sz w:val="28"/>
          <w:u w:val="none"/>
        </w:rPr>
      </w:pPr>
    </w:p>
    <w:p w:rsidR="00085DA8" w:rsidRPr="00F745E8" w:rsidRDefault="00085DA8" w:rsidP="007962C5">
      <w:pPr>
        <w:pStyle w:val="BodyText"/>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sz w:val="28"/>
          <w:u w:val="none"/>
        </w:rPr>
      </w:pPr>
    </w:p>
    <w:p w:rsidR="00085DA8" w:rsidRPr="00F745E8" w:rsidRDefault="00085DA8" w:rsidP="007962C5">
      <w:pPr>
        <w:pStyle w:val="BodyText"/>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sz w:val="28"/>
          <w:u w:val="none"/>
        </w:rPr>
      </w:pPr>
    </w:p>
    <w:p w:rsidR="00085DA8" w:rsidRPr="00F745E8" w:rsidRDefault="00085DA8" w:rsidP="007962C5">
      <w:pPr>
        <w:pStyle w:val="BodyText"/>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sz w:val="28"/>
          <w:u w:val="none"/>
        </w:rPr>
      </w:pPr>
    </w:p>
    <w:p w:rsidR="00085DA8" w:rsidRPr="00F745E8" w:rsidRDefault="00085DA8" w:rsidP="007962C5">
      <w:pPr>
        <w:pStyle w:val="BodyText"/>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emboss/>
          <w:color w:val="000080"/>
          <w:sz w:val="28"/>
          <w:u w:val="none"/>
        </w:rPr>
      </w:pPr>
      <w:r w:rsidRPr="00F745E8">
        <w:rPr>
          <w:rFonts w:ascii="Tahoma" w:hAnsi="Tahoma"/>
          <w:b/>
          <w:emboss/>
          <w:color w:val="000080"/>
          <w:sz w:val="28"/>
          <w:u w:val="none"/>
        </w:rPr>
        <w:t>ΑΠΟΤΕΛΕΣΜΑΤΑ ΕΡΕΥΝΩΝ ΟΙΚΟΝΟΜΙΚΗΣ ΣΥΓΚΥΡΙΑΣ</w:t>
      </w:r>
    </w:p>
    <w:p w:rsidR="00085DA8" w:rsidRPr="00F745E8" w:rsidRDefault="00085DA8" w:rsidP="007962C5">
      <w:pPr>
        <w:pStyle w:val="Heading4"/>
        <w:pBdr>
          <w:top w:val="single" w:sz="36" w:space="1" w:color="808000"/>
          <w:left w:val="single" w:sz="36" w:space="4" w:color="808000"/>
          <w:bottom w:val="single" w:sz="36" w:space="31" w:color="808000"/>
          <w:right w:val="single" w:sz="36" w:space="4" w:color="808000"/>
        </w:pBdr>
        <w:spacing w:before="120" w:after="120"/>
        <w:rPr>
          <w:rFonts w:ascii="Tahoma" w:hAnsi="Tahoma"/>
          <w:emboss/>
          <w:color w:val="000080"/>
        </w:rPr>
      </w:pPr>
    </w:p>
    <w:p w:rsidR="00085DA8" w:rsidRPr="00F745E8" w:rsidRDefault="00085DA8" w:rsidP="007962C5">
      <w:pPr>
        <w:pStyle w:val="Heading4"/>
        <w:pBdr>
          <w:top w:val="single" w:sz="36" w:space="1" w:color="808000"/>
          <w:left w:val="single" w:sz="36" w:space="4" w:color="808000"/>
          <w:bottom w:val="single" w:sz="36" w:space="31" w:color="808000"/>
          <w:right w:val="single" w:sz="36" w:space="4" w:color="808000"/>
        </w:pBdr>
        <w:spacing w:before="120" w:after="120"/>
        <w:rPr>
          <w:rFonts w:ascii="Tahoma" w:hAnsi="Tahoma"/>
          <w:emboss/>
          <w:color w:val="000080"/>
        </w:rPr>
      </w:pPr>
      <w:r w:rsidRPr="00F745E8">
        <w:rPr>
          <w:rFonts w:ascii="Tahoma" w:hAnsi="Tahoma"/>
          <w:emboss/>
          <w:color w:val="000080"/>
          <w:lang w:val="en-US"/>
        </w:rPr>
        <w:t>NOEM</w:t>
      </w:r>
      <w:r w:rsidRPr="00F745E8">
        <w:rPr>
          <w:rFonts w:ascii="Tahoma" w:hAnsi="Tahoma"/>
          <w:emboss/>
          <w:color w:val="000080"/>
        </w:rPr>
        <w:t>ΒΡΙΟΣ 2012</w:t>
      </w: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line="480" w:lineRule="auto"/>
        <w:rPr>
          <w:rFonts w:ascii="Tahoma" w:hAnsi="Tahoma" w:cs="Tahoma"/>
          <w:b/>
          <w:caps/>
          <w:color w:val="000080"/>
          <w:sz w:val="22"/>
          <w:szCs w:val="22"/>
        </w:rPr>
      </w:pPr>
      <w:r w:rsidRPr="00F745E8">
        <w:rPr>
          <w:rFonts w:ascii="Tahoma" w:hAnsi="Tahoma"/>
          <w:b/>
          <w:caps/>
          <w:color w:val="000080"/>
        </w:rPr>
        <w:t>Α.</w:t>
      </w:r>
      <w:r w:rsidRPr="00F745E8">
        <w:rPr>
          <w:rFonts w:ascii="Tahoma" w:hAnsi="Tahoma"/>
          <w:b/>
          <w:caps/>
          <w:color w:val="000080"/>
        </w:rPr>
        <w:tab/>
      </w:r>
      <w:r w:rsidRPr="00F745E8">
        <w:rPr>
          <w:rFonts w:ascii="Tahoma" w:hAnsi="Tahoma" w:cs="Tahoma"/>
          <w:b/>
          <w:caps/>
          <w:color w:val="000080"/>
          <w:sz w:val="22"/>
          <w:szCs w:val="22"/>
        </w:rPr>
        <w:t>ΟΙΚΟΝΟΜΙΚΟ ΚΛΙΜΑ (ΕΛΛΑΔΑ – ΕΥΡ. ΕΝΩΣΗ – ΕΥΡΩΖΩΝΗ)</w:t>
      </w: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line="480" w:lineRule="auto"/>
        <w:rPr>
          <w:rFonts w:ascii="Tahoma" w:hAnsi="Tahoma" w:cs="Tahoma"/>
          <w:b/>
          <w:caps/>
          <w:color w:val="000080"/>
          <w:sz w:val="22"/>
          <w:szCs w:val="22"/>
        </w:rPr>
      </w:pPr>
      <w:r w:rsidRPr="00F745E8">
        <w:rPr>
          <w:rFonts w:ascii="Tahoma" w:hAnsi="Tahoma" w:cs="Tahoma"/>
          <w:b/>
          <w:caps/>
          <w:color w:val="000080"/>
          <w:sz w:val="22"/>
          <w:szCs w:val="22"/>
        </w:rPr>
        <w:t xml:space="preserve">β. </w:t>
      </w:r>
      <w:r w:rsidRPr="00F745E8">
        <w:rPr>
          <w:rFonts w:ascii="Tahoma" w:hAnsi="Tahoma" w:cs="Tahoma"/>
          <w:b/>
          <w:caps/>
          <w:color w:val="000080"/>
          <w:sz w:val="22"/>
          <w:szCs w:val="22"/>
        </w:rPr>
        <w:tab/>
        <w:t>Βιομηχανια –κατασκευες –λιανικο εμποριο – υπηρεσιες</w:t>
      </w: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line="480" w:lineRule="auto"/>
        <w:rPr>
          <w:rFonts w:ascii="Tahoma" w:hAnsi="Tahoma"/>
          <w:b/>
          <w:caps/>
          <w:color w:val="000080"/>
        </w:rPr>
      </w:pPr>
      <w:r w:rsidRPr="00F745E8">
        <w:rPr>
          <w:rFonts w:ascii="Tahoma" w:hAnsi="Tahoma" w:cs="Tahoma"/>
          <w:b/>
          <w:caps/>
          <w:color w:val="000080"/>
          <w:sz w:val="22"/>
          <w:szCs w:val="22"/>
        </w:rPr>
        <w:t>Γ.</w:t>
      </w:r>
      <w:r w:rsidRPr="00F745E8">
        <w:rPr>
          <w:rFonts w:ascii="Tahoma" w:hAnsi="Tahoma" w:cs="Tahoma"/>
          <w:b/>
          <w:caps/>
          <w:color w:val="000080"/>
          <w:sz w:val="22"/>
          <w:szCs w:val="22"/>
        </w:rPr>
        <w:tab/>
        <w:t>καταναλωτικη εμπιστοσυνη (ΕΛΛΑΔΑ – ΕΥΡ. ΕΝΩΣΗ – ΕΥΡΩΖΩΝΗ)</w:t>
      </w: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rPr>
      </w:pPr>
    </w:p>
    <w:p w:rsidR="00085DA8" w:rsidRPr="00F745E8" w:rsidRDefault="00085DA8" w:rsidP="007962C5">
      <w:pPr>
        <w:pBdr>
          <w:top w:val="single" w:sz="36" w:space="1" w:color="808000"/>
          <w:left w:val="single" w:sz="36" w:space="4" w:color="808000"/>
          <w:bottom w:val="single" w:sz="36" w:space="31" w:color="808000"/>
          <w:right w:val="single" w:sz="36" w:space="4" w:color="808000"/>
        </w:pBdr>
        <w:spacing w:before="120" w:after="120" w:line="288" w:lineRule="auto"/>
        <w:jc w:val="center"/>
        <w:rPr>
          <w:rFonts w:ascii="Tahoma" w:hAnsi="Tahoma"/>
          <w:b/>
          <w:emboss/>
          <w:color w:val="000080"/>
        </w:rPr>
      </w:pPr>
      <w:r w:rsidRPr="00DB4CDD">
        <w:rPr>
          <w:rFonts w:ascii="Tahoma" w:hAnsi="Tahoma"/>
          <w:b/>
          <w:emboss/>
          <w:color w:val="000080"/>
        </w:rPr>
        <w:t>4</w:t>
      </w:r>
      <w:r w:rsidRPr="00F745E8">
        <w:rPr>
          <w:rFonts w:ascii="Tahoma" w:hAnsi="Tahoma"/>
          <w:b/>
          <w:emboss/>
          <w:color w:val="000080"/>
        </w:rPr>
        <w:t xml:space="preserve"> Δεκεμβρίου</w:t>
      </w:r>
      <w:r w:rsidRPr="00F745E8">
        <w:rPr>
          <w:rFonts w:ascii="Tahoma" w:hAnsi="Tahoma"/>
          <w:b/>
          <w:i/>
          <w:sz w:val="22"/>
          <w:szCs w:val="22"/>
        </w:rPr>
        <w:t xml:space="preserve"> </w:t>
      </w:r>
      <w:r w:rsidRPr="00F745E8">
        <w:rPr>
          <w:rFonts w:ascii="Tahoma" w:hAnsi="Tahoma"/>
          <w:b/>
          <w:emboss/>
          <w:color w:val="000080"/>
        </w:rPr>
        <w:t>2012</w:t>
      </w:r>
    </w:p>
    <w:p w:rsidR="00085DA8" w:rsidRPr="00F745E8" w:rsidRDefault="00085DA8" w:rsidP="007962C5">
      <w:pPr>
        <w:spacing w:before="120" w:after="120" w:line="288" w:lineRule="auto"/>
        <w:jc w:val="both"/>
        <w:rPr>
          <w:rFonts w:ascii="Tahoma" w:hAnsi="Tahoma"/>
          <w:i/>
          <w:sz w:val="22"/>
          <w:szCs w:val="22"/>
        </w:rPr>
      </w:pPr>
      <w:r w:rsidRPr="00F745E8">
        <w:rPr>
          <w:rFonts w:ascii="Tahoma" w:hAnsi="Tahoma"/>
          <w:i/>
          <w:sz w:val="22"/>
          <w:szCs w:val="22"/>
        </w:rPr>
        <w:br w:type="page"/>
      </w:r>
      <w:r w:rsidRPr="00F745E8">
        <w:rPr>
          <w:rFonts w:ascii="Tahoma" w:hAnsi="Tahoma"/>
          <w:i/>
          <w:sz w:val="22"/>
          <w:szCs w:val="22"/>
        </w:rPr>
        <w:lastRenderedPageBreak/>
        <w:t>Το ΙΟΒΕ διεξάγει κάθε μήνα από το 1981 Έρευνες Οικονομικής Συγκυρίας στις επιχειρήσεις στους τέσσερις τομείς της οικονομίας και, από τον Μάιο του 2008, και στους καταναλωτές. Οι  έρευνες αποτελούν μέρος του κοινού εναρμονισμένου προγράμματος της Ευρωπαϊκής Ένωσης (</w:t>
      </w:r>
      <w:r w:rsidRPr="00F745E8">
        <w:rPr>
          <w:rFonts w:ascii="Tahoma" w:hAnsi="Tahoma"/>
          <w:i/>
          <w:sz w:val="22"/>
          <w:szCs w:val="22"/>
          <w:lang w:val="en-US"/>
        </w:rPr>
        <w:t>DG</w:t>
      </w:r>
      <w:r w:rsidRPr="00F745E8">
        <w:rPr>
          <w:rFonts w:ascii="Tahoma" w:hAnsi="Tahoma"/>
          <w:i/>
          <w:sz w:val="22"/>
          <w:szCs w:val="22"/>
        </w:rPr>
        <w:t xml:space="preserve"> </w:t>
      </w:r>
      <w:r w:rsidRPr="00F745E8">
        <w:rPr>
          <w:rFonts w:ascii="Tahoma" w:hAnsi="Tahoma"/>
          <w:i/>
          <w:sz w:val="22"/>
          <w:szCs w:val="22"/>
          <w:lang w:val="en-US"/>
        </w:rPr>
        <w:t>ECFIN</w:t>
      </w:r>
      <w:r w:rsidRPr="00F745E8">
        <w:rPr>
          <w:rFonts w:ascii="Tahoma" w:hAnsi="Tahoma"/>
          <w:i/>
          <w:sz w:val="22"/>
          <w:szCs w:val="22"/>
        </w:rPr>
        <w:t xml:space="preserve">) και τα αποτελέσματά τους χρησιμοποιούνται για τον υπολογισμό του δείκτη οικονομικού κλίματος σε Ελλάδα και στις υπόλοιπες ευρωπαϊκές χώρες, ενώ δημοσιεύονται αναλυτικά στις εκδόσεις της Ευρωπαϊκής Επιτροπής. Οι αναλύσεις που δημοσιεύονται κάθε μήνα με τη μορφή αυτής της έκδοσης στηρίζονται στα πρωτογενή, αναλυτικά στοιχεία για πάνω από 1000 επιχειρήσεις και αντιπροσωπευτικό δείγμα 1500 καταναλωτών, όπως προκύπτουν από τις έρευνες που διεξάγει αποκλειστικά και μόνο το ΙΟΒΕ για την Ελλάδα για λογαριασμό της Ευρωπαϊκής Επιτροπής. </w:t>
      </w:r>
    </w:p>
    <w:p w:rsidR="00085DA8" w:rsidRPr="00F745E8" w:rsidRDefault="00085DA8" w:rsidP="007962C5">
      <w:pPr>
        <w:pStyle w:val="BodyText"/>
        <w:spacing w:line="288" w:lineRule="auto"/>
        <w:ind w:left="2977" w:hanging="2977"/>
        <w:rPr>
          <w:rFonts w:ascii="Tahoma" w:hAnsi="Tahoma" w:cs="Arial"/>
          <w:b/>
          <w:sz w:val="22"/>
          <w:szCs w:val="22"/>
          <w:u w:val="none"/>
        </w:rPr>
      </w:pPr>
    </w:p>
    <w:p w:rsidR="00085DA8" w:rsidRPr="00F745E8" w:rsidRDefault="00085DA8" w:rsidP="007962C5">
      <w:pPr>
        <w:pStyle w:val="BodyText"/>
        <w:spacing w:line="288" w:lineRule="auto"/>
        <w:ind w:left="2977" w:hanging="2977"/>
        <w:rPr>
          <w:rFonts w:ascii="Tahoma" w:hAnsi="Tahoma" w:cs="Arial"/>
          <w:b/>
          <w:i/>
          <w:sz w:val="22"/>
          <w:szCs w:val="22"/>
          <w:u w:val="none"/>
        </w:rPr>
      </w:pPr>
      <w:r w:rsidRPr="00F745E8">
        <w:rPr>
          <w:rFonts w:ascii="Tahoma" w:hAnsi="Tahoma" w:cs="Arial"/>
          <w:i/>
          <w:sz w:val="22"/>
          <w:szCs w:val="22"/>
          <w:u w:val="none"/>
        </w:rPr>
        <w:t xml:space="preserve">Επόμενο δελτίο: </w:t>
      </w:r>
      <w:r w:rsidRPr="00DB4CDD">
        <w:rPr>
          <w:rFonts w:ascii="Tahoma" w:hAnsi="Tahoma" w:cs="Arial"/>
          <w:b/>
          <w:i/>
          <w:sz w:val="22"/>
          <w:szCs w:val="22"/>
          <w:u w:val="none"/>
        </w:rPr>
        <w:t xml:space="preserve">14 </w:t>
      </w:r>
      <w:r w:rsidRPr="00F745E8">
        <w:rPr>
          <w:rFonts w:ascii="Tahoma" w:hAnsi="Tahoma" w:cs="Arial"/>
          <w:b/>
          <w:i/>
          <w:sz w:val="22"/>
          <w:szCs w:val="22"/>
          <w:u w:val="none"/>
        </w:rPr>
        <w:t>Ιανουαρίου</w:t>
      </w:r>
      <w:r w:rsidRPr="00F745E8">
        <w:rPr>
          <w:rFonts w:ascii="Tahoma" w:hAnsi="Tahoma" w:cs="Arial"/>
          <w:i/>
          <w:sz w:val="22"/>
          <w:szCs w:val="22"/>
          <w:u w:val="none"/>
        </w:rPr>
        <w:t xml:space="preserve"> </w:t>
      </w:r>
      <w:r w:rsidRPr="00F745E8">
        <w:rPr>
          <w:rFonts w:ascii="Tahoma" w:hAnsi="Tahoma" w:cs="Arial"/>
          <w:b/>
          <w:i/>
          <w:sz w:val="22"/>
          <w:szCs w:val="22"/>
          <w:u w:val="none"/>
        </w:rPr>
        <w:t>2013</w:t>
      </w:r>
    </w:p>
    <w:p w:rsidR="00085DA8" w:rsidRPr="00F745E8" w:rsidRDefault="00085DA8" w:rsidP="007962C5">
      <w:pPr>
        <w:pStyle w:val="BodyText"/>
        <w:spacing w:line="288" w:lineRule="auto"/>
        <w:ind w:left="2977" w:hanging="2977"/>
        <w:rPr>
          <w:rFonts w:ascii="Tahoma" w:hAnsi="Tahoma"/>
          <w:b/>
          <w:sz w:val="22"/>
          <w:szCs w:val="22"/>
          <w:u w:val="none"/>
        </w:rPr>
      </w:pPr>
    </w:p>
    <w:p w:rsidR="00085DA8" w:rsidRPr="00F745E8" w:rsidRDefault="00085DA8" w:rsidP="007962C5">
      <w:pPr>
        <w:pStyle w:val="BodyText"/>
        <w:spacing w:line="288" w:lineRule="auto"/>
        <w:ind w:left="2977" w:hanging="2977"/>
        <w:rPr>
          <w:rFonts w:ascii="Tahoma" w:hAnsi="Tahoma"/>
          <w:b/>
          <w:sz w:val="22"/>
          <w:szCs w:val="22"/>
          <w:u w:val="none"/>
        </w:rPr>
      </w:pPr>
    </w:p>
    <w:p w:rsidR="00085DA8" w:rsidRPr="00F745E8" w:rsidRDefault="00085DA8" w:rsidP="007962C5">
      <w:pPr>
        <w:pStyle w:val="BodyText"/>
        <w:spacing w:line="288" w:lineRule="auto"/>
        <w:ind w:left="2977" w:hanging="2977"/>
        <w:rPr>
          <w:rFonts w:ascii="Tahoma" w:hAnsi="Tahoma"/>
          <w:sz w:val="22"/>
          <w:szCs w:val="22"/>
          <w:u w:val="none"/>
        </w:rPr>
      </w:pPr>
    </w:p>
    <w:p w:rsidR="00085DA8" w:rsidRPr="00F745E8" w:rsidRDefault="00085DA8" w:rsidP="007962C5">
      <w:pPr>
        <w:tabs>
          <w:tab w:val="left" w:pos="567"/>
        </w:tabs>
        <w:spacing w:before="240"/>
        <w:ind w:right="-193"/>
        <w:jc w:val="both"/>
        <w:rPr>
          <w:rFonts w:ascii="Tahoma" w:hAnsi="Tahoma"/>
          <w:b/>
          <w:sz w:val="22"/>
          <w:szCs w:val="22"/>
        </w:rPr>
      </w:pPr>
      <w:r w:rsidRPr="00F745E8">
        <w:rPr>
          <w:rFonts w:ascii="Tahoma" w:hAnsi="Tahoma"/>
          <w:b/>
          <w:smallCaps/>
        </w:rPr>
        <w:br w:type="page"/>
      </w:r>
      <w:r w:rsidRPr="00F745E8">
        <w:rPr>
          <w:rFonts w:ascii="Tahoma" w:hAnsi="Tahoma"/>
          <w:b/>
          <w:smallCaps/>
          <w:color w:val="800000"/>
          <w:sz w:val="22"/>
          <w:szCs w:val="22"/>
        </w:rPr>
        <w:lastRenderedPageBreak/>
        <w:t>Α. ΟΙΚΟΝΟΜΙΚΟ ΚΛΙΜΑ: EE-27, ΕΥΡΩΖΩΝΗ, ΕΛΛΑΔΑ</w:t>
      </w:r>
    </w:p>
    <w:p w:rsidR="00085DA8" w:rsidRPr="00F745E8" w:rsidRDefault="00085DA8" w:rsidP="007962C5">
      <w:pPr>
        <w:spacing w:before="240" w:line="288" w:lineRule="auto"/>
        <w:rPr>
          <w:rFonts w:ascii="Tahoma" w:hAnsi="Tahoma"/>
          <w:b/>
          <w:sz w:val="22"/>
          <w:szCs w:val="22"/>
        </w:rPr>
      </w:pPr>
      <w:r w:rsidRPr="00F745E8">
        <w:rPr>
          <w:rFonts w:ascii="Tahoma" w:hAnsi="Tahoma" w:cs="Tahoma"/>
          <w:b/>
          <w:sz w:val="22"/>
          <w:szCs w:val="22"/>
        </w:rPr>
        <w:t xml:space="preserve">ΝΟΕΜΒΡΙΟΣ </w:t>
      </w:r>
      <w:r w:rsidRPr="00F745E8">
        <w:rPr>
          <w:rFonts w:ascii="Tahoma" w:hAnsi="Tahoma"/>
          <w:b/>
          <w:sz w:val="22"/>
          <w:szCs w:val="22"/>
        </w:rPr>
        <w:t>2012</w:t>
      </w:r>
    </w:p>
    <w:p w:rsidR="00085DA8" w:rsidRPr="00F745E8" w:rsidRDefault="00085DA8" w:rsidP="00354DAC">
      <w:pPr>
        <w:tabs>
          <w:tab w:val="left" w:pos="284"/>
          <w:tab w:val="left" w:pos="2694"/>
        </w:tabs>
        <w:spacing w:before="240" w:line="288" w:lineRule="auto"/>
        <w:ind w:left="2693" w:hanging="2693"/>
        <w:rPr>
          <w:rFonts w:ascii="Tahoma" w:hAnsi="Tahoma" w:cs="Tahoma"/>
          <w:b/>
          <w:bCs/>
          <w:i/>
          <w:iCs/>
          <w:color w:val="008080"/>
          <w:sz w:val="22"/>
          <w:szCs w:val="22"/>
          <w:u w:val="single"/>
        </w:rPr>
      </w:pPr>
      <w:r w:rsidRPr="00F745E8">
        <w:rPr>
          <w:rFonts w:ascii="Tahoma" w:hAnsi="Tahoma" w:cs="Tahoma"/>
          <w:b/>
          <w:bCs/>
          <w:color w:val="008080"/>
          <w:sz w:val="22"/>
          <w:szCs w:val="22"/>
        </w:rPr>
        <w:t>α)</w:t>
      </w:r>
      <w:r w:rsidRPr="00F745E8">
        <w:rPr>
          <w:rFonts w:ascii="Tahoma" w:hAnsi="Tahoma" w:cs="Tahoma"/>
          <w:b/>
          <w:bCs/>
          <w:color w:val="008080"/>
          <w:sz w:val="22"/>
          <w:szCs w:val="22"/>
        </w:rPr>
        <w:tab/>
        <w:t xml:space="preserve">Ε.Ε – Ευρωζώνη: </w:t>
      </w:r>
      <w:r w:rsidRPr="00056A32">
        <w:rPr>
          <w:rFonts w:ascii="Tahoma" w:hAnsi="Tahoma" w:cs="Tahoma"/>
          <w:b/>
          <w:bCs/>
          <w:i/>
          <w:color w:val="008080"/>
          <w:sz w:val="22"/>
          <w:szCs w:val="22"/>
        </w:rPr>
        <w:t xml:space="preserve">Ήπια </w:t>
      </w:r>
      <w:r>
        <w:rPr>
          <w:rFonts w:ascii="Tahoma" w:hAnsi="Tahoma" w:cs="Tahoma"/>
          <w:b/>
          <w:bCs/>
          <w:i/>
          <w:iCs/>
          <w:color w:val="008080"/>
          <w:sz w:val="22"/>
          <w:szCs w:val="22"/>
          <w:u w:val="single"/>
        </w:rPr>
        <w:t>ανάκαμψη</w:t>
      </w:r>
      <w:r w:rsidRPr="00F745E8">
        <w:rPr>
          <w:rFonts w:ascii="Tahoma" w:hAnsi="Tahoma" w:cs="Tahoma"/>
          <w:b/>
          <w:bCs/>
          <w:i/>
          <w:iCs/>
          <w:color w:val="008080"/>
          <w:sz w:val="22"/>
          <w:szCs w:val="22"/>
          <w:u w:val="single"/>
        </w:rPr>
        <w:t xml:space="preserve"> του οικονομικού κλίματος σε ΕΕ και Ευρωζώνη </w:t>
      </w:r>
    </w:p>
    <w:p w:rsidR="00085DA8" w:rsidRPr="00F745E8" w:rsidRDefault="00085DA8" w:rsidP="00354DAC">
      <w:pPr>
        <w:spacing w:before="240" w:line="288" w:lineRule="auto"/>
        <w:ind w:right="-142"/>
        <w:jc w:val="both"/>
        <w:rPr>
          <w:rFonts w:ascii="Tahoma" w:hAnsi="Tahoma" w:cs="Tahoma"/>
          <w:sz w:val="22"/>
          <w:szCs w:val="22"/>
        </w:rPr>
      </w:pPr>
      <w:r w:rsidRPr="00F745E8">
        <w:rPr>
          <w:rFonts w:ascii="Tahoma" w:hAnsi="Tahoma" w:cs="Tahoma"/>
          <w:b/>
          <w:sz w:val="22"/>
          <w:szCs w:val="22"/>
        </w:rPr>
        <w:t xml:space="preserve">Το οικονομικό κλίμα βελτιώνεται </w:t>
      </w:r>
      <w:r>
        <w:rPr>
          <w:rFonts w:ascii="Tahoma" w:hAnsi="Tahoma" w:cs="Tahoma"/>
          <w:b/>
          <w:sz w:val="22"/>
          <w:szCs w:val="22"/>
        </w:rPr>
        <w:t xml:space="preserve">τόσο </w:t>
      </w:r>
      <w:r w:rsidRPr="00F745E8">
        <w:rPr>
          <w:rFonts w:ascii="Tahoma" w:hAnsi="Tahoma" w:cs="Tahoma"/>
          <w:b/>
          <w:sz w:val="22"/>
          <w:szCs w:val="22"/>
        </w:rPr>
        <w:t xml:space="preserve">σε ΕΕ </w:t>
      </w:r>
      <w:r>
        <w:rPr>
          <w:rFonts w:ascii="Tahoma" w:hAnsi="Tahoma" w:cs="Tahoma"/>
          <w:b/>
          <w:sz w:val="22"/>
          <w:szCs w:val="22"/>
        </w:rPr>
        <w:t xml:space="preserve">όσο </w:t>
      </w:r>
      <w:r w:rsidRPr="00F745E8">
        <w:rPr>
          <w:rFonts w:ascii="Tahoma" w:hAnsi="Tahoma" w:cs="Tahoma"/>
          <w:b/>
          <w:sz w:val="22"/>
          <w:szCs w:val="22"/>
        </w:rPr>
        <w:t xml:space="preserve">και </w:t>
      </w:r>
      <w:r w:rsidRPr="00F745E8">
        <w:rPr>
          <w:rFonts w:ascii="Tahoma" w:hAnsi="Tahoma" w:cs="Tahoma"/>
          <w:b/>
          <w:bCs/>
          <w:sz w:val="22"/>
          <w:szCs w:val="22"/>
        </w:rPr>
        <w:t>Ευρωζώνη</w:t>
      </w:r>
      <w:r w:rsidRPr="00F745E8">
        <w:rPr>
          <w:rFonts w:ascii="Tahoma" w:hAnsi="Tahoma" w:cs="Tahoma"/>
          <w:bCs/>
          <w:sz w:val="22"/>
          <w:szCs w:val="22"/>
        </w:rPr>
        <w:t xml:space="preserve"> τον Νοέμβριο, με το σχετικό δείκτη να </w:t>
      </w:r>
      <w:r w:rsidRPr="00F745E8">
        <w:rPr>
          <w:rFonts w:ascii="Tahoma" w:hAnsi="Tahoma" w:cs="Tahoma"/>
          <w:sz w:val="22"/>
          <w:szCs w:val="22"/>
        </w:rPr>
        <w:t xml:space="preserve">κερδίζει 2,0 και 1,4 μονάδες αντίστοιχα, κινούμενος στις 88,1 και 85,7 μονάδες, </w:t>
      </w:r>
      <w:r>
        <w:rPr>
          <w:rFonts w:ascii="Tahoma" w:hAnsi="Tahoma" w:cs="Tahoma"/>
          <w:sz w:val="22"/>
          <w:szCs w:val="22"/>
        </w:rPr>
        <w:t xml:space="preserve">απέχοντας αρκετά </w:t>
      </w:r>
      <w:r w:rsidRPr="00F745E8">
        <w:rPr>
          <w:rFonts w:ascii="Tahoma" w:hAnsi="Tahoma" w:cs="Tahoma"/>
          <w:sz w:val="22"/>
          <w:szCs w:val="22"/>
        </w:rPr>
        <w:t>ακόμ</w:t>
      </w:r>
      <w:r>
        <w:rPr>
          <w:rFonts w:ascii="Tahoma" w:hAnsi="Tahoma" w:cs="Tahoma"/>
          <w:sz w:val="22"/>
          <w:szCs w:val="22"/>
        </w:rPr>
        <w:t xml:space="preserve">α </w:t>
      </w:r>
      <w:r w:rsidRPr="00F745E8">
        <w:rPr>
          <w:rFonts w:ascii="Tahoma" w:hAnsi="Tahoma" w:cs="Tahoma"/>
          <w:sz w:val="22"/>
          <w:szCs w:val="22"/>
        </w:rPr>
        <w:t xml:space="preserve">από </w:t>
      </w:r>
      <w:r>
        <w:rPr>
          <w:rFonts w:ascii="Tahoma" w:hAnsi="Tahoma" w:cs="Tahoma"/>
          <w:sz w:val="22"/>
          <w:szCs w:val="22"/>
        </w:rPr>
        <w:t xml:space="preserve">το </w:t>
      </w:r>
      <w:r w:rsidRPr="00F745E8">
        <w:rPr>
          <w:rFonts w:ascii="Tahoma" w:hAnsi="Tahoma" w:cs="Tahoma"/>
          <w:sz w:val="22"/>
          <w:szCs w:val="22"/>
        </w:rPr>
        <w:t xml:space="preserve">μακροχρόνιο μέσο όρο του. Η </w:t>
      </w:r>
      <w:r>
        <w:rPr>
          <w:rFonts w:ascii="Tahoma" w:hAnsi="Tahoma" w:cs="Tahoma"/>
          <w:sz w:val="22"/>
          <w:szCs w:val="22"/>
        </w:rPr>
        <w:t xml:space="preserve">βελτίωση </w:t>
      </w:r>
      <w:r w:rsidRPr="00F745E8">
        <w:rPr>
          <w:rFonts w:ascii="Tahoma" w:hAnsi="Tahoma" w:cs="Tahoma"/>
          <w:sz w:val="22"/>
          <w:szCs w:val="22"/>
        </w:rPr>
        <w:t xml:space="preserve">στο κλίμα </w:t>
      </w:r>
      <w:r>
        <w:rPr>
          <w:rFonts w:ascii="Tahoma" w:hAnsi="Tahoma" w:cs="Tahoma"/>
          <w:sz w:val="22"/>
          <w:szCs w:val="22"/>
        </w:rPr>
        <w:t xml:space="preserve">σημειώνεται </w:t>
      </w:r>
      <w:r w:rsidRPr="00F745E8">
        <w:rPr>
          <w:rFonts w:ascii="Tahoma" w:hAnsi="Tahoma" w:cs="Tahoma"/>
          <w:sz w:val="22"/>
          <w:szCs w:val="22"/>
        </w:rPr>
        <w:t>μετά από ένα οκτάμηνο συνεχούς επι</w:t>
      </w:r>
      <w:r>
        <w:rPr>
          <w:rFonts w:ascii="Tahoma" w:hAnsi="Tahoma" w:cs="Tahoma"/>
          <w:sz w:val="22"/>
          <w:szCs w:val="22"/>
        </w:rPr>
        <w:t>δείνωσης</w:t>
      </w:r>
      <w:r w:rsidRPr="00F745E8">
        <w:rPr>
          <w:rFonts w:ascii="Tahoma" w:hAnsi="Tahoma" w:cs="Tahoma"/>
          <w:sz w:val="22"/>
          <w:szCs w:val="22"/>
        </w:rPr>
        <w:t xml:space="preserve">, κυρίως στην Ευρωζώνη, </w:t>
      </w:r>
      <w:r w:rsidRPr="00F745E8">
        <w:rPr>
          <w:rFonts w:ascii="Tahoma" w:hAnsi="Tahoma" w:cs="Tahoma"/>
          <w:bCs/>
          <w:sz w:val="22"/>
          <w:szCs w:val="22"/>
        </w:rPr>
        <w:t>ενώ σε επίπεδο τομέων</w:t>
      </w:r>
      <w:r>
        <w:rPr>
          <w:rFonts w:ascii="Tahoma" w:hAnsi="Tahoma" w:cs="Tahoma"/>
          <w:bCs/>
          <w:sz w:val="22"/>
          <w:szCs w:val="22"/>
        </w:rPr>
        <w:t>, αυτή</w:t>
      </w:r>
      <w:r w:rsidRPr="00F745E8">
        <w:rPr>
          <w:rFonts w:ascii="Tahoma" w:hAnsi="Tahoma" w:cs="Tahoma"/>
          <w:bCs/>
          <w:sz w:val="22"/>
          <w:szCs w:val="22"/>
        </w:rPr>
        <w:t xml:space="preserve"> εκπορεύεται από όλους εκτός των Κατασκευών στην ΕΕ και από τη Βιομηχανία και το Λιανεμπόριο στην</w:t>
      </w:r>
      <w:r w:rsidRPr="00F745E8">
        <w:rPr>
          <w:rFonts w:ascii="Tahoma" w:hAnsi="Tahoma" w:cs="Tahoma"/>
          <w:b/>
          <w:bCs/>
          <w:sz w:val="22"/>
          <w:szCs w:val="22"/>
        </w:rPr>
        <w:t xml:space="preserve"> </w:t>
      </w:r>
      <w:r w:rsidRPr="00F745E8">
        <w:rPr>
          <w:rFonts w:ascii="Tahoma" w:hAnsi="Tahoma" w:cs="Tahoma"/>
          <w:sz w:val="22"/>
          <w:szCs w:val="22"/>
        </w:rPr>
        <w:t xml:space="preserve">Ευρωζώνη. Από την πλευρά της ζήτησης, η καταναλωτική εμπιστοσύνη επιδεινώνεται στην Ευρωζώνη, ενώ αντίθετα στην ΕΕ </w:t>
      </w:r>
      <w:r>
        <w:rPr>
          <w:rFonts w:ascii="Tahoma" w:hAnsi="Tahoma" w:cs="Tahoma"/>
          <w:sz w:val="22"/>
          <w:szCs w:val="22"/>
        </w:rPr>
        <w:t>ενισχύεται ελαφρά</w:t>
      </w:r>
      <w:r w:rsidRPr="00F745E8">
        <w:rPr>
          <w:rFonts w:ascii="Tahoma" w:hAnsi="Tahoma" w:cs="Tahoma"/>
          <w:sz w:val="22"/>
          <w:szCs w:val="22"/>
        </w:rPr>
        <w:t xml:space="preserve">. Αναλυτικότερα: </w:t>
      </w:r>
    </w:p>
    <w:p w:rsidR="00085DA8" w:rsidRPr="00F745E8" w:rsidRDefault="00085DA8" w:rsidP="00354DAC">
      <w:pPr>
        <w:spacing w:before="240" w:line="288" w:lineRule="auto"/>
        <w:ind w:right="-142"/>
        <w:jc w:val="both"/>
        <w:rPr>
          <w:rFonts w:ascii="Tahoma" w:hAnsi="Tahoma" w:cs="Tahoma"/>
          <w:sz w:val="22"/>
          <w:szCs w:val="22"/>
        </w:rPr>
      </w:pPr>
      <w:r w:rsidRPr="00F745E8">
        <w:rPr>
          <w:rFonts w:ascii="Tahoma" w:hAnsi="Tahoma" w:cs="Tahoma"/>
          <w:sz w:val="22"/>
          <w:szCs w:val="22"/>
        </w:rPr>
        <w:t xml:space="preserve">Στη </w:t>
      </w:r>
      <w:r w:rsidRPr="00F745E8">
        <w:rPr>
          <w:rFonts w:ascii="Tahoma" w:hAnsi="Tahoma" w:cs="Tahoma"/>
          <w:b/>
          <w:bCs/>
          <w:sz w:val="22"/>
          <w:szCs w:val="22"/>
        </w:rPr>
        <w:t>Βιομηχανία</w:t>
      </w:r>
      <w:r w:rsidRPr="00F745E8">
        <w:rPr>
          <w:rFonts w:ascii="Tahoma" w:hAnsi="Tahoma" w:cs="Tahoma"/>
          <w:sz w:val="22"/>
          <w:szCs w:val="22"/>
        </w:rPr>
        <w:t xml:space="preserve"> ο δείκτης κλίματος </w:t>
      </w:r>
      <w:r>
        <w:rPr>
          <w:rFonts w:ascii="Tahoma" w:hAnsi="Tahoma" w:cs="Tahoma"/>
          <w:sz w:val="22"/>
          <w:szCs w:val="22"/>
        </w:rPr>
        <w:t xml:space="preserve">ενισχύεται </w:t>
      </w:r>
      <w:r w:rsidRPr="00F745E8">
        <w:rPr>
          <w:rFonts w:ascii="Tahoma" w:hAnsi="Tahoma" w:cs="Tahoma"/>
          <w:sz w:val="22"/>
          <w:szCs w:val="22"/>
        </w:rPr>
        <w:t xml:space="preserve">για πρώτη από τον Φεβρουάριο (+1,2 μονάδες σε ΕΕ και </w:t>
      </w:r>
      <w:r>
        <w:rPr>
          <w:rFonts w:ascii="Tahoma" w:hAnsi="Tahoma" w:cs="Tahoma"/>
          <w:sz w:val="22"/>
          <w:szCs w:val="22"/>
        </w:rPr>
        <w:t>+</w:t>
      </w:r>
      <w:r w:rsidRPr="00F745E8">
        <w:rPr>
          <w:rFonts w:ascii="Tahoma" w:hAnsi="Tahoma" w:cs="Tahoma"/>
          <w:sz w:val="22"/>
          <w:szCs w:val="22"/>
        </w:rPr>
        <w:t xml:space="preserve">3,2 μονάδες στην Ευρωζώνη), ενώ στις </w:t>
      </w:r>
      <w:r w:rsidRPr="00F745E8">
        <w:rPr>
          <w:rFonts w:ascii="Tahoma" w:hAnsi="Tahoma" w:cs="Tahoma"/>
          <w:b/>
          <w:bCs/>
          <w:sz w:val="22"/>
          <w:szCs w:val="22"/>
        </w:rPr>
        <w:t>Υπηρεσίες</w:t>
      </w:r>
      <w:r w:rsidRPr="00F745E8">
        <w:rPr>
          <w:rFonts w:ascii="Tahoma" w:hAnsi="Tahoma" w:cs="Tahoma"/>
          <w:sz w:val="22"/>
          <w:szCs w:val="22"/>
        </w:rPr>
        <w:t xml:space="preserve">, συνεχίζεται η άνοδος που ξεκίνησε τον περασμένο μήνα στην ΕΕ (+2,9), </w:t>
      </w:r>
      <w:r>
        <w:rPr>
          <w:rFonts w:ascii="Tahoma" w:hAnsi="Tahoma" w:cs="Tahoma"/>
          <w:sz w:val="22"/>
          <w:szCs w:val="22"/>
        </w:rPr>
        <w:t>με το σχετικό δείκτη</w:t>
      </w:r>
      <w:r w:rsidRPr="00F745E8">
        <w:rPr>
          <w:rFonts w:ascii="Tahoma" w:hAnsi="Tahoma" w:cs="Tahoma"/>
          <w:sz w:val="22"/>
          <w:szCs w:val="22"/>
        </w:rPr>
        <w:t xml:space="preserve"> στην Ευρωζώνη </w:t>
      </w:r>
      <w:r>
        <w:rPr>
          <w:rFonts w:ascii="Tahoma" w:hAnsi="Tahoma" w:cs="Tahoma"/>
          <w:sz w:val="22"/>
          <w:szCs w:val="22"/>
        </w:rPr>
        <w:t xml:space="preserve">να </w:t>
      </w:r>
      <w:r w:rsidRPr="00F745E8">
        <w:rPr>
          <w:rFonts w:ascii="Tahoma" w:hAnsi="Tahoma" w:cs="Tahoma"/>
          <w:sz w:val="22"/>
          <w:szCs w:val="22"/>
        </w:rPr>
        <w:t xml:space="preserve">παραμένει επί της ουσίας αμετάβλητος (+0,2). Στο </w:t>
      </w:r>
      <w:r w:rsidRPr="00F745E8">
        <w:rPr>
          <w:rFonts w:ascii="Tahoma" w:hAnsi="Tahoma" w:cs="Tahoma"/>
          <w:b/>
          <w:bCs/>
          <w:sz w:val="22"/>
          <w:szCs w:val="22"/>
        </w:rPr>
        <w:t>Λιανικό Εμπόριο</w:t>
      </w:r>
      <w:r w:rsidRPr="00F745E8">
        <w:rPr>
          <w:rFonts w:ascii="Tahoma" w:hAnsi="Tahoma" w:cs="Tahoma"/>
          <w:sz w:val="22"/>
          <w:szCs w:val="22"/>
        </w:rPr>
        <w:t xml:space="preserve">, ο αντίστοιχος δείκτης βελτιώνεται σε αμφότερες ΕΕ και Ευρωζώνη (κατά +3,6 και +2,5 μονάδες αντίστοιχα), ενώ αντίθετα, στις </w:t>
      </w:r>
      <w:r w:rsidRPr="00F745E8">
        <w:rPr>
          <w:rFonts w:ascii="Tahoma" w:hAnsi="Tahoma" w:cs="Tahoma"/>
          <w:b/>
          <w:bCs/>
          <w:sz w:val="22"/>
          <w:szCs w:val="22"/>
        </w:rPr>
        <w:t>Κατασκευές</w:t>
      </w:r>
      <w:r w:rsidRPr="00F745E8">
        <w:rPr>
          <w:rFonts w:ascii="Tahoma" w:hAnsi="Tahoma" w:cs="Tahoma"/>
          <w:bCs/>
          <w:sz w:val="22"/>
          <w:szCs w:val="22"/>
        </w:rPr>
        <w:t xml:space="preserve"> σημειώνεται περαιτέρω πτώση στην </w:t>
      </w:r>
      <w:r>
        <w:rPr>
          <w:rFonts w:ascii="Tahoma" w:hAnsi="Tahoma" w:cs="Tahoma"/>
          <w:sz w:val="22"/>
          <w:szCs w:val="22"/>
        </w:rPr>
        <w:t xml:space="preserve">Ευρωζώνη (-2,5), και οριακά και </w:t>
      </w:r>
      <w:r w:rsidRPr="00F745E8">
        <w:rPr>
          <w:rFonts w:ascii="Tahoma" w:hAnsi="Tahoma" w:cs="Tahoma"/>
          <w:sz w:val="22"/>
          <w:szCs w:val="22"/>
        </w:rPr>
        <w:t xml:space="preserve">στην ΕΕ (-0,1). Τέλος, ο δείκτης </w:t>
      </w:r>
      <w:r w:rsidRPr="00F745E8">
        <w:rPr>
          <w:rFonts w:ascii="Tahoma" w:hAnsi="Tahoma" w:cs="Tahoma"/>
          <w:b/>
          <w:bCs/>
          <w:sz w:val="22"/>
          <w:szCs w:val="22"/>
        </w:rPr>
        <w:t xml:space="preserve">Καταναλωτικής Εμπιστοσύνης </w:t>
      </w:r>
      <w:r w:rsidRPr="00F745E8">
        <w:rPr>
          <w:rFonts w:ascii="Tahoma" w:hAnsi="Tahoma" w:cs="Tahoma"/>
          <w:bCs/>
          <w:sz w:val="22"/>
          <w:szCs w:val="22"/>
        </w:rPr>
        <w:t>ανακάμπτει οριακά στην</w:t>
      </w:r>
      <w:r w:rsidRPr="00F745E8">
        <w:rPr>
          <w:rFonts w:ascii="Tahoma" w:hAnsi="Tahoma" w:cs="Tahoma"/>
          <w:b/>
          <w:bCs/>
          <w:sz w:val="22"/>
          <w:szCs w:val="22"/>
        </w:rPr>
        <w:t xml:space="preserve"> </w:t>
      </w:r>
      <w:r w:rsidRPr="00F745E8">
        <w:rPr>
          <w:rFonts w:ascii="Tahoma" w:hAnsi="Tahoma" w:cs="Tahoma"/>
          <w:sz w:val="22"/>
          <w:szCs w:val="22"/>
        </w:rPr>
        <w:t xml:space="preserve">ΕΕ (+0,5), αλλά υποχωρεί στην Ευρωζώνη (-1,2), κυρίως λόγω δυσμενέστερων προβλέψεων των ευρωπαίων καταναλωτών για την </w:t>
      </w:r>
      <w:r w:rsidRPr="00F745E8">
        <w:rPr>
          <w:rFonts w:ascii="Tahoma" w:hAnsi="Tahoma" w:cs="Tahoma"/>
          <w:i/>
          <w:iCs/>
          <w:sz w:val="22"/>
          <w:szCs w:val="22"/>
        </w:rPr>
        <w:t>εξέλιξη της ανεργίας</w:t>
      </w:r>
      <w:r w:rsidRPr="00F745E8">
        <w:rPr>
          <w:rFonts w:ascii="Tahoma" w:hAnsi="Tahoma" w:cs="Tahoma"/>
          <w:iCs/>
          <w:sz w:val="22"/>
          <w:szCs w:val="22"/>
        </w:rPr>
        <w:t xml:space="preserve"> και την </w:t>
      </w:r>
      <w:r w:rsidRPr="00F745E8">
        <w:rPr>
          <w:rFonts w:ascii="Tahoma" w:hAnsi="Tahoma" w:cs="Tahoma"/>
          <w:i/>
          <w:iCs/>
          <w:sz w:val="22"/>
          <w:szCs w:val="22"/>
        </w:rPr>
        <w:t>προσδοκώμενη αποταμίευσή τους</w:t>
      </w:r>
      <w:r w:rsidRPr="00F745E8">
        <w:rPr>
          <w:rFonts w:ascii="Tahoma" w:hAnsi="Tahoma" w:cs="Tahoma"/>
          <w:sz w:val="22"/>
          <w:szCs w:val="22"/>
        </w:rPr>
        <w:t xml:space="preserve">. Αναλυτικότερα: </w:t>
      </w:r>
    </w:p>
    <w:p w:rsidR="00085DA8" w:rsidRPr="00F745E8" w:rsidRDefault="00085DA8" w:rsidP="00354DAC">
      <w:pPr>
        <w:pStyle w:val="ListParagraph"/>
        <w:numPr>
          <w:ilvl w:val="0"/>
          <w:numId w:val="1"/>
        </w:numPr>
        <w:tabs>
          <w:tab w:val="clear" w:pos="720"/>
          <w:tab w:val="num" w:pos="375"/>
        </w:tabs>
        <w:spacing w:before="240" w:line="288" w:lineRule="auto"/>
        <w:ind w:left="375" w:right="-142"/>
        <w:contextualSpacing w:val="0"/>
        <w:jc w:val="both"/>
        <w:rPr>
          <w:rFonts w:ascii="Tahoma" w:hAnsi="Tahoma" w:cs="Tahoma"/>
          <w:sz w:val="22"/>
          <w:szCs w:val="22"/>
        </w:rPr>
      </w:pPr>
      <w:r w:rsidRPr="00F745E8">
        <w:rPr>
          <w:rFonts w:ascii="Tahoma" w:hAnsi="Tahoma" w:cs="Tahoma"/>
          <w:sz w:val="22"/>
          <w:szCs w:val="22"/>
        </w:rPr>
        <w:t xml:space="preserve">Στη </w:t>
      </w:r>
      <w:r w:rsidRPr="00F745E8">
        <w:rPr>
          <w:rFonts w:ascii="Tahoma" w:hAnsi="Tahoma" w:cs="Tahoma"/>
          <w:b/>
          <w:bCs/>
          <w:sz w:val="22"/>
          <w:szCs w:val="22"/>
        </w:rPr>
        <w:t>Βιομηχανία</w:t>
      </w:r>
      <w:r w:rsidRPr="00F745E8">
        <w:rPr>
          <w:rFonts w:ascii="Tahoma" w:hAnsi="Tahoma" w:cs="Tahoma"/>
          <w:sz w:val="22"/>
          <w:szCs w:val="22"/>
        </w:rPr>
        <w:t>,</w:t>
      </w:r>
      <w:r w:rsidRPr="00F745E8">
        <w:rPr>
          <w:rFonts w:ascii="Tahoma" w:hAnsi="Tahoma" w:cs="Tahoma"/>
          <w:b/>
          <w:bCs/>
          <w:sz w:val="22"/>
          <w:szCs w:val="22"/>
        </w:rPr>
        <w:t xml:space="preserve"> </w:t>
      </w:r>
      <w:r w:rsidRPr="00F745E8">
        <w:rPr>
          <w:rFonts w:ascii="Tahoma" w:hAnsi="Tahoma" w:cs="Tahoma"/>
          <w:sz w:val="22"/>
          <w:szCs w:val="22"/>
        </w:rPr>
        <w:t xml:space="preserve">οι δείκτες επιχειρηματικών προσδοκιών </w:t>
      </w:r>
      <w:r>
        <w:rPr>
          <w:rFonts w:ascii="Tahoma" w:hAnsi="Tahoma" w:cs="Tahoma"/>
          <w:sz w:val="22"/>
          <w:szCs w:val="22"/>
        </w:rPr>
        <w:t>περιορίζονται</w:t>
      </w:r>
      <w:r w:rsidRPr="00F745E8">
        <w:rPr>
          <w:rFonts w:ascii="Tahoma" w:hAnsi="Tahoma" w:cs="Tahoma"/>
          <w:sz w:val="22"/>
          <w:szCs w:val="22"/>
        </w:rPr>
        <w:t xml:space="preserve"> στις -14,2 και -15,1 αντίστοιχα μονάδες σε ΕΕ και Ευρωζώνη. Οι </w:t>
      </w:r>
      <w:r w:rsidRPr="00F745E8">
        <w:rPr>
          <w:rFonts w:ascii="Tahoma" w:hAnsi="Tahoma" w:cs="Tahoma"/>
          <w:i/>
          <w:iCs/>
          <w:sz w:val="22"/>
          <w:szCs w:val="22"/>
        </w:rPr>
        <w:t>προβλέψεις για την εξέλιξη της παραγωγής</w:t>
      </w:r>
      <w:r w:rsidRPr="00F745E8">
        <w:rPr>
          <w:rFonts w:ascii="Tahoma" w:hAnsi="Tahoma" w:cs="Tahoma"/>
          <w:sz w:val="22"/>
          <w:szCs w:val="22"/>
        </w:rPr>
        <w:t xml:space="preserve"> χάνουν από 3 περίπου μονάδες στην ΕΕ και την Ευρωζώνη αντίστοιχα, ενώ ανάλογη </w:t>
      </w:r>
      <w:r>
        <w:rPr>
          <w:rFonts w:ascii="Tahoma" w:hAnsi="Tahoma" w:cs="Tahoma"/>
          <w:sz w:val="22"/>
          <w:szCs w:val="22"/>
        </w:rPr>
        <w:t xml:space="preserve">επιδείνωση </w:t>
      </w:r>
      <w:r w:rsidRPr="00F745E8">
        <w:rPr>
          <w:rFonts w:ascii="Tahoma" w:hAnsi="Tahoma" w:cs="Tahoma"/>
          <w:sz w:val="22"/>
          <w:szCs w:val="22"/>
        </w:rPr>
        <w:t xml:space="preserve">στις δύο ζώνες καταγράφεται και στις </w:t>
      </w:r>
      <w:r w:rsidRPr="00F745E8">
        <w:rPr>
          <w:rFonts w:ascii="Tahoma" w:hAnsi="Tahoma" w:cs="Tahoma"/>
          <w:i/>
          <w:iCs/>
          <w:sz w:val="22"/>
          <w:szCs w:val="22"/>
        </w:rPr>
        <w:t>εκτιμήσεις για τα επίπεδα παραγγελιών</w:t>
      </w:r>
      <w:r w:rsidRPr="00F745E8">
        <w:rPr>
          <w:rFonts w:ascii="Tahoma" w:hAnsi="Tahoma" w:cs="Tahoma"/>
          <w:sz w:val="22"/>
          <w:szCs w:val="22"/>
        </w:rPr>
        <w:t xml:space="preserve">. Τέλος, στις </w:t>
      </w:r>
      <w:r w:rsidRPr="00F745E8">
        <w:rPr>
          <w:rFonts w:ascii="Tahoma" w:hAnsi="Tahoma" w:cs="Tahoma"/>
          <w:i/>
          <w:iCs/>
          <w:sz w:val="22"/>
          <w:szCs w:val="22"/>
        </w:rPr>
        <w:t>εκτιμήσεις για τα αποθέματα</w:t>
      </w:r>
      <w:r w:rsidRPr="00F745E8">
        <w:rPr>
          <w:rFonts w:ascii="Tahoma" w:hAnsi="Tahoma" w:cs="Tahoma"/>
          <w:sz w:val="22"/>
          <w:szCs w:val="22"/>
        </w:rPr>
        <w:t xml:space="preserve"> σημειώνεται αποκλιμάκωση </w:t>
      </w:r>
      <w:r>
        <w:rPr>
          <w:rFonts w:ascii="Tahoma" w:hAnsi="Tahoma" w:cs="Tahoma"/>
          <w:sz w:val="22"/>
          <w:szCs w:val="22"/>
        </w:rPr>
        <w:t xml:space="preserve">στους σχετικούς δείκτες, </w:t>
      </w:r>
      <w:r w:rsidRPr="00F745E8">
        <w:rPr>
          <w:rFonts w:ascii="Tahoma" w:hAnsi="Tahoma" w:cs="Tahoma"/>
          <w:sz w:val="22"/>
          <w:szCs w:val="22"/>
        </w:rPr>
        <w:t>οριακή</w:t>
      </w:r>
      <w:r>
        <w:rPr>
          <w:rFonts w:ascii="Tahoma" w:hAnsi="Tahoma" w:cs="Tahoma"/>
          <w:sz w:val="22"/>
          <w:szCs w:val="22"/>
        </w:rPr>
        <w:t xml:space="preserve"> </w:t>
      </w:r>
      <w:r w:rsidRPr="00F745E8">
        <w:rPr>
          <w:rFonts w:ascii="Tahoma" w:hAnsi="Tahoma" w:cs="Tahoma"/>
          <w:sz w:val="22"/>
          <w:szCs w:val="22"/>
        </w:rPr>
        <w:t>στην ΕΕ και ελαφρώς μεγαλύτερη στην Ευρωζώνη.</w:t>
      </w:r>
    </w:p>
    <w:p w:rsidR="00085DA8" w:rsidRPr="00F745E8" w:rsidRDefault="00085DA8" w:rsidP="00354DAC">
      <w:pPr>
        <w:numPr>
          <w:ilvl w:val="0"/>
          <w:numId w:val="1"/>
        </w:numPr>
        <w:tabs>
          <w:tab w:val="clear" w:pos="720"/>
          <w:tab w:val="num" w:pos="375"/>
        </w:tabs>
        <w:spacing w:before="240" w:line="288" w:lineRule="auto"/>
        <w:ind w:left="357" w:right="-142" w:hanging="357"/>
        <w:jc w:val="both"/>
        <w:rPr>
          <w:rFonts w:ascii="Tahoma" w:hAnsi="Tahoma" w:cs="Tahoma"/>
          <w:sz w:val="22"/>
          <w:szCs w:val="22"/>
        </w:rPr>
      </w:pPr>
      <w:r w:rsidRPr="00F745E8">
        <w:rPr>
          <w:rFonts w:ascii="Tahoma" w:hAnsi="Tahoma" w:cs="Tahoma"/>
          <w:sz w:val="22"/>
          <w:szCs w:val="22"/>
        </w:rPr>
        <w:t xml:space="preserve">Στις </w:t>
      </w:r>
      <w:r w:rsidRPr="00F745E8">
        <w:rPr>
          <w:rFonts w:ascii="Tahoma" w:hAnsi="Tahoma" w:cs="Tahoma"/>
          <w:b/>
          <w:bCs/>
          <w:sz w:val="22"/>
          <w:szCs w:val="22"/>
        </w:rPr>
        <w:t>Υπηρεσίες</w:t>
      </w:r>
      <w:r w:rsidRPr="00F745E8">
        <w:rPr>
          <w:rFonts w:ascii="Tahoma" w:hAnsi="Tahoma" w:cs="Tahoma"/>
          <w:sz w:val="22"/>
          <w:szCs w:val="22"/>
        </w:rPr>
        <w:t xml:space="preserve">, οι δείκτες </w:t>
      </w:r>
      <w:r>
        <w:rPr>
          <w:rFonts w:ascii="Tahoma" w:hAnsi="Tahoma" w:cs="Tahoma"/>
          <w:sz w:val="22"/>
          <w:szCs w:val="22"/>
        </w:rPr>
        <w:t xml:space="preserve">προσδοκιών </w:t>
      </w:r>
      <w:r w:rsidRPr="00F745E8">
        <w:rPr>
          <w:rFonts w:ascii="Tahoma" w:hAnsi="Tahoma" w:cs="Tahoma"/>
          <w:sz w:val="22"/>
          <w:szCs w:val="22"/>
        </w:rPr>
        <w:t xml:space="preserve">διαμορφώνονται στις -8,9 μονάδες στην ΕΕ και στις -11,9 μονάδες στην Ευρωζώνη. Οι αρνητικές </w:t>
      </w:r>
      <w:r w:rsidRPr="00F745E8">
        <w:rPr>
          <w:rFonts w:ascii="Tahoma" w:hAnsi="Tahoma" w:cs="Tahoma"/>
          <w:i/>
          <w:iCs/>
          <w:sz w:val="22"/>
          <w:szCs w:val="22"/>
        </w:rPr>
        <w:t>εκτιμήσεις των επιχειρήσεων για την τρέχουσα δραστηριότητά τους</w:t>
      </w:r>
      <w:r w:rsidRPr="00F745E8">
        <w:rPr>
          <w:rFonts w:ascii="Tahoma" w:hAnsi="Tahoma" w:cs="Tahoma"/>
          <w:sz w:val="22"/>
          <w:szCs w:val="22"/>
        </w:rPr>
        <w:t xml:space="preserve">  εξομαλύνονται</w:t>
      </w:r>
      <w:r>
        <w:rPr>
          <w:rFonts w:ascii="Tahoma" w:hAnsi="Tahoma" w:cs="Tahoma"/>
          <w:sz w:val="22"/>
          <w:szCs w:val="22"/>
        </w:rPr>
        <w:t>,</w:t>
      </w:r>
      <w:r w:rsidRPr="00F745E8">
        <w:rPr>
          <w:rFonts w:ascii="Tahoma" w:hAnsi="Tahoma" w:cs="Tahoma"/>
          <w:sz w:val="22"/>
          <w:szCs w:val="22"/>
        </w:rPr>
        <w:t xml:space="preserve"> οριακά στην Ευρωζώνη και κατά 4 μονάδες στην ΕΕ, ενώ ανάλογη είναι η εξέλιξη </w:t>
      </w:r>
      <w:r>
        <w:rPr>
          <w:rFonts w:ascii="Tahoma" w:hAnsi="Tahoma" w:cs="Tahoma"/>
          <w:sz w:val="22"/>
          <w:szCs w:val="22"/>
        </w:rPr>
        <w:t>στις δύο ζώνες ως προς</w:t>
      </w:r>
      <w:r w:rsidRPr="00F745E8">
        <w:rPr>
          <w:rFonts w:ascii="Tahoma" w:hAnsi="Tahoma" w:cs="Tahoma"/>
          <w:sz w:val="22"/>
          <w:szCs w:val="22"/>
        </w:rPr>
        <w:t xml:space="preserve"> τις </w:t>
      </w:r>
      <w:r w:rsidRPr="00F745E8">
        <w:rPr>
          <w:rFonts w:ascii="Tahoma" w:hAnsi="Tahoma" w:cs="Tahoma"/>
          <w:i/>
          <w:iCs/>
          <w:sz w:val="22"/>
          <w:szCs w:val="22"/>
        </w:rPr>
        <w:t>εκτιμήσεις</w:t>
      </w:r>
      <w:r w:rsidRPr="00F745E8">
        <w:rPr>
          <w:rFonts w:ascii="Tahoma" w:hAnsi="Tahoma" w:cs="Tahoma"/>
          <w:sz w:val="22"/>
          <w:szCs w:val="22"/>
        </w:rPr>
        <w:t xml:space="preserve"> </w:t>
      </w:r>
      <w:r w:rsidRPr="00F745E8">
        <w:rPr>
          <w:rFonts w:ascii="Tahoma" w:hAnsi="Tahoma" w:cs="Tahoma"/>
          <w:i/>
          <w:iCs/>
          <w:sz w:val="22"/>
          <w:szCs w:val="22"/>
        </w:rPr>
        <w:t>για την τρέχουσα</w:t>
      </w:r>
      <w:r w:rsidRPr="00F745E8">
        <w:rPr>
          <w:rFonts w:ascii="Tahoma" w:hAnsi="Tahoma" w:cs="Tahoma"/>
          <w:sz w:val="22"/>
          <w:szCs w:val="22"/>
        </w:rPr>
        <w:t xml:space="preserve"> </w:t>
      </w:r>
      <w:r w:rsidRPr="00F745E8">
        <w:rPr>
          <w:rFonts w:ascii="Tahoma" w:hAnsi="Tahoma" w:cs="Tahoma"/>
          <w:i/>
          <w:iCs/>
          <w:sz w:val="22"/>
          <w:szCs w:val="22"/>
        </w:rPr>
        <w:t>ζήτηση</w:t>
      </w:r>
      <w:r w:rsidRPr="00F745E8">
        <w:rPr>
          <w:rFonts w:ascii="Tahoma" w:hAnsi="Tahoma" w:cs="Tahoma"/>
          <w:sz w:val="22"/>
          <w:szCs w:val="22"/>
        </w:rPr>
        <w:t xml:space="preserve">. Τέλος, οι αρνητικές </w:t>
      </w:r>
      <w:r w:rsidRPr="00F745E8">
        <w:rPr>
          <w:rFonts w:ascii="Tahoma" w:hAnsi="Tahoma" w:cs="Tahoma"/>
          <w:i/>
          <w:iCs/>
          <w:sz w:val="22"/>
          <w:szCs w:val="22"/>
        </w:rPr>
        <w:t>προβλέψεις των επιχειρήσεων για τη</w:t>
      </w:r>
      <w:r w:rsidRPr="00F745E8">
        <w:rPr>
          <w:rFonts w:ascii="Tahoma" w:hAnsi="Tahoma" w:cs="Tahoma"/>
          <w:sz w:val="22"/>
          <w:szCs w:val="22"/>
        </w:rPr>
        <w:t xml:space="preserve"> </w:t>
      </w:r>
      <w:r w:rsidRPr="00F745E8">
        <w:rPr>
          <w:rFonts w:ascii="Tahoma" w:hAnsi="Tahoma" w:cs="Tahoma"/>
          <w:i/>
          <w:iCs/>
          <w:sz w:val="22"/>
          <w:szCs w:val="22"/>
        </w:rPr>
        <w:t>βραχυπρόθεσμη</w:t>
      </w:r>
      <w:r w:rsidRPr="00F745E8">
        <w:rPr>
          <w:rFonts w:ascii="Tahoma" w:hAnsi="Tahoma" w:cs="Tahoma"/>
          <w:sz w:val="22"/>
          <w:szCs w:val="22"/>
        </w:rPr>
        <w:t xml:space="preserve"> </w:t>
      </w:r>
      <w:r w:rsidRPr="00F745E8">
        <w:rPr>
          <w:rFonts w:ascii="Tahoma" w:hAnsi="Tahoma" w:cs="Tahoma"/>
          <w:i/>
          <w:iCs/>
          <w:sz w:val="22"/>
          <w:szCs w:val="22"/>
        </w:rPr>
        <w:t>εξέλιξη της ζήτησης</w:t>
      </w:r>
      <w:r w:rsidRPr="00F745E8">
        <w:rPr>
          <w:rFonts w:ascii="Tahoma" w:hAnsi="Tahoma" w:cs="Tahoma"/>
          <w:sz w:val="22"/>
          <w:szCs w:val="22"/>
        </w:rPr>
        <w:t xml:space="preserve"> βελτιώνονται ελαφρά στην ΕΕ, αλλά επιδεινώνονται στην Ευρωζώνη.</w:t>
      </w:r>
    </w:p>
    <w:p w:rsidR="00085DA8" w:rsidRPr="00F745E8" w:rsidRDefault="00085DA8" w:rsidP="00354DAC">
      <w:pPr>
        <w:numPr>
          <w:ilvl w:val="0"/>
          <w:numId w:val="1"/>
        </w:numPr>
        <w:tabs>
          <w:tab w:val="clear" w:pos="720"/>
          <w:tab w:val="num" w:pos="0"/>
        </w:tabs>
        <w:spacing w:before="240" w:line="288" w:lineRule="auto"/>
        <w:ind w:left="357" w:right="-142" w:hanging="357"/>
        <w:jc w:val="both"/>
        <w:rPr>
          <w:rFonts w:ascii="Tahoma" w:hAnsi="Tahoma" w:cs="Tahoma"/>
          <w:sz w:val="22"/>
          <w:szCs w:val="22"/>
        </w:rPr>
      </w:pPr>
      <w:r w:rsidRPr="00F745E8">
        <w:rPr>
          <w:rFonts w:ascii="Tahoma" w:hAnsi="Tahoma" w:cs="Tahoma"/>
          <w:sz w:val="22"/>
          <w:szCs w:val="22"/>
        </w:rPr>
        <w:t xml:space="preserve">Στο </w:t>
      </w:r>
      <w:r w:rsidRPr="00F745E8">
        <w:rPr>
          <w:rFonts w:ascii="Tahoma" w:hAnsi="Tahoma" w:cs="Tahoma"/>
          <w:b/>
          <w:bCs/>
          <w:sz w:val="22"/>
          <w:szCs w:val="22"/>
        </w:rPr>
        <w:t>Λιανικό Εμπόριο</w:t>
      </w:r>
      <w:r w:rsidRPr="00F745E8">
        <w:rPr>
          <w:rFonts w:ascii="Tahoma" w:hAnsi="Tahoma" w:cs="Tahoma"/>
          <w:sz w:val="22"/>
          <w:szCs w:val="22"/>
        </w:rPr>
        <w:t xml:space="preserve">, οι σχετικοί δείκτες αυξάνονται στις -9,2 και -14,9 μονάδες αντίστοιχα σε ΕΕ και Ευρωζώνη. Οι αρνητικές </w:t>
      </w:r>
      <w:r w:rsidRPr="00F745E8">
        <w:rPr>
          <w:rFonts w:ascii="Tahoma" w:hAnsi="Tahoma" w:cs="Tahoma"/>
          <w:i/>
          <w:iCs/>
          <w:sz w:val="22"/>
          <w:szCs w:val="22"/>
        </w:rPr>
        <w:t>εκτιμήσεις για την τρέχουσα επιχειρηματική δραστηριότητα</w:t>
      </w:r>
      <w:r w:rsidRPr="00F745E8">
        <w:rPr>
          <w:rFonts w:ascii="Tahoma" w:hAnsi="Tahoma" w:cs="Tahoma"/>
          <w:sz w:val="22"/>
          <w:szCs w:val="22"/>
        </w:rPr>
        <w:t xml:space="preserve"> αμβλύνονται κατά 5 και 2 μονάδες αντίστοιχα στην ΕΕ και την Ευρωζώνη, ενώ οι </w:t>
      </w:r>
      <w:r w:rsidRPr="00F745E8">
        <w:rPr>
          <w:rFonts w:ascii="Tahoma" w:hAnsi="Tahoma" w:cs="Tahoma"/>
          <w:i/>
          <w:iCs/>
          <w:sz w:val="22"/>
          <w:szCs w:val="22"/>
        </w:rPr>
        <w:t>εκτιμήσεις για τα αποθέματα</w:t>
      </w:r>
      <w:r w:rsidRPr="00F745E8">
        <w:rPr>
          <w:rFonts w:ascii="Tahoma" w:hAnsi="Tahoma" w:cs="Tahoma"/>
          <w:iCs/>
          <w:sz w:val="22"/>
          <w:szCs w:val="22"/>
        </w:rPr>
        <w:t xml:space="preserve"> αποκλιμακώνονται οριακά στην </w:t>
      </w:r>
      <w:r w:rsidRPr="00F745E8">
        <w:rPr>
          <w:rFonts w:ascii="Tahoma" w:hAnsi="Tahoma" w:cs="Tahoma"/>
          <w:sz w:val="22"/>
          <w:szCs w:val="22"/>
        </w:rPr>
        <w:t>Ευρωζώνη και</w:t>
      </w:r>
      <w:r>
        <w:rPr>
          <w:rFonts w:ascii="Tahoma" w:hAnsi="Tahoma" w:cs="Tahoma"/>
          <w:sz w:val="22"/>
          <w:szCs w:val="22"/>
        </w:rPr>
        <w:t>,</w:t>
      </w:r>
      <w:r w:rsidRPr="00F745E8">
        <w:rPr>
          <w:rFonts w:ascii="Tahoma" w:hAnsi="Tahoma" w:cs="Tahoma"/>
          <w:sz w:val="22"/>
          <w:szCs w:val="22"/>
        </w:rPr>
        <w:t xml:space="preserve"> αντίθετα</w:t>
      </w:r>
      <w:r>
        <w:rPr>
          <w:rFonts w:ascii="Tahoma" w:hAnsi="Tahoma" w:cs="Tahoma"/>
          <w:sz w:val="22"/>
          <w:szCs w:val="22"/>
        </w:rPr>
        <w:t>,</w:t>
      </w:r>
      <w:r w:rsidRPr="00F745E8">
        <w:rPr>
          <w:rFonts w:ascii="Tahoma" w:hAnsi="Tahoma" w:cs="Tahoma"/>
          <w:sz w:val="22"/>
          <w:szCs w:val="22"/>
        </w:rPr>
        <w:t xml:space="preserve"> </w:t>
      </w:r>
      <w:r w:rsidRPr="00F745E8">
        <w:rPr>
          <w:rFonts w:ascii="Tahoma" w:hAnsi="Tahoma" w:cs="Tahoma"/>
          <w:sz w:val="22"/>
          <w:szCs w:val="22"/>
        </w:rPr>
        <w:lastRenderedPageBreak/>
        <w:t xml:space="preserve">διογκώνονται ελαφρά στην ΕΕ. Τέλος, σημαντική βελτίωση καταγράφει ο αρνητικός δείκτης των </w:t>
      </w:r>
      <w:r w:rsidRPr="00F745E8">
        <w:rPr>
          <w:rFonts w:ascii="Tahoma" w:hAnsi="Tahoma" w:cs="Tahoma"/>
          <w:i/>
          <w:iCs/>
          <w:sz w:val="22"/>
          <w:szCs w:val="22"/>
        </w:rPr>
        <w:t>προβλέψεων για τις πωλήσεις τους επόμενους μήνες</w:t>
      </w:r>
      <w:r>
        <w:rPr>
          <w:rFonts w:ascii="Tahoma" w:hAnsi="Tahoma" w:cs="Tahoma"/>
          <w:i/>
          <w:iCs/>
          <w:sz w:val="22"/>
          <w:szCs w:val="22"/>
        </w:rPr>
        <w:t>,</w:t>
      </w:r>
      <w:r w:rsidRPr="00F745E8">
        <w:rPr>
          <w:rFonts w:ascii="Tahoma" w:hAnsi="Tahoma" w:cs="Tahoma"/>
          <w:sz w:val="22"/>
          <w:szCs w:val="22"/>
        </w:rPr>
        <w:t xml:space="preserve"> σε αμφότερες ΕΕ και Ευρωζώνη. </w:t>
      </w:r>
    </w:p>
    <w:p w:rsidR="00085DA8" w:rsidRPr="00F745E8" w:rsidRDefault="00085DA8" w:rsidP="00354DAC">
      <w:pPr>
        <w:spacing w:line="288" w:lineRule="auto"/>
        <w:ind w:left="-284" w:right="-428"/>
        <w:jc w:val="center"/>
        <w:rPr>
          <w:rFonts w:ascii="Tahoma" w:hAnsi="Tahoma" w:cs="Tahoma"/>
          <w:b/>
          <w:bCs/>
          <w:color w:val="000080"/>
          <w:sz w:val="22"/>
          <w:szCs w:val="22"/>
        </w:rPr>
      </w:pPr>
    </w:p>
    <w:p w:rsidR="00085DA8" w:rsidRPr="00F745E8" w:rsidRDefault="00085DA8" w:rsidP="00354DAC">
      <w:pPr>
        <w:spacing w:line="288" w:lineRule="auto"/>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Πίνακας 1: </w:t>
      </w:r>
      <w:r w:rsidRPr="00F745E8">
        <w:rPr>
          <w:rFonts w:ascii="Tahoma" w:hAnsi="Tahoma" w:cs="Tahoma"/>
          <w:color w:val="000080"/>
          <w:sz w:val="22"/>
          <w:szCs w:val="22"/>
        </w:rPr>
        <w:t>Δείκτες Οικονομικού Κλίματος (1990-2011=100, εποχικά εξομαλυμένα στοιχεία)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97"/>
        <w:gridCol w:w="767"/>
        <w:gridCol w:w="331"/>
        <w:gridCol w:w="389"/>
        <w:gridCol w:w="693"/>
        <w:gridCol w:w="795"/>
        <w:gridCol w:w="523"/>
        <w:gridCol w:w="239"/>
        <w:gridCol w:w="703"/>
        <w:gridCol w:w="17"/>
        <w:gridCol w:w="720"/>
        <w:gridCol w:w="343"/>
        <w:gridCol w:w="377"/>
        <w:gridCol w:w="703"/>
        <w:gridCol w:w="17"/>
        <w:gridCol w:w="720"/>
        <w:gridCol w:w="538"/>
        <w:gridCol w:w="126"/>
        <w:gridCol w:w="741"/>
      </w:tblGrid>
      <w:tr w:rsidR="00085DA8" w:rsidRPr="00F745E8" w:rsidTr="004C49D6">
        <w:trPr>
          <w:trHeight w:val="284"/>
          <w:jc w:val="center"/>
        </w:trPr>
        <w:tc>
          <w:tcPr>
            <w:tcW w:w="1197" w:type="dxa"/>
            <w:shd w:val="clear" w:color="auto" w:fill="800000"/>
            <w:vAlign w:val="center"/>
          </w:tcPr>
          <w:p w:rsidR="00085DA8" w:rsidRPr="00F745E8" w:rsidRDefault="00085DA8" w:rsidP="004C49D6">
            <w:pPr>
              <w:jc w:val="center"/>
              <w:rPr>
                <w:rFonts w:ascii="Tahoma" w:hAnsi="Tahoma" w:cs="Tahoma"/>
                <w:color w:val="FFFFFF"/>
                <w:sz w:val="18"/>
                <w:szCs w:val="18"/>
              </w:rPr>
            </w:pPr>
          </w:p>
        </w:tc>
        <w:tc>
          <w:tcPr>
            <w:tcW w:w="2180" w:type="dxa"/>
            <w:gridSpan w:val="4"/>
            <w:shd w:val="clear" w:color="auto" w:fill="800000"/>
            <w:vAlign w:val="center"/>
          </w:tcPr>
          <w:p w:rsidR="00085DA8" w:rsidRPr="00F745E8" w:rsidRDefault="00085DA8" w:rsidP="004C49D6">
            <w:pPr>
              <w:jc w:val="center"/>
              <w:rPr>
                <w:rFonts w:ascii="Tahoma" w:hAnsi="Tahoma" w:cs="Tahoma"/>
                <w:b/>
                <w:bCs/>
                <w:color w:val="FFFFFF"/>
                <w:sz w:val="18"/>
                <w:szCs w:val="18"/>
              </w:rPr>
            </w:pPr>
          </w:p>
        </w:tc>
        <w:tc>
          <w:tcPr>
            <w:tcW w:w="6562" w:type="dxa"/>
            <w:gridSpan w:val="14"/>
            <w:shd w:val="clear" w:color="auto" w:fill="800000"/>
            <w:vAlign w:val="center"/>
          </w:tcPr>
          <w:p w:rsidR="00085DA8" w:rsidRPr="00F745E8" w:rsidRDefault="00085DA8" w:rsidP="004C49D6">
            <w:pPr>
              <w:jc w:val="center"/>
              <w:rPr>
                <w:rFonts w:ascii="Tahoma" w:hAnsi="Tahoma" w:cs="Tahoma"/>
                <w:b/>
                <w:bCs/>
                <w:color w:val="FFFFFF"/>
                <w:sz w:val="18"/>
                <w:szCs w:val="18"/>
              </w:rPr>
            </w:pPr>
            <w:r w:rsidRPr="00F745E8">
              <w:rPr>
                <w:rFonts w:ascii="Tahoma" w:hAnsi="Tahoma" w:cs="Tahoma"/>
                <w:b/>
                <w:bCs/>
                <w:color w:val="FFFFFF"/>
                <w:sz w:val="18"/>
                <w:szCs w:val="18"/>
              </w:rPr>
              <w:t>Μέσος όρος</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jc w:val="center"/>
              <w:rPr>
                <w:rFonts w:ascii="Tahoma" w:hAnsi="Tahoma" w:cs="Tahoma"/>
                <w:b/>
                <w:bCs/>
                <w:i/>
                <w:iCs/>
                <w:sz w:val="18"/>
                <w:szCs w:val="18"/>
              </w:rPr>
            </w:pPr>
          </w:p>
        </w:tc>
        <w:tc>
          <w:tcPr>
            <w:tcW w:w="1098"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Min</w:t>
            </w:r>
          </w:p>
        </w:tc>
        <w:tc>
          <w:tcPr>
            <w:tcW w:w="1082"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Max</w:t>
            </w:r>
          </w:p>
        </w:tc>
        <w:tc>
          <w:tcPr>
            <w:tcW w:w="1318"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2001-2011</w:t>
            </w:r>
          </w:p>
        </w:tc>
        <w:tc>
          <w:tcPr>
            <w:tcW w:w="942"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2007</w:t>
            </w:r>
          </w:p>
        </w:tc>
        <w:tc>
          <w:tcPr>
            <w:tcW w:w="1080" w:type="dxa"/>
            <w:gridSpan w:val="3"/>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2008</w:t>
            </w:r>
          </w:p>
        </w:tc>
        <w:tc>
          <w:tcPr>
            <w:tcW w:w="108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2009</w:t>
            </w:r>
          </w:p>
        </w:tc>
        <w:tc>
          <w:tcPr>
            <w:tcW w:w="1275" w:type="dxa"/>
            <w:gridSpan w:val="3"/>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2010</w:t>
            </w:r>
          </w:p>
        </w:tc>
        <w:tc>
          <w:tcPr>
            <w:tcW w:w="867"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2011</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1098" w:type="dxa"/>
            <w:gridSpan w:val="2"/>
            <w:shd w:val="clear" w:color="auto" w:fill="FFFF99"/>
            <w:vAlign w:val="center"/>
          </w:tcPr>
          <w:p w:rsidR="00085DA8" w:rsidRPr="003B78DF" w:rsidRDefault="00085DA8" w:rsidP="004C49D6">
            <w:pPr>
              <w:jc w:val="center"/>
              <w:rPr>
                <w:rFonts w:ascii="Tahoma" w:hAnsi="Tahoma" w:cs="Tahoma"/>
                <w:sz w:val="18"/>
                <w:szCs w:val="18"/>
                <w:lang w:val="en-US"/>
              </w:rPr>
            </w:pPr>
            <w:r w:rsidRPr="003B78DF">
              <w:rPr>
                <w:rFonts w:ascii="Tahoma" w:hAnsi="Tahoma" w:cs="Tahoma"/>
                <w:sz w:val="18"/>
                <w:szCs w:val="18"/>
              </w:rPr>
              <w:t>6</w:t>
            </w:r>
            <w:r w:rsidRPr="003B78DF">
              <w:rPr>
                <w:rFonts w:ascii="Tahoma" w:hAnsi="Tahoma" w:cs="Tahoma"/>
                <w:sz w:val="18"/>
                <w:szCs w:val="18"/>
                <w:lang w:val="en-US"/>
              </w:rPr>
              <w:t>6</w:t>
            </w:r>
            <w:r w:rsidRPr="003B78DF">
              <w:rPr>
                <w:rFonts w:ascii="Tahoma" w:hAnsi="Tahoma" w:cs="Tahoma"/>
                <w:sz w:val="18"/>
                <w:szCs w:val="18"/>
              </w:rPr>
              <w:t>,</w:t>
            </w:r>
            <w:r w:rsidRPr="003B78DF">
              <w:rPr>
                <w:rFonts w:ascii="Tahoma" w:hAnsi="Tahoma" w:cs="Tahoma"/>
                <w:sz w:val="18"/>
                <w:szCs w:val="18"/>
                <w:lang w:val="en-US"/>
              </w:rPr>
              <w:t>9</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Μαρ-09</w:t>
            </w:r>
          </w:p>
        </w:tc>
        <w:tc>
          <w:tcPr>
            <w:tcW w:w="1082"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113,</w:t>
            </w:r>
            <w:r w:rsidRPr="003B78DF">
              <w:rPr>
                <w:rFonts w:ascii="Tahoma" w:hAnsi="Tahoma" w:cs="Tahoma"/>
                <w:sz w:val="18"/>
                <w:szCs w:val="18"/>
                <w:lang w:val="en-US"/>
              </w:rPr>
              <w:t>8</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Ιουν-07</w:t>
            </w:r>
          </w:p>
        </w:tc>
        <w:tc>
          <w:tcPr>
            <w:tcW w:w="1318"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99,3</w:t>
            </w:r>
          </w:p>
        </w:tc>
        <w:tc>
          <w:tcPr>
            <w:tcW w:w="942"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111,03</w:t>
            </w:r>
          </w:p>
        </w:tc>
        <w:tc>
          <w:tcPr>
            <w:tcW w:w="1080"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93,32</w:t>
            </w:r>
          </w:p>
        </w:tc>
        <w:tc>
          <w:tcPr>
            <w:tcW w:w="1080"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79,31</w:t>
            </w:r>
          </w:p>
        </w:tc>
        <w:tc>
          <w:tcPr>
            <w:tcW w:w="1275"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101,18</w:t>
            </w:r>
          </w:p>
        </w:tc>
        <w:tc>
          <w:tcPr>
            <w:tcW w:w="867"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100,28</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1098"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lang w:val="en-US"/>
              </w:rPr>
              <w:t>69,6</w:t>
            </w:r>
            <w:r w:rsidRPr="003B78DF">
              <w:rPr>
                <w:rFonts w:ascii="Tahoma" w:hAnsi="Tahoma" w:cs="Tahoma"/>
                <w:sz w:val="18"/>
                <w:szCs w:val="18"/>
              </w:rPr>
              <w:t xml:space="preserve"> </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Μαρ-09</w:t>
            </w:r>
          </w:p>
        </w:tc>
        <w:tc>
          <w:tcPr>
            <w:tcW w:w="1082"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11</w:t>
            </w:r>
            <w:r w:rsidRPr="003B78DF">
              <w:rPr>
                <w:rFonts w:ascii="Tahoma" w:hAnsi="Tahoma" w:cs="Tahoma"/>
                <w:sz w:val="18"/>
                <w:szCs w:val="18"/>
                <w:lang w:val="en-US"/>
              </w:rPr>
              <w:t>3</w:t>
            </w:r>
            <w:r w:rsidRPr="003B78DF">
              <w:rPr>
                <w:rFonts w:ascii="Tahoma" w:hAnsi="Tahoma" w:cs="Tahoma"/>
                <w:sz w:val="18"/>
                <w:szCs w:val="18"/>
              </w:rPr>
              <w:t>,0</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Ιαν-01</w:t>
            </w:r>
          </w:p>
        </w:tc>
        <w:tc>
          <w:tcPr>
            <w:tcW w:w="1318"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98,7</w:t>
            </w:r>
          </w:p>
        </w:tc>
        <w:tc>
          <w:tcPr>
            <w:tcW w:w="942"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109,38</w:t>
            </w:r>
          </w:p>
        </w:tc>
        <w:tc>
          <w:tcPr>
            <w:tcW w:w="1080"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93,46</w:t>
            </w:r>
          </w:p>
        </w:tc>
        <w:tc>
          <w:tcPr>
            <w:tcW w:w="1080"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80,24</w:t>
            </w:r>
          </w:p>
        </w:tc>
        <w:tc>
          <w:tcPr>
            <w:tcW w:w="1275"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100,51</w:t>
            </w:r>
          </w:p>
        </w:tc>
        <w:tc>
          <w:tcPr>
            <w:tcW w:w="867"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101,01</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1098" w:type="dxa"/>
            <w:gridSpan w:val="2"/>
            <w:shd w:val="clear" w:color="auto" w:fill="FFFF99"/>
            <w:vAlign w:val="center"/>
          </w:tcPr>
          <w:p w:rsidR="00085DA8" w:rsidRPr="003B78DF" w:rsidRDefault="00085DA8" w:rsidP="004C49D6">
            <w:pPr>
              <w:jc w:val="center"/>
              <w:rPr>
                <w:rFonts w:ascii="Tahoma" w:hAnsi="Tahoma" w:cs="Tahoma"/>
                <w:sz w:val="18"/>
                <w:szCs w:val="18"/>
                <w:lang w:val="en-US"/>
              </w:rPr>
            </w:pPr>
            <w:r w:rsidRPr="003B78DF">
              <w:rPr>
                <w:rFonts w:ascii="Tahoma" w:hAnsi="Tahoma" w:cs="Tahoma"/>
                <w:sz w:val="18"/>
                <w:szCs w:val="18"/>
              </w:rPr>
              <w:t>6</w:t>
            </w:r>
            <w:r w:rsidRPr="003B78DF">
              <w:rPr>
                <w:rFonts w:ascii="Tahoma" w:hAnsi="Tahoma" w:cs="Tahoma"/>
                <w:sz w:val="18"/>
                <w:szCs w:val="18"/>
                <w:lang w:val="en-US"/>
              </w:rPr>
              <w:t>7</w:t>
            </w:r>
            <w:r w:rsidRPr="003B78DF">
              <w:rPr>
                <w:rFonts w:ascii="Tahoma" w:hAnsi="Tahoma" w:cs="Tahoma"/>
                <w:sz w:val="18"/>
                <w:szCs w:val="18"/>
              </w:rPr>
              <w:t>,</w:t>
            </w:r>
            <w:r w:rsidRPr="003B78DF">
              <w:rPr>
                <w:rFonts w:ascii="Tahoma" w:hAnsi="Tahoma" w:cs="Tahoma"/>
                <w:sz w:val="18"/>
                <w:szCs w:val="18"/>
                <w:lang w:val="en-US"/>
              </w:rPr>
              <w:t>2</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Μαρ-09</w:t>
            </w:r>
          </w:p>
        </w:tc>
        <w:tc>
          <w:tcPr>
            <w:tcW w:w="1082" w:type="dxa"/>
            <w:gridSpan w:val="2"/>
            <w:shd w:val="clear" w:color="auto" w:fill="FFFF99"/>
            <w:vAlign w:val="center"/>
          </w:tcPr>
          <w:p w:rsidR="00085DA8" w:rsidRPr="003B78DF" w:rsidRDefault="00085DA8" w:rsidP="004C49D6">
            <w:pPr>
              <w:jc w:val="center"/>
              <w:rPr>
                <w:rFonts w:ascii="Tahoma" w:hAnsi="Tahoma" w:cs="Tahoma"/>
                <w:sz w:val="18"/>
                <w:szCs w:val="18"/>
                <w:lang w:val="en-US"/>
              </w:rPr>
            </w:pPr>
            <w:r w:rsidRPr="003B78DF">
              <w:rPr>
                <w:rFonts w:ascii="Tahoma" w:hAnsi="Tahoma" w:cs="Tahoma"/>
                <w:sz w:val="18"/>
                <w:szCs w:val="18"/>
              </w:rPr>
              <w:t>11</w:t>
            </w:r>
            <w:r w:rsidRPr="003B78DF">
              <w:rPr>
                <w:rFonts w:ascii="Tahoma" w:hAnsi="Tahoma" w:cs="Tahoma"/>
                <w:sz w:val="18"/>
                <w:szCs w:val="18"/>
                <w:lang w:val="en-US"/>
              </w:rPr>
              <w:t>1</w:t>
            </w:r>
            <w:r w:rsidRPr="003B78DF">
              <w:rPr>
                <w:rFonts w:ascii="Tahoma" w:hAnsi="Tahoma" w:cs="Tahoma"/>
                <w:sz w:val="18"/>
                <w:szCs w:val="18"/>
              </w:rPr>
              <w:t>,</w:t>
            </w:r>
            <w:r w:rsidRPr="003B78DF">
              <w:rPr>
                <w:rFonts w:ascii="Tahoma" w:hAnsi="Tahoma" w:cs="Tahoma"/>
                <w:sz w:val="18"/>
                <w:szCs w:val="18"/>
                <w:lang w:val="en-US"/>
              </w:rPr>
              <w:t>9</w:t>
            </w:r>
          </w:p>
          <w:p w:rsidR="00085DA8" w:rsidRPr="003B78DF" w:rsidRDefault="00085DA8" w:rsidP="004C49D6">
            <w:pPr>
              <w:jc w:val="center"/>
              <w:rPr>
                <w:rFonts w:ascii="Tahoma" w:hAnsi="Tahoma" w:cs="Tahoma"/>
                <w:sz w:val="18"/>
                <w:szCs w:val="18"/>
              </w:rPr>
            </w:pPr>
            <w:r w:rsidRPr="003B78DF">
              <w:rPr>
                <w:rFonts w:ascii="Tahoma" w:hAnsi="Tahoma" w:cs="Tahoma"/>
                <w:sz w:val="18"/>
                <w:szCs w:val="18"/>
              </w:rPr>
              <w:t>Απρ-04</w:t>
            </w:r>
          </w:p>
        </w:tc>
        <w:tc>
          <w:tcPr>
            <w:tcW w:w="1318"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96,3</w:t>
            </w:r>
          </w:p>
        </w:tc>
        <w:tc>
          <w:tcPr>
            <w:tcW w:w="942"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108,38</w:t>
            </w:r>
          </w:p>
        </w:tc>
        <w:tc>
          <w:tcPr>
            <w:tcW w:w="1080"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97,43</w:t>
            </w:r>
          </w:p>
        </w:tc>
        <w:tc>
          <w:tcPr>
            <w:tcW w:w="1080"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79,70</w:t>
            </w:r>
          </w:p>
        </w:tc>
        <w:tc>
          <w:tcPr>
            <w:tcW w:w="1275" w:type="dxa"/>
            <w:gridSpan w:val="3"/>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79,31</w:t>
            </w:r>
          </w:p>
        </w:tc>
        <w:tc>
          <w:tcPr>
            <w:tcW w:w="867" w:type="dxa"/>
            <w:gridSpan w:val="2"/>
            <w:shd w:val="clear" w:color="auto" w:fill="FFFF99"/>
            <w:vAlign w:val="center"/>
          </w:tcPr>
          <w:p w:rsidR="00085DA8" w:rsidRPr="003B78DF" w:rsidRDefault="00085DA8" w:rsidP="004C49D6">
            <w:pPr>
              <w:jc w:val="center"/>
              <w:rPr>
                <w:rFonts w:ascii="Tahoma" w:hAnsi="Tahoma" w:cs="Tahoma"/>
                <w:sz w:val="18"/>
                <w:szCs w:val="18"/>
              </w:rPr>
            </w:pPr>
            <w:r w:rsidRPr="003B78DF">
              <w:rPr>
                <w:rFonts w:ascii="Tahoma" w:hAnsi="Tahoma" w:cs="Tahoma"/>
                <w:sz w:val="18"/>
                <w:szCs w:val="18"/>
              </w:rPr>
              <w:t>77,62</w:t>
            </w:r>
          </w:p>
        </w:tc>
      </w:tr>
      <w:tr w:rsidR="00085DA8" w:rsidRPr="00F745E8" w:rsidTr="004C49D6">
        <w:trPr>
          <w:trHeight w:val="284"/>
          <w:jc w:val="center"/>
        </w:trPr>
        <w:tc>
          <w:tcPr>
            <w:tcW w:w="9939" w:type="dxa"/>
            <w:gridSpan w:val="19"/>
            <w:shd w:val="clear" w:color="auto" w:fill="800000"/>
            <w:vAlign w:val="center"/>
          </w:tcPr>
          <w:p w:rsidR="00085DA8" w:rsidRPr="00F745E8" w:rsidRDefault="00085DA8" w:rsidP="004C49D6">
            <w:pPr>
              <w:pStyle w:val="Heading7"/>
              <w:jc w:val="center"/>
              <w:rPr>
                <w:rFonts w:ascii="Tahoma" w:hAnsi="Tahoma" w:cs="Tahoma"/>
                <w:color w:val="FFFFFF"/>
              </w:rPr>
            </w:pPr>
            <w:r w:rsidRPr="00F745E8">
              <w:rPr>
                <w:rFonts w:ascii="Tahoma" w:hAnsi="Tahoma" w:cs="Tahoma"/>
                <w:color w:val="FFFFFF"/>
                <w:lang w:val="en-US"/>
              </w:rPr>
              <w:t>20</w:t>
            </w:r>
            <w:r w:rsidRPr="00F745E8">
              <w:rPr>
                <w:rFonts w:ascii="Tahoma" w:hAnsi="Tahoma" w:cs="Tahoma"/>
                <w:color w:val="FFFFFF"/>
              </w:rPr>
              <w:t>11</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jc w:val="center"/>
              <w:rPr>
                <w:rFonts w:ascii="Tahoma" w:hAnsi="Tahoma" w:cs="Tahoma"/>
                <w:sz w:val="18"/>
                <w:szCs w:val="18"/>
              </w:rPr>
            </w:pPr>
          </w:p>
        </w:tc>
        <w:tc>
          <w:tcPr>
            <w:tcW w:w="767"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Φ</w:t>
            </w:r>
          </w:p>
        </w:tc>
        <w:tc>
          <w:tcPr>
            <w:tcW w:w="693"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Μ</w:t>
            </w:r>
          </w:p>
        </w:tc>
        <w:tc>
          <w:tcPr>
            <w:tcW w:w="795"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Α</w:t>
            </w:r>
          </w:p>
        </w:tc>
        <w:tc>
          <w:tcPr>
            <w:tcW w:w="762"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Μ</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Α</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Σ</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Ο</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Ν</w:t>
            </w:r>
          </w:p>
        </w:tc>
        <w:tc>
          <w:tcPr>
            <w:tcW w:w="741"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Δ</w:t>
            </w:r>
          </w:p>
        </w:tc>
      </w:tr>
      <w:tr w:rsidR="00085DA8" w:rsidRPr="00F745E8" w:rsidTr="004C49D6">
        <w:trPr>
          <w:trHeight w:val="77"/>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767"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105,5</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107,0</w:t>
            </w:r>
          </w:p>
        </w:tc>
        <w:tc>
          <w:tcPr>
            <w:tcW w:w="693"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106,8</w:t>
            </w:r>
          </w:p>
        </w:tc>
        <w:tc>
          <w:tcPr>
            <w:tcW w:w="795"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104,7</w:t>
            </w:r>
          </w:p>
        </w:tc>
        <w:tc>
          <w:tcPr>
            <w:tcW w:w="762"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104,9</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104,1</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101,9</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97,1</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93,6</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93,6</w:t>
            </w:r>
          </w:p>
        </w:tc>
        <w:tc>
          <w:tcPr>
            <w:tcW w:w="664"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92,6</w:t>
            </w:r>
          </w:p>
        </w:tc>
        <w:tc>
          <w:tcPr>
            <w:tcW w:w="741"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91,6</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767"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106,3</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107,6</w:t>
            </w:r>
          </w:p>
        </w:tc>
        <w:tc>
          <w:tcPr>
            <w:tcW w:w="693"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106,7</w:t>
            </w:r>
          </w:p>
        </w:tc>
        <w:tc>
          <w:tcPr>
            <w:tcW w:w="795"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105,6</w:t>
            </w:r>
          </w:p>
        </w:tc>
        <w:tc>
          <w:tcPr>
            <w:tcW w:w="762"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105,1</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104,9</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102,5</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98,1</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94,6</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94,4</w:t>
            </w:r>
          </w:p>
        </w:tc>
        <w:tc>
          <w:tcPr>
            <w:tcW w:w="664"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93,5</w:t>
            </w:r>
          </w:p>
        </w:tc>
        <w:tc>
          <w:tcPr>
            <w:tcW w:w="741"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92,8</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767"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80,6</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83,5</w:t>
            </w:r>
          </w:p>
        </w:tc>
        <w:tc>
          <w:tcPr>
            <w:tcW w:w="693"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82,6</w:t>
            </w:r>
          </w:p>
        </w:tc>
        <w:tc>
          <w:tcPr>
            <w:tcW w:w="795"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78,8</w:t>
            </w:r>
          </w:p>
        </w:tc>
        <w:tc>
          <w:tcPr>
            <w:tcW w:w="762"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78,6</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75,0</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75,8</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78,3</w:t>
            </w:r>
          </w:p>
        </w:tc>
        <w:tc>
          <w:tcPr>
            <w:tcW w:w="720"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75,5</w:t>
            </w:r>
          </w:p>
        </w:tc>
        <w:tc>
          <w:tcPr>
            <w:tcW w:w="720"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73,0</w:t>
            </w:r>
          </w:p>
        </w:tc>
        <w:tc>
          <w:tcPr>
            <w:tcW w:w="664" w:type="dxa"/>
            <w:gridSpan w:val="2"/>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74,0</w:t>
            </w:r>
          </w:p>
        </w:tc>
        <w:tc>
          <w:tcPr>
            <w:tcW w:w="741" w:type="dxa"/>
            <w:shd w:val="clear" w:color="auto" w:fill="FFFF99"/>
            <w:vAlign w:val="bottom"/>
          </w:tcPr>
          <w:p w:rsidR="00085DA8" w:rsidRPr="00F745E8" w:rsidRDefault="00085DA8" w:rsidP="003B78DF">
            <w:pPr>
              <w:jc w:val="center"/>
              <w:rPr>
                <w:rFonts w:ascii="Tahoma" w:hAnsi="Tahoma" w:cs="Tahoma"/>
                <w:sz w:val="18"/>
                <w:szCs w:val="18"/>
              </w:rPr>
            </w:pPr>
            <w:r w:rsidRPr="00F745E8">
              <w:rPr>
                <w:rFonts w:ascii="Tahoma" w:hAnsi="Tahoma" w:cs="Tahoma"/>
                <w:sz w:val="18"/>
                <w:szCs w:val="18"/>
              </w:rPr>
              <w:t>75,7</w:t>
            </w:r>
          </w:p>
        </w:tc>
      </w:tr>
      <w:tr w:rsidR="00085DA8" w:rsidRPr="00F745E8" w:rsidTr="004C49D6">
        <w:trPr>
          <w:trHeight w:val="284"/>
          <w:jc w:val="center"/>
        </w:trPr>
        <w:tc>
          <w:tcPr>
            <w:tcW w:w="9939" w:type="dxa"/>
            <w:gridSpan w:val="19"/>
            <w:shd w:val="clear" w:color="auto" w:fill="800000"/>
            <w:vAlign w:val="center"/>
          </w:tcPr>
          <w:p w:rsidR="00085DA8" w:rsidRPr="00F745E8" w:rsidRDefault="00085DA8" w:rsidP="004C49D6">
            <w:pPr>
              <w:pStyle w:val="Heading7"/>
              <w:jc w:val="center"/>
              <w:rPr>
                <w:rFonts w:ascii="Tahoma" w:hAnsi="Tahoma" w:cs="Tahoma"/>
              </w:rPr>
            </w:pPr>
            <w:r w:rsidRPr="00F745E8">
              <w:rPr>
                <w:rFonts w:ascii="Tahoma" w:hAnsi="Tahoma" w:cs="Tahoma"/>
                <w:color w:val="FFFFFF"/>
                <w:lang w:val="en-US"/>
              </w:rPr>
              <w:t>2012</w:t>
            </w:r>
          </w:p>
        </w:tc>
      </w:tr>
      <w:tr w:rsidR="00085DA8" w:rsidRPr="00F745E8" w:rsidTr="004C49D6">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p>
        </w:tc>
        <w:tc>
          <w:tcPr>
            <w:tcW w:w="767"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Φ</w:t>
            </w:r>
          </w:p>
        </w:tc>
        <w:tc>
          <w:tcPr>
            <w:tcW w:w="693"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Μ</w:t>
            </w:r>
          </w:p>
        </w:tc>
        <w:tc>
          <w:tcPr>
            <w:tcW w:w="795"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Α</w:t>
            </w:r>
          </w:p>
        </w:tc>
        <w:tc>
          <w:tcPr>
            <w:tcW w:w="762"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Μ</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Ι</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Α</w:t>
            </w:r>
          </w:p>
        </w:tc>
        <w:tc>
          <w:tcPr>
            <w:tcW w:w="72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Σ</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Ο</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Ν</w:t>
            </w:r>
          </w:p>
        </w:tc>
        <w:tc>
          <w:tcPr>
            <w:tcW w:w="741" w:type="dxa"/>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Δ</w:t>
            </w:r>
          </w:p>
        </w:tc>
      </w:tr>
      <w:tr w:rsidR="00085DA8" w:rsidRPr="00F745E8" w:rsidTr="00A10AB3">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767"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92,8</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94,0</w:t>
            </w:r>
          </w:p>
        </w:tc>
        <w:tc>
          <w:tcPr>
            <w:tcW w:w="693"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93,2</w:t>
            </w:r>
          </w:p>
        </w:tc>
        <w:tc>
          <w:tcPr>
            <w:tcW w:w="795"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93,2</w:t>
            </w:r>
          </w:p>
        </w:tc>
        <w:tc>
          <w:tcPr>
            <w:tcW w:w="762"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90,4</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90,4</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89,0</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87,0</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86,2</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86,1</w:t>
            </w:r>
          </w:p>
        </w:tc>
        <w:tc>
          <w:tcPr>
            <w:tcW w:w="664"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88,1</w:t>
            </w:r>
          </w:p>
        </w:tc>
        <w:tc>
          <w:tcPr>
            <w:tcW w:w="741" w:type="dxa"/>
            <w:shd w:val="clear" w:color="auto" w:fill="FFFF99"/>
            <w:vAlign w:val="center"/>
          </w:tcPr>
          <w:p w:rsidR="00085DA8" w:rsidRPr="00F745E8" w:rsidRDefault="00085DA8" w:rsidP="004C49D6">
            <w:pPr>
              <w:jc w:val="center"/>
              <w:rPr>
                <w:rFonts w:ascii="Tahoma" w:hAnsi="Tahoma" w:cs="Tahoma"/>
                <w:sz w:val="18"/>
                <w:szCs w:val="18"/>
              </w:rPr>
            </w:pPr>
          </w:p>
        </w:tc>
      </w:tr>
      <w:tr w:rsidR="00085DA8" w:rsidRPr="00F745E8" w:rsidTr="00A10AB3">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767"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93,5</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94,5</w:t>
            </w:r>
          </w:p>
        </w:tc>
        <w:tc>
          <w:tcPr>
            <w:tcW w:w="693"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94,4</w:t>
            </w:r>
          </w:p>
        </w:tc>
        <w:tc>
          <w:tcPr>
            <w:tcW w:w="795"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92,8</w:t>
            </w:r>
          </w:p>
        </w:tc>
        <w:tc>
          <w:tcPr>
            <w:tcW w:w="762"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90,5</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89,9</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87,9</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86,1</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85,2</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84,3</w:t>
            </w:r>
          </w:p>
        </w:tc>
        <w:tc>
          <w:tcPr>
            <w:tcW w:w="664"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85,7</w:t>
            </w:r>
          </w:p>
        </w:tc>
        <w:tc>
          <w:tcPr>
            <w:tcW w:w="741" w:type="dxa"/>
            <w:shd w:val="clear" w:color="auto" w:fill="FFFF99"/>
            <w:vAlign w:val="center"/>
          </w:tcPr>
          <w:p w:rsidR="00085DA8" w:rsidRPr="00F745E8" w:rsidRDefault="00085DA8" w:rsidP="004C49D6">
            <w:pPr>
              <w:jc w:val="center"/>
              <w:rPr>
                <w:rFonts w:ascii="Tahoma" w:hAnsi="Tahoma" w:cs="Tahoma"/>
                <w:sz w:val="18"/>
                <w:szCs w:val="18"/>
              </w:rPr>
            </w:pPr>
          </w:p>
        </w:tc>
      </w:tr>
      <w:tr w:rsidR="00085DA8" w:rsidRPr="00F745E8" w:rsidTr="00A10AB3">
        <w:trPr>
          <w:trHeight w:val="284"/>
          <w:jc w:val="center"/>
        </w:trPr>
        <w:tc>
          <w:tcPr>
            <w:tcW w:w="1197"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767"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74,9</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74,9</w:t>
            </w:r>
          </w:p>
        </w:tc>
        <w:tc>
          <w:tcPr>
            <w:tcW w:w="693"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75,7</w:t>
            </w:r>
          </w:p>
        </w:tc>
        <w:tc>
          <w:tcPr>
            <w:tcW w:w="795"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77,3</w:t>
            </w:r>
          </w:p>
        </w:tc>
        <w:tc>
          <w:tcPr>
            <w:tcW w:w="762"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76,0</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74,1</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76,1</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77,0</w:t>
            </w:r>
          </w:p>
        </w:tc>
        <w:tc>
          <w:tcPr>
            <w:tcW w:w="720"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76,1</w:t>
            </w:r>
          </w:p>
        </w:tc>
        <w:tc>
          <w:tcPr>
            <w:tcW w:w="720" w:type="dxa"/>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75,8</w:t>
            </w:r>
          </w:p>
        </w:tc>
        <w:tc>
          <w:tcPr>
            <w:tcW w:w="664" w:type="dxa"/>
            <w:gridSpan w:val="2"/>
            <w:shd w:val="clear" w:color="auto" w:fill="FFFF99"/>
            <w:vAlign w:val="bottom"/>
          </w:tcPr>
          <w:p w:rsidR="00085DA8" w:rsidRPr="003276DF" w:rsidRDefault="00085DA8" w:rsidP="003B78DF">
            <w:pPr>
              <w:jc w:val="center"/>
              <w:rPr>
                <w:rFonts w:ascii="Tahoma" w:hAnsi="Tahoma" w:cs="Tahoma"/>
                <w:sz w:val="18"/>
                <w:szCs w:val="18"/>
              </w:rPr>
            </w:pPr>
            <w:r w:rsidRPr="003276DF">
              <w:rPr>
                <w:rFonts w:ascii="Tahoma" w:hAnsi="Tahoma" w:cs="Tahoma"/>
                <w:sz w:val="18"/>
                <w:szCs w:val="18"/>
              </w:rPr>
              <w:t>79,0</w:t>
            </w:r>
          </w:p>
        </w:tc>
        <w:tc>
          <w:tcPr>
            <w:tcW w:w="741" w:type="dxa"/>
            <w:shd w:val="clear" w:color="auto" w:fill="FFFF99"/>
            <w:vAlign w:val="center"/>
          </w:tcPr>
          <w:p w:rsidR="00085DA8" w:rsidRPr="00F745E8" w:rsidRDefault="00085DA8" w:rsidP="004C49D6">
            <w:pPr>
              <w:jc w:val="center"/>
              <w:rPr>
                <w:rFonts w:ascii="Tahoma" w:hAnsi="Tahoma" w:cs="Tahoma"/>
                <w:sz w:val="18"/>
                <w:szCs w:val="18"/>
              </w:rPr>
            </w:pPr>
          </w:p>
        </w:tc>
      </w:tr>
    </w:tbl>
    <w:p w:rsidR="00085DA8" w:rsidRPr="00F745E8" w:rsidRDefault="00085DA8" w:rsidP="00354DAC">
      <w:pPr>
        <w:jc w:val="both"/>
        <w:rPr>
          <w:rFonts w:ascii="Tahoma" w:hAnsi="Tahoma" w:cs="Tahoma"/>
          <w:sz w:val="18"/>
          <w:szCs w:val="18"/>
        </w:rPr>
      </w:pPr>
      <w:r w:rsidRPr="00F745E8">
        <w:rPr>
          <w:rFonts w:ascii="Tahoma" w:hAnsi="Tahoma" w:cs="Tahoma"/>
          <w:b/>
          <w:bCs/>
          <w:sz w:val="18"/>
          <w:szCs w:val="18"/>
        </w:rPr>
        <w:t>Σημείωση:</w:t>
      </w:r>
      <w:r w:rsidRPr="00F745E8">
        <w:rPr>
          <w:rFonts w:ascii="Tahoma" w:hAnsi="Tahoma" w:cs="Tahoma"/>
          <w:sz w:val="18"/>
          <w:szCs w:val="18"/>
        </w:rPr>
        <w:t xml:space="preserve"> Ο Δείκτης Οικονομικού Κλίματος (1990-2010=100) υπολογίζεται με βάση τους επιμέρους Δείκτες Επιχειρηματικών Προσδοκιών στη Βιομηχανία, τις Κατασκευές, το Λιανικό Εμπόριο και τις Υπηρεσίες, καθώς και το Δείκτη Εμπιστοσύνης στους Καταναλωτές.</w:t>
      </w:r>
    </w:p>
    <w:p w:rsidR="00085DA8" w:rsidRPr="00F745E8" w:rsidRDefault="00085DA8" w:rsidP="00354DAC">
      <w:pPr>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Ευρωπαϊκή Επιτροπή, </w:t>
      </w:r>
      <w:r w:rsidRPr="00F745E8">
        <w:rPr>
          <w:rFonts w:ascii="Tahoma" w:hAnsi="Tahoma" w:cs="Tahoma"/>
          <w:sz w:val="18"/>
          <w:szCs w:val="18"/>
          <w:lang w:val="en-US"/>
        </w:rPr>
        <w:t>DG</w:t>
      </w:r>
      <w:r w:rsidRPr="00F745E8">
        <w:rPr>
          <w:rFonts w:ascii="Tahoma" w:hAnsi="Tahoma" w:cs="Tahoma"/>
          <w:sz w:val="18"/>
          <w:szCs w:val="18"/>
        </w:rPr>
        <w:t xml:space="preserve"> </w:t>
      </w:r>
      <w:r w:rsidRPr="00F745E8">
        <w:rPr>
          <w:rFonts w:ascii="Tahoma" w:hAnsi="Tahoma" w:cs="Tahoma"/>
          <w:sz w:val="18"/>
          <w:szCs w:val="18"/>
          <w:lang w:val="en-US"/>
        </w:rPr>
        <w:t>Ecfin</w:t>
      </w:r>
    </w:p>
    <w:p w:rsidR="00085DA8" w:rsidRPr="00F745E8" w:rsidRDefault="00085DA8" w:rsidP="00354DAC">
      <w:pPr>
        <w:ind w:right="-428"/>
        <w:jc w:val="center"/>
        <w:rPr>
          <w:rFonts w:ascii="Tahoma" w:hAnsi="Tahoma" w:cs="Tahoma"/>
          <w:b/>
          <w:bCs/>
          <w:color w:val="000080"/>
          <w:sz w:val="22"/>
          <w:szCs w:val="22"/>
        </w:rPr>
      </w:pPr>
    </w:p>
    <w:p w:rsidR="00085DA8" w:rsidRPr="00F745E8" w:rsidRDefault="00085DA8" w:rsidP="00354DAC">
      <w:pPr>
        <w:ind w:right="-428"/>
        <w:jc w:val="center"/>
        <w:rPr>
          <w:rFonts w:ascii="Tahoma" w:hAnsi="Tahoma" w:cs="Tahoma"/>
          <w:color w:val="000080"/>
          <w:sz w:val="22"/>
          <w:szCs w:val="22"/>
        </w:rPr>
      </w:pPr>
      <w:r w:rsidRPr="00F745E8">
        <w:rPr>
          <w:rFonts w:ascii="Tahoma" w:hAnsi="Tahoma" w:cs="Tahoma"/>
          <w:b/>
          <w:bCs/>
          <w:color w:val="000080"/>
          <w:sz w:val="22"/>
          <w:szCs w:val="22"/>
        </w:rPr>
        <w:t xml:space="preserve">Διάγραμμα 1: </w:t>
      </w:r>
      <w:r w:rsidRPr="00F745E8">
        <w:rPr>
          <w:rFonts w:ascii="Tahoma" w:hAnsi="Tahoma" w:cs="Tahoma"/>
          <w:color w:val="000080"/>
          <w:sz w:val="22"/>
          <w:szCs w:val="22"/>
        </w:rPr>
        <w:t>Δείκτες Οικονομικού Κλίματος Ε.Ε-27 και Ελλάδα</w:t>
      </w:r>
    </w:p>
    <w:p w:rsidR="00085DA8" w:rsidRPr="00F745E8" w:rsidRDefault="00085DA8" w:rsidP="00354DAC">
      <w:pPr>
        <w:ind w:left="-284" w:right="-428"/>
        <w:jc w:val="center"/>
        <w:rPr>
          <w:rFonts w:ascii="Tahoma" w:hAnsi="Tahoma" w:cs="Tahoma"/>
          <w:color w:val="000080"/>
          <w:sz w:val="22"/>
          <w:szCs w:val="22"/>
        </w:rPr>
      </w:pPr>
      <w:r w:rsidRPr="00F745E8">
        <w:rPr>
          <w:rFonts w:ascii="Tahoma" w:hAnsi="Tahoma" w:cs="Tahoma"/>
          <w:color w:val="000080"/>
          <w:sz w:val="22"/>
          <w:szCs w:val="22"/>
        </w:rPr>
        <w:t>(1990-2011=100, εποχικά εξομαλυμένα στοιχεία)</w:t>
      </w:r>
    </w:p>
    <w:p w:rsidR="00085DA8" w:rsidRPr="00F745E8" w:rsidRDefault="00DF46E7" w:rsidP="00354DAC">
      <w:pPr>
        <w:ind w:left="-284" w:right="-428"/>
        <w:jc w:val="center"/>
        <w:rPr>
          <w:noProof/>
        </w:rPr>
      </w:pPr>
      <w:r>
        <w:rPr>
          <w:noProof/>
        </w:rPr>
        <w:drawing>
          <wp:inline distT="0" distB="0" distL="0" distR="0">
            <wp:extent cx="5200650" cy="3276600"/>
            <wp:effectExtent l="19050" t="0" r="0" b="0"/>
            <wp:docPr id="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srcRect/>
                    <a:stretch>
                      <a:fillRect/>
                    </a:stretch>
                  </pic:blipFill>
                  <pic:spPr bwMode="auto">
                    <a:xfrm>
                      <a:off x="0" y="0"/>
                      <a:ext cx="5200650" cy="3276600"/>
                    </a:xfrm>
                    <a:prstGeom prst="rect">
                      <a:avLst/>
                    </a:prstGeom>
                    <a:noFill/>
                    <a:ln w="9525">
                      <a:noFill/>
                      <a:miter lim="800000"/>
                      <a:headEnd/>
                      <a:tailEnd/>
                    </a:ln>
                  </pic:spPr>
                </pic:pic>
              </a:graphicData>
            </a:graphic>
          </wp:inline>
        </w:drawing>
      </w:r>
    </w:p>
    <w:p w:rsidR="00085DA8" w:rsidRPr="00F745E8" w:rsidRDefault="00085DA8" w:rsidP="00354DAC">
      <w:pPr>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Ευρωπαϊκή Επιτροπή, </w:t>
      </w:r>
      <w:r w:rsidRPr="00F745E8">
        <w:rPr>
          <w:rFonts w:ascii="Tahoma" w:hAnsi="Tahoma" w:cs="Tahoma"/>
          <w:sz w:val="18"/>
          <w:szCs w:val="18"/>
          <w:lang w:val="en-US"/>
        </w:rPr>
        <w:t>DG</w:t>
      </w:r>
      <w:r w:rsidRPr="00F745E8">
        <w:rPr>
          <w:rFonts w:ascii="Tahoma" w:hAnsi="Tahoma" w:cs="Tahoma"/>
          <w:sz w:val="18"/>
          <w:szCs w:val="18"/>
        </w:rPr>
        <w:t xml:space="preserve"> </w:t>
      </w:r>
      <w:r w:rsidRPr="00F745E8">
        <w:rPr>
          <w:rFonts w:ascii="Tahoma" w:hAnsi="Tahoma" w:cs="Tahoma"/>
          <w:sz w:val="18"/>
          <w:szCs w:val="18"/>
          <w:lang w:val="en-US"/>
        </w:rPr>
        <w:t>Ecfin</w:t>
      </w:r>
    </w:p>
    <w:p w:rsidR="00085DA8" w:rsidRPr="00F745E8" w:rsidRDefault="00085DA8" w:rsidP="00354DAC">
      <w:pPr>
        <w:jc w:val="both"/>
        <w:rPr>
          <w:rFonts w:ascii="Tahoma" w:hAnsi="Tahoma" w:cs="Tahoma"/>
          <w:sz w:val="18"/>
          <w:szCs w:val="18"/>
        </w:rPr>
      </w:pPr>
    </w:p>
    <w:p w:rsidR="00085DA8" w:rsidRPr="00F745E8" w:rsidRDefault="00085DA8" w:rsidP="00354DAC">
      <w:pPr>
        <w:numPr>
          <w:ilvl w:val="0"/>
          <w:numId w:val="1"/>
        </w:numPr>
        <w:tabs>
          <w:tab w:val="clear" w:pos="720"/>
          <w:tab w:val="num" w:pos="0"/>
        </w:tabs>
        <w:spacing w:before="240" w:line="288" w:lineRule="auto"/>
        <w:ind w:left="180" w:right="-142" w:hanging="180"/>
        <w:jc w:val="both"/>
        <w:rPr>
          <w:rFonts w:ascii="Tahoma" w:hAnsi="Tahoma" w:cs="Tahoma"/>
          <w:sz w:val="22"/>
          <w:szCs w:val="22"/>
        </w:rPr>
      </w:pPr>
      <w:r w:rsidRPr="00F745E8">
        <w:rPr>
          <w:rFonts w:ascii="Tahoma" w:hAnsi="Tahoma" w:cs="Tahoma"/>
          <w:sz w:val="22"/>
          <w:szCs w:val="22"/>
        </w:rPr>
        <w:lastRenderedPageBreak/>
        <w:t xml:space="preserve">Στις </w:t>
      </w:r>
      <w:r w:rsidRPr="00F745E8">
        <w:rPr>
          <w:rFonts w:ascii="Tahoma" w:hAnsi="Tahoma" w:cs="Tahoma"/>
          <w:b/>
          <w:bCs/>
          <w:sz w:val="22"/>
          <w:szCs w:val="22"/>
        </w:rPr>
        <w:t>Κατασκευές</w:t>
      </w:r>
      <w:r w:rsidRPr="00F745E8">
        <w:rPr>
          <w:rFonts w:ascii="Tahoma" w:hAnsi="Tahoma" w:cs="Tahoma"/>
          <w:sz w:val="22"/>
          <w:szCs w:val="22"/>
        </w:rPr>
        <w:t xml:space="preserve">, ο δείκτης επιχειρηματικών προσδοκιών στην ΕΕ παραμένει αμετάβλητος στις -35,6 μονάδες στην ΕΕ και υποχωρεί στις -35,5 μονάδες στην Ευρωζώνη. Από τα βασικά στοιχεία δραστηριότητας, οι αρνητικές </w:t>
      </w:r>
      <w:r w:rsidRPr="00F745E8">
        <w:rPr>
          <w:rFonts w:ascii="Tahoma" w:hAnsi="Tahoma" w:cs="Tahoma"/>
          <w:i/>
          <w:iCs/>
          <w:sz w:val="22"/>
          <w:szCs w:val="22"/>
        </w:rPr>
        <w:t>προβλέψεις για το</w:t>
      </w:r>
      <w:r w:rsidRPr="00F745E8">
        <w:rPr>
          <w:rFonts w:ascii="Tahoma" w:hAnsi="Tahoma" w:cs="Tahoma"/>
          <w:sz w:val="22"/>
          <w:szCs w:val="22"/>
        </w:rPr>
        <w:t xml:space="preserve"> </w:t>
      </w:r>
      <w:r w:rsidRPr="00F745E8">
        <w:rPr>
          <w:rFonts w:ascii="Tahoma" w:hAnsi="Tahoma" w:cs="Tahoma"/>
          <w:i/>
          <w:iCs/>
          <w:sz w:val="22"/>
          <w:szCs w:val="22"/>
        </w:rPr>
        <w:t>επίπεδο των εργασιών</w:t>
      </w:r>
      <w:r w:rsidRPr="00F745E8">
        <w:rPr>
          <w:rFonts w:ascii="Tahoma" w:hAnsi="Tahoma" w:cs="Tahoma"/>
          <w:sz w:val="22"/>
          <w:szCs w:val="22"/>
        </w:rPr>
        <w:t xml:space="preserve"> </w:t>
      </w:r>
      <w:r>
        <w:rPr>
          <w:rFonts w:ascii="Tahoma" w:hAnsi="Tahoma" w:cs="Tahoma"/>
          <w:sz w:val="22"/>
          <w:szCs w:val="22"/>
        </w:rPr>
        <w:t>εξομαλύνονται</w:t>
      </w:r>
      <w:r w:rsidRPr="00F745E8">
        <w:rPr>
          <w:rFonts w:ascii="Tahoma" w:hAnsi="Tahoma" w:cs="Tahoma"/>
          <w:sz w:val="22"/>
          <w:szCs w:val="22"/>
        </w:rPr>
        <w:t xml:space="preserve"> οριακά στην ΕΕ και εντείνονται στην Ευρωζώνη, ενώ </w:t>
      </w:r>
      <w:r w:rsidRPr="00F745E8">
        <w:rPr>
          <w:rFonts w:ascii="Tahoma" w:hAnsi="Tahoma" w:cs="Tahoma"/>
          <w:iCs/>
          <w:sz w:val="22"/>
          <w:szCs w:val="22"/>
        </w:rPr>
        <w:t xml:space="preserve">οι </w:t>
      </w:r>
      <w:r w:rsidRPr="00F745E8">
        <w:rPr>
          <w:rFonts w:ascii="Tahoma" w:hAnsi="Tahoma" w:cs="Tahoma"/>
          <w:i/>
          <w:iCs/>
          <w:sz w:val="22"/>
          <w:szCs w:val="22"/>
        </w:rPr>
        <w:t xml:space="preserve">προβλέψεις για την απασχόληση </w:t>
      </w:r>
      <w:r w:rsidRPr="00F745E8">
        <w:rPr>
          <w:rFonts w:ascii="Tahoma" w:hAnsi="Tahoma" w:cs="Tahoma"/>
          <w:iCs/>
          <w:sz w:val="22"/>
          <w:szCs w:val="22"/>
        </w:rPr>
        <w:t xml:space="preserve">χάνουν οριακά έδαφος στην ΕΕ και υποχωρούν κατά 2 μονάδες </w:t>
      </w:r>
      <w:r w:rsidRPr="00F745E8">
        <w:rPr>
          <w:rFonts w:ascii="Tahoma" w:hAnsi="Tahoma" w:cs="Tahoma"/>
          <w:sz w:val="22"/>
          <w:szCs w:val="22"/>
        </w:rPr>
        <w:t xml:space="preserve">στην Ευρωζώνη. </w:t>
      </w:r>
    </w:p>
    <w:p w:rsidR="00085DA8" w:rsidRPr="00F745E8" w:rsidRDefault="00085DA8" w:rsidP="00354DAC">
      <w:pPr>
        <w:numPr>
          <w:ilvl w:val="0"/>
          <w:numId w:val="1"/>
        </w:numPr>
        <w:tabs>
          <w:tab w:val="clear" w:pos="720"/>
          <w:tab w:val="num" w:pos="0"/>
        </w:tabs>
        <w:spacing w:before="240" w:line="288" w:lineRule="auto"/>
        <w:ind w:left="180" w:right="-142" w:hanging="180"/>
        <w:jc w:val="both"/>
        <w:rPr>
          <w:rFonts w:ascii="Tahoma" w:hAnsi="Tahoma" w:cs="Tahoma"/>
          <w:sz w:val="22"/>
          <w:szCs w:val="22"/>
        </w:rPr>
      </w:pPr>
      <w:r w:rsidRPr="00F745E8">
        <w:rPr>
          <w:rFonts w:ascii="Tahoma" w:hAnsi="Tahoma" w:cs="Tahoma"/>
          <w:sz w:val="22"/>
          <w:szCs w:val="22"/>
        </w:rPr>
        <w:t xml:space="preserve">Ο </w:t>
      </w:r>
      <w:r w:rsidRPr="00F745E8">
        <w:rPr>
          <w:rFonts w:ascii="Tahoma" w:hAnsi="Tahoma" w:cs="Tahoma"/>
          <w:b/>
          <w:bCs/>
          <w:sz w:val="22"/>
          <w:szCs w:val="22"/>
        </w:rPr>
        <w:t>Δείκτης Καταναλωτικής Εμπιστοσύνης</w:t>
      </w:r>
      <w:r w:rsidRPr="00F745E8">
        <w:rPr>
          <w:rFonts w:ascii="Tahoma" w:hAnsi="Tahoma" w:cs="Tahoma"/>
          <w:sz w:val="22"/>
          <w:szCs w:val="22"/>
        </w:rPr>
        <w:t xml:space="preserve"> διαμορφώνεται στις -23,8 και -26,9 μονάδες αντίστοιχα σε ΕΕ και Ευρωζώνη. Οι αρνητικές </w:t>
      </w:r>
      <w:r w:rsidRPr="00F745E8">
        <w:rPr>
          <w:rFonts w:ascii="Tahoma" w:hAnsi="Tahoma" w:cs="Tahoma"/>
          <w:i/>
          <w:iCs/>
          <w:sz w:val="22"/>
          <w:szCs w:val="22"/>
        </w:rPr>
        <w:t>προβλέψεις των καταναλωτών για την</w:t>
      </w:r>
      <w:r w:rsidRPr="00F745E8">
        <w:rPr>
          <w:rFonts w:ascii="Tahoma" w:hAnsi="Tahoma" w:cs="Tahoma"/>
          <w:sz w:val="22"/>
          <w:szCs w:val="22"/>
        </w:rPr>
        <w:t xml:space="preserve"> </w:t>
      </w:r>
      <w:r w:rsidRPr="00F745E8">
        <w:rPr>
          <w:rFonts w:ascii="Tahoma" w:hAnsi="Tahoma" w:cs="Tahoma"/>
          <w:i/>
          <w:iCs/>
          <w:sz w:val="22"/>
          <w:szCs w:val="22"/>
        </w:rPr>
        <w:t>οικονομική κατάσταση του νοικοκυριού τους</w:t>
      </w:r>
      <w:r w:rsidRPr="00F745E8">
        <w:rPr>
          <w:rFonts w:ascii="Tahoma" w:hAnsi="Tahoma" w:cs="Tahoma"/>
          <w:sz w:val="22"/>
          <w:szCs w:val="22"/>
        </w:rPr>
        <w:t xml:space="preserve"> παραμένουν αμετάβλητες στην ΕΕ και εντείνονται ελαφρά στην Ευρωζώνη, εξέλιξη ανάλογη με εκείνη στις </w:t>
      </w:r>
      <w:r w:rsidRPr="00F745E8">
        <w:rPr>
          <w:rFonts w:ascii="Tahoma" w:hAnsi="Tahoma" w:cs="Tahoma"/>
          <w:i/>
          <w:sz w:val="22"/>
          <w:szCs w:val="22"/>
        </w:rPr>
        <w:t xml:space="preserve">προβλέψεις για </w:t>
      </w:r>
      <w:r w:rsidRPr="00F745E8">
        <w:rPr>
          <w:rFonts w:ascii="Tahoma" w:hAnsi="Tahoma" w:cs="Tahoma"/>
          <w:i/>
          <w:iCs/>
          <w:sz w:val="22"/>
          <w:szCs w:val="22"/>
        </w:rPr>
        <w:t>την οικονομική κατάσταση της χώρας</w:t>
      </w:r>
      <w:r w:rsidRPr="00F745E8">
        <w:rPr>
          <w:rFonts w:ascii="Tahoma" w:hAnsi="Tahoma" w:cs="Tahoma"/>
          <w:sz w:val="22"/>
          <w:szCs w:val="22"/>
        </w:rPr>
        <w:t xml:space="preserve">. Η </w:t>
      </w:r>
      <w:r w:rsidRPr="00F745E8">
        <w:rPr>
          <w:rFonts w:ascii="Tahoma" w:hAnsi="Tahoma" w:cs="Tahoma"/>
          <w:i/>
          <w:iCs/>
          <w:sz w:val="22"/>
          <w:szCs w:val="22"/>
        </w:rPr>
        <w:t>πρόθεση για αποταμίευση</w:t>
      </w:r>
      <w:r w:rsidRPr="00F745E8">
        <w:rPr>
          <w:rFonts w:ascii="Tahoma" w:hAnsi="Tahoma" w:cs="Tahoma"/>
          <w:sz w:val="22"/>
          <w:szCs w:val="22"/>
        </w:rPr>
        <w:t xml:space="preserve"> δεν μεταβάλλεται επίσης στην ΕΕ, αλλά επιδεινώνεται οριακά στην Ευρωζώνη, ενώ τέλος, ο δείκτης </w:t>
      </w:r>
      <w:r w:rsidRPr="00F745E8">
        <w:rPr>
          <w:rFonts w:ascii="Tahoma" w:hAnsi="Tahoma" w:cs="Tahoma"/>
          <w:i/>
          <w:iCs/>
          <w:sz w:val="22"/>
          <w:szCs w:val="22"/>
        </w:rPr>
        <w:t>προβλέψεων</w:t>
      </w:r>
      <w:r w:rsidRPr="00F745E8">
        <w:rPr>
          <w:rFonts w:ascii="Tahoma" w:hAnsi="Tahoma" w:cs="Tahoma"/>
          <w:sz w:val="22"/>
          <w:szCs w:val="22"/>
        </w:rPr>
        <w:t xml:space="preserve"> </w:t>
      </w:r>
      <w:r w:rsidRPr="00F745E8">
        <w:rPr>
          <w:rFonts w:ascii="Tahoma" w:hAnsi="Tahoma" w:cs="Tahoma"/>
          <w:i/>
          <w:iCs/>
          <w:sz w:val="22"/>
          <w:szCs w:val="22"/>
        </w:rPr>
        <w:t>για την</w:t>
      </w:r>
      <w:r w:rsidRPr="00F745E8">
        <w:rPr>
          <w:rFonts w:ascii="Tahoma" w:hAnsi="Tahoma" w:cs="Tahoma"/>
          <w:sz w:val="22"/>
          <w:szCs w:val="22"/>
        </w:rPr>
        <w:t xml:space="preserve"> </w:t>
      </w:r>
      <w:r w:rsidRPr="00F745E8">
        <w:rPr>
          <w:rFonts w:ascii="Tahoma" w:hAnsi="Tahoma" w:cs="Tahoma"/>
          <w:i/>
          <w:iCs/>
          <w:sz w:val="22"/>
          <w:szCs w:val="22"/>
        </w:rPr>
        <w:t>εξέλιξη της ανεργίας</w:t>
      </w:r>
      <w:r w:rsidRPr="00F745E8">
        <w:rPr>
          <w:rFonts w:ascii="Tahoma" w:hAnsi="Tahoma" w:cs="Tahoma"/>
          <w:sz w:val="22"/>
          <w:szCs w:val="22"/>
        </w:rPr>
        <w:t xml:space="preserve"> </w:t>
      </w:r>
      <w:r>
        <w:rPr>
          <w:rFonts w:ascii="Tahoma" w:hAnsi="Tahoma" w:cs="Tahoma"/>
          <w:sz w:val="22"/>
          <w:szCs w:val="22"/>
        </w:rPr>
        <w:t>αυξάνεται</w:t>
      </w:r>
      <w:r w:rsidRPr="00F745E8">
        <w:rPr>
          <w:rFonts w:ascii="Tahoma" w:hAnsi="Tahoma" w:cs="Tahoma"/>
          <w:sz w:val="22"/>
          <w:szCs w:val="22"/>
        </w:rPr>
        <w:t xml:space="preserve">, οριακά στην ΕΕ και κατά 3 μονάδες στην Ευρωζώνη. </w:t>
      </w:r>
    </w:p>
    <w:p w:rsidR="00085DA8" w:rsidRPr="00F745E8" w:rsidRDefault="00085DA8" w:rsidP="00354DAC">
      <w:pPr>
        <w:numPr>
          <w:ilvl w:val="0"/>
          <w:numId w:val="1"/>
        </w:numPr>
        <w:tabs>
          <w:tab w:val="clear" w:pos="720"/>
          <w:tab w:val="num" w:pos="0"/>
        </w:tabs>
        <w:spacing w:before="240" w:line="288" w:lineRule="auto"/>
        <w:ind w:left="180" w:right="-142" w:hanging="180"/>
        <w:jc w:val="both"/>
        <w:rPr>
          <w:rFonts w:ascii="Tahoma" w:hAnsi="Tahoma" w:cs="Tahoma"/>
          <w:sz w:val="22"/>
          <w:szCs w:val="22"/>
        </w:rPr>
      </w:pPr>
      <w:r w:rsidRPr="00F745E8">
        <w:rPr>
          <w:rFonts w:ascii="Tahoma" w:hAnsi="Tahoma" w:cs="Tahoma"/>
          <w:sz w:val="22"/>
          <w:szCs w:val="22"/>
        </w:rPr>
        <w:t xml:space="preserve">Τέλος, ο δείκτης επιχειρηματικών προσδοκιών στις </w:t>
      </w:r>
      <w:r w:rsidRPr="00F745E8">
        <w:rPr>
          <w:rFonts w:ascii="Tahoma" w:hAnsi="Tahoma" w:cs="Tahoma"/>
          <w:b/>
          <w:bCs/>
          <w:sz w:val="22"/>
          <w:szCs w:val="22"/>
        </w:rPr>
        <w:t>Χρηματοοικονομικές Υπηρεσίες</w:t>
      </w:r>
      <w:r w:rsidRPr="00F745E8">
        <w:rPr>
          <w:rFonts w:ascii="Tahoma" w:hAnsi="Tahoma" w:cs="Tahoma"/>
          <w:sz w:val="22"/>
          <w:szCs w:val="22"/>
        </w:rPr>
        <w:t xml:space="preserve"> (δεν περιλαμβάνεται στο δείκτη οικονομικού κλίματος), επανέρχεται σε πτωτική τροχιά, κινούμενος στις -2,9 μονάδες στην ΕΕ (από +1,3) και στις -9,7 μονάδες στην Ευρωζώνη (από -3,7). Από τα επιμέρους στοιχεία, οι </w:t>
      </w:r>
      <w:r w:rsidRPr="00F745E8">
        <w:rPr>
          <w:rFonts w:ascii="Tahoma" w:hAnsi="Tahoma" w:cs="Tahoma"/>
          <w:i/>
          <w:iCs/>
          <w:sz w:val="22"/>
          <w:szCs w:val="22"/>
        </w:rPr>
        <w:t>εκτιμήσεις</w:t>
      </w:r>
      <w:r w:rsidRPr="00F745E8">
        <w:rPr>
          <w:rFonts w:ascii="Tahoma" w:hAnsi="Tahoma" w:cs="Tahoma"/>
          <w:sz w:val="22"/>
          <w:szCs w:val="22"/>
        </w:rPr>
        <w:t xml:space="preserve"> </w:t>
      </w:r>
      <w:r w:rsidRPr="00F745E8">
        <w:rPr>
          <w:rFonts w:ascii="Tahoma" w:hAnsi="Tahoma" w:cs="Tahoma"/>
          <w:i/>
          <w:iCs/>
          <w:sz w:val="22"/>
          <w:szCs w:val="22"/>
        </w:rPr>
        <w:t>για</w:t>
      </w:r>
      <w:r w:rsidRPr="00F745E8">
        <w:rPr>
          <w:rFonts w:ascii="Tahoma" w:hAnsi="Tahoma" w:cs="Tahoma"/>
          <w:sz w:val="22"/>
          <w:szCs w:val="22"/>
        </w:rPr>
        <w:t xml:space="preserve"> </w:t>
      </w:r>
      <w:r w:rsidRPr="00F745E8">
        <w:rPr>
          <w:rFonts w:ascii="Tahoma" w:hAnsi="Tahoma" w:cs="Tahoma"/>
          <w:i/>
          <w:iCs/>
          <w:sz w:val="22"/>
          <w:szCs w:val="22"/>
        </w:rPr>
        <w:t>την τρέχουσα κατάσταση των επιχειρήσεων</w:t>
      </w:r>
      <w:r w:rsidRPr="00F745E8">
        <w:rPr>
          <w:rFonts w:ascii="Tahoma" w:hAnsi="Tahoma" w:cs="Tahoma"/>
          <w:sz w:val="22"/>
          <w:szCs w:val="22"/>
        </w:rPr>
        <w:t xml:space="preserve"> χάνουν 3 και 7 μονάδες αντίστοιχα σε ΕΕ και Ευρωζώνη, ενώ σημαντική πτώση σημειώνουν και οι </w:t>
      </w:r>
      <w:r w:rsidRPr="00F745E8">
        <w:rPr>
          <w:rFonts w:ascii="Tahoma" w:hAnsi="Tahoma" w:cs="Tahoma"/>
          <w:i/>
          <w:iCs/>
          <w:sz w:val="22"/>
          <w:szCs w:val="22"/>
        </w:rPr>
        <w:t>εκτιμήσεις</w:t>
      </w:r>
      <w:r w:rsidRPr="00F745E8">
        <w:rPr>
          <w:rFonts w:ascii="Tahoma" w:hAnsi="Tahoma" w:cs="Tahoma"/>
          <w:sz w:val="22"/>
          <w:szCs w:val="22"/>
        </w:rPr>
        <w:t xml:space="preserve"> </w:t>
      </w:r>
      <w:r w:rsidRPr="00F745E8">
        <w:rPr>
          <w:rFonts w:ascii="Tahoma" w:hAnsi="Tahoma" w:cs="Tahoma"/>
          <w:i/>
          <w:iCs/>
          <w:sz w:val="22"/>
          <w:szCs w:val="22"/>
        </w:rPr>
        <w:t>για την τρέχουσα εξέλιξη της ζήτησης</w:t>
      </w:r>
      <w:r w:rsidRPr="00F745E8">
        <w:rPr>
          <w:rFonts w:ascii="Tahoma" w:hAnsi="Tahoma" w:cs="Tahoma"/>
          <w:sz w:val="22"/>
          <w:szCs w:val="22"/>
        </w:rPr>
        <w:t xml:space="preserve">. Τέλος, σε ό, τι αφορά τις </w:t>
      </w:r>
      <w:r w:rsidRPr="00F745E8">
        <w:rPr>
          <w:rFonts w:ascii="Tahoma" w:hAnsi="Tahoma" w:cs="Tahoma"/>
          <w:i/>
          <w:iCs/>
          <w:sz w:val="22"/>
          <w:szCs w:val="22"/>
        </w:rPr>
        <w:t>προβλέψεις της</w:t>
      </w:r>
      <w:r w:rsidRPr="00F745E8">
        <w:rPr>
          <w:rFonts w:ascii="Tahoma" w:hAnsi="Tahoma" w:cs="Tahoma"/>
          <w:sz w:val="22"/>
          <w:szCs w:val="22"/>
        </w:rPr>
        <w:t xml:space="preserve"> </w:t>
      </w:r>
      <w:r w:rsidRPr="00F745E8">
        <w:rPr>
          <w:rFonts w:ascii="Tahoma" w:hAnsi="Tahoma" w:cs="Tahoma"/>
          <w:i/>
          <w:iCs/>
          <w:sz w:val="22"/>
          <w:szCs w:val="22"/>
        </w:rPr>
        <w:t>ζήτησης στο επόμενο τρίμηνο</w:t>
      </w:r>
      <w:r w:rsidRPr="00F745E8">
        <w:rPr>
          <w:rFonts w:ascii="Tahoma" w:hAnsi="Tahoma" w:cs="Tahoma"/>
          <w:sz w:val="22"/>
          <w:szCs w:val="22"/>
        </w:rPr>
        <w:t xml:space="preserve">, ο σχετικός δείκτης υποχωρεί και εδώ κατά 5 μονάδες σε αμφότερες τις ζώνες. </w:t>
      </w:r>
    </w:p>
    <w:p w:rsidR="00085DA8" w:rsidRPr="00F745E8" w:rsidRDefault="00085DA8" w:rsidP="00354DAC">
      <w:pPr>
        <w:ind w:right="-428"/>
        <w:jc w:val="center"/>
        <w:rPr>
          <w:rFonts w:ascii="Tahoma" w:hAnsi="Tahoma" w:cs="Tahoma"/>
          <w:b/>
          <w:bCs/>
          <w:color w:val="000080"/>
          <w:sz w:val="22"/>
          <w:szCs w:val="22"/>
        </w:rPr>
      </w:pPr>
    </w:p>
    <w:p w:rsidR="00085DA8" w:rsidRPr="00F745E8" w:rsidRDefault="00085DA8" w:rsidP="00354DAC">
      <w:pPr>
        <w:spacing w:line="288" w:lineRule="auto"/>
        <w:jc w:val="both"/>
        <w:rPr>
          <w:rFonts w:ascii="Tahoma" w:hAnsi="Tahoma" w:cs="Tahoma"/>
          <w:sz w:val="22"/>
          <w:szCs w:val="22"/>
        </w:rPr>
      </w:pPr>
      <w:r w:rsidRPr="00F745E8">
        <w:rPr>
          <w:rFonts w:ascii="Tahoma" w:hAnsi="Tahoma" w:cs="Tahoma"/>
          <w:sz w:val="22"/>
          <w:szCs w:val="22"/>
        </w:rPr>
        <w:t>Τέλος,</w:t>
      </w:r>
      <w:r>
        <w:rPr>
          <w:rFonts w:ascii="Tahoma" w:hAnsi="Tahoma" w:cs="Tahoma"/>
          <w:sz w:val="22"/>
          <w:szCs w:val="22"/>
        </w:rPr>
        <w:t xml:space="preserve"> σε</w:t>
      </w:r>
      <w:r w:rsidRPr="00F745E8">
        <w:rPr>
          <w:rFonts w:ascii="Tahoma" w:hAnsi="Tahoma" w:cs="Tahoma"/>
          <w:sz w:val="22"/>
          <w:szCs w:val="22"/>
        </w:rPr>
        <w:t xml:space="preserve"> έξι από τις επτά μεγαλύτερες ευρωπαϊκές χώρες, </w:t>
      </w:r>
      <w:r>
        <w:rPr>
          <w:rFonts w:ascii="Tahoma" w:hAnsi="Tahoma" w:cs="Tahoma"/>
          <w:sz w:val="22"/>
          <w:szCs w:val="22"/>
        </w:rPr>
        <w:t xml:space="preserve">σημειώνεται </w:t>
      </w:r>
      <w:r w:rsidRPr="00F745E8">
        <w:rPr>
          <w:rFonts w:ascii="Tahoma" w:hAnsi="Tahoma" w:cs="Tahoma"/>
          <w:sz w:val="22"/>
          <w:szCs w:val="22"/>
        </w:rPr>
        <w:t>βελτίωση του οικονομικού κλίματος τον Νοέμβριο. Έτσι, με εξαίρεση την Ολλανδία, όπου καταγράφεται επιδείνωση (-3,2), η άνοδος</w:t>
      </w:r>
      <w:r>
        <w:rPr>
          <w:rFonts w:ascii="Tahoma" w:hAnsi="Tahoma" w:cs="Tahoma"/>
          <w:sz w:val="22"/>
          <w:szCs w:val="22"/>
        </w:rPr>
        <w:t xml:space="preserve"> του κλίματος</w:t>
      </w:r>
      <w:r w:rsidRPr="00F745E8">
        <w:rPr>
          <w:rFonts w:ascii="Tahoma" w:hAnsi="Tahoma" w:cs="Tahoma"/>
          <w:sz w:val="22"/>
          <w:szCs w:val="22"/>
        </w:rPr>
        <w:t xml:space="preserve"> είναι εντονότερη στο Ην. Βασίλειο (+3,1), την Γερμανία (+2,3), την Πολωνία (+2,1) και την Γαλλία (+1,6) και ηπιότερη στην Ισπανία (+0,5) και την Ιταλία (+0,4). </w:t>
      </w:r>
    </w:p>
    <w:p w:rsidR="00085DA8" w:rsidRPr="00F745E8" w:rsidRDefault="00085DA8" w:rsidP="00354DAC">
      <w:pPr>
        <w:spacing w:after="200" w:line="276" w:lineRule="auto"/>
      </w:pPr>
      <w:r w:rsidRPr="00F745E8">
        <w:br w:type="page"/>
      </w:r>
    </w:p>
    <w:p w:rsidR="00085DA8" w:rsidRPr="00F745E8" w:rsidRDefault="00085DA8" w:rsidP="00354DAC">
      <w:pPr>
        <w:spacing w:line="288" w:lineRule="auto"/>
        <w:jc w:val="both"/>
        <w:rPr>
          <w:rFonts w:ascii="Tahoma" w:hAnsi="Tahoma" w:cs="Tahoma"/>
          <w:b/>
          <w:bCs/>
          <w:i/>
          <w:iCs/>
          <w:color w:val="008080"/>
          <w:sz w:val="22"/>
          <w:szCs w:val="22"/>
          <w:u w:val="single"/>
        </w:rPr>
      </w:pPr>
      <w:r w:rsidRPr="00F745E8">
        <w:rPr>
          <w:rFonts w:ascii="Tahoma" w:hAnsi="Tahoma" w:cs="Tahoma"/>
          <w:b/>
          <w:bCs/>
          <w:color w:val="008080"/>
          <w:sz w:val="22"/>
          <w:szCs w:val="22"/>
        </w:rPr>
        <w:t>β)</w:t>
      </w:r>
      <w:r w:rsidRPr="00F745E8">
        <w:rPr>
          <w:rFonts w:ascii="Tahoma" w:hAnsi="Tahoma" w:cs="Tahoma"/>
          <w:b/>
          <w:bCs/>
          <w:color w:val="008080"/>
          <w:sz w:val="22"/>
          <w:szCs w:val="22"/>
        </w:rPr>
        <w:tab/>
        <w:t xml:space="preserve">Ελλάδα: </w:t>
      </w:r>
      <w:r w:rsidRPr="00F745E8">
        <w:rPr>
          <w:rFonts w:ascii="Tahoma" w:hAnsi="Tahoma" w:cs="Tahoma"/>
          <w:b/>
          <w:bCs/>
          <w:i/>
          <w:iCs/>
          <w:color w:val="008080"/>
          <w:sz w:val="22"/>
          <w:szCs w:val="22"/>
          <w:u w:val="single"/>
        </w:rPr>
        <w:t xml:space="preserve">Βελτίωση στο οικονομικό κλίμα, </w:t>
      </w:r>
      <w:r>
        <w:rPr>
          <w:rFonts w:ascii="Tahoma" w:hAnsi="Tahoma" w:cs="Tahoma"/>
          <w:b/>
          <w:bCs/>
          <w:i/>
          <w:iCs/>
          <w:color w:val="008080"/>
          <w:sz w:val="22"/>
          <w:szCs w:val="22"/>
          <w:u w:val="single"/>
        </w:rPr>
        <w:t xml:space="preserve">άνοδος </w:t>
      </w:r>
      <w:r w:rsidRPr="00F745E8">
        <w:rPr>
          <w:rFonts w:ascii="Tahoma" w:hAnsi="Tahoma" w:cs="Tahoma"/>
          <w:b/>
          <w:bCs/>
          <w:i/>
          <w:iCs/>
          <w:color w:val="008080"/>
          <w:sz w:val="22"/>
          <w:szCs w:val="22"/>
          <w:u w:val="single"/>
        </w:rPr>
        <w:t>καταναλωτικής εμπιστοσύνης</w:t>
      </w:r>
    </w:p>
    <w:p w:rsidR="00085DA8" w:rsidRDefault="00085DA8" w:rsidP="00256FAF">
      <w:pPr>
        <w:spacing w:before="240" w:line="288" w:lineRule="auto"/>
        <w:jc w:val="both"/>
        <w:rPr>
          <w:rFonts w:ascii="Tahoma" w:hAnsi="Tahoma" w:cs="Tahoma"/>
          <w:sz w:val="22"/>
          <w:szCs w:val="22"/>
        </w:rPr>
      </w:pPr>
      <w:r w:rsidRPr="00F745E8">
        <w:rPr>
          <w:rFonts w:ascii="Tahoma" w:hAnsi="Tahoma" w:cs="Tahoma"/>
          <w:sz w:val="22"/>
          <w:szCs w:val="22"/>
        </w:rPr>
        <w:t xml:space="preserve">Ο </w:t>
      </w:r>
      <w:r w:rsidRPr="00F745E8">
        <w:rPr>
          <w:rFonts w:ascii="Tahoma" w:hAnsi="Tahoma" w:cs="Tahoma"/>
          <w:b/>
          <w:sz w:val="22"/>
          <w:szCs w:val="22"/>
        </w:rPr>
        <w:t>Δείκτης Οικονομικού Κλίματος στην Ελλάδα</w:t>
      </w:r>
      <w:r w:rsidRPr="00F745E8">
        <w:rPr>
          <w:rFonts w:ascii="Tahoma" w:hAnsi="Tahoma" w:cs="Tahoma"/>
          <w:sz w:val="22"/>
          <w:szCs w:val="22"/>
        </w:rPr>
        <w:t xml:space="preserve"> κινείται τον Νοέμβριο </w:t>
      </w:r>
      <w:r>
        <w:rPr>
          <w:rFonts w:ascii="Tahoma" w:hAnsi="Tahoma" w:cs="Tahoma"/>
          <w:sz w:val="22"/>
          <w:szCs w:val="22"/>
        </w:rPr>
        <w:t xml:space="preserve">ανοδικά, φθάνοντας </w:t>
      </w:r>
      <w:r w:rsidRPr="00F745E8">
        <w:rPr>
          <w:rFonts w:ascii="Tahoma" w:hAnsi="Tahoma" w:cs="Tahoma"/>
          <w:sz w:val="22"/>
          <w:szCs w:val="22"/>
        </w:rPr>
        <w:t>από τις 75,8 μονάδες τον προηγούμενο μήνα</w:t>
      </w:r>
      <w:r>
        <w:rPr>
          <w:rFonts w:ascii="Tahoma" w:hAnsi="Tahoma" w:cs="Tahoma"/>
          <w:sz w:val="22"/>
          <w:szCs w:val="22"/>
        </w:rPr>
        <w:t xml:space="preserve"> στις 79, επίπεδο που είναι το υψηλότερο των τελευταίων 20 μηνών</w:t>
      </w:r>
      <w:r w:rsidRPr="00F745E8">
        <w:rPr>
          <w:rFonts w:ascii="Tahoma" w:hAnsi="Tahoma" w:cs="Tahoma"/>
          <w:sz w:val="22"/>
          <w:szCs w:val="22"/>
        </w:rPr>
        <w:t xml:space="preserve">. Η </w:t>
      </w:r>
      <w:r>
        <w:rPr>
          <w:rFonts w:ascii="Tahoma" w:hAnsi="Tahoma" w:cs="Tahoma"/>
          <w:sz w:val="22"/>
          <w:szCs w:val="22"/>
        </w:rPr>
        <w:t xml:space="preserve">ενίσχυσή του προέρχεται κυρίως από τις λιγότερο απαισιόδοξες </w:t>
      </w:r>
      <w:r w:rsidRPr="00F745E8">
        <w:rPr>
          <w:rFonts w:ascii="Tahoma" w:hAnsi="Tahoma" w:cs="Tahoma"/>
          <w:sz w:val="22"/>
          <w:szCs w:val="22"/>
        </w:rPr>
        <w:t>προσδοκ</w:t>
      </w:r>
      <w:r>
        <w:rPr>
          <w:rFonts w:ascii="Tahoma" w:hAnsi="Tahoma" w:cs="Tahoma"/>
          <w:sz w:val="22"/>
          <w:szCs w:val="22"/>
        </w:rPr>
        <w:t xml:space="preserve">ίες </w:t>
      </w:r>
      <w:r w:rsidRPr="00F745E8">
        <w:rPr>
          <w:rFonts w:ascii="Tahoma" w:hAnsi="Tahoma" w:cs="Tahoma"/>
          <w:sz w:val="22"/>
          <w:szCs w:val="22"/>
        </w:rPr>
        <w:t>στο Λιανικό Εμπόριο και την καταναλωτική εμπιστοσύνη, με τις προσδοκίες στη Βιομηχανία και στις Υπηρεσίες να παραμένουν στα ίδια σχεδόν επίπεδα και στις Κατασκευές να εξασθενούν</w:t>
      </w:r>
      <w:r>
        <w:rPr>
          <w:rFonts w:ascii="Tahoma" w:hAnsi="Tahoma" w:cs="Tahoma"/>
          <w:sz w:val="22"/>
          <w:szCs w:val="22"/>
        </w:rPr>
        <w:t>.</w:t>
      </w:r>
      <w:r w:rsidRPr="00F745E8">
        <w:rPr>
          <w:rFonts w:ascii="Tahoma" w:hAnsi="Tahoma" w:cs="Tahoma"/>
          <w:sz w:val="22"/>
          <w:szCs w:val="22"/>
        </w:rPr>
        <w:t xml:space="preserve"> </w:t>
      </w:r>
      <w:r w:rsidRPr="00DB4CDD">
        <w:rPr>
          <w:rFonts w:ascii="Tahoma" w:hAnsi="Tahoma" w:cs="Tahoma"/>
          <w:b/>
          <w:sz w:val="22"/>
          <w:szCs w:val="22"/>
        </w:rPr>
        <w:t>Η βελτίωση αυτή φαίνεται να επιβεβαιώνει την εκτίμηση που είχε διατυπωθεί και σε προηγούμενα δελτία ότι οι πολύ χαμηλές προσδοκίες που αποτυπώνονταν τους προηγούμενους μήνες οφείλονταν σε μεγάλο βαθμό και στις παρατεταμένες διαπραγματεύσεις με την τρόικα και την αβεβαιότητα ως προς την έκβασή τους. Η ψήφιση των νέων μέτρων από την Ελληνική  Βουλή, παρ</w:t>
      </w:r>
      <w:r>
        <w:rPr>
          <w:rFonts w:ascii="Tahoma" w:hAnsi="Tahoma" w:cs="Tahoma"/>
          <w:b/>
          <w:sz w:val="22"/>
          <w:szCs w:val="22"/>
        </w:rPr>
        <w:t xml:space="preserve">ά </w:t>
      </w:r>
      <w:r w:rsidRPr="00DB4CDD">
        <w:rPr>
          <w:rFonts w:ascii="Tahoma" w:hAnsi="Tahoma" w:cs="Tahoma"/>
          <w:b/>
          <w:sz w:val="22"/>
          <w:szCs w:val="22"/>
        </w:rPr>
        <w:t xml:space="preserve">τις </w:t>
      </w:r>
      <w:r>
        <w:rPr>
          <w:rFonts w:ascii="Tahoma" w:hAnsi="Tahoma" w:cs="Tahoma"/>
          <w:b/>
          <w:sz w:val="22"/>
          <w:szCs w:val="22"/>
        </w:rPr>
        <w:t xml:space="preserve">σημαντικές </w:t>
      </w:r>
      <w:r w:rsidRPr="00DB4CDD">
        <w:rPr>
          <w:rFonts w:ascii="Tahoma" w:hAnsi="Tahoma" w:cs="Tahoma"/>
          <w:b/>
          <w:sz w:val="22"/>
          <w:szCs w:val="22"/>
        </w:rPr>
        <w:t xml:space="preserve">επιβαρύνσεις που </w:t>
      </w:r>
      <w:r>
        <w:rPr>
          <w:rFonts w:ascii="Tahoma" w:hAnsi="Tahoma" w:cs="Tahoma"/>
          <w:b/>
          <w:sz w:val="22"/>
          <w:szCs w:val="22"/>
        </w:rPr>
        <w:t>επιφέρουν</w:t>
      </w:r>
      <w:r w:rsidRPr="00DB4CDD">
        <w:rPr>
          <w:rFonts w:ascii="Tahoma" w:hAnsi="Tahoma" w:cs="Tahoma"/>
          <w:b/>
          <w:sz w:val="22"/>
          <w:szCs w:val="22"/>
        </w:rPr>
        <w:t xml:space="preserve"> </w:t>
      </w:r>
      <w:r>
        <w:rPr>
          <w:rFonts w:ascii="Tahoma" w:hAnsi="Tahoma" w:cs="Tahoma"/>
          <w:b/>
          <w:sz w:val="22"/>
          <w:szCs w:val="22"/>
        </w:rPr>
        <w:t>σε</w:t>
      </w:r>
      <w:r w:rsidRPr="00DB4CDD">
        <w:rPr>
          <w:rFonts w:ascii="Tahoma" w:hAnsi="Tahoma" w:cs="Tahoma"/>
          <w:b/>
          <w:sz w:val="22"/>
          <w:szCs w:val="22"/>
        </w:rPr>
        <w:t xml:space="preserve"> μεγάλα τμήματα του πληθυσμού, φαίνεται να </w:t>
      </w:r>
      <w:r>
        <w:rPr>
          <w:rFonts w:ascii="Tahoma" w:hAnsi="Tahoma" w:cs="Tahoma"/>
          <w:b/>
          <w:sz w:val="22"/>
          <w:szCs w:val="22"/>
        </w:rPr>
        <w:t>επενέργησε ως ένα βαθμό καθησυχαστικά</w:t>
      </w:r>
      <w:r w:rsidRPr="00DB4CDD">
        <w:rPr>
          <w:rFonts w:ascii="Tahoma" w:hAnsi="Tahoma" w:cs="Tahoma"/>
          <w:b/>
          <w:sz w:val="22"/>
          <w:szCs w:val="22"/>
        </w:rPr>
        <w:t>, καθώς αίρει κάποιες από τις αβεβαιότητες</w:t>
      </w:r>
      <w:r>
        <w:rPr>
          <w:rFonts w:ascii="Tahoma" w:hAnsi="Tahoma" w:cs="Tahoma"/>
          <w:b/>
          <w:sz w:val="22"/>
          <w:szCs w:val="22"/>
        </w:rPr>
        <w:t>. Επίσης,</w:t>
      </w:r>
      <w:r w:rsidRPr="00DB4CDD">
        <w:rPr>
          <w:rFonts w:ascii="Tahoma" w:hAnsi="Tahoma" w:cs="Tahoma"/>
          <w:b/>
          <w:sz w:val="22"/>
          <w:szCs w:val="22"/>
        </w:rPr>
        <w:t xml:space="preserve"> πρέπει να σημειωθεί ότι στην έρευνα δεν έχει ενσωματωθεί το αποτέλεσμα των διαβουλεύσεων στο πιο πρόσφατο Eurogroup.</w:t>
      </w:r>
      <w:r w:rsidRPr="00F745E8">
        <w:rPr>
          <w:rFonts w:ascii="Tahoma" w:hAnsi="Tahoma" w:cs="Tahoma"/>
          <w:sz w:val="22"/>
          <w:szCs w:val="22"/>
        </w:rPr>
        <w:t xml:space="preserve"> Αναλυτικότερα</w:t>
      </w:r>
      <w:r w:rsidRPr="00682C47">
        <w:rPr>
          <w:rFonts w:ascii="Tahoma" w:hAnsi="Tahoma" w:cs="Tahoma"/>
          <w:sz w:val="22"/>
          <w:szCs w:val="22"/>
        </w:rPr>
        <w:t>:</w:t>
      </w:r>
    </w:p>
    <w:p w:rsidR="00085DA8" w:rsidRPr="00F745E8" w:rsidRDefault="00085DA8" w:rsidP="00354DAC">
      <w:pPr>
        <w:numPr>
          <w:ilvl w:val="0"/>
          <w:numId w:val="3"/>
        </w:numPr>
        <w:tabs>
          <w:tab w:val="clear" w:pos="720"/>
          <w:tab w:val="num" w:pos="363"/>
        </w:tabs>
        <w:spacing w:before="120" w:line="288" w:lineRule="auto"/>
        <w:ind w:left="360" w:hanging="357"/>
        <w:jc w:val="both"/>
        <w:rPr>
          <w:rFonts w:ascii="Tahoma" w:hAnsi="Tahoma" w:cs="Tahoma"/>
          <w:sz w:val="22"/>
          <w:szCs w:val="22"/>
        </w:rPr>
      </w:pPr>
      <w:r w:rsidRPr="00F745E8">
        <w:rPr>
          <w:rFonts w:ascii="Tahoma" w:hAnsi="Tahoma" w:cs="Tahoma"/>
          <w:sz w:val="22"/>
          <w:szCs w:val="22"/>
        </w:rPr>
        <w:t xml:space="preserve">στη </w:t>
      </w:r>
      <w:r w:rsidRPr="00F745E8">
        <w:rPr>
          <w:rFonts w:ascii="Tahoma" w:hAnsi="Tahoma" w:cs="Tahoma"/>
          <w:b/>
          <w:bCs/>
          <w:sz w:val="22"/>
          <w:szCs w:val="22"/>
        </w:rPr>
        <w:t>Βιομηχανία</w:t>
      </w:r>
      <w:r w:rsidRPr="00F745E8">
        <w:rPr>
          <w:rFonts w:ascii="Tahoma" w:hAnsi="Tahoma" w:cs="Tahoma"/>
          <w:sz w:val="22"/>
          <w:szCs w:val="22"/>
        </w:rPr>
        <w:t xml:space="preserve">, οριακή βελτίωση καταγράφουν οι </w:t>
      </w:r>
      <w:r w:rsidRPr="00F745E8">
        <w:rPr>
          <w:rFonts w:ascii="Tahoma" w:hAnsi="Tahoma" w:cs="Tahoma"/>
          <w:i/>
          <w:iCs/>
          <w:sz w:val="22"/>
          <w:szCs w:val="22"/>
        </w:rPr>
        <w:t>προβλέψεις για τη βραχυπρόθεσμη εξέλιξη της παραγωγής</w:t>
      </w:r>
      <w:r w:rsidRPr="00F745E8">
        <w:rPr>
          <w:rFonts w:ascii="Tahoma" w:hAnsi="Tahoma" w:cs="Tahoma"/>
          <w:sz w:val="22"/>
          <w:szCs w:val="22"/>
        </w:rPr>
        <w:t xml:space="preserve">, η οποία αντισταθμίζεται από την επίσης οριακή πτώση στις </w:t>
      </w:r>
      <w:r w:rsidRPr="00F745E8">
        <w:rPr>
          <w:rFonts w:ascii="Tahoma" w:hAnsi="Tahoma" w:cs="Tahoma"/>
          <w:i/>
          <w:iCs/>
          <w:sz w:val="22"/>
          <w:szCs w:val="22"/>
        </w:rPr>
        <w:t>εκτιμήσεις των επιχειρήσεων για το τρέχον επίπεδο παραγγελιών και ζήτησης</w:t>
      </w:r>
      <w:r w:rsidRPr="00F745E8">
        <w:rPr>
          <w:rFonts w:ascii="Tahoma" w:hAnsi="Tahoma" w:cs="Tahoma"/>
          <w:sz w:val="22"/>
          <w:szCs w:val="22"/>
        </w:rPr>
        <w:t xml:space="preserve">, με τα εκτιμημένα </w:t>
      </w:r>
      <w:r w:rsidRPr="00F745E8">
        <w:rPr>
          <w:rFonts w:ascii="Tahoma" w:hAnsi="Tahoma" w:cs="Tahoma"/>
          <w:i/>
          <w:sz w:val="22"/>
          <w:szCs w:val="22"/>
        </w:rPr>
        <w:t xml:space="preserve">αποθέματα </w:t>
      </w:r>
      <w:r w:rsidRPr="00F745E8">
        <w:rPr>
          <w:rFonts w:ascii="Tahoma" w:hAnsi="Tahoma" w:cs="Tahoma"/>
          <w:sz w:val="22"/>
          <w:szCs w:val="22"/>
        </w:rPr>
        <w:t>να μην μεταβάλλονται.</w:t>
      </w:r>
    </w:p>
    <w:p w:rsidR="00085DA8" w:rsidRPr="00F745E8" w:rsidRDefault="00085DA8" w:rsidP="00354DAC">
      <w:pPr>
        <w:numPr>
          <w:ilvl w:val="0"/>
          <w:numId w:val="3"/>
        </w:numPr>
        <w:tabs>
          <w:tab w:val="clear" w:pos="720"/>
          <w:tab w:val="num" w:pos="363"/>
        </w:tabs>
        <w:spacing w:before="120" w:line="288" w:lineRule="auto"/>
        <w:ind w:left="363"/>
        <w:jc w:val="both"/>
        <w:rPr>
          <w:rFonts w:ascii="Tahoma" w:hAnsi="Tahoma" w:cs="Tahoma"/>
          <w:sz w:val="22"/>
          <w:szCs w:val="22"/>
        </w:rPr>
      </w:pPr>
      <w:r w:rsidRPr="00F745E8">
        <w:rPr>
          <w:rFonts w:ascii="Tahoma" w:hAnsi="Tahoma" w:cs="Tahoma"/>
          <w:sz w:val="22"/>
          <w:szCs w:val="22"/>
        </w:rPr>
        <w:t xml:space="preserve">στις </w:t>
      </w:r>
      <w:r w:rsidRPr="00F745E8">
        <w:rPr>
          <w:rFonts w:ascii="Tahoma" w:hAnsi="Tahoma" w:cs="Tahoma"/>
          <w:b/>
          <w:bCs/>
          <w:sz w:val="22"/>
          <w:szCs w:val="22"/>
        </w:rPr>
        <w:t>Υπηρεσίες</w:t>
      </w:r>
      <w:r w:rsidRPr="00F745E8">
        <w:rPr>
          <w:rFonts w:ascii="Tahoma" w:hAnsi="Tahoma" w:cs="Tahoma"/>
          <w:sz w:val="22"/>
          <w:szCs w:val="22"/>
        </w:rPr>
        <w:t xml:space="preserve">, οι </w:t>
      </w:r>
      <w:r w:rsidRPr="00F745E8">
        <w:rPr>
          <w:rFonts w:ascii="Tahoma" w:hAnsi="Tahoma" w:cs="Tahoma"/>
          <w:i/>
          <w:iCs/>
          <w:sz w:val="22"/>
          <w:szCs w:val="22"/>
        </w:rPr>
        <w:t>εκτιμήσεις των επιχειρήσεων για την τρέχουσα δραστηριότητά τους</w:t>
      </w:r>
      <w:r w:rsidRPr="00F745E8">
        <w:rPr>
          <w:rFonts w:ascii="Tahoma" w:hAnsi="Tahoma" w:cs="Tahoma"/>
          <w:iCs/>
          <w:sz w:val="22"/>
          <w:szCs w:val="22"/>
        </w:rPr>
        <w:t xml:space="preserve"> βελτιώνονται, εξέλιξη η οποία όμως αντισταθμίζεται από την πτώση του δείκτη των </w:t>
      </w:r>
      <w:r w:rsidRPr="00F745E8">
        <w:rPr>
          <w:rFonts w:ascii="Tahoma" w:hAnsi="Tahoma" w:cs="Tahoma"/>
          <w:i/>
          <w:sz w:val="22"/>
          <w:szCs w:val="22"/>
        </w:rPr>
        <w:t>προβλέψεων</w:t>
      </w:r>
      <w:r w:rsidRPr="00F745E8">
        <w:rPr>
          <w:rFonts w:ascii="Tahoma" w:hAnsi="Tahoma" w:cs="Tahoma"/>
          <w:sz w:val="22"/>
          <w:szCs w:val="22"/>
        </w:rPr>
        <w:t xml:space="preserve"> </w:t>
      </w:r>
      <w:r w:rsidRPr="00F745E8">
        <w:rPr>
          <w:rFonts w:ascii="Tahoma" w:hAnsi="Tahoma" w:cs="Tahoma"/>
          <w:i/>
          <w:iCs/>
          <w:sz w:val="22"/>
          <w:szCs w:val="22"/>
        </w:rPr>
        <w:t>για τη ζήτηση</w:t>
      </w:r>
      <w:r w:rsidRPr="00F745E8">
        <w:rPr>
          <w:rFonts w:ascii="Tahoma" w:hAnsi="Tahoma" w:cs="Tahoma"/>
          <w:sz w:val="22"/>
          <w:szCs w:val="22"/>
        </w:rPr>
        <w:t xml:space="preserve"> του τομέα. Τέλος, οι εκτιμήσεις για την </w:t>
      </w:r>
      <w:r w:rsidRPr="00F745E8">
        <w:rPr>
          <w:rFonts w:ascii="Tahoma" w:hAnsi="Tahoma" w:cs="Tahoma"/>
          <w:i/>
          <w:sz w:val="22"/>
          <w:szCs w:val="22"/>
        </w:rPr>
        <w:t>τρέχουσα ζήτηση</w:t>
      </w:r>
      <w:r w:rsidRPr="00F745E8">
        <w:rPr>
          <w:rFonts w:ascii="Tahoma" w:hAnsi="Tahoma" w:cs="Tahoma"/>
          <w:sz w:val="22"/>
          <w:szCs w:val="22"/>
        </w:rPr>
        <w:t xml:space="preserve"> παραμένουν στα ίδια επίπεδα.</w:t>
      </w:r>
    </w:p>
    <w:p w:rsidR="00085DA8" w:rsidRPr="00F745E8" w:rsidRDefault="00085DA8" w:rsidP="00354DAC">
      <w:pPr>
        <w:numPr>
          <w:ilvl w:val="0"/>
          <w:numId w:val="3"/>
        </w:numPr>
        <w:tabs>
          <w:tab w:val="clear" w:pos="720"/>
          <w:tab w:val="num" w:pos="363"/>
        </w:tabs>
        <w:spacing w:before="120" w:line="288" w:lineRule="auto"/>
        <w:ind w:left="363"/>
        <w:jc w:val="both"/>
        <w:rPr>
          <w:rFonts w:ascii="Tahoma" w:hAnsi="Tahoma" w:cs="Tahoma"/>
          <w:sz w:val="22"/>
          <w:szCs w:val="22"/>
        </w:rPr>
      </w:pPr>
      <w:r w:rsidRPr="00F745E8">
        <w:rPr>
          <w:rFonts w:ascii="Tahoma" w:hAnsi="Tahoma" w:cs="Tahoma"/>
          <w:sz w:val="22"/>
          <w:szCs w:val="22"/>
        </w:rPr>
        <w:t xml:space="preserve">στο </w:t>
      </w:r>
      <w:r w:rsidRPr="00F745E8">
        <w:rPr>
          <w:rFonts w:ascii="Tahoma" w:hAnsi="Tahoma" w:cs="Tahoma"/>
          <w:b/>
          <w:bCs/>
          <w:sz w:val="22"/>
          <w:szCs w:val="22"/>
        </w:rPr>
        <w:t>Λιανικό Εμπόριο</w:t>
      </w:r>
      <w:r w:rsidRPr="00F745E8">
        <w:rPr>
          <w:rFonts w:ascii="Tahoma" w:hAnsi="Tahoma" w:cs="Tahoma"/>
          <w:sz w:val="22"/>
          <w:szCs w:val="22"/>
        </w:rPr>
        <w:t xml:space="preserve">, ο δείκτης των </w:t>
      </w:r>
      <w:r w:rsidRPr="00F745E8">
        <w:rPr>
          <w:rFonts w:ascii="Tahoma" w:hAnsi="Tahoma" w:cs="Tahoma"/>
          <w:i/>
          <w:iCs/>
          <w:sz w:val="22"/>
          <w:szCs w:val="22"/>
        </w:rPr>
        <w:t xml:space="preserve">εκτιμήσεων των επιχειρήσεων για τις τρέχουσες πωλήσεις </w:t>
      </w:r>
      <w:r w:rsidRPr="00F745E8">
        <w:rPr>
          <w:rFonts w:ascii="Tahoma" w:hAnsi="Tahoma" w:cs="Tahoma"/>
          <w:sz w:val="22"/>
          <w:szCs w:val="22"/>
        </w:rPr>
        <w:t xml:space="preserve">βελτιώνεται, εξέλιξη ανάλογη με τις </w:t>
      </w:r>
      <w:r w:rsidRPr="00F745E8">
        <w:rPr>
          <w:rFonts w:ascii="Tahoma" w:hAnsi="Tahoma" w:cs="Tahoma"/>
          <w:i/>
          <w:iCs/>
          <w:sz w:val="22"/>
          <w:szCs w:val="22"/>
        </w:rPr>
        <w:t>προβλέψεις για τις βραχυπρόθεσμες προοπτικές των πωλήσεων</w:t>
      </w:r>
      <w:r w:rsidRPr="00F745E8">
        <w:rPr>
          <w:rFonts w:ascii="Tahoma" w:hAnsi="Tahoma" w:cs="Tahoma"/>
          <w:sz w:val="22"/>
          <w:szCs w:val="22"/>
        </w:rPr>
        <w:t xml:space="preserve">, όταν οι </w:t>
      </w:r>
      <w:r w:rsidRPr="00F745E8">
        <w:rPr>
          <w:rFonts w:ascii="Tahoma" w:hAnsi="Tahoma" w:cs="Tahoma"/>
          <w:i/>
          <w:iCs/>
          <w:sz w:val="22"/>
          <w:szCs w:val="22"/>
        </w:rPr>
        <w:t>εκτιμήσεις για τα</w:t>
      </w:r>
      <w:r w:rsidRPr="00F745E8">
        <w:rPr>
          <w:rFonts w:ascii="Tahoma" w:hAnsi="Tahoma" w:cs="Tahoma"/>
          <w:sz w:val="22"/>
          <w:szCs w:val="22"/>
        </w:rPr>
        <w:t xml:space="preserve"> </w:t>
      </w:r>
      <w:r w:rsidRPr="00F745E8">
        <w:rPr>
          <w:rFonts w:ascii="Tahoma" w:hAnsi="Tahoma" w:cs="Tahoma"/>
          <w:i/>
          <w:iCs/>
          <w:sz w:val="22"/>
          <w:szCs w:val="22"/>
        </w:rPr>
        <w:t>αποθέματα</w:t>
      </w:r>
      <w:r w:rsidRPr="00F745E8">
        <w:rPr>
          <w:rFonts w:ascii="Tahoma" w:hAnsi="Tahoma" w:cs="Tahoma"/>
          <w:sz w:val="22"/>
          <w:szCs w:val="22"/>
        </w:rPr>
        <w:t xml:space="preserve"> κλιμακώνονται.</w:t>
      </w:r>
    </w:p>
    <w:p w:rsidR="00085DA8" w:rsidRPr="00F745E8" w:rsidRDefault="00085DA8" w:rsidP="00354DAC">
      <w:pPr>
        <w:numPr>
          <w:ilvl w:val="0"/>
          <w:numId w:val="3"/>
        </w:numPr>
        <w:tabs>
          <w:tab w:val="clear" w:pos="720"/>
          <w:tab w:val="num" w:pos="363"/>
        </w:tabs>
        <w:spacing w:before="120" w:line="288" w:lineRule="auto"/>
        <w:ind w:left="363"/>
        <w:jc w:val="both"/>
        <w:rPr>
          <w:rFonts w:ascii="Tahoma" w:hAnsi="Tahoma" w:cs="Tahoma"/>
          <w:sz w:val="22"/>
          <w:szCs w:val="22"/>
        </w:rPr>
      </w:pPr>
      <w:r w:rsidRPr="00F745E8">
        <w:rPr>
          <w:rFonts w:ascii="Tahoma" w:hAnsi="Tahoma" w:cs="Tahoma"/>
          <w:sz w:val="22"/>
          <w:szCs w:val="22"/>
        </w:rPr>
        <w:t xml:space="preserve">στις </w:t>
      </w:r>
      <w:r w:rsidRPr="00F745E8">
        <w:rPr>
          <w:rFonts w:ascii="Tahoma" w:hAnsi="Tahoma" w:cs="Tahoma"/>
          <w:b/>
          <w:bCs/>
          <w:sz w:val="22"/>
          <w:szCs w:val="22"/>
        </w:rPr>
        <w:t>Κατασκευές</w:t>
      </w:r>
      <w:r w:rsidRPr="00F745E8">
        <w:rPr>
          <w:rFonts w:ascii="Tahoma" w:hAnsi="Tahoma" w:cs="Tahoma"/>
          <w:sz w:val="22"/>
          <w:szCs w:val="22"/>
        </w:rPr>
        <w:t xml:space="preserve">, οι δυσμενείς </w:t>
      </w:r>
      <w:r w:rsidRPr="00F745E8">
        <w:rPr>
          <w:rFonts w:ascii="Tahoma" w:hAnsi="Tahoma" w:cs="Tahoma"/>
          <w:i/>
          <w:iCs/>
          <w:sz w:val="22"/>
          <w:szCs w:val="22"/>
        </w:rPr>
        <w:t>προβλέψεις για το πρόγραμμα εργασιών</w:t>
      </w:r>
      <w:r w:rsidRPr="00F745E8">
        <w:rPr>
          <w:rFonts w:ascii="Tahoma" w:hAnsi="Tahoma" w:cs="Tahoma"/>
          <w:sz w:val="22"/>
          <w:szCs w:val="22"/>
        </w:rPr>
        <w:t xml:space="preserve"> </w:t>
      </w:r>
      <w:r w:rsidRPr="00F745E8">
        <w:rPr>
          <w:rFonts w:ascii="Tahoma" w:hAnsi="Tahoma" w:cs="Tahoma"/>
          <w:i/>
          <w:sz w:val="22"/>
          <w:szCs w:val="22"/>
        </w:rPr>
        <w:t>των επιχειρήσεων</w:t>
      </w:r>
      <w:r w:rsidRPr="00F745E8">
        <w:rPr>
          <w:rFonts w:ascii="Tahoma" w:hAnsi="Tahoma" w:cs="Tahoma"/>
          <w:sz w:val="22"/>
          <w:szCs w:val="22"/>
        </w:rPr>
        <w:t xml:space="preserve"> εξομαλύνονται, αλλά η αρνητική μεταβολή στις </w:t>
      </w:r>
      <w:r w:rsidRPr="00F745E8">
        <w:rPr>
          <w:rFonts w:ascii="Tahoma" w:hAnsi="Tahoma" w:cs="Tahoma"/>
          <w:i/>
          <w:iCs/>
          <w:sz w:val="22"/>
          <w:szCs w:val="22"/>
        </w:rPr>
        <w:t>προσδοκίες για την απασχόληση</w:t>
      </w:r>
      <w:r w:rsidRPr="00F745E8">
        <w:rPr>
          <w:rFonts w:ascii="Tahoma" w:hAnsi="Tahoma" w:cs="Tahoma"/>
          <w:sz w:val="22"/>
          <w:szCs w:val="22"/>
        </w:rPr>
        <w:t xml:space="preserve"> του τομέα, ωθεί τελικά το δείκτη προς τα κάτω.</w:t>
      </w:r>
    </w:p>
    <w:p w:rsidR="00085DA8" w:rsidRPr="00F745E8" w:rsidRDefault="00085DA8" w:rsidP="00354DAC">
      <w:pPr>
        <w:numPr>
          <w:ilvl w:val="0"/>
          <w:numId w:val="3"/>
        </w:numPr>
        <w:tabs>
          <w:tab w:val="clear" w:pos="720"/>
          <w:tab w:val="num" w:pos="363"/>
        </w:tabs>
        <w:spacing w:before="120" w:line="288" w:lineRule="auto"/>
        <w:ind w:left="363"/>
        <w:jc w:val="both"/>
      </w:pPr>
      <w:r w:rsidRPr="00F745E8">
        <w:rPr>
          <w:rFonts w:ascii="Tahoma" w:hAnsi="Tahoma" w:cs="Tahoma"/>
          <w:sz w:val="22"/>
          <w:szCs w:val="22"/>
        </w:rPr>
        <w:t xml:space="preserve">στην </w:t>
      </w:r>
      <w:r w:rsidRPr="00F745E8">
        <w:rPr>
          <w:rFonts w:ascii="Tahoma" w:hAnsi="Tahoma" w:cs="Tahoma"/>
          <w:b/>
          <w:bCs/>
          <w:sz w:val="22"/>
          <w:szCs w:val="22"/>
        </w:rPr>
        <w:t>Καταναλωτική Εμπιστοσύνη</w:t>
      </w:r>
      <w:r w:rsidRPr="00F745E8">
        <w:rPr>
          <w:rFonts w:ascii="Tahoma" w:hAnsi="Tahoma" w:cs="Tahoma"/>
          <w:sz w:val="22"/>
          <w:szCs w:val="22"/>
        </w:rPr>
        <w:t xml:space="preserve">, οι αρνητικές προβλέψεις για την </w:t>
      </w:r>
      <w:r w:rsidRPr="00F745E8">
        <w:rPr>
          <w:rFonts w:ascii="Tahoma" w:hAnsi="Tahoma" w:cs="Tahoma"/>
          <w:i/>
          <w:iCs/>
          <w:sz w:val="22"/>
          <w:szCs w:val="22"/>
        </w:rPr>
        <w:t>οικονομική κατάσταση του νοικοκυριού</w:t>
      </w:r>
      <w:r w:rsidRPr="00F745E8">
        <w:rPr>
          <w:rFonts w:ascii="Tahoma" w:hAnsi="Tahoma" w:cs="Tahoma"/>
          <w:sz w:val="22"/>
          <w:szCs w:val="22"/>
        </w:rPr>
        <w:t xml:space="preserve"> αμβλύνονται περαιτέρω, ενώ αντίθετα οι αντίστοιχες για την </w:t>
      </w:r>
      <w:r w:rsidRPr="00F745E8">
        <w:rPr>
          <w:rFonts w:ascii="Tahoma" w:hAnsi="Tahoma" w:cs="Tahoma"/>
          <w:i/>
          <w:iCs/>
          <w:sz w:val="22"/>
          <w:szCs w:val="22"/>
        </w:rPr>
        <w:t>οικονομική κατάσταση της χώρας</w:t>
      </w:r>
      <w:r w:rsidRPr="00F745E8">
        <w:rPr>
          <w:rFonts w:ascii="Tahoma" w:hAnsi="Tahoma" w:cs="Tahoma"/>
          <w:sz w:val="22"/>
          <w:szCs w:val="22"/>
        </w:rPr>
        <w:t xml:space="preserve"> επιδεινώνονται οριακά. Σημαντική άνοδος σημειώνεται στην ιστορικά χαμηλή </w:t>
      </w:r>
      <w:r w:rsidRPr="00F745E8">
        <w:rPr>
          <w:rFonts w:ascii="Tahoma" w:hAnsi="Tahoma" w:cs="Tahoma"/>
          <w:i/>
          <w:iCs/>
          <w:sz w:val="22"/>
          <w:szCs w:val="22"/>
        </w:rPr>
        <w:t>πρόθεση για αποταμίευση</w:t>
      </w:r>
      <w:r w:rsidRPr="00F745E8">
        <w:rPr>
          <w:rFonts w:ascii="Tahoma" w:hAnsi="Tahoma" w:cs="Tahoma"/>
          <w:sz w:val="22"/>
          <w:szCs w:val="22"/>
        </w:rPr>
        <w:t xml:space="preserve"> το επόμενο 12μηνο</w:t>
      </w:r>
      <w:r>
        <w:rPr>
          <w:rFonts w:ascii="Tahoma" w:hAnsi="Tahoma" w:cs="Tahoma"/>
          <w:sz w:val="22"/>
          <w:szCs w:val="22"/>
        </w:rPr>
        <w:t xml:space="preserve">, ενώ καταγράφεται ταυτόχρονα </w:t>
      </w:r>
      <w:r w:rsidRPr="00F745E8">
        <w:rPr>
          <w:rFonts w:ascii="Tahoma" w:hAnsi="Tahoma" w:cs="Tahoma"/>
          <w:sz w:val="22"/>
          <w:szCs w:val="22"/>
        </w:rPr>
        <w:t xml:space="preserve">ήπια άρση των δυσμενών </w:t>
      </w:r>
      <w:r w:rsidRPr="00F745E8">
        <w:rPr>
          <w:rFonts w:ascii="Tahoma" w:hAnsi="Tahoma" w:cs="Tahoma"/>
          <w:i/>
          <w:iCs/>
          <w:sz w:val="22"/>
          <w:szCs w:val="22"/>
        </w:rPr>
        <w:t>προβλέψεων για την εξέλιξη της ανεργίας.</w:t>
      </w:r>
    </w:p>
    <w:p w:rsidR="00085DA8" w:rsidRPr="00F745E8" w:rsidRDefault="00085DA8" w:rsidP="00354DAC"/>
    <w:p w:rsidR="00085DA8" w:rsidRPr="00F745E8" w:rsidRDefault="00085DA8" w:rsidP="000635AD">
      <w:pPr>
        <w:spacing w:line="288" w:lineRule="auto"/>
        <w:jc w:val="both"/>
        <w:rPr>
          <w:rFonts w:ascii="Tahoma" w:hAnsi="Tahoma" w:cs="Tahoma"/>
        </w:rPr>
      </w:pPr>
      <w:r w:rsidRPr="00F745E8">
        <w:rPr>
          <w:rFonts w:ascii="Tahoma" w:hAnsi="Tahoma"/>
          <w:b/>
          <w:color w:val="800000"/>
        </w:rPr>
        <w:br w:type="page"/>
      </w:r>
      <w:r w:rsidRPr="00F745E8">
        <w:rPr>
          <w:rFonts w:ascii="Tahoma" w:hAnsi="Tahoma"/>
          <w:b/>
          <w:color w:val="800000"/>
        </w:rPr>
        <w:lastRenderedPageBreak/>
        <w:t>Β. ΒΙΟΜΗΧΑΝΙΑ - ΚΑΤΑΣΚΕΥΕΣ - ΛΙΑΝΙΚΟ ΕΜΠΟΡΙΟ - ΥΠΗΡΕΣΙΕΣ</w:t>
      </w:r>
      <w:r w:rsidRPr="00F745E8">
        <w:rPr>
          <w:rFonts w:ascii="Tahoma" w:hAnsi="Tahoma"/>
          <w:b/>
          <w:color w:val="993300"/>
        </w:rPr>
        <w:t xml:space="preserve"> </w:t>
      </w:r>
    </w:p>
    <w:p w:rsidR="00085DA8" w:rsidRPr="00F745E8" w:rsidRDefault="00085DA8" w:rsidP="000635AD">
      <w:pPr>
        <w:spacing w:before="240" w:after="240" w:line="288" w:lineRule="auto"/>
        <w:rPr>
          <w:rFonts w:ascii="Tahoma" w:hAnsi="Tahoma"/>
          <w:b/>
          <w:sz w:val="22"/>
          <w:szCs w:val="22"/>
        </w:rPr>
      </w:pPr>
      <w:r w:rsidRPr="00F745E8">
        <w:rPr>
          <w:rFonts w:ascii="Tahoma" w:hAnsi="Tahoma" w:cs="Tahoma"/>
          <w:b/>
          <w:sz w:val="22"/>
          <w:szCs w:val="22"/>
        </w:rPr>
        <w:t xml:space="preserve">ΝΟΕΜΒΡΙΟΣ </w:t>
      </w:r>
      <w:r w:rsidRPr="00F745E8">
        <w:rPr>
          <w:rFonts w:ascii="Tahoma" w:hAnsi="Tahoma"/>
          <w:b/>
          <w:sz w:val="22"/>
          <w:szCs w:val="22"/>
        </w:rPr>
        <w:t>2012</w:t>
      </w:r>
    </w:p>
    <w:p w:rsidR="00085DA8" w:rsidRPr="00F745E8" w:rsidRDefault="00085DA8" w:rsidP="00354DAC">
      <w:pPr>
        <w:numPr>
          <w:ilvl w:val="0"/>
          <w:numId w:val="2"/>
        </w:numPr>
        <w:shd w:val="clear" w:color="auto" w:fill="D9D9D9"/>
        <w:tabs>
          <w:tab w:val="num" w:pos="426"/>
          <w:tab w:val="left" w:pos="567"/>
        </w:tabs>
        <w:spacing w:before="120" w:after="120" w:line="288" w:lineRule="auto"/>
        <w:ind w:hanging="720"/>
        <w:jc w:val="both"/>
        <w:rPr>
          <w:rFonts w:ascii="Tahoma" w:hAnsi="Tahoma" w:cs="Tahoma"/>
          <w:b/>
          <w:bCs/>
          <w:caps/>
          <w:sz w:val="22"/>
          <w:szCs w:val="22"/>
          <w:u w:val="single"/>
        </w:rPr>
      </w:pPr>
      <w:r w:rsidRPr="00F745E8">
        <w:rPr>
          <w:rFonts w:ascii="Tahoma" w:hAnsi="Tahoma" w:cs="Tahoma"/>
          <w:b/>
          <w:bCs/>
          <w:caps/>
          <w:sz w:val="22"/>
          <w:szCs w:val="22"/>
        </w:rPr>
        <w:t>ΒιομηχανΙα:</w:t>
      </w:r>
      <w:r w:rsidRPr="00F745E8">
        <w:rPr>
          <w:rFonts w:ascii="Tahoma" w:hAnsi="Tahoma" w:cs="Tahoma"/>
          <w:b/>
          <w:bCs/>
          <w:i/>
          <w:iCs/>
          <w:sz w:val="22"/>
          <w:szCs w:val="22"/>
        </w:rPr>
        <w:t xml:space="preserve"> Σταθερές οι επιχειρηματικές προσδοκίες, ηπιότερη πτώση της παραγωγής</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Ο Δείκτης Επιχειρηματικών Προσδοκιών στη </w:t>
      </w:r>
      <w:r w:rsidRPr="00F745E8">
        <w:rPr>
          <w:rFonts w:ascii="Tahoma" w:hAnsi="Tahoma" w:cs="Tahoma"/>
          <w:b/>
          <w:bCs/>
          <w:sz w:val="22"/>
          <w:szCs w:val="22"/>
        </w:rPr>
        <w:t>Βιομηχανία</w:t>
      </w:r>
      <w:r w:rsidRPr="00F745E8">
        <w:rPr>
          <w:rFonts w:ascii="Tahoma" w:hAnsi="Tahoma" w:cs="Tahoma"/>
          <w:sz w:val="22"/>
          <w:szCs w:val="22"/>
        </w:rPr>
        <w:t xml:space="preserve"> παραμένει στα ίδια σχεδόν επίπεδα τον Νοέμβριο, στις 80,4 μονάδες (από 81 τον Οκτώβριο), ανώτερα πάντως έναντι του αντίστοι</w:t>
      </w:r>
      <w:r>
        <w:rPr>
          <w:rFonts w:ascii="Tahoma" w:hAnsi="Tahoma" w:cs="Tahoma"/>
          <w:sz w:val="22"/>
          <w:szCs w:val="22"/>
        </w:rPr>
        <w:t>χης</w:t>
      </w:r>
      <w:r w:rsidRPr="00F745E8">
        <w:rPr>
          <w:rFonts w:ascii="Tahoma" w:hAnsi="Tahoma" w:cs="Tahoma"/>
          <w:sz w:val="22"/>
          <w:szCs w:val="22"/>
        </w:rPr>
        <w:t xml:space="preserve"> περυσιν</w:t>
      </w:r>
      <w:r>
        <w:rPr>
          <w:rFonts w:ascii="Tahoma" w:hAnsi="Tahoma" w:cs="Tahoma"/>
          <w:sz w:val="22"/>
          <w:szCs w:val="22"/>
        </w:rPr>
        <w:t>ής τιμής του</w:t>
      </w:r>
      <w:r w:rsidRPr="00F745E8">
        <w:rPr>
          <w:rFonts w:ascii="Tahoma" w:hAnsi="Tahoma" w:cs="Tahoma"/>
          <w:sz w:val="22"/>
          <w:szCs w:val="22"/>
        </w:rPr>
        <w:t xml:space="preserve"> (72,6 μονάδες). </w:t>
      </w:r>
      <w:r w:rsidRPr="00F745E8">
        <w:rPr>
          <w:rFonts w:ascii="Tahoma" w:hAnsi="Tahoma" w:cs="Tahoma"/>
          <w:b/>
          <w:bCs/>
          <w:sz w:val="22"/>
          <w:szCs w:val="22"/>
        </w:rPr>
        <w:t>Στις βασικές μεταβλητές του δείκτη</w:t>
      </w:r>
      <w:r>
        <w:rPr>
          <w:rFonts w:ascii="Tahoma" w:hAnsi="Tahoma" w:cs="Tahoma"/>
          <w:b/>
          <w:bCs/>
          <w:sz w:val="22"/>
          <w:szCs w:val="22"/>
        </w:rPr>
        <w:t>,</w:t>
      </w:r>
      <w:r w:rsidRPr="00F745E8">
        <w:rPr>
          <w:rFonts w:ascii="Tahoma" w:hAnsi="Tahoma" w:cs="Tahoma"/>
          <w:b/>
          <w:bCs/>
          <w:sz w:val="22"/>
          <w:szCs w:val="22"/>
        </w:rPr>
        <w:t xml:space="preserve"> οι μεταβολές είναι μηδενικές ή οριακές: τα εκτιμώμενα αποθέματα παραμένουν στα ίδια επίπεδα, ενώ η οριακή πτώση στις εκτιμήσεις για τις τρέχουσες παραγγελίες και ζήτηση αντισταθμίζεται από την αντίστοιχα οριακή άνοδο στις προβλέψεις για την παραγωγή του επόμενου τριμήνου.</w:t>
      </w:r>
      <w:r w:rsidRPr="00F745E8">
        <w:rPr>
          <w:rFonts w:ascii="Tahoma" w:hAnsi="Tahoma" w:cs="Tahoma"/>
          <w:sz w:val="22"/>
          <w:szCs w:val="22"/>
        </w:rPr>
        <w:t xml:space="preserve"> Συγκεκριμένα, οι </w:t>
      </w:r>
      <w:r w:rsidRPr="00F745E8">
        <w:rPr>
          <w:rFonts w:ascii="Tahoma" w:hAnsi="Tahoma" w:cs="Tahoma"/>
          <w:i/>
          <w:iCs/>
          <w:sz w:val="22"/>
          <w:szCs w:val="22"/>
        </w:rPr>
        <w:t>προβλέψεις για τη βραχυπρόθεσμη εξέλιξη της παραγωγής</w:t>
      </w:r>
      <w:r w:rsidRPr="00F745E8">
        <w:rPr>
          <w:rFonts w:ascii="Tahoma" w:hAnsi="Tahoma" w:cs="Tahoma"/>
          <w:sz w:val="22"/>
          <w:szCs w:val="22"/>
        </w:rPr>
        <w:t xml:space="preserve">, παραμένουν σε ελαφρώς αρνητικό πρόσημο, ενώ οι έντονα αρνητικές </w:t>
      </w:r>
      <w:r w:rsidRPr="00F745E8">
        <w:rPr>
          <w:rFonts w:ascii="Tahoma" w:hAnsi="Tahoma" w:cs="Tahoma"/>
          <w:i/>
          <w:iCs/>
          <w:sz w:val="22"/>
          <w:szCs w:val="22"/>
        </w:rPr>
        <w:t>εκτιμήσεις των επιχειρήσεων για το τρέχον επίπεδο παραγγελιών και ζήτησης</w:t>
      </w:r>
      <w:r w:rsidRPr="00F745E8">
        <w:rPr>
          <w:rFonts w:ascii="Tahoma" w:hAnsi="Tahoma" w:cs="Tahoma"/>
          <w:sz w:val="22"/>
          <w:szCs w:val="22"/>
        </w:rPr>
        <w:t xml:space="preserve"> εξασθενούν ελαφρά. Οι </w:t>
      </w:r>
      <w:r w:rsidRPr="00F745E8">
        <w:rPr>
          <w:rFonts w:ascii="Tahoma" w:hAnsi="Tahoma" w:cs="Tahoma"/>
          <w:i/>
          <w:iCs/>
          <w:sz w:val="22"/>
          <w:szCs w:val="22"/>
        </w:rPr>
        <w:t>εκτιμήσεις για το επίπεδο των αποθεμάτων</w:t>
      </w:r>
      <w:r w:rsidRPr="00F745E8">
        <w:rPr>
          <w:rFonts w:ascii="Tahoma" w:hAnsi="Tahoma" w:cs="Tahoma"/>
          <w:sz w:val="22"/>
          <w:szCs w:val="22"/>
        </w:rPr>
        <w:t>, παρόλο που δεν μεταβάλλονται, υποδηλώνουν ελαφρώς διογκωμένα για την εποχή αποθέματα. Αναλυτικότερα:</w:t>
      </w:r>
    </w:p>
    <w:p w:rsidR="00085DA8" w:rsidRPr="00F745E8" w:rsidRDefault="00085DA8" w:rsidP="00354DAC">
      <w:pPr>
        <w:spacing w:line="288"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α) Στο </w:t>
      </w:r>
      <w:r w:rsidRPr="00F745E8">
        <w:rPr>
          <w:rFonts w:ascii="Tahoma" w:hAnsi="Tahoma" w:cs="Tahoma"/>
          <w:b/>
          <w:bCs/>
          <w:sz w:val="22"/>
          <w:szCs w:val="22"/>
        </w:rPr>
        <w:t>επίπεδο παραγγελιών και ζήτησης</w:t>
      </w:r>
      <w:r w:rsidRPr="00F745E8">
        <w:rPr>
          <w:rFonts w:ascii="Tahoma" w:hAnsi="Tahoma" w:cs="Tahoma"/>
          <w:sz w:val="22"/>
          <w:szCs w:val="22"/>
        </w:rPr>
        <w:t xml:space="preserve">, ο σχετικός αρνητικός δείκτης καταγράφει μικρή πτώση και διαμορφώνεται στις -46 μονάδες (από -44), με τις μισές επιχειρήσεις του τομέα να δηλώνουν και πάλι το τελευταίο τρίμηνο μειωμένες για την εποχή παραγγελίες και ένα 3% (από 5%) να αναφέρει το αντίθετο. </w:t>
      </w:r>
    </w:p>
    <w:p w:rsidR="00085DA8" w:rsidRPr="00F745E8" w:rsidRDefault="00085DA8" w:rsidP="00354DAC">
      <w:pPr>
        <w:spacing w:line="288"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β) Ως προς τις </w:t>
      </w:r>
      <w:r w:rsidRPr="00F745E8">
        <w:rPr>
          <w:rFonts w:ascii="Tahoma" w:hAnsi="Tahoma" w:cs="Tahoma"/>
          <w:b/>
          <w:bCs/>
          <w:sz w:val="22"/>
          <w:szCs w:val="22"/>
        </w:rPr>
        <w:t>προβλέψεις για την εξέλιξη της παραγωγής τους προσεχείς 3-4 μήνες</w:t>
      </w:r>
      <w:r w:rsidRPr="00F745E8">
        <w:rPr>
          <w:rFonts w:ascii="Tahoma" w:hAnsi="Tahoma" w:cs="Tahoma"/>
          <w:sz w:val="22"/>
          <w:szCs w:val="22"/>
        </w:rPr>
        <w:t>, ο δείκτης διαμορφώνεται εκ νέου σε αρνητικά επίπεδα, αν και οριακά, στις -2 μονάδες. Το 23-24% των επιχειρήσεων το τελευταίο δίμηνο προβλέπει πτώση της παραγωγής στο επόμενο τρίμηνο και σχεδόν το 1/5 αναμένει άνοδο.</w:t>
      </w:r>
    </w:p>
    <w:p w:rsidR="00085DA8" w:rsidRPr="00F745E8" w:rsidRDefault="00085DA8" w:rsidP="00354DAC">
      <w:pPr>
        <w:spacing w:line="288" w:lineRule="auto"/>
        <w:jc w:val="both"/>
        <w:rPr>
          <w:rFonts w:ascii="Tahoma" w:hAnsi="Tahoma" w:cs="Tahoma"/>
          <w:sz w:val="22"/>
          <w:szCs w:val="22"/>
        </w:rPr>
      </w:pPr>
    </w:p>
    <w:p w:rsidR="00085DA8" w:rsidRPr="00F745E8" w:rsidRDefault="00085DA8" w:rsidP="00354DAC">
      <w:pPr>
        <w:spacing w:line="288" w:lineRule="auto"/>
        <w:jc w:val="both"/>
        <w:rPr>
          <w:rFonts w:ascii="Tahoma" w:hAnsi="Tahoma" w:cs="Tahoma"/>
          <w:sz w:val="22"/>
          <w:szCs w:val="22"/>
        </w:rPr>
      </w:pPr>
      <w:r w:rsidRPr="00F745E8">
        <w:rPr>
          <w:rFonts w:ascii="Tahoma" w:hAnsi="Tahoma" w:cs="Tahoma"/>
          <w:sz w:val="22"/>
          <w:szCs w:val="22"/>
        </w:rPr>
        <w:t xml:space="preserve">γ) Οι εκτιμήσεις για τα </w:t>
      </w:r>
      <w:r w:rsidRPr="00F745E8">
        <w:rPr>
          <w:rFonts w:ascii="Tahoma" w:hAnsi="Tahoma" w:cs="Tahoma"/>
          <w:b/>
          <w:bCs/>
          <w:sz w:val="22"/>
          <w:szCs w:val="22"/>
        </w:rPr>
        <w:t>αποθέματα έτοιμων προϊόντων</w:t>
      </w:r>
      <w:r w:rsidRPr="00F745E8">
        <w:rPr>
          <w:rFonts w:ascii="Tahoma" w:hAnsi="Tahoma" w:cs="Tahoma"/>
          <w:sz w:val="22"/>
          <w:szCs w:val="22"/>
        </w:rPr>
        <w:t xml:space="preserve"> δεν μεταβάλλονται, με το σχετικό ισοζύγιο να μην διαφοροποιείται από τις +6 μονάδες. Έτσι, και πάλι ένα 18% των επιχειρήσεων αναφέρει υψηλά για την εποχή αποθέματα και ένα 14% τα εκτιμά αντίθετα ως χαμηλά για την εποχή.</w:t>
      </w:r>
    </w:p>
    <w:p w:rsidR="00085DA8" w:rsidRPr="00F745E8" w:rsidRDefault="00085DA8" w:rsidP="00354DAC">
      <w:pPr>
        <w:spacing w:line="288"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δ) Οι δείκτες που συνδέονται την </w:t>
      </w:r>
      <w:r w:rsidRPr="00F745E8">
        <w:rPr>
          <w:rFonts w:ascii="Tahoma" w:hAnsi="Tahoma" w:cs="Tahoma"/>
          <w:i/>
          <w:iCs/>
          <w:sz w:val="22"/>
          <w:szCs w:val="22"/>
        </w:rPr>
        <w:t>εξαγωγική δραστηριότητα των επιχειρήσεων</w:t>
      </w:r>
      <w:r w:rsidRPr="00F745E8">
        <w:rPr>
          <w:rFonts w:ascii="Tahoma" w:hAnsi="Tahoma" w:cs="Tahoma"/>
          <w:sz w:val="22"/>
          <w:szCs w:val="22"/>
        </w:rPr>
        <w:t xml:space="preserve"> εμφανίζουν μικτές τάσεις: οι </w:t>
      </w:r>
      <w:r w:rsidRPr="00F745E8">
        <w:rPr>
          <w:rFonts w:ascii="Tahoma" w:hAnsi="Tahoma" w:cs="Tahoma"/>
          <w:b/>
          <w:bCs/>
          <w:sz w:val="22"/>
          <w:szCs w:val="22"/>
        </w:rPr>
        <w:t>εκτιμήσεις για τις εξαγωγές το τελευταίο τρίμηνο</w:t>
      </w:r>
      <w:r w:rsidRPr="00F745E8">
        <w:rPr>
          <w:rFonts w:ascii="Tahoma" w:hAnsi="Tahoma" w:cs="Tahoma"/>
          <w:sz w:val="22"/>
          <w:szCs w:val="22"/>
        </w:rPr>
        <w:t xml:space="preserve"> μεταβάλλονται θετικά, με το σχετικό ισοσκελισμένο ισοζύγιο του Οκτωβρίου να κερδίζει 9 μονάδες και το 1/4 των επιχειρήσεων του τομέα (από 1/5) να κρίνει ότι οι εξαγωγές του έχουν αυξηθεί σε σχέση με το προηγούμενο διάστημα. Από την άλλη πλευρά όμως, οι </w:t>
      </w:r>
      <w:r w:rsidRPr="00F745E8">
        <w:rPr>
          <w:rFonts w:ascii="Tahoma" w:hAnsi="Tahoma" w:cs="Tahoma"/>
          <w:b/>
          <w:bCs/>
          <w:sz w:val="22"/>
          <w:szCs w:val="22"/>
        </w:rPr>
        <w:t>παραγγελίες και ζήτηση εξωτερικού</w:t>
      </w:r>
      <w:r w:rsidRPr="00F745E8">
        <w:rPr>
          <w:rFonts w:ascii="Tahoma" w:hAnsi="Tahoma" w:cs="Tahoma"/>
          <w:sz w:val="22"/>
          <w:szCs w:val="22"/>
        </w:rPr>
        <w:t xml:space="preserve"> δεν είναι ικανοποιητικές (στις -27 από -18 μονάδες το ισοζύγιο), ενώ μικρή πτώση καταγράφεται και στις </w:t>
      </w:r>
      <w:r w:rsidRPr="00F745E8">
        <w:rPr>
          <w:rFonts w:ascii="Tahoma" w:hAnsi="Tahoma" w:cs="Tahoma"/>
          <w:b/>
          <w:bCs/>
          <w:sz w:val="22"/>
          <w:szCs w:val="22"/>
        </w:rPr>
        <w:t>προβλέψεις για τις εξαγωγές τους προσεχείς μήνες</w:t>
      </w:r>
      <w:r w:rsidRPr="00F745E8">
        <w:rPr>
          <w:rFonts w:ascii="Tahoma" w:hAnsi="Tahoma" w:cs="Tahoma"/>
          <w:sz w:val="22"/>
          <w:szCs w:val="22"/>
        </w:rPr>
        <w:t>, αν και ο σχετικός δείκτης παραμένει σταθερά θετικός καθ</w:t>
      </w:r>
      <w:r>
        <w:rPr>
          <w:rFonts w:ascii="Tahoma" w:hAnsi="Tahoma" w:cs="Tahoma"/>
          <w:sz w:val="22"/>
          <w:szCs w:val="22"/>
        </w:rPr>
        <w:t xml:space="preserve">’ </w:t>
      </w:r>
      <w:r w:rsidRPr="00F745E8">
        <w:rPr>
          <w:rFonts w:ascii="Tahoma" w:hAnsi="Tahoma" w:cs="Tahoma"/>
          <w:sz w:val="22"/>
          <w:szCs w:val="22"/>
        </w:rPr>
        <w:t xml:space="preserve">όλη τη διάρκεια του έτους (+12 από +14 μονάδες). </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lastRenderedPageBreak/>
        <w:t xml:space="preserve">ε) Ως προς τους </w:t>
      </w:r>
      <w:r w:rsidRPr="00F745E8">
        <w:rPr>
          <w:rFonts w:ascii="Tahoma" w:hAnsi="Tahoma" w:cs="Tahoma"/>
          <w:i/>
          <w:iCs/>
          <w:sz w:val="22"/>
          <w:szCs w:val="22"/>
        </w:rPr>
        <w:t>δείκτες των πωλήσεων</w:t>
      </w:r>
      <w:r w:rsidRPr="00F745E8">
        <w:rPr>
          <w:rFonts w:ascii="Tahoma" w:hAnsi="Tahoma" w:cs="Tahoma"/>
          <w:sz w:val="22"/>
          <w:szCs w:val="22"/>
        </w:rPr>
        <w:t xml:space="preserve">, και εδώ οι μεταβολές στις εκτιμήσεις και τις σχετικές προβλέψεις κινούνται προς αντίθετες κατευθύνσεις: ο δείκτης στις </w:t>
      </w:r>
      <w:r w:rsidRPr="00F745E8">
        <w:rPr>
          <w:rFonts w:ascii="Tahoma" w:hAnsi="Tahoma" w:cs="Tahoma"/>
          <w:b/>
          <w:bCs/>
          <w:sz w:val="22"/>
          <w:szCs w:val="22"/>
        </w:rPr>
        <w:t xml:space="preserve">τρέχουσες πωλήσεις των επιχειρήσεων </w:t>
      </w:r>
      <w:r w:rsidRPr="00F745E8">
        <w:rPr>
          <w:rFonts w:ascii="Tahoma" w:hAnsi="Tahoma" w:cs="Tahoma"/>
          <w:sz w:val="22"/>
          <w:szCs w:val="22"/>
        </w:rPr>
        <w:t xml:space="preserve">κερδίζει έδαφος και κινείται στις -8 μονάδες (από -22), με ένα 23% (από 16%) των επιχειρήσεων να εκτιμά ότι οι πωλήσεις του έχουν κινηθεί ανοδικά και το 30% να δηλώνει το αντίθετο. Από την άλλη πλευρά, οι </w:t>
      </w:r>
      <w:r w:rsidRPr="00F745E8">
        <w:rPr>
          <w:rFonts w:ascii="Tahoma" w:hAnsi="Tahoma" w:cs="Tahoma"/>
          <w:b/>
          <w:bCs/>
          <w:sz w:val="22"/>
          <w:szCs w:val="22"/>
        </w:rPr>
        <w:t>προβλέψεις για τις πωλήσεις τους προσεχείς μήνες</w:t>
      </w:r>
      <w:r w:rsidRPr="00F745E8">
        <w:rPr>
          <w:rFonts w:ascii="Tahoma" w:hAnsi="Tahoma" w:cs="Tahoma"/>
          <w:sz w:val="22"/>
          <w:szCs w:val="22"/>
        </w:rPr>
        <w:t xml:space="preserve"> μεταβάλλονται αρνητικά, με το σχετικό δείκτη να καταγράφει απώλειες 4 μονάδων και να διαμορφώνεται στις -5 μονάδες.</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88" w:lineRule="auto"/>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Πίνακας 2: </w:t>
      </w:r>
      <w:r w:rsidRPr="00F745E8">
        <w:rPr>
          <w:rFonts w:ascii="Tahoma" w:hAnsi="Tahoma" w:cs="Tahoma"/>
          <w:color w:val="000080"/>
          <w:sz w:val="22"/>
          <w:szCs w:val="22"/>
        </w:rPr>
        <w:t>Δείκτης Επιχειρηματικών Προσδοκιών στη Βιομηχανία</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8"/>
        <w:gridCol w:w="771"/>
        <w:gridCol w:w="422"/>
        <w:gridCol w:w="482"/>
        <w:gridCol w:w="451"/>
        <w:gridCol w:w="362"/>
        <w:gridCol w:w="523"/>
        <w:gridCol w:w="208"/>
        <w:gridCol w:w="1118"/>
        <w:gridCol w:w="7"/>
        <w:gridCol w:w="773"/>
        <w:gridCol w:w="115"/>
        <w:gridCol w:w="657"/>
        <w:gridCol w:w="276"/>
        <w:gridCol w:w="496"/>
        <w:gridCol w:w="437"/>
        <w:gridCol w:w="335"/>
        <w:gridCol w:w="598"/>
        <w:gridCol w:w="174"/>
        <w:gridCol w:w="664"/>
      </w:tblGrid>
      <w:tr w:rsidR="00085DA8" w:rsidRPr="00F745E8" w:rsidTr="004C49D6">
        <w:trPr>
          <w:jc w:val="center"/>
        </w:trPr>
        <w:tc>
          <w:tcPr>
            <w:tcW w:w="1961" w:type="dxa"/>
            <w:gridSpan w:val="3"/>
            <w:shd w:val="clear" w:color="auto" w:fill="800000"/>
          </w:tcPr>
          <w:p w:rsidR="00085DA8" w:rsidRPr="00F745E8" w:rsidRDefault="00085DA8" w:rsidP="004C49D6">
            <w:pPr>
              <w:jc w:val="center"/>
              <w:rPr>
                <w:rFonts w:ascii="Tahoma" w:hAnsi="Tahoma" w:cs="Tahoma"/>
                <w:color w:val="FFFFFF"/>
                <w:sz w:val="18"/>
                <w:szCs w:val="18"/>
              </w:rPr>
            </w:pPr>
          </w:p>
        </w:tc>
        <w:tc>
          <w:tcPr>
            <w:tcW w:w="1818" w:type="dxa"/>
            <w:gridSpan w:val="4"/>
            <w:shd w:val="clear" w:color="auto" w:fill="800000"/>
          </w:tcPr>
          <w:p w:rsidR="00085DA8" w:rsidRPr="00F745E8" w:rsidRDefault="00085DA8" w:rsidP="004C49D6">
            <w:pPr>
              <w:jc w:val="center"/>
              <w:rPr>
                <w:rFonts w:ascii="Tahoma" w:hAnsi="Tahoma" w:cs="Tahoma"/>
                <w:b/>
                <w:bCs/>
                <w:color w:val="FFFFFF"/>
                <w:sz w:val="18"/>
                <w:szCs w:val="18"/>
              </w:rPr>
            </w:pPr>
          </w:p>
        </w:tc>
        <w:tc>
          <w:tcPr>
            <w:tcW w:w="5858" w:type="dxa"/>
            <w:gridSpan w:val="13"/>
            <w:shd w:val="clear" w:color="auto" w:fill="800000"/>
          </w:tcPr>
          <w:p w:rsidR="00085DA8" w:rsidRPr="00F745E8" w:rsidRDefault="00085DA8" w:rsidP="004C49D6">
            <w:pPr>
              <w:jc w:val="center"/>
              <w:rPr>
                <w:rFonts w:ascii="Tahoma" w:hAnsi="Tahoma" w:cs="Tahoma"/>
                <w:b/>
                <w:bCs/>
                <w:color w:val="FFFFFF"/>
                <w:sz w:val="18"/>
                <w:szCs w:val="18"/>
              </w:rPr>
            </w:pPr>
            <w:r w:rsidRPr="00F745E8">
              <w:rPr>
                <w:rFonts w:ascii="Tahoma" w:hAnsi="Tahoma" w:cs="Tahoma"/>
                <w:b/>
                <w:bCs/>
                <w:color w:val="FFFFFF"/>
                <w:sz w:val="18"/>
                <w:szCs w:val="18"/>
              </w:rPr>
              <w:t>Μέσος όρος</w:t>
            </w:r>
          </w:p>
        </w:tc>
      </w:tr>
      <w:tr w:rsidR="00085DA8" w:rsidRPr="00F745E8" w:rsidTr="004C49D6">
        <w:trPr>
          <w:jc w:val="center"/>
        </w:trPr>
        <w:tc>
          <w:tcPr>
            <w:tcW w:w="1961" w:type="dxa"/>
            <w:gridSpan w:val="3"/>
            <w:vMerge w:val="restart"/>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Βιομηχανία</w:t>
            </w:r>
          </w:p>
          <w:p w:rsidR="00085DA8" w:rsidRPr="00F745E8" w:rsidRDefault="00085DA8" w:rsidP="004C49D6">
            <w:pPr>
              <w:pStyle w:val="Heading2"/>
              <w:rPr>
                <w:rFonts w:ascii="Tahoma" w:hAnsi="Tahoma" w:cs="Tahoma"/>
                <w:i w:val="0"/>
                <w:iCs w:val="0"/>
              </w:rPr>
            </w:pPr>
            <w:r w:rsidRPr="00F745E8">
              <w:rPr>
                <w:rFonts w:ascii="Tahoma" w:hAnsi="Tahoma" w:cs="Tahoma"/>
                <w:i w:val="0"/>
                <w:iCs w:val="0"/>
              </w:rPr>
              <w:t xml:space="preserve">(1996-2006=100) </w:t>
            </w:r>
          </w:p>
        </w:tc>
        <w:tc>
          <w:tcPr>
            <w:tcW w:w="933"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Min</w:t>
            </w:r>
          </w:p>
        </w:tc>
        <w:tc>
          <w:tcPr>
            <w:tcW w:w="885"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Max</w:t>
            </w:r>
          </w:p>
        </w:tc>
        <w:tc>
          <w:tcPr>
            <w:tcW w:w="1326"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2001-20</w:t>
            </w:r>
            <w:r w:rsidRPr="00F745E8">
              <w:rPr>
                <w:rFonts w:ascii="Tahoma" w:hAnsi="Tahoma" w:cs="Tahoma"/>
                <w:b/>
                <w:bCs/>
                <w:sz w:val="18"/>
                <w:szCs w:val="18"/>
              </w:rPr>
              <w:t>11</w:t>
            </w:r>
          </w:p>
        </w:tc>
        <w:tc>
          <w:tcPr>
            <w:tcW w:w="895" w:type="dxa"/>
            <w:gridSpan w:val="3"/>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lang w:val="en-US"/>
              </w:rPr>
              <w:t>200</w:t>
            </w:r>
            <w:r w:rsidRPr="00F745E8">
              <w:rPr>
                <w:rFonts w:ascii="Tahoma" w:hAnsi="Tahoma" w:cs="Tahoma"/>
                <w:i w:val="0"/>
                <w:iCs w:val="0"/>
              </w:rPr>
              <w:t>7</w:t>
            </w:r>
          </w:p>
        </w:tc>
        <w:tc>
          <w:tcPr>
            <w:tcW w:w="933"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2008</w:t>
            </w:r>
          </w:p>
        </w:tc>
        <w:tc>
          <w:tcPr>
            <w:tcW w:w="933" w:type="dxa"/>
            <w:gridSpan w:val="2"/>
            <w:shd w:val="clear" w:color="auto" w:fill="FFFF99"/>
          </w:tcPr>
          <w:p w:rsidR="00085DA8" w:rsidRPr="00F745E8" w:rsidRDefault="00085DA8" w:rsidP="004C49D6">
            <w:pPr>
              <w:pStyle w:val="Heading2"/>
              <w:rPr>
                <w:rFonts w:ascii="Tahoma" w:hAnsi="Tahoma" w:cs="Tahoma"/>
                <w:i w:val="0"/>
                <w:iCs w:val="0"/>
                <w:lang w:val="en-GB"/>
              </w:rPr>
            </w:pPr>
            <w:r w:rsidRPr="00F745E8">
              <w:rPr>
                <w:rFonts w:ascii="Tahoma" w:hAnsi="Tahoma" w:cs="Tahoma"/>
                <w:i w:val="0"/>
                <w:iCs w:val="0"/>
                <w:lang w:val="en-GB"/>
              </w:rPr>
              <w:t>2009</w:t>
            </w:r>
          </w:p>
        </w:tc>
        <w:tc>
          <w:tcPr>
            <w:tcW w:w="933"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2010</w:t>
            </w:r>
          </w:p>
        </w:tc>
        <w:tc>
          <w:tcPr>
            <w:tcW w:w="838"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2011</w:t>
            </w:r>
          </w:p>
        </w:tc>
      </w:tr>
      <w:tr w:rsidR="00085DA8" w:rsidRPr="00F745E8" w:rsidTr="004C49D6">
        <w:trPr>
          <w:trHeight w:val="488"/>
          <w:jc w:val="center"/>
        </w:trPr>
        <w:tc>
          <w:tcPr>
            <w:tcW w:w="1961" w:type="dxa"/>
            <w:gridSpan w:val="3"/>
            <w:vMerge/>
            <w:shd w:val="clear" w:color="auto" w:fill="FFFF99"/>
            <w:vAlign w:val="center"/>
          </w:tcPr>
          <w:p w:rsidR="00085DA8" w:rsidRPr="00F745E8" w:rsidRDefault="00085DA8" w:rsidP="004C49D6">
            <w:pPr>
              <w:pStyle w:val="Heading1"/>
              <w:rPr>
                <w:rFonts w:ascii="Tahoma" w:hAnsi="Tahoma" w:cs="Arial"/>
                <w:b w:val="0"/>
                <w:bCs w:val="0"/>
                <w:sz w:val="18"/>
                <w:szCs w:val="18"/>
              </w:rPr>
            </w:pPr>
          </w:p>
        </w:tc>
        <w:tc>
          <w:tcPr>
            <w:tcW w:w="93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62,8</w:t>
            </w:r>
          </w:p>
          <w:p w:rsidR="00085DA8" w:rsidRPr="00F745E8" w:rsidRDefault="00085DA8" w:rsidP="004C49D6">
            <w:pPr>
              <w:spacing w:line="288" w:lineRule="auto"/>
              <w:jc w:val="both"/>
              <w:rPr>
                <w:rFonts w:ascii="Tahoma" w:hAnsi="Tahoma" w:cs="Tahoma"/>
                <w:sz w:val="18"/>
                <w:szCs w:val="18"/>
              </w:rPr>
            </w:pPr>
            <w:r w:rsidRPr="00F745E8">
              <w:rPr>
                <w:rFonts w:ascii="Tahoma" w:hAnsi="Tahoma" w:cs="Tahoma"/>
                <w:i/>
                <w:iCs/>
                <w:sz w:val="18"/>
                <w:szCs w:val="18"/>
              </w:rPr>
              <w:t>Φεβ-09</w:t>
            </w:r>
          </w:p>
        </w:tc>
        <w:tc>
          <w:tcPr>
            <w:tcW w:w="88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109,5</w:t>
            </w:r>
          </w:p>
          <w:p w:rsidR="00085DA8" w:rsidRPr="00F745E8" w:rsidRDefault="00085DA8" w:rsidP="004C49D6">
            <w:pPr>
              <w:spacing w:line="288" w:lineRule="auto"/>
              <w:jc w:val="both"/>
              <w:rPr>
                <w:rFonts w:ascii="Tahoma" w:hAnsi="Tahoma" w:cs="Tahoma"/>
                <w:sz w:val="18"/>
                <w:szCs w:val="18"/>
              </w:rPr>
            </w:pPr>
            <w:r w:rsidRPr="00F745E8">
              <w:rPr>
                <w:rFonts w:ascii="Tahoma" w:hAnsi="Tahoma" w:cs="Tahoma"/>
                <w:i/>
                <w:iCs/>
                <w:sz w:val="18"/>
                <w:szCs w:val="18"/>
              </w:rPr>
              <w:t>Απρ-0</w:t>
            </w:r>
            <w:r w:rsidRPr="00F745E8">
              <w:rPr>
                <w:rFonts w:ascii="Tahoma" w:hAnsi="Tahoma" w:cs="Tahoma"/>
                <w:i/>
                <w:iCs/>
                <w:sz w:val="18"/>
                <w:szCs w:val="18"/>
                <w:lang w:val="en-US"/>
              </w:rPr>
              <w:t>7</w:t>
            </w:r>
          </w:p>
        </w:tc>
        <w:tc>
          <w:tcPr>
            <w:tcW w:w="1326"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92,2</w:t>
            </w:r>
          </w:p>
        </w:tc>
        <w:tc>
          <w:tcPr>
            <w:tcW w:w="895" w:type="dxa"/>
            <w:gridSpan w:val="3"/>
            <w:shd w:val="clear" w:color="auto" w:fill="FFFF99"/>
            <w:vAlign w:val="center"/>
          </w:tcPr>
          <w:p w:rsidR="00085DA8" w:rsidRPr="00F745E8" w:rsidRDefault="00085DA8" w:rsidP="004C49D6">
            <w:pPr>
              <w:spacing w:line="288" w:lineRule="auto"/>
              <w:jc w:val="center"/>
              <w:rPr>
                <w:rFonts w:ascii="Tahoma" w:hAnsi="Tahoma" w:cs="Tahoma"/>
                <w:sz w:val="18"/>
                <w:szCs w:val="18"/>
                <w:lang w:val="en-US"/>
              </w:rPr>
            </w:pPr>
            <w:r w:rsidRPr="00F745E8">
              <w:rPr>
                <w:rFonts w:ascii="Tahoma" w:hAnsi="Tahoma" w:cs="Tahoma"/>
                <w:sz w:val="18"/>
                <w:szCs w:val="18"/>
                <w:lang w:val="en-US"/>
              </w:rPr>
              <w:t>102,8</w:t>
            </w:r>
          </w:p>
        </w:tc>
        <w:tc>
          <w:tcPr>
            <w:tcW w:w="933" w:type="dxa"/>
            <w:gridSpan w:val="2"/>
            <w:shd w:val="clear" w:color="auto" w:fill="FFFF99"/>
            <w:vAlign w:val="center"/>
          </w:tcPr>
          <w:p w:rsidR="00085DA8" w:rsidRPr="00F745E8" w:rsidRDefault="00085DA8" w:rsidP="004C49D6">
            <w:pPr>
              <w:spacing w:line="288" w:lineRule="auto"/>
              <w:jc w:val="center"/>
              <w:rPr>
                <w:rFonts w:ascii="Tahoma" w:hAnsi="Tahoma" w:cs="Tahoma"/>
                <w:sz w:val="18"/>
                <w:szCs w:val="18"/>
              </w:rPr>
            </w:pPr>
            <w:r w:rsidRPr="00F745E8">
              <w:rPr>
                <w:rFonts w:ascii="Tahoma" w:hAnsi="Tahoma" w:cs="Tahoma"/>
                <w:sz w:val="18"/>
                <w:szCs w:val="18"/>
              </w:rPr>
              <w:t>91,9</w:t>
            </w:r>
          </w:p>
        </w:tc>
        <w:tc>
          <w:tcPr>
            <w:tcW w:w="933" w:type="dxa"/>
            <w:gridSpan w:val="2"/>
            <w:shd w:val="clear" w:color="auto" w:fill="FFFF99"/>
            <w:vAlign w:val="center"/>
          </w:tcPr>
          <w:p w:rsidR="00085DA8" w:rsidRPr="00F745E8" w:rsidRDefault="00085DA8" w:rsidP="004C49D6">
            <w:pPr>
              <w:spacing w:line="288" w:lineRule="auto"/>
              <w:jc w:val="center"/>
              <w:rPr>
                <w:rFonts w:ascii="Tahoma" w:hAnsi="Tahoma" w:cs="Tahoma"/>
                <w:sz w:val="18"/>
                <w:szCs w:val="18"/>
                <w:lang w:val="en-GB"/>
              </w:rPr>
            </w:pPr>
            <w:r w:rsidRPr="00F745E8">
              <w:rPr>
                <w:rFonts w:ascii="Tahoma" w:hAnsi="Tahoma" w:cs="Tahoma"/>
                <w:sz w:val="18"/>
                <w:szCs w:val="18"/>
                <w:lang w:val="en-GB"/>
              </w:rPr>
              <w:t>72,1</w:t>
            </w:r>
          </w:p>
        </w:tc>
        <w:tc>
          <w:tcPr>
            <w:tcW w:w="933" w:type="dxa"/>
            <w:gridSpan w:val="2"/>
            <w:shd w:val="clear" w:color="auto" w:fill="FFFF99"/>
            <w:vAlign w:val="center"/>
          </w:tcPr>
          <w:p w:rsidR="00085DA8" w:rsidRPr="00F745E8" w:rsidRDefault="00085DA8" w:rsidP="004C49D6">
            <w:pPr>
              <w:spacing w:line="288" w:lineRule="auto"/>
              <w:jc w:val="center"/>
              <w:rPr>
                <w:rFonts w:ascii="Tahoma" w:hAnsi="Tahoma" w:cs="Tahoma"/>
                <w:sz w:val="18"/>
                <w:szCs w:val="18"/>
                <w:lang w:val="en-GB"/>
              </w:rPr>
            </w:pPr>
            <w:r w:rsidRPr="00F745E8">
              <w:rPr>
                <w:rFonts w:ascii="Tahoma" w:hAnsi="Tahoma" w:cs="Tahoma"/>
                <w:sz w:val="18"/>
                <w:szCs w:val="18"/>
                <w:lang w:val="en-GB"/>
              </w:rPr>
              <w:t>75,8</w:t>
            </w:r>
          </w:p>
        </w:tc>
        <w:tc>
          <w:tcPr>
            <w:tcW w:w="838" w:type="dxa"/>
            <w:gridSpan w:val="2"/>
            <w:shd w:val="clear" w:color="auto" w:fill="FFFF99"/>
            <w:vAlign w:val="center"/>
          </w:tcPr>
          <w:p w:rsidR="00085DA8" w:rsidRPr="00F745E8" w:rsidRDefault="00085DA8" w:rsidP="004C49D6">
            <w:pPr>
              <w:spacing w:line="288" w:lineRule="auto"/>
              <w:jc w:val="center"/>
              <w:rPr>
                <w:rFonts w:ascii="Tahoma" w:hAnsi="Tahoma" w:cs="Tahoma"/>
                <w:sz w:val="18"/>
                <w:szCs w:val="18"/>
                <w:lang w:val="en-GB"/>
              </w:rPr>
            </w:pPr>
            <w:r w:rsidRPr="00F745E8">
              <w:rPr>
                <w:rFonts w:ascii="Tahoma" w:hAnsi="Tahoma" w:cs="Tahoma"/>
                <w:sz w:val="18"/>
                <w:szCs w:val="18"/>
                <w:lang w:val="en-GB"/>
              </w:rPr>
              <w:t>76,9</w:t>
            </w:r>
          </w:p>
        </w:tc>
      </w:tr>
      <w:tr w:rsidR="00085DA8" w:rsidRPr="00F745E8" w:rsidTr="004C49D6">
        <w:trPr>
          <w:jc w:val="center"/>
        </w:trPr>
        <w:tc>
          <w:tcPr>
            <w:tcW w:w="9637" w:type="dxa"/>
            <w:gridSpan w:val="20"/>
            <w:shd w:val="clear" w:color="auto" w:fill="800000"/>
            <w:vAlign w:val="center"/>
          </w:tcPr>
          <w:p w:rsidR="00085DA8" w:rsidRPr="00F745E8" w:rsidRDefault="00085DA8" w:rsidP="004C49D6">
            <w:pPr>
              <w:pStyle w:val="Heading7"/>
              <w:jc w:val="center"/>
              <w:rPr>
                <w:rFonts w:ascii="Tahoma" w:hAnsi="Tahoma" w:cs="Tahoma"/>
                <w:color w:val="FFFFFF"/>
              </w:rPr>
            </w:pPr>
            <w:r w:rsidRPr="00F745E8">
              <w:rPr>
                <w:rFonts w:ascii="Tahoma" w:hAnsi="Tahoma" w:cs="Tahoma"/>
                <w:color w:val="FFFFFF"/>
                <w:lang w:val="en-US"/>
              </w:rPr>
              <w:t>20</w:t>
            </w:r>
            <w:r w:rsidRPr="00F745E8">
              <w:rPr>
                <w:rFonts w:ascii="Tahoma" w:hAnsi="Tahoma" w:cs="Tahoma"/>
                <w:color w:val="FFFFFF"/>
              </w:rPr>
              <w:t>11</w:t>
            </w:r>
          </w:p>
        </w:tc>
      </w:tr>
      <w:tr w:rsidR="00085DA8" w:rsidRPr="00F745E8" w:rsidTr="004C49D6">
        <w:trPr>
          <w:jc w:val="center"/>
        </w:trPr>
        <w:tc>
          <w:tcPr>
            <w:tcW w:w="768"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71"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90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81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31"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1125"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73"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66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trHeight w:val="77"/>
          <w:jc w:val="center"/>
        </w:trPr>
        <w:tc>
          <w:tcPr>
            <w:tcW w:w="768"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76,6</w:t>
            </w:r>
          </w:p>
        </w:tc>
        <w:tc>
          <w:tcPr>
            <w:tcW w:w="771"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80,6</w:t>
            </w:r>
          </w:p>
        </w:tc>
        <w:tc>
          <w:tcPr>
            <w:tcW w:w="90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80,5</w:t>
            </w:r>
          </w:p>
        </w:tc>
        <w:tc>
          <w:tcPr>
            <w:tcW w:w="813"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78</w:t>
            </w:r>
            <w:r w:rsidRPr="00F745E8">
              <w:rPr>
                <w:rFonts w:ascii="Tahoma" w:hAnsi="Tahoma" w:cs="Tahoma"/>
                <w:sz w:val="18"/>
                <w:szCs w:val="18"/>
              </w:rPr>
              <w:t>,</w:t>
            </w:r>
            <w:r w:rsidRPr="00F745E8">
              <w:rPr>
                <w:rFonts w:ascii="Tahoma" w:hAnsi="Tahoma" w:cs="Tahoma"/>
                <w:sz w:val="18"/>
                <w:szCs w:val="18"/>
                <w:lang w:val="en-US"/>
              </w:rPr>
              <w:t>3</w:t>
            </w:r>
          </w:p>
        </w:tc>
        <w:tc>
          <w:tcPr>
            <w:tcW w:w="731"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78,1</w:t>
            </w:r>
          </w:p>
        </w:tc>
        <w:tc>
          <w:tcPr>
            <w:tcW w:w="112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76,2</w:t>
            </w:r>
          </w:p>
        </w:tc>
        <w:tc>
          <w:tcPr>
            <w:tcW w:w="773"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77,5</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81,0</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76,2</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74</w:t>
            </w:r>
            <w:r w:rsidRPr="00F745E8">
              <w:rPr>
                <w:rFonts w:ascii="Tahoma" w:hAnsi="Tahoma" w:cs="Tahoma"/>
                <w:sz w:val="18"/>
                <w:szCs w:val="18"/>
              </w:rPr>
              <w:t>,</w:t>
            </w:r>
            <w:r w:rsidRPr="00F745E8">
              <w:rPr>
                <w:rFonts w:ascii="Tahoma" w:hAnsi="Tahoma" w:cs="Tahoma"/>
                <w:sz w:val="18"/>
                <w:szCs w:val="18"/>
                <w:lang w:val="en-US"/>
              </w:rPr>
              <w:t>0</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72,6</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70,9</w:t>
            </w:r>
          </w:p>
        </w:tc>
      </w:tr>
      <w:tr w:rsidR="00085DA8" w:rsidRPr="00F745E8" w:rsidTr="004C49D6">
        <w:trPr>
          <w:trHeight w:val="77"/>
          <w:jc w:val="center"/>
        </w:trPr>
        <w:tc>
          <w:tcPr>
            <w:tcW w:w="9637" w:type="dxa"/>
            <w:gridSpan w:val="20"/>
            <w:shd w:val="clear" w:color="auto" w:fill="800000"/>
            <w:vAlign w:val="center"/>
          </w:tcPr>
          <w:p w:rsidR="00085DA8" w:rsidRPr="00F745E8" w:rsidRDefault="00085DA8" w:rsidP="004C49D6">
            <w:pPr>
              <w:pStyle w:val="Heading7"/>
              <w:jc w:val="center"/>
              <w:rPr>
                <w:rFonts w:ascii="Tahoma" w:hAnsi="Tahoma" w:cs="Tahoma"/>
              </w:rPr>
            </w:pPr>
            <w:r w:rsidRPr="00F745E8">
              <w:rPr>
                <w:rFonts w:ascii="Tahoma" w:hAnsi="Tahoma" w:cs="Tahoma"/>
              </w:rPr>
              <w:t>2012</w:t>
            </w:r>
          </w:p>
        </w:tc>
      </w:tr>
      <w:tr w:rsidR="00085DA8" w:rsidRPr="00F745E8" w:rsidTr="004C49D6">
        <w:trPr>
          <w:trHeight w:val="77"/>
          <w:jc w:val="center"/>
        </w:trPr>
        <w:tc>
          <w:tcPr>
            <w:tcW w:w="768"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71"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90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81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31"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1125"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73"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7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66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trHeight w:val="77"/>
          <w:jc w:val="center"/>
        </w:trPr>
        <w:tc>
          <w:tcPr>
            <w:tcW w:w="768"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71,4</w:t>
            </w:r>
          </w:p>
        </w:tc>
        <w:tc>
          <w:tcPr>
            <w:tcW w:w="771"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71,6</w:t>
            </w:r>
          </w:p>
        </w:tc>
        <w:tc>
          <w:tcPr>
            <w:tcW w:w="90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75,7</w:t>
            </w:r>
          </w:p>
        </w:tc>
        <w:tc>
          <w:tcPr>
            <w:tcW w:w="81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81,6</w:t>
            </w:r>
          </w:p>
        </w:tc>
        <w:tc>
          <w:tcPr>
            <w:tcW w:w="731"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77,1</w:t>
            </w:r>
          </w:p>
        </w:tc>
        <w:tc>
          <w:tcPr>
            <w:tcW w:w="112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74,1</w:t>
            </w:r>
          </w:p>
        </w:tc>
        <w:tc>
          <w:tcPr>
            <w:tcW w:w="773"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73,5</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75,8</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80,9</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81,0</w:t>
            </w:r>
          </w:p>
        </w:tc>
        <w:tc>
          <w:tcPr>
            <w:tcW w:w="77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80,4</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p>
        </w:tc>
      </w:tr>
    </w:tbl>
    <w:p w:rsidR="00085DA8" w:rsidRPr="00F745E8" w:rsidRDefault="00085DA8" w:rsidP="00354DAC">
      <w:pPr>
        <w:spacing w:line="288" w:lineRule="auto"/>
        <w:jc w:val="both"/>
        <w:rPr>
          <w:rFonts w:ascii="Tahoma" w:hAnsi="Tahoma" w:cs="Tahoma"/>
          <w:b/>
          <w:bCs/>
          <w:i/>
          <w:iCs/>
          <w:sz w:val="18"/>
          <w:szCs w:val="18"/>
        </w:rPr>
      </w:pPr>
      <w:r w:rsidRPr="00F745E8">
        <w:rPr>
          <w:rFonts w:ascii="Tahoma" w:hAnsi="Tahoma" w:cs="Tahoma"/>
          <w:b/>
          <w:bCs/>
          <w:sz w:val="18"/>
          <w:szCs w:val="18"/>
        </w:rPr>
        <w:t>Σημείωση:</w:t>
      </w:r>
      <w:r w:rsidRPr="00F745E8">
        <w:rPr>
          <w:rFonts w:ascii="Tahoma" w:hAnsi="Tahoma" w:cs="Tahoma"/>
          <w:sz w:val="18"/>
          <w:szCs w:val="18"/>
        </w:rPr>
        <w:t xml:space="preserve"> Ο δείκτης επιχειρηματικών προσδοκιών υπολογίζεται με βάση τις προοπτικές για την παραγωγή, τις εκτιμήσεις για το ύψος των αποθεμάτων και τις εκτιμήσεις για τη συνολική ζήτηση. </w:t>
      </w:r>
    </w:p>
    <w:p w:rsidR="00085DA8" w:rsidRPr="00F745E8" w:rsidRDefault="00085DA8" w:rsidP="00354DAC">
      <w:pPr>
        <w:spacing w:line="288" w:lineRule="auto"/>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w:t>
      </w:r>
      <w:r w:rsidRPr="00F745E8">
        <w:rPr>
          <w:rFonts w:ascii="Tahoma" w:hAnsi="Tahoma" w:cs="Tahoma"/>
          <w:sz w:val="18"/>
          <w:szCs w:val="18"/>
          <w:lang w:val="en-US"/>
        </w:rPr>
        <w:t>IOBE</w:t>
      </w:r>
    </w:p>
    <w:p w:rsidR="00085DA8" w:rsidRPr="00F745E8" w:rsidRDefault="00085DA8" w:rsidP="00354DAC">
      <w:pPr>
        <w:spacing w:line="288" w:lineRule="auto"/>
        <w:ind w:left="-284" w:right="-428"/>
        <w:jc w:val="center"/>
        <w:rPr>
          <w:rFonts w:ascii="Tahoma" w:hAnsi="Tahoma" w:cs="Tahoma"/>
          <w:b/>
          <w:bCs/>
          <w:color w:val="000080"/>
          <w:sz w:val="22"/>
          <w:szCs w:val="22"/>
        </w:rPr>
      </w:pPr>
    </w:p>
    <w:p w:rsidR="00085DA8" w:rsidRPr="00F745E8" w:rsidRDefault="00085DA8" w:rsidP="00354DAC">
      <w:pPr>
        <w:spacing w:line="288" w:lineRule="auto"/>
        <w:ind w:left="-284" w:right="-428"/>
        <w:jc w:val="center"/>
        <w:rPr>
          <w:rFonts w:ascii="Tahoma" w:hAnsi="Tahoma" w:cs="Tahoma"/>
          <w:color w:val="000080"/>
          <w:sz w:val="22"/>
          <w:szCs w:val="22"/>
        </w:rPr>
      </w:pPr>
      <w:r w:rsidRPr="00F745E8">
        <w:rPr>
          <w:rFonts w:ascii="Tahoma" w:hAnsi="Tahoma" w:cs="Tahoma"/>
          <w:b/>
          <w:bCs/>
          <w:color w:val="000080"/>
          <w:sz w:val="22"/>
          <w:szCs w:val="22"/>
        </w:rPr>
        <w:t>Διάγραμμα 2</w:t>
      </w:r>
      <w:r w:rsidRPr="00F745E8">
        <w:rPr>
          <w:rFonts w:ascii="Tahoma" w:hAnsi="Tahoma" w:cs="Tahoma"/>
          <w:color w:val="000080"/>
          <w:sz w:val="22"/>
          <w:szCs w:val="22"/>
        </w:rPr>
        <w:t>: Δείκτης Επιχειρηματικών Προσδοκιών στη Βιομηχανία (1996-2006=100)</w:t>
      </w:r>
    </w:p>
    <w:p w:rsidR="00085DA8" w:rsidRPr="00F745E8" w:rsidRDefault="00DF46E7" w:rsidP="00354DAC">
      <w:pPr>
        <w:ind w:left="-284" w:right="-428"/>
        <w:jc w:val="center"/>
        <w:rPr>
          <w:noProof/>
        </w:rPr>
      </w:pPr>
      <w:r>
        <w:rPr>
          <w:noProof/>
        </w:rPr>
        <w:drawing>
          <wp:inline distT="0" distB="0" distL="0" distR="0">
            <wp:extent cx="5229225" cy="3200400"/>
            <wp:effectExtent l="19050" t="0" r="9525" b="0"/>
            <wp:docPr id="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srcRect/>
                    <a:stretch>
                      <a:fillRect/>
                    </a:stretch>
                  </pic:blipFill>
                  <pic:spPr bwMode="auto">
                    <a:xfrm>
                      <a:off x="0" y="0"/>
                      <a:ext cx="5229225" cy="3200400"/>
                    </a:xfrm>
                    <a:prstGeom prst="rect">
                      <a:avLst/>
                    </a:prstGeom>
                    <a:noFill/>
                    <a:ln w="9525">
                      <a:noFill/>
                      <a:miter lim="800000"/>
                      <a:headEnd/>
                      <a:tailEnd/>
                    </a:ln>
                  </pic:spPr>
                </pic:pic>
              </a:graphicData>
            </a:graphic>
          </wp:inline>
        </w:drawing>
      </w:r>
    </w:p>
    <w:p w:rsidR="00085DA8" w:rsidRPr="00F745E8" w:rsidRDefault="00085DA8" w:rsidP="00354DAC">
      <w:pPr>
        <w:pStyle w:val="BodyText"/>
        <w:spacing w:line="288" w:lineRule="auto"/>
        <w:rPr>
          <w:rFonts w:ascii="Tahoma" w:hAnsi="Tahoma" w:cs="Tahoma"/>
          <w:sz w:val="18"/>
          <w:szCs w:val="18"/>
          <w:u w:val="none"/>
        </w:rPr>
      </w:pPr>
      <w:r w:rsidRPr="00F745E8">
        <w:rPr>
          <w:rFonts w:ascii="Tahoma" w:hAnsi="Tahoma" w:cs="Tahoma"/>
          <w:b/>
          <w:bCs/>
          <w:sz w:val="18"/>
          <w:szCs w:val="18"/>
          <w:u w:val="none"/>
        </w:rPr>
        <w:t>Πηγή:</w:t>
      </w:r>
      <w:r w:rsidRPr="00F745E8">
        <w:rPr>
          <w:rFonts w:ascii="Tahoma" w:hAnsi="Tahoma" w:cs="Tahoma"/>
          <w:sz w:val="18"/>
          <w:szCs w:val="18"/>
          <w:u w:val="none"/>
        </w:rPr>
        <w:t xml:space="preserve"> </w:t>
      </w:r>
      <w:r w:rsidRPr="00F745E8">
        <w:rPr>
          <w:rFonts w:ascii="Tahoma" w:hAnsi="Tahoma" w:cs="Tahoma"/>
          <w:sz w:val="18"/>
          <w:szCs w:val="18"/>
          <w:u w:val="none"/>
          <w:lang w:val="en-US"/>
        </w:rPr>
        <w:t>IOBE</w:t>
      </w:r>
    </w:p>
    <w:p w:rsidR="00085DA8" w:rsidRPr="00F745E8" w:rsidRDefault="00085DA8" w:rsidP="00354DAC">
      <w:pPr>
        <w:spacing w:line="288"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στ) Οι </w:t>
      </w:r>
      <w:r w:rsidRPr="00F745E8">
        <w:rPr>
          <w:rFonts w:ascii="Tahoma" w:hAnsi="Tahoma" w:cs="Tahoma"/>
          <w:b/>
          <w:bCs/>
          <w:sz w:val="22"/>
          <w:szCs w:val="22"/>
        </w:rPr>
        <w:t>μήνες εξασφαλισμένης παραγωγής</w:t>
      </w:r>
      <w:r w:rsidRPr="00F745E8">
        <w:rPr>
          <w:rFonts w:ascii="Tahoma" w:hAnsi="Tahoma" w:cs="Tahoma"/>
          <w:sz w:val="22"/>
          <w:szCs w:val="22"/>
        </w:rPr>
        <w:t xml:space="preserve"> παραμένουν στα ίδια σχεδόν επίπεδα με τον Οκτώβριο, στους 4,2 μήνες, ενώ το </w:t>
      </w:r>
      <w:r w:rsidRPr="00F745E8">
        <w:rPr>
          <w:rFonts w:ascii="Tahoma" w:hAnsi="Tahoma" w:cs="Tahoma"/>
          <w:b/>
          <w:bCs/>
          <w:sz w:val="22"/>
          <w:szCs w:val="22"/>
        </w:rPr>
        <w:t>ποσοστό</w:t>
      </w:r>
      <w:r w:rsidRPr="00F745E8">
        <w:rPr>
          <w:rFonts w:ascii="Tahoma" w:hAnsi="Tahoma" w:cs="Tahoma"/>
          <w:sz w:val="22"/>
          <w:szCs w:val="22"/>
        </w:rPr>
        <w:t xml:space="preserve"> </w:t>
      </w:r>
      <w:r w:rsidRPr="00F745E8">
        <w:rPr>
          <w:rFonts w:ascii="Tahoma" w:hAnsi="Tahoma" w:cs="Tahoma"/>
          <w:b/>
          <w:bCs/>
          <w:sz w:val="22"/>
          <w:szCs w:val="22"/>
        </w:rPr>
        <w:t>χρησιμοποίησης εργοστασιακού δυναμικού</w:t>
      </w:r>
      <w:r w:rsidRPr="00F745E8">
        <w:rPr>
          <w:rFonts w:ascii="Tahoma" w:hAnsi="Tahoma" w:cs="Tahoma"/>
          <w:sz w:val="22"/>
          <w:szCs w:val="22"/>
        </w:rPr>
        <w:t xml:space="preserve"> αμβλύνεται ήπια</w:t>
      </w:r>
      <w:r>
        <w:rPr>
          <w:rFonts w:ascii="Tahoma" w:hAnsi="Tahoma" w:cs="Tahoma"/>
          <w:sz w:val="22"/>
          <w:szCs w:val="22"/>
        </w:rPr>
        <w:t>,</w:t>
      </w:r>
      <w:r w:rsidRPr="00F745E8">
        <w:rPr>
          <w:rFonts w:ascii="Tahoma" w:hAnsi="Tahoma" w:cs="Tahoma"/>
          <w:sz w:val="22"/>
          <w:szCs w:val="22"/>
        </w:rPr>
        <w:t xml:space="preserve"> στο 64,4% (από 65,8%).</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ζ) Δυσμενείς είναι οι εξελίξεις στις </w:t>
      </w:r>
      <w:r w:rsidRPr="00F745E8">
        <w:rPr>
          <w:rFonts w:ascii="Tahoma" w:hAnsi="Tahoma" w:cs="Tahoma"/>
          <w:b/>
          <w:bCs/>
          <w:sz w:val="22"/>
          <w:szCs w:val="22"/>
        </w:rPr>
        <w:t>προβλέψεις για την απασχόληση</w:t>
      </w:r>
      <w:r w:rsidRPr="00F745E8">
        <w:rPr>
          <w:rFonts w:ascii="Tahoma" w:hAnsi="Tahoma" w:cs="Tahoma"/>
          <w:sz w:val="22"/>
          <w:szCs w:val="22"/>
        </w:rPr>
        <w:t xml:space="preserve">, όπου το σχετικό ισοζύγιο κινείται πτωτικά στις -23 μονάδες (από -15), με το 26% των επιχειρήσεων του τομέα </w:t>
      </w:r>
      <w:r w:rsidRPr="00F745E8">
        <w:rPr>
          <w:rFonts w:ascii="Tahoma" w:hAnsi="Tahoma" w:cs="Tahoma"/>
          <w:sz w:val="22"/>
          <w:szCs w:val="22"/>
        </w:rPr>
        <w:lastRenderedPageBreak/>
        <w:t>(από 18%) να προβλέπει περαιτέρω μείωση των θέσεων εργασίας το επόμενο διάστημα και μόλις το 3% να αναμένει το αντίθετο.</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η) Ως προς τις </w:t>
      </w:r>
      <w:r w:rsidRPr="00F745E8">
        <w:rPr>
          <w:rFonts w:ascii="Tahoma" w:hAnsi="Tahoma" w:cs="Tahoma"/>
          <w:b/>
          <w:bCs/>
          <w:sz w:val="22"/>
          <w:szCs w:val="22"/>
        </w:rPr>
        <w:t>προβλέψεις για τις μεταβολές των</w:t>
      </w:r>
      <w:r w:rsidRPr="00F745E8">
        <w:rPr>
          <w:rFonts w:ascii="Tahoma" w:hAnsi="Tahoma" w:cs="Tahoma"/>
          <w:sz w:val="22"/>
          <w:szCs w:val="22"/>
        </w:rPr>
        <w:t xml:space="preserve"> </w:t>
      </w:r>
      <w:r w:rsidRPr="00F745E8">
        <w:rPr>
          <w:rFonts w:ascii="Tahoma" w:hAnsi="Tahoma" w:cs="Tahoma"/>
          <w:b/>
          <w:bCs/>
          <w:sz w:val="22"/>
          <w:szCs w:val="22"/>
        </w:rPr>
        <w:t>τιμών</w:t>
      </w:r>
      <w:r w:rsidRPr="00F745E8">
        <w:rPr>
          <w:rFonts w:ascii="Tahoma" w:hAnsi="Tahoma" w:cs="Tahoma"/>
          <w:sz w:val="22"/>
          <w:szCs w:val="22"/>
        </w:rPr>
        <w:t>, ο σχετικός αρνητικός δείκτης διευρύνεται ελαφρά στις -6 μονάδες (από -3), με το 14% των επιχειρήσεων να αναμένει εκ νέου πτώση τιμών και ένα 9% (από 11%) να προβλέπει αντίθετα άνοδό τους το επόμενο τρίμηνο.</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Σε επίπεδο επιμέρους τομέων, οι προσδοκίες επιδεινώνονται στα Ενδιάμεσα Αγαθά, ενώ αντίθετα στα Καταναλωτικά και τα Κεφαλαιουχικά Αγαθά οι σχετικοί δείκτες κινούνται ανοδικά τον Νοέμβριο. Αναλυτικότερα:</w:t>
      </w:r>
    </w:p>
    <w:p w:rsidR="00085DA8" w:rsidRPr="00F745E8" w:rsidRDefault="00085DA8" w:rsidP="00354DAC">
      <w:pPr>
        <w:pStyle w:val="BodyText"/>
        <w:spacing w:line="288" w:lineRule="auto"/>
        <w:rPr>
          <w:rFonts w:ascii="Tahoma" w:hAnsi="Tahoma" w:cs="Tahoma"/>
          <w:sz w:val="22"/>
          <w:szCs w:val="22"/>
          <w:u w:val="none"/>
        </w:rPr>
      </w:pPr>
    </w:p>
    <w:p w:rsidR="00085DA8" w:rsidRPr="00F745E8" w:rsidRDefault="00085DA8" w:rsidP="00354DAC">
      <w:pPr>
        <w:pStyle w:val="BodyText"/>
        <w:spacing w:line="288" w:lineRule="auto"/>
        <w:rPr>
          <w:rFonts w:ascii="Tahoma" w:hAnsi="Tahoma" w:cs="Tahoma"/>
          <w:sz w:val="22"/>
          <w:szCs w:val="22"/>
          <w:u w:val="none"/>
        </w:rPr>
      </w:pPr>
      <w:r w:rsidRPr="00F745E8">
        <w:rPr>
          <w:rFonts w:ascii="Tahoma" w:hAnsi="Tahoma" w:cs="Tahoma"/>
          <w:sz w:val="22"/>
          <w:szCs w:val="22"/>
          <w:u w:val="none"/>
        </w:rPr>
        <w:t xml:space="preserve">Ο Δείκτης Επιχειρηματικών Προσδοκιών στα </w:t>
      </w:r>
      <w:r w:rsidRPr="00F745E8">
        <w:rPr>
          <w:rFonts w:ascii="Tahoma" w:hAnsi="Tahoma" w:cs="Tahoma"/>
          <w:b/>
          <w:bCs/>
          <w:sz w:val="22"/>
          <w:szCs w:val="22"/>
          <w:u w:val="none"/>
        </w:rPr>
        <w:t>Καταναλωτικά Αγαθά</w:t>
      </w:r>
      <w:r w:rsidRPr="00F745E8">
        <w:rPr>
          <w:rFonts w:ascii="Tahoma" w:hAnsi="Tahoma" w:cs="Tahoma"/>
          <w:sz w:val="22"/>
          <w:szCs w:val="22"/>
          <w:u w:val="none"/>
        </w:rPr>
        <w:t xml:space="preserve"> βελτιώνεται ελαφρά τον Νοέμβριο και διαμορφώνεται στις 80,5 μονάδες (από 78,7 μονάδες), σε ανώτερα επίπεδα σε σχέση με πέρυσι (76,7 μονάδες). Οι προβλέψεις για την παραγωγή τους προσεχείς μήνες βελτιώνονται κατά 5 μονάδες, με το σχετικό δείκτη να διαμορφώνεται στις -7 μονάδες και το 1/5 των επιχειρήσεων να κάνει λόγο για μείωση της παραγωγής του το επόμενο διάστημα. Οι αρνητικές εκτιμήσεις παραγγελιών και εγχώριας ζήτησης εντείνονται περαιτέρω (στις -40 από -37 μονάδες το ισοζύγιο), ενώ τα αποθέματα φαίνεται να ρευστοποιούνται ελαφρώς (στις +3 από +6 μονάδες ο δείκτης). Από τα υπόλοιπα στοιχεία, οι εξαγωγικοί δείκτες καταγράφουν μικτές τάσεις, με τις εξαγωγές του τρέχοντος τριμήνου να εμφανίζονται πολύ ενισχυμένες (στις +22 από -1 μονάδες ο δείκτης), παρόλο που οι παραγγελίες και η ζήτηση εξωτερικού δεν είναι ικανοποιητικές. Οι προβλέψεις για την απασχόληση βαίνουν δυσμενέστερες (στις -20 από -12 μονάδες το ισοζύγιο), με την ευρεία πλειονότητα των επιχειρήσεων πάντως (77% από 86%) να αναμένει σταθερότητα. Αναφορικά με τις τιμές, ο σχετικός δείκτης καταγράφει οριακή άνοδο στις -9 από τις  -11 μονάδες. </w:t>
      </w:r>
    </w:p>
    <w:p w:rsidR="00085DA8" w:rsidRPr="00F745E8" w:rsidRDefault="00085DA8" w:rsidP="00354DAC">
      <w:pPr>
        <w:pStyle w:val="BodyText"/>
        <w:spacing w:line="288" w:lineRule="auto"/>
        <w:rPr>
          <w:rFonts w:ascii="Tahoma" w:hAnsi="Tahoma" w:cs="Tahoma"/>
          <w:sz w:val="22"/>
          <w:szCs w:val="22"/>
          <w:u w:val="none"/>
        </w:rPr>
      </w:pPr>
    </w:p>
    <w:p w:rsidR="00085DA8" w:rsidRPr="00F745E8" w:rsidRDefault="00085DA8" w:rsidP="00354DAC">
      <w:pPr>
        <w:pStyle w:val="BodyText"/>
        <w:spacing w:line="288" w:lineRule="auto"/>
        <w:rPr>
          <w:rFonts w:ascii="Tahoma" w:hAnsi="Tahoma" w:cs="Tahoma"/>
          <w:sz w:val="22"/>
          <w:szCs w:val="22"/>
          <w:u w:val="none"/>
        </w:rPr>
      </w:pPr>
      <w:r w:rsidRPr="00F745E8">
        <w:rPr>
          <w:rFonts w:ascii="Tahoma" w:hAnsi="Tahoma" w:cs="Tahoma"/>
          <w:sz w:val="22"/>
          <w:szCs w:val="22"/>
          <w:u w:val="none"/>
        </w:rPr>
        <w:t xml:space="preserve">Στην καλύτερη φετινή επίδοση διαμορφώνονται οι επιχειρηματικές προσδοκίες στα </w:t>
      </w:r>
      <w:r w:rsidRPr="00F745E8">
        <w:rPr>
          <w:rFonts w:ascii="Tahoma" w:hAnsi="Tahoma" w:cs="Tahoma"/>
          <w:b/>
          <w:bCs/>
          <w:sz w:val="22"/>
          <w:szCs w:val="22"/>
          <w:u w:val="none"/>
        </w:rPr>
        <w:t>Κεφαλαιουχικά Αγαθά</w:t>
      </w:r>
      <w:r w:rsidRPr="00F745E8">
        <w:rPr>
          <w:rFonts w:ascii="Tahoma" w:hAnsi="Tahoma" w:cs="Tahoma"/>
          <w:sz w:val="22"/>
          <w:szCs w:val="22"/>
          <w:u w:val="none"/>
        </w:rPr>
        <w:t xml:space="preserve"> τον Νοέμβριο, με το σχετικό δείκτη να κερδίζει σχεδόν 8 μονάδες, κινούμενος στις 76,7 μονάδες, 10 μονάδες υψηλότερα έναντι της αντίστοιχης περυσινής επίδοσής του. Ο δείκτης των προβλέψεων για την παραγωγή κινείται ανοδικά για δεύτερο κατά σειρά μήνα, κινούμενος πλέον θετικά (+15 από -8 μονάδες), μετά από 4 έτη αρνητικών επιδόσεων. Τα αποθέματα παραμένουν διογκωμένα (στις +20 από +18 μονάδες ο σχετικός δείκτης), ενώ οι εκτιμήσεις για τις παραγγελίες και τη ζήτηση, παρά τη μικρή κάμψη του αρνητικού δείκτη, παραμένουν ακόμη εξαιρετικά υποτονικές (στις -61 από τις -64 μονάδες). Οι δείκτες των τρεχουσών εξαγωγών υποχωρούν, με εξαίρεση τις προβλέψεις για τις εξαγωγές του επόμενου τριμήνου, όπου το σχετικό ισοζύγιο κινείται ακόμα σε υψηλά επίπεδα (+30 από +28 μονάδες). Στην απασχόληση, το αρνητικό ισοζύγιο διπλασιάζεται στις -33 μονάδες, ενώ ως προς τις τιμές, ο σχετικός δείκτης παραμένει αρνητικός, στις -9 μονάδες, υποδηλώνοντας υποχώρηση. </w:t>
      </w:r>
    </w:p>
    <w:p w:rsidR="00085DA8" w:rsidRPr="00F745E8" w:rsidRDefault="00085DA8" w:rsidP="00354DAC">
      <w:pPr>
        <w:pStyle w:val="BodyText"/>
        <w:spacing w:line="288" w:lineRule="auto"/>
        <w:rPr>
          <w:rFonts w:ascii="Tahoma" w:hAnsi="Tahoma" w:cs="Tahoma"/>
          <w:sz w:val="22"/>
          <w:szCs w:val="22"/>
          <w:u w:val="none"/>
        </w:rPr>
      </w:pPr>
    </w:p>
    <w:p w:rsidR="00085DA8" w:rsidRPr="00F745E8" w:rsidRDefault="00085DA8" w:rsidP="00354DAC">
      <w:pPr>
        <w:spacing w:line="288" w:lineRule="auto"/>
        <w:jc w:val="both"/>
        <w:rPr>
          <w:rFonts w:ascii="Tahoma" w:hAnsi="Tahoma" w:cs="Tahoma"/>
          <w:sz w:val="22"/>
          <w:szCs w:val="22"/>
        </w:rPr>
      </w:pPr>
      <w:r w:rsidRPr="00F745E8">
        <w:rPr>
          <w:rFonts w:ascii="Tahoma" w:hAnsi="Tahoma" w:cs="Tahoma"/>
          <w:sz w:val="22"/>
          <w:szCs w:val="22"/>
        </w:rPr>
        <w:t xml:space="preserve">Επιδεινώνονται οι επιχειρηματικές προσδοκίες στα </w:t>
      </w:r>
      <w:r w:rsidRPr="00F745E8">
        <w:rPr>
          <w:rFonts w:ascii="Tahoma" w:hAnsi="Tahoma" w:cs="Tahoma"/>
          <w:b/>
          <w:bCs/>
          <w:sz w:val="22"/>
          <w:szCs w:val="22"/>
        </w:rPr>
        <w:t>Ενδιάμεσα Αγαθά</w:t>
      </w:r>
      <w:r w:rsidRPr="00F745E8">
        <w:rPr>
          <w:rFonts w:ascii="Tahoma" w:hAnsi="Tahoma" w:cs="Tahoma"/>
          <w:sz w:val="22"/>
          <w:szCs w:val="22"/>
        </w:rPr>
        <w:t xml:space="preserve"> τον Νοέμβριο, με το σχετικό δείκτη να διαμορφώνεται στις 80,1 μονάδες (από 85,4 μονάδες), επίδοση</w:t>
      </w:r>
      <w:r w:rsidRPr="00F745E8" w:rsidDel="00C26B66">
        <w:rPr>
          <w:rFonts w:ascii="Tahoma" w:hAnsi="Tahoma" w:cs="Tahoma"/>
          <w:sz w:val="22"/>
          <w:szCs w:val="22"/>
        </w:rPr>
        <w:t xml:space="preserve"> </w:t>
      </w:r>
      <w:r w:rsidRPr="00F745E8">
        <w:rPr>
          <w:rFonts w:ascii="Tahoma" w:hAnsi="Tahoma" w:cs="Tahoma"/>
          <w:sz w:val="22"/>
          <w:szCs w:val="22"/>
        </w:rPr>
        <w:t xml:space="preserve">αισθητά ανώτερη της αντίστοιχης περυσινής (68,5 μονάδες). Δυσμενείς είναι οι προβλέψεις για τη </w:t>
      </w:r>
      <w:r w:rsidRPr="00F745E8">
        <w:rPr>
          <w:rFonts w:ascii="Tahoma" w:hAnsi="Tahoma" w:cs="Tahoma"/>
          <w:sz w:val="22"/>
          <w:szCs w:val="22"/>
        </w:rPr>
        <w:lastRenderedPageBreak/>
        <w:t xml:space="preserve">βραχυπρόθεσμη εξέλιξη της παραγωγής, με το σχετικό ισοζύγιο να γίνεται αρνητικό στις -5 μονάδες (από +6). Στην αρνητική μεταβολή του συνολικού δείκτη συμβάλλει και η μικρή διόγκωση των αποθεμάτων (στις +6 από +1 μονάδες το σχετικό ισοζύγιο), με τις εκτιμήσεις για τις τρέχουσες παραγγελίες και τη ζήτηση να μην μεταβάλλονται από τις -48 μονάδες του Οκτωβρίου. Από τα υπόλοιπα στοιχεία δραστηριότητας, αρνητική είναι η πορεία και αυτόν το μήνα στους εξαγωγικούς δείκτες, ενώ στις προβλέψεις για την απασχόληση, το σχετικό αρνητικό ισοζύγιο αμβλύνεται μόνο κατά 2 μονάδες, στις -24, με το ¼ των επιχειρήσεων να αναμένει συνέχιση των απωλειών στις θέσεις εργασίας. Τέλος, ως προς τις τιμές, από 1/10 των επιχειρήσεων προβλέπουν αμφότερα μείωση και άνοδο των τιμών, με τα 4/5 του συνόλου να αναμένουν σταθερότητα. </w:t>
      </w:r>
    </w:p>
    <w:p w:rsidR="00085DA8" w:rsidRPr="00F745E8" w:rsidRDefault="00085DA8" w:rsidP="00354DAC"/>
    <w:p w:rsidR="00085DA8" w:rsidRPr="00F745E8" w:rsidRDefault="00085DA8" w:rsidP="00354DAC">
      <w:pPr>
        <w:shd w:val="clear" w:color="auto" w:fill="D9D9D9"/>
        <w:spacing w:line="288" w:lineRule="auto"/>
        <w:ind w:left="1843" w:right="26" w:hanging="1843"/>
        <w:jc w:val="both"/>
        <w:rPr>
          <w:rFonts w:ascii="Tahoma" w:hAnsi="Tahoma" w:cs="Tahoma"/>
          <w:b/>
          <w:bCs/>
          <w:i/>
          <w:iCs/>
          <w:sz w:val="22"/>
          <w:szCs w:val="22"/>
          <w:u w:val="single"/>
        </w:rPr>
      </w:pPr>
      <w:r w:rsidRPr="00F745E8">
        <w:rPr>
          <w:rFonts w:ascii="Tahoma" w:hAnsi="Tahoma" w:cs="Tahoma"/>
          <w:b/>
          <w:bCs/>
          <w:caps/>
          <w:sz w:val="22"/>
          <w:szCs w:val="22"/>
        </w:rPr>
        <w:t xml:space="preserve">2. κατασκευεσ: </w:t>
      </w:r>
      <w:r w:rsidRPr="00F745E8">
        <w:rPr>
          <w:rFonts w:ascii="Tahoma" w:hAnsi="Tahoma" w:cs="Tahoma"/>
          <w:b/>
          <w:bCs/>
          <w:i/>
          <w:iCs/>
          <w:sz w:val="22"/>
          <w:szCs w:val="22"/>
          <w:u w:val="single"/>
        </w:rPr>
        <w:t xml:space="preserve">Επιδείνωση προσδοκιών σε Ιδιωτικές Κατασκευές και Δημόσια Έργα </w:t>
      </w:r>
    </w:p>
    <w:p w:rsidR="00085DA8" w:rsidRPr="00F745E8" w:rsidRDefault="00085DA8" w:rsidP="00354DAC">
      <w:pPr>
        <w:tabs>
          <w:tab w:val="left" w:pos="-142"/>
          <w:tab w:val="left" w:pos="1985"/>
        </w:tabs>
        <w:spacing w:before="240" w:line="276" w:lineRule="auto"/>
        <w:jc w:val="both"/>
        <w:rPr>
          <w:rFonts w:ascii="Tahoma" w:hAnsi="Tahoma" w:cs="Tahoma"/>
          <w:sz w:val="22"/>
          <w:szCs w:val="22"/>
        </w:rPr>
      </w:pPr>
      <w:r w:rsidRPr="00F745E8">
        <w:rPr>
          <w:rFonts w:ascii="Tahoma" w:hAnsi="Tahoma" w:cs="Tahoma"/>
          <w:sz w:val="22"/>
          <w:szCs w:val="22"/>
        </w:rPr>
        <w:t xml:space="preserve">Ο Δείκτης Επιχειρηματικών Προσδοκιών στις Κατασκευές αλλάζει και πάλι τάση τον Νοέμβριο και διαμορφώνεται κατά 7 μονάδες χαμηλότερα σε σχέση με τον προηγούμενο μήνα, στις 51,1 μονάδες, ανώτερα πάντως έναντι της αντίστοιχης περσινής επίδοσης (37,1 μονάδες). </w:t>
      </w:r>
      <w:r w:rsidRPr="00F745E8">
        <w:rPr>
          <w:rFonts w:ascii="Tahoma" w:hAnsi="Tahoma" w:cs="Tahoma"/>
          <w:b/>
          <w:bCs/>
          <w:sz w:val="22"/>
          <w:szCs w:val="22"/>
        </w:rPr>
        <w:t xml:space="preserve">Από τις προσδιοριστικές μεταβλητές του συνολικού δείκτη, η μικρή εξομάλυνση στις εξαιρετικά δυσμενείς προβλέψεις των επιχειρήσεων για τις προγραμματισμένες τους εργασίες υπεραντισταθμίζεται από την αρνητική μεταβολή στις προβλέψεις για την απασχόληση, τόσο στις Κατασκευές Δημοσίων Έργων, όσο και στις Ιδιωτικές Κατασκευές. </w:t>
      </w:r>
      <w:r w:rsidRPr="00F745E8">
        <w:rPr>
          <w:rFonts w:ascii="Tahoma" w:hAnsi="Tahoma" w:cs="Tahoma"/>
          <w:sz w:val="22"/>
          <w:szCs w:val="22"/>
        </w:rPr>
        <w:t>Αναλυτικότερα, ο έντονα αρνητικός δείκτης του</w:t>
      </w:r>
      <w:r w:rsidRPr="00F745E8">
        <w:rPr>
          <w:rFonts w:ascii="Tahoma" w:hAnsi="Tahoma" w:cs="Tahoma"/>
          <w:i/>
          <w:iCs/>
          <w:sz w:val="22"/>
          <w:szCs w:val="22"/>
        </w:rPr>
        <w:t xml:space="preserve"> προγράμματος εργασιών των επιχειρήσεων </w:t>
      </w:r>
      <w:r w:rsidRPr="00F745E8">
        <w:rPr>
          <w:rFonts w:ascii="Tahoma" w:hAnsi="Tahoma" w:cs="Tahoma"/>
          <w:sz w:val="22"/>
          <w:szCs w:val="22"/>
        </w:rPr>
        <w:t>κερδίζει ελαφρώς έδαφος τον Νοέμβριο, κινούμενος στις -68 μονάδες (από -76), χωρίς όμως ουσιαστικά να μεταβάλλεται η δυσμενής κατάσταση των επιχειρήσεων, αφού το συντριπτικό 79% (από 84%) κάνει διατυπώνει ακόμη πιο απαισιόδοξες προβλέψεις για χαμηλότερα επίπεδα εργασιών στο επόμενο τρίμηνο. Οι προβλέψεις για την απασχόληση διορθώνουν την αισθητή βελτίωση του Οκτωβρίου, με το σχετικό δείκτη να επανέρχεται κοντά στο μέσο όρο της φετινής χρονιάς, στις -35 μονάδες (από -13). Άλλωστε</w:t>
      </w:r>
      <w:r>
        <w:rPr>
          <w:rFonts w:ascii="Tahoma" w:hAnsi="Tahoma" w:cs="Tahoma"/>
          <w:sz w:val="22"/>
          <w:szCs w:val="22"/>
        </w:rPr>
        <w:t>,</w:t>
      </w:r>
      <w:r w:rsidRPr="00F745E8">
        <w:rPr>
          <w:rFonts w:ascii="Tahoma" w:hAnsi="Tahoma" w:cs="Tahoma"/>
          <w:sz w:val="22"/>
          <w:szCs w:val="22"/>
        </w:rPr>
        <w:t xml:space="preserve"> οι αρνητικές εκτιμήσεις για την </w:t>
      </w:r>
      <w:r w:rsidRPr="00F745E8">
        <w:rPr>
          <w:rFonts w:ascii="Tahoma" w:hAnsi="Tahoma" w:cs="Tahoma"/>
          <w:i/>
          <w:iCs/>
          <w:sz w:val="22"/>
          <w:szCs w:val="22"/>
        </w:rPr>
        <w:t>τρέχουσα πορεία των εργασιών</w:t>
      </w:r>
      <w:r w:rsidRPr="00F745E8">
        <w:rPr>
          <w:rFonts w:ascii="Tahoma" w:hAnsi="Tahoma" w:cs="Tahoma"/>
          <w:sz w:val="22"/>
          <w:szCs w:val="22"/>
        </w:rPr>
        <w:t xml:space="preserve"> ενισχύονται σημαντικά στις -45 μονάδες, ενώ και οι μήνες εξασφαλισμένης δραστηριότητας επανέρχονται στα επίπεδα Σεπτεμβρίου, στους 8,9 μήνες (από 9,9). Στις τιμές, οι προβλέψεις για αποκλιμάκωση εξομαλύνονται, με το 35% (από 43%) των επιχειρήσεων να κρίνει ότι θα μειωθούν στο επόμενο τρίμηνο και ένα 17% (από 8%) να προβλέπει αύξησή τους. Τέλος, διατηρείται στο 7-8% το τελευταίο τρίμηνο το ποσοστό των επιχειρήσεων που αναφέρουν ακώλυτη λειτουργία, με το 44% να επισημαίνει την ανεπαρκή χρηματοδότηση, το 27% τη χαμηλή ζήτηση και το 21% την ύφεση και τις τρέχουσες οικονομικές συνθήκες, τη γραφειοκρατία, τις μεγάλες εκπτώσεις και τις καθυστερήσεις πληρωμών, τις οφειλές του Δημοσίου, την υψηλή φορολογία και συρρίκνωση του ΠΔΕ ως τα κυριότερα προσκόμματα λειτουργίας.</w:t>
      </w:r>
    </w:p>
    <w:p w:rsidR="00085DA8" w:rsidRPr="00F745E8" w:rsidRDefault="00085DA8" w:rsidP="00354DAC">
      <w:pPr>
        <w:tabs>
          <w:tab w:val="left" w:pos="-142"/>
          <w:tab w:val="left" w:pos="1985"/>
        </w:tabs>
        <w:spacing w:before="240" w:line="288" w:lineRule="auto"/>
        <w:jc w:val="both"/>
        <w:rPr>
          <w:rFonts w:ascii="Tahoma" w:hAnsi="Tahoma" w:cs="Tahoma"/>
          <w:sz w:val="22"/>
          <w:szCs w:val="22"/>
        </w:rPr>
      </w:pPr>
      <w:r w:rsidRPr="00F745E8">
        <w:rPr>
          <w:rFonts w:ascii="Tahoma" w:hAnsi="Tahoma" w:cs="Tahoma"/>
          <w:sz w:val="22"/>
          <w:szCs w:val="22"/>
        </w:rPr>
        <w:t>Στους επιμέρους κλάδους σημειώνονται τα εξής:</w:t>
      </w:r>
    </w:p>
    <w:p w:rsidR="00085DA8" w:rsidRPr="00F745E8" w:rsidRDefault="00085DA8" w:rsidP="00354DAC">
      <w:pPr>
        <w:spacing w:before="240" w:line="276" w:lineRule="auto"/>
        <w:jc w:val="both"/>
        <w:rPr>
          <w:rFonts w:ascii="Tahoma" w:hAnsi="Tahoma" w:cs="Tahoma"/>
          <w:sz w:val="22"/>
          <w:szCs w:val="22"/>
        </w:rPr>
      </w:pPr>
      <w:r w:rsidRPr="00F745E8">
        <w:rPr>
          <w:rFonts w:ascii="Tahoma" w:hAnsi="Tahoma" w:cs="Tahoma"/>
          <w:sz w:val="22"/>
          <w:szCs w:val="22"/>
        </w:rPr>
        <w:t xml:space="preserve">Ο δείκτης επιχειρηματικών προσδοκιών στις </w:t>
      </w:r>
      <w:r w:rsidRPr="00F745E8">
        <w:rPr>
          <w:rFonts w:ascii="Tahoma" w:hAnsi="Tahoma" w:cs="Tahoma"/>
          <w:b/>
          <w:bCs/>
          <w:sz w:val="22"/>
          <w:szCs w:val="22"/>
        </w:rPr>
        <w:t>Ιδιωτικές Κατασκευές</w:t>
      </w:r>
      <w:r w:rsidRPr="00F745E8">
        <w:rPr>
          <w:rFonts w:ascii="Tahoma" w:hAnsi="Tahoma" w:cs="Tahoma"/>
          <w:sz w:val="22"/>
          <w:szCs w:val="22"/>
        </w:rPr>
        <w:t xml:space="preserve"> επιδεινώνεται, μετά από ένα δίμηνο ήπιας βελτίωσης και διαμορφώνεται στις 31,8 μονάδες (από 36,2 μονάδες), χαμηλότερα όμως έναντι της αντίστοιχης περσινής τιμής του (36,4 μονάδες). Από τις προβλέψεις των επιχειρήσεων για τις προγραμματισμένες εργασίες τους, το 85% των επιχειρήσεων αναμένει περαιτέρω μείωσή τους εντός των επόμενων μηνών, ενώ στις </w:t>
      </w:r>
      <w:r w:rsidRPr="00F745E8">
        <w:rPr>
          <w:rFonts w:ascii="Tahoma" w:hAnsi="Tahoma" w:cs="Tahoma"/>
          <w:sz w:val="22"/>
          <w:szCs w:val="22"/>
        </w:rPr>
        <w:lastRenderedPageBreak/>
        <w:t>προσδοκίες για την απασχόληση, διευρύνεται στο 56% το ποσοστό των ερωτηθέντων που προβλέπει απώλειες, όταν ταυτόχρονα καμία επιχείρηση δεν αναμένει άνοδο. Από τα υπόλοιπα στοιχεία, οι ήδη πολύ χαμηλές εκτιμήσεις για την τρέχουσα πορεία των εργασιών υποχωρούν βαθύτερα (στις -56 από -49 μονάδες ο σχετικός δείκτης), ενώ η εξασφαλισμένη δραστηριότητα του κλάδου περιορίζεται στους 3,6 μήνες (από 4). Στο πεδίο των τιμών, το 38% των επιχειρήσεων (από 42%) εκφράζει αποπληθωριστικές προσδοκίες, με καμία επιχείρηση εδώ και ένα εξάμηνο να μην αναμένει άνοδο. Τέλος, ένα 4% των ερωτηθέντων</w:t>
      </w:r>
      <w:r>
        <w:rPr>
          <w:rFonts w:ascii="Tahoma" w:hAnsi="Tahoma" w:cs="Tahoma"/>
          <w:sz w:val="22"/>
          <w:szCs w:val="22"/>
        </w:rPr>
        <w:t>,</w:t>
      </w:r>
      <w:r w:rsidRPr="00F745E8">
        <w:rPr>
          <w:rFonts w:ascii="Tahoma" w:hAnsi="Tahoma" w:cs="Tahoma"/>
          <w:sz w:val="22"/>
          <w:szCs w:val="22"/>
        </w:rPr>
        <w:t xml:space="preserve"> όσο περίπου όλη τη φετινή χρονιά</w:t>
      </w:r>
      <w:r>
        <w:rPr>
          <w:rFonts w:ascii="Tahoma" w:hAnsi="Tahoma" w:cs="Tahoma"/>
          <w:sz w:val="22"/>
          <w:szCs w:val="22"/>
        </w:rPr>
        <w:t>,</w:t>
      </w:r>
      <w:r w:rsidRPr="00F745E8">
        <w:rPr>
          <w:rFonts w:ascii="Tahoma" w:hAnsi="Tahoma" w:cs="Tahoma"/>
          <w:sz w:val="22"/>
          <w:szCs w:val="22"/>
        </w:rPr>
        <w:t xml:space="preserve"> δεν αναφέρει προσκόμματα στη λειτουργία του, με το 57% να δηλώνει τη χαμηλή ζήτηση, το 23% την χαμηλή χρηματοδότηση και το 16% τους τρέχοντες παράγοντες ως τα βασικότερα προσκόμματα της λειτουργίας του. </w:t>
      </w:r>
    </w:p>
    <w:p w:rsidR="00085DA8" w:rsidRPr="00F745E8" w:rsidRDefault="00085DA8" w:rsidP="00354DAC">
      <w:pPr>
        <w:ind w:left="-284" w:right="-428"/>
        <w:jc w:val="center"/>
        <w:rPr>
          <w:rFonts w:ascii="Tahoma" w:hAnsi="Tahoma" w:cs="Tahoma"/>
          <w:b/>
          <w:bCs/>
          <w:color w:val="000080"/>
          <w:sz w:val="22"/>
          <w:szCs w:val="22"/>
        </w:rPr>
      </w:pPr>
    </w:p>
    <w:p w:rsidR="00085DA8" w:rsidRPr="00F745E8" w:rsidRDefault="00085DA8" w:rsidP="00354DAC">
      <w:pPr>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Πίνακας 3: </w:t>
      </w:r>
      <w:r w:rsidRPr="00F745E8">
        <w:rPr>
          <w:rFonts w:ascii="Tahoma" w:hAnsi="Tahoma" w:cs="Tahoma"/>
          <w:color w:val="000080"/>
          <w:sz w:val="22"/>
          <w:szCs w:val="22"/>
        </w:rPr>
        <w:t>Δείκτης Επιχειρηματικών Προσδοκιών στις Κατασκευές</w:t>
      </w: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0"/>
        <w:gridCol w:w="762"/>
        <w:gridCol w:w="412"/>
        <w:gridCol w:w="476"/>
        <w:gridCol w:w="447"/>
        <w:gridCol w:w="359"/>
        <w:gridCol w:w="491"/>
        <w:gridCol w:w="275"/>
        <w:gridCol w:w="963"/>
        <w:gridCol w:w="664"/>
        <w:gridCol w:w="120"/>
        <w:gridCol w:w="647"/>
        <w:gridCol w:w="280"/>
        <w:gridCol w:w="483"/>
        <w:gridCol w:w="439"/>
        <w:gridCol w:w="324"/>
        <w:gridCol w:w="600"/>
        <w:gridCol w:w="164"/>
        <w:gridCol w:w="762"/>
      </w:tblGrid>
      <w:tr w:rsidR="00085DA8" w:rsidRPr="00F745E8" w:rsidTr="004C49D6">
        <w:trPr>
          <w:jc w:val="center"/>
        </w:trPr>
        <w:tc>
          <w:tcPr>
            <w:tcW w:w="1934" w:type="dxa"/>
            <w:gridSpan w:val="3"/>
            <w:shd w:val="clear" w:color="auto" w:fill="800000"/>
          </w:tcPr>
          <w:p w:rsidR="00085DA8" w:rsidRPr="00F745E8" w:rsidRDefault="00085DA8" w:rsidP="004C49D6">
            <w:pPr>
              <w:jc w:val="center"/>
              <w:rPr>
                <w:rFonts w:ascii="Tahoma" w:hAnsi="Tahoma" w:cs="Tahoma"/>
                <w:color w:val="FFFFFF"/>
                <w:sz w:val="18"/>
                <w:szCs w:val="18"/>
              </w:rPr>
            </w:pPr>
          </w:p>
        </w:tc>
        <w:tc>
          <w:tcPr>
            <w:tcW w:w="1773" w:type="dxa"/>
            <w:gridSpan w:val="4"/>
            <w:shd w:val="clear" w:color="auto" w:fill="800000"/>
          </w:tcPr>
          <w:p w:rsidR="00085DA8" w:rsidRPr="00F745E8" w:rsidRDefault="00085DA8" w:rsidP="004C49D6">
            <w:pPr>
              <w:jc w:val="center"/>
              <w:rPr>
                <w:rFonts w:ascii="Tahoma" w:hAnsi="Tahoma" w:cs="Tahoma"/>
                <w:b/>
                <w:bCs/>
                <w:color w:val="FFFFFF"/>
                <w:sz w:val="18"/>
                <w:szCs w:val="18"/>
              </w:rPr>
            </w:pPr>
          </w:p>
        </w:tc>
        <w:tc>
          <w:tcPr>
            <w:tcW w:w="5721" w:type="dxa"/>
            <w:gridSpan w:val="12"/>
            <w:shd w:val="clear" w:color="auto" w:fill="800000"/>
          </w:tcPr>
          <w:p w:rsidR="00085DA8" w:rsidRPr="00F745E8" w:rsidRDefault="00085DA8" w:rsidP="004C49D6">
            <w:pPr>
              <w:jc w:val="center"/>
              <w:rPr>
                <w:rFonts w:ascii="Tahoma" w:hAnsi="Tahoma" w:cs="Tahoma"/>
                <w:b/>
                <w:bCs/>
                <w:color w:val="FFFFFF"/>
                <w:sz w:val="18"/>
                <w:szCs w:val="18"/>
              </w:rPr>
            </w:pPr>
            <w:r w:rsidRPr="00F745E8">
              <w:rPr>
                <w:rFonts w:ascii="Tahoma" w:hAnsi="Tahoma" w:cs="Tahoma"/>
                <w:b/>
                <w:bCs/>
                <w:color w:val="FFFFFF"/>
                <w:sz w:val="18"/>
                <w:szCs w:val="18"/>
              </w:rPr>
              <w:t>Μέσος όρος</w:t>
            </w:r>
          </w:p>
        </w:tc>
      </w:tr>
      <w:tr w:rsidR="00085DA8" w:rsidRPr="00F745E8" w:rsidTr="004C49D6">
        <w:trPr>
          <w:jc w:val="center"/>
        </w:trPr>
        <w:tc>
          <w:tcPr>
            <w:tcW w:w="1934" w:type="dxa"/>
            <w:gridSpan w:val="3"/>
            <w:vMerge w:val="restart"/>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 xml:space="preserve">Κατασκευές (1996-2006=100) </w:t>
            </w:r>
          </w:p>
        </w:tc>
        <w:tc>
          <w:tcPr>
            <w:tcW w:w="923"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Min</w:t>
            </w:r>
          </w:p>
        </w:tc>
        <w:tc>
          <w:tcPr>
            <w:tcW w:w="850"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Max</w:t>
            </w:r>
          </w:p>
        </w:tc>
        <w:tc>
          <w:tcPr>
            <w:tcW w:w="1238"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2001-20</w:t>
            </w:r>
            <w:r w:rsidRPr="00F745E8">
              <w:rPr>
                <w:rFonts w:ascii="Tahoma" w:hAnsi="Tahoma" w:cs="Tahoma"/>
                <w:b/>
                <w:bCs/>
                <w:sz w:val="18"/>
                <w:szCs w:val="18"/>
              </w:rPr>
              <w:t>11</w:t>
            </w:r>
          </w:p>
        </w:tc>
        <w:tc>
          <w:tcPr>
            <w:tcW w:w="784"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lang w:val="en-US"/>
              </w:rPr>
              <w:t>200</w:t>
            </w:r>
            <w:r w:rsidRPr="00F745E8">
              <w:rPr>
                <w:rFonts w:ascii="Tahoma" w:hAnsi="Tahoma" w:cs="Tahoma"/>
                <w:i w:val="0"/>
                <w:iCs w:val="0"/>
              </w:rPr>
              <w:t>7</w:t>
            </w:r>
          </w:p>
        </w:tc>
        <w:tc>
          <w:tcPr>
            <w:tcW w:w="927"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2008</w:t>
            </w:r>
          </w:p>
        </w:tc>
        <w:tc>
          <w:tcPr>
            <w:tcW w:w="922" w:type="dxa"/>
            <w:gridSpan w:val="2"/>
            <w:shd w:val="clear" w:color="auto" w:fill="FFFF99"/>
          </w:tcPr>
          <w:p w:rsidR="00085DA8" w:rsidRPr="00F745E8" w:rsidRDefault="00085DA8" w:rsidP="004C49D6">
            <w:pPr>
              <w:pStyle w:val="Heading2"/>
              <w:rPr>
                <w:rFonts w:ascii="Tahoma" w:hAnsi="Tahoma" w:cs="Tahoma"/>
                <w:i w:val="0"/>
                <w:iCs w:val="0"/>
                <w:lang w:val="en-GB"/>
              </w:rPr>
            </w:pPr>
            <w:r w:rsidRPr="00F745E8">
              <w:rPr>
                <w:rFonts w:ascii="Tahoma" w:hAnsi="Tahoma" w:cs="Tahoma"/>
                <w:i w:val="0"/>
                <w:iCs w:val="0"/>
                <w:lang w:val="en-GB"/>
              </w:rPr>
              <w:t>2009</w:t>
            </w:r>
          </w:p>
        </w:tc>
        <w:tc>
          <w:tcPr>
            <w:tcW w:w="924"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2010</w:t>
            </w:r>
          </w:p>
        </w:tc>
        <w:tc>
          <w:tcPr>
            <w:tcW w:w="926"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2011</w:t>
            </w:r>
          </w:p>
        </w:tc>
      </w:tr>
      <w:tr w:rsidR="00085DA8" w:rsidRPr="00F745E8" w:rsidTr="004C49D6">
        <w:trPr>
          <w:trHeight w:val="553"/>
          <w:jc w:val="center"/>
        </w:trPr>
        <w:tc>
          <w:tcPr>
            <w:tcW w:w="1934" w:type="dxa"/>
            <w:gridSpan w:val="3"/>
            <w:vMerge/>
            <w:shd w:val="clear" w:color="auto" w:fill="FFFF99"/>
            <w:vAlign w:val="center"/>
          </w:tcPr>
          <w:p w:rsidR="00085DA8" w:rsidRPr="00F745E8" w:rsidRDefault="00085DA8" w:rsidP="004C49D6">
            <w:pPr>
              <w:pStyle w:val="Heading1"/>
              <w:spacing w:line="240" w:lineRule="auto"/>
              <w:rPr>
                <w:rFonts w:ascii="Tahoma" w:hAnsi="Tahoma" w:cs="Arial"/>
                <w:b w:val="0"/>
                <w:bCs w:val="0"/>
                <w:sz w:val="18"/>
                <w:szCs w:val="18"/>
              </w:rPr>
            </w:pPr>
          </w:p>
        </w:tc>
        <w:tc>
          <w:tcPr>
            <w:tcW w:w="92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26,3</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Μαρτ-11</w:t>
            </w:r>
          </w:p>
        </w:tc>
        <w:tc>
          <w:tcPr>
            <w:tcW w:w="85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123,8</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Σεπ-03</w:t>
            </w:r>
          </w:p>
        </w:tc>
        <w:tc>
          <w:tcPr>
            <w:tcW w:w="1238"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83,1</w:t>
            </w:r>
          </w:p>
        </w:tc>
        <w:tc>
          <w:tcPr>
            <w:tcW w:w="784"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rPr>
              <w:t>9</w:t>
            </w:r>
            <w:r w:rsidRPr="00F745E8">
              <w:rPr>
                <w:rFonts w:ascii="Tahoma" w:hAnsi="Tahoma" w:cs="Tahoma"/>
                <w:sz w:val="18"/>
                <w:szCs w:val="18"/>
                <w:lang w:val="en-US"/>
              </w:rPr>
              <w:t>2</w:t>
            </w:r>
            <w:r w:rsidRPr="00F745E8">
              <w:rPr>
                <w:rFonts w:ascii="Tahoma" w:hAnsi="Tahoma" w:cs="Tahoma"/>
                <w:sz w:val="18"/>
                <w:szCs w:val="18"/>
              </w:rPr>
              <w:t>,</w:t>
            </w:r>
            <w:r w:rsidRPr="00F745E8">
              <w:rPr>
                <w:rFonts w:ascii="Tahoma" w:hAnsi="Tahoma" w:cs="Tahoma"/>
                <w:sz w:val="18"/>
                <w:szCs w:val="18"/>
                <w:lang w:val="en-US"/>
              </w:rPr>
              <w:t>5</w:t>
            </w:r>
          </w:p>
        </w:tc>
        <w:tc>
          <w:tcPr>
            <w:tcW w:w="927"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95,3</w:t>
            </w:r>
          </w:p>
        </w:tc>
        <w:tc>
          <w:tcPr>
            <w:tcW w:w="922" w:type="dxa"/>
            <w:gridSpan w:val="2"/>
            <w:shd w:val="clear" w:color="auto" w:fill="FFFF99"/>
            <w:vAlign w:val="center"/>
          </w:tcPr>
          <w:p w:rsidR="00085DA8" w:rsidRPr="00F745E8" w:rsidRDefault="00085DA8" w:rsidP="004C49D6">
            <w:pPr>
              <w:jc w:val="center"/>
              <w:rPr>
                <w:rFonts w:ascii="Tahoma" w:hAnsi="Tahoma" w:cs="Tahoma"/>
                <w:sz w:val="18"/>
                <w:szCs w:val="18"/>
                <w:lang w:val="en-GB"/>
              </w:rPr>
            </w:pPr>
            <w:r w:rsidRPr="00F745E8">
              <w:rPr>
                <w:rFonts w:ascii="Tahoma" w:hAnsi="Tahoma" w:cs="Tahoma"/>
                <w:sz w:val="18"/>
                <w:szCs w:val="18"/>
                <w:lang w:val="en-GB"/>
              </w:rPr>
              <w:t>65,5</w:t>
            </w:r>
          </w:p>
        </w:tc>
        <w:tc>
          <w:tcPr>
            <w:tcW w:w="924" w:type="dxa"/>
            <w:gridSpan w:val="2"/>
            <w:shd w:val="clear" w:color="auto" w:fill="FFFF99"/>
            <w:vAlign w:val="center"/>
          </w:tcPr>
          <w:p w:rsidR="00085DA8" w:rsidRPr="00F745E8" w:rsidRDefault="00085DA8" w:rsidP="004C49D6">
            <w:pPr>
              <w:jc w:val="center"/>
              <w:rPr>
                <w:rFonts w:ascii="Tahoma" w:hAnsi="Tahoma" w:cs="Tahoma"/>
                <w:sz w:val="18"/>
                <w:szCs w:val="18"/>
                <w:lang w:val="en-GB"/>
              </w:rPr>
            </w:pPr>
            <w:r w:rsidRPr="00F745E8">
              <w:rPr>
                <w:rFonts w:ascii="Tahoma" w:hAnsi="Tahoma" w:cs="Tahoma"/>
                <w:sz w:val="18"/>
                <w:szCs w:val="18"/>
                <w:lang w:val="en-GB"/>
              </w:rPr>
              <w:t>47,4</w:t>
            </w:r>
          </w:p>
        </w:tc>
        <w:tc>
          <w:tcPr>
            <w:tcW w:w="926" w:type="dxa"/>
            <w:gridSpan w:val="2"/>
            <w:shd w:val="clear" w:color="auto" w:fill="FFFF99"/>
            <w:vAlign w:val="center"/>
          </w:tcPr>
          <w:p w:rsidR="00085DA8" w:rsidRPr="00F745E8" w:rsidRDefault="00085DA8" w:rsidP="004C49D6">
            <w:pPr>
              <w:jc w:val="center"/>
              <w:rPr>
                <w:rFonts w:ascii="Tahoma" w:hAnsi="Tahoma" w:cs="Tahoma"/>
                <w:sz w:val="18"/>
                <w:szCs w:val="18"/>
                <w:lang w:val="en-GB"/>
              </w:rPr>
            </w:pPr>
            <w:r w:rsidRPr="00F745E8">
              <w:rPr>
                <w:rFonts w:ascii="Tahoma" w:hAnsi="Tahoma" w:cs="Tahoma"/>
                <w:sz w:val="18"/>
                <w:szCs w:val="18"/>
                <w:lang w:val="en-GB"/>
              </w:rPr>
              <w:t>34,2</w:t>
            </w:r>
          </w:p>
        </w:tc>
      </w:tr>
      <w:tr w:rsidR="00085DA8" w:rsidRPr="00F745E8" w:rsidTr="004C49D6">
        <w:trPr>
          <w:jc w:val="center"/>
        </w:trPr>
        <w:tc>
          <w:tcPr>
            <w:tcW w:w="9428" w:type="dxa"/>
            <w:gridSpan w:val="19"/>
            <w:shd w:val="clear" w:color="auto" w:fill="800000"/>
            <w:vAlign w:val="center"/>
          </w:tcPr>
          <w:p w:rsidR="00085DA8" w:rsidRPr="00F745E8" w:rsidRDefault="00085DA8" w:rsidP="004C49D6">
            <w:pPr>
              <w:pStyle w:val="Heading7"/>
              <w:jc w:val="center"/>
              <w:rPr>
                <w:rFonts w:ascii="Tahoma" w:hAnsi="Tahoma" w:cs="Tahoma"/>
                <w:color w:val="FFFFFF"/>
              </w:rPr>
            </w:pPr>
            <w:r w:rsidRPr="00F745E8">
              <w:rPr>
                <w:rFonts w:ascii="Tahoma" w:hAnsi="Tahoma" w:cs="Tahoma"/>
                <w:color w:val="FFFFFF"/>
                <w:lang w:val="en-US"/>
              </w:rPr>
              <w:t>20</w:t>
            </w:r>
            <w:r w:rsidRPr="00F745E8">
              <w:rPr>
                <w:rFonts w:ascii="Tahoma" w:hAnsi="Tahoma" w:cs="Tahoma"/>
                <w:color w:val="FFFFFF"/>
              </w:rPr>
              <w:t>11</w:t>
            </w:r>
          </w:p>
        </w:tc>
      </w:tr>
      <w:tr w:rsidR="00085DA8" w:rsidRPr="00F745E8" w:rsidTr="004C49D6">
        <w:trPr>
          <w:jc w:val="center"/>
        </w:trPr>
        <w:tc>
          <w:tcPr>
            <w:tcW w:w="760"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2"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888"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806"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66"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963"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6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7"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6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762"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60"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29,1</w:t>
            </w:r>
          </w:p>
        </w:tc>
        <w:tc>
          <w:tcPr>
            <w:tcW w:w="762"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34,6</w:t>
            </w:r>
          </w:p>
        </w:tc>
        <w:tc>
          <w:tcPr>
            <w:tcW w:w="888" w:type="dxa"/>
            <w:gridSpan w:val="2"/>
            <w:shd w:val="clear" w:color="auto" w:fill="FFFF99"/>
            <w:vAlign w:val="center"/>
          </w:tcPr>
          <w:p w:rsidR="00085DA8" w:rsidRPr="00F745E8" w:rsidRDefault="00085DA8" w:rsidP="004C49D6">
            <w:pPr>
              <w:jc w:val="center"/>
              <w:rPr>
                <w:rFonts w:ascii="Times New Roman" w:hAnsi="Times New Roman" w:cs="Times New Roman"/>
                <w:sz w:val="20"/>
                <w:szCs w:val="20"/>
              </w:rPr>
            </w:pPr>
            <w:r w:rsidRPr="00F745E8">
              <w:rPr>
                <w:rFonts w:ascii="Tahoma" w:hAnsi="Tahoma" w:cs="Tahoma"/>
                <w:sz w:val="18"/>
                <w:szCs w:val="18"/>
              </w:rPr>
              <w:t>26,3</w:t>
            </w:r>
          </w:p>
        </w:tc>
        <w:tc>
          <w:tcPr>
            <w:tcW w:w="80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29,4</w:t>
            </w:r>
          </w:p>
        </w:tc>
        <w:tc>
          <w:tcPr>
            <w:tcW w:w="76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36,4</w:t>
            </w:r>
          </w:p>
        </w:tc>
        <w:tc>
          <w:tcPr>
            <w:tcW w:w="963"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29,9</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28,8</w:t>
            </w:r>
          </w:p>
        </w:tc>
        <w:tc>
          <w:tcPr>
            <w:tcW w:w="767"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33,7</w:t>
            </w:r>
          </w:p>
        </w:tc>
        <w:tc>
          <w:tcPr>
            <w:tcW w:w="763" w:type="dxa"/>
            <w:gridSpan w:val="2"/>
            <w:shd w:val="clear" w:color="auto" w:fill="FFFF99"/>
            <w:vAlign w:val="center"/>
          </w:tcPr>
          <w:p w:rsidR="00085DA8" w:rsidRPr="00F745E8" w:rsidRDefault="00085DA8" w:rsidP="004C49D6">
            <w:pPr>
              <w:rPr>
                <w:rFonts w:ascii="Tahoma" w:hAnsi="Tahoma" w:cs="Tahoma"/>
                <w:sz w:val="18"/>
                <w:szCs w:val="18"/>
              </w:rPr>
            </w:pPr>
            <w:r w:rsidRPr="00F745E8">
              <w:rPr>
                <w:rFonts w:ascii="Tahoma" w:hAnsi="Tahoma" w:cs="Tahoma"/>
                <w:sz w:val="18"/>
                <w:szCs w:val="18"/>
              </w:rPr>
              <w:t>44,3</w:t>
            </w:r>
          </w:p>
        </w:tc>
        <w:tc>
          <w:tcPr>
            <w:tcW w:w="763"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40</w:t>
            </w:r>
            <w:r w:rsidRPr="00F745E8">
              <w:rPr>
                <w:rFonts w:ascii="Tahoma" w:hAnsi="Tahoma" w:cs="Tahoma"/>
                <w:sz w:val="18"/>
                <w:szCs w:val="18"/>
              </w:rPr>
              <w:t>,</w:t>
            </w:r>
            <w:r w:rsidRPr="00F745E8">
              <w:rPr>
                <w:rFonts w:ascii="Tahoma" w:hAnsi="Tahoma" w:cs="Tahoma"/>
                <w:sz w:val="18"/>
                <w:szCs w:val="18"/>
                <w:lang w:val="en-US"/>
              </w:rPr>
              <w:t>6</w:t>
            </w:r>
          </w:p>
        </w:tc>
        <w:tc>
          <w:tcPr>
            <w:tcW w:w="7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37,1</w:t>
            </w:r>
          </w:p>
        </w:tc>
        <w:tc>
          <w:tcPr>
            <w:tcW w:w="762"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40,7</w:t>
            </w:r>
          </w:p>
        </w:tc>
      </w:tr>
      <w:tr w:rsidR="00085DA8" w:rsidRPr="00F745E8" w:rsidTr="004C49D6">
        <w:trPr>
          <w:jc w:val="center"/>
        </w:trPr>
        <w:tc>
          <w:tcPr>
            <w:tcW w:w="9428" w:type="dxa"/>
            <w:gridSpan w:val="19"/>
            <w:shd w:val="clear" w:color="auto" w:fill="800000"/>
            <w:vAlign w:val="center"/>
          </w:tcPr>
          <w:p w:rsidR="00085DA8" w:rsidRPr="00F745E8" w:rsidRDefault="00085DA8" w:rsidP="004C49D6">
            <w:pPr>
              <w:pStyle w:val="Heading7"/>
              <w:jc w:val="center"/>
              <w:rPr>
                <w:rFonts w:ascii="Tahoma" w:hAnsi="Tahoma" w:cs="Tahoma"/>
                <w:color w:val="FFFFFF"/>
                <w:lang w:val="en-US"/>
              </w:rPr>
            </w:pPr>
            <w:r w:rsidRPr="00F745E8">
              <w:rPr>
                <w:rFonts w:ascii="Tahoma" w:hAnsi="Tahoma" w:cs="Tahoma"/>
                <w:color w:val="FFFFFF"/>
                <w:lang w:val="en-US"/>
              </w:rPr>
              <w:t>2012</w:t>
            </w:r>
          </w:p>
        </w:tc>
      </w:tr>
      <w:tr w:rsidR="00085DA8" w:rsidRPr="00F745E8" w:rsidTr="004C49D6">
        <w:trPr>
          <w:jc w:val="center"/>
        </w:trPr>
        <w:tc>
          <w:tcPr>
            <w:tcW w:w="760"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2"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888"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806"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66"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963"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6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7"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6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762"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60"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36,4</w:t>
            </w:r>
          </w:p>
        </w:tc>
        <w:tc>
          <w:tcPr>
            <w:tcW w:w="762"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43,4</w:t>
            </w:r>
          </w:p>
        </w:tc>
        <w:tc>
          <w:tcPr>
            <w:tcW w:w="888"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33,2</w:t>
            </w:r>
          </w:p>
        </w:tc>
        <w:tc>
          <w:tcPr>
            <w:tcW w:w="80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40,8</w:t>
            </w:r>
          </w:p>
        </w:tc>
        <w:tc>
          <w:tcPr>
            <w:tcW w:w="76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36,5</w:t>
            </w:r>
          </w:p>
        </w:tc>
        <w:tc>
          <w:tcPr>
            <w:tcW w:w="963" w:type="dxa"/>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40.0</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46,3</w:t>
            </w:r>
          </w:p>
        </w:tc>
        <w:tc>
          <w:tcPr>
            <w:tcW w:w="767"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52,0</w:t>
            </w:r>
          </w:p>
        </w:tc>
        <w:tc>
          <w:tcPr>
            <w:tcW w:w="763" w:type="dxa"/>
            <w:gridSpan w:val="2"/>
            <w:shd w:val="clear" w:color="auto" w:fill="FFFF99"/>
            <w:vAlign w:val="center"/>
          </w:tcPr>
          <w:p w:rsidR="00085DA8" w:rsidRPr="00F745E8" w:rsidRDefault="00085DA8" w:rsidP="004C49D6">
            <w:pPr>
              <w:rPr>
                <w:rFonts w:ascii="Tahoma" w:hAnsi="Tahoma" w:cs="Tahoma"/>
                <w:sz w:val="18"/>
                <w:szCs w:val="18"/>
              </w:rPr>
            </w:pPr>
            <w:r w:rsidRPr="00F745E8">
              <w:rPr>
                <w:rFonts w:ascii="Tahoma" w:hAnsi="Tahoma" w:cs="Tahoma"/>
                <w:sz w:val="18"/>
                <w:szCs w:val="18"/>
              </w:rPr>
              <w:t>44,4</w:t>
            </w:r>
          </w:p>
        </w:tc>
        <w:tc>
          <w:tcPr>
            <w:tcW w:w="76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58,3</w:t>
            </w:r>
          </w:p>
        </w:tc>
        <w:tc>
          <w:tcPr>
            <w:tcW w:w="764"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51</w:t>
            </w:r>
            <w:r>
              <w:rPr>
                <w:rFonts w:ascii="Tahoma" w:hAnsi="Tahoma" w:cs="Tahoma"/>
                <w:sz w:val="18"/>
                <w:szCs w:val="18"/>
              </w:rPr>
              <w:t>,</w:t>
            </w:r>
            <w:r w:rsidRPr="00F745E8">
              <w:rPr>
                <w:rFonts w:ascii="Tahoma" w:hAnsi="Tahoma" w:cs="Tahoma"/>
                <w:sz w:val="18"/>
                <w:szCs w:val="18"/>
                <w:lang w:val="en-US"/>
              </w:rPr>
              <w:t>1</w:t>
            </w:r>
          </w:p>
        </w:tc>
        <w:tc>
          <w:tcPr>
            <w:tcW w:w="762" w:type="dxa"/>
            <w:shd w:val="clear" w:color="auto" w:fill="FFFF99"/>
            <w:vAlign w:val="center"/>
          </w:tcPr>
          <w:p w:rsidR="00085DA8" w:rsidRPr="00F745E8" w:rsidRDefault="00085DA8" w:rsidP="004C49D6">
            <w:pPr>
              <w:jc w:val="center"/>
              <w:rPr>
                <w:rFonts w:ascii="Tahoma" w:hAnsi="Tahoma" w:cs="Tahoma"/>
                <w:sz w:val="18"/>
                <w:szCs w:val="18"/>
              </w:rPr>
            </w:pPr>
          </w:p>
        </w:tc>
      </w:tr>
    </w:tbl>
    <w:p w:rsidR="00085DA8" w:rsidRPr="00F745E8" w:rsidRDefault="00085DA8" w:rsidP="00354DAC">
      <w:pPr>
        <w:pStyle w:val="BodyText26"/>
        <w:numPr>
          <w:ilvl w:val="12"/>
          <w:numId w:val="0"/>
        </w:numPr>
        <w:spacing w:after="0" w:line="240" w:lineRule="auto"/>
        <w:rPr>
          <w:rFonts w:ascii="Tahoma" w:hAnsi="Tahoma" w:cs="Tahoma"/>
          <w:sz w:val="18"/>
          <w:szCs w:val="18"/>
        </w:rPr>
      </w:pPr>
      <w:r w:rsidRPr="00F745E8">
        <w:rPr>
          <w:rFonts w:ascii="Tahoma" w:hAnsi="Tahoma" w:cs="Tahoma"/>
          <w:b/>
          <w:bCs/>
          <w:sz w:val="18"/>
          <w:szCs w:val="18"/>
        </w:rPr>
        <w:t>Σημείωση:</w:t>
      </w:r>
      <w:r w:rsidRPr="00F745E8">
        <w:rPr>
          <w:rFonts w:ascii="Tahoma" w:hAnsi="Tahoma" w:cs="Tahoma"/>
          <w:sz w:val="18"/>
          <w:szCs w:val="18"/>
        </w:rPr>
        <w:t xml:space="preserve"> Ο δείκτης επιχειρηματικών προσδοκιών υπολογίζεται με βάση τις εκτιμήσεις για το πρόγραμμα των εργασιών και τις προβλέψεις για την απασχόληση. </w:t>
      </w:r>
    </w:p>
    <w:p w:rsidR="00085DA8" w:rsidRPr="00F745E8" w:rsidRDefault="00085DA8" w:rsidP="00354DAC">
      <w:pPr>
        <w:tabs>
          <w:tab w:val="left" w:pos="426"/>
        </w:tabs>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ΙΟΒΕ</w:t>
      </w:r>
    </w:p>
    <w:p w:rsidR="00085DA8" w:rsidRPr="00F745E8" w:rsidRDefault="00085DA8" w:rsidP="00354DAC">
      <w:pPr>
        <w:tabs>
          <w:tab w:val="left" w:pos="426"/>
        </w:tabs>
        <w:jc w:val="both"/>
        <w:rPr>
          <w:rFonts w:ascii="Tahoma" w:hAnsi="Tahoma" w:cs="Tahoma"/>
          <w:sz w:val="18"/>
          <w:szCs w:val="18"/>
        </w:rPr>
      </w:pPr>
    </w:p>
    <w:p w:rsidR="00085DA8" w:rsidRPr="00F745E8" w:rsidRDefault="00085DA8" w:rsidP="00354DAC">
      <w:pPr>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Διάγραμμα 3: </w:t>
      </w:r>
      <w:r w:rsidRPr="00F745E8">
        <w:rPr>
          <w:rFonts w:ascii="Tahoma" w:hAnsi="Tahoma" w:cs="Tahoma"/>
          <w:color w:val="000080"/>
          <w:sz w:val="22"/>
          <w:szCs w:val="22"/>
        </w:rPr>
        <w:t>Δείκτης Επιχειρηματικών Προσδοκιών στις Κατασκευές (1996-2006=100)</w:t>
      </w:r>
    </w:p>
    <w:p w:rsidR="00085DA8" w:rsidRPr="00F745E8" w:rsidRDefault="00DF46E7" w:rsidP="00354DAC">
      <w:pPr>
        <w:ind w:left="-284" w:right="-428"/>
        <w:jc w:val="center"/>
        <w:rPr>
          <w:noProof/>
        </w:rPr>
      </w:pPr>
      <w:r>
        <w:rPr>
          <w:noProof/>
        </w:rPr>
        <w:drawing>
          <wp:inline distT="0" distB="0" distL="0" distR="0">
            <wp:extent cx="5238750" cy="3190875"/>
            <wp:effectExtent l="19050" t="0" r="0" b="0"/>
            <wp:docPr id="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srcRect/>
                    <a:stretch>
                      <a:fillRect/>
                    </a:stretch>
                  </pic:blipFill>
                  <pic:spPr bwMode="auto">
                    <a:xfrm>
                      <a:off x="0" y="0"/>
                      <a:ext cx="5238750" cy="3190875"/>
                    </a:xfrm>
                    <a:prstGeom prst="rect">
                      <a:avLst/>
                    </a:prstGeom>
                    <a:noFill/>
                    <a:ln w="9525">
                      <a:noFill/>
                      <a:miter lim="800000"/>
                      <a:headEnd/>
                      <a:tailEnd/>
                    </a:ln>
                  </pic:spPr>
                </pic:pic>
              </a:graphicData>
            </a:graphic>
          </wp:inline>
        </w:drawing>
      </w:r>
    </w:p>
    <w:p w:rsidR="00085DA8" w:rsidRPr="00F745E8" w:rsidRDefault="00085DA8" w:rsidP="00354DAC">
      <w:pPr>
        <w:spacing w:line="288" w:lineRule="auto"/>
        <w:jc w:val="both"/>
        <w:rPr>
          <w:rFonts w:ascii="Tahoma" w:hAnsi="Tahoma" w:cs="Tahoma"/>
          <w:sz w:val="18"/>
          <w:szCs w:val="18"/>
        </w:rPr>
      </w:pPr>
      <w:r w:rsidRPr="00F745E8">
        <w:rPr>
          <w:rFonts w:ascii="Tahoma" w:hAnsi="Tahoma" w:cs="Tahoma"/>
          <w:b/>
          <w:bCs/>
          <w:i/>
          <w:iCs/>
          <w:sz w:val="18"/>
          <w:szCs w:val="18"/>
        </w:rPr>
        <w:t>Πηγή:</w:t>
      </w:r>
      <w:r w:rsidRPr="00F745E8">
        <w:rPr>
          <w:rFonts w:ascii="Tahoma" w:hAnsi="Tahoma" w:cs="Tahoma"/>
          <w:i/>
          <w:iCs/>
          <w:sz w:val="18"/>
          <w:szCs w:val="18"/>
        </w:rPr>
        <w:t xml:space="preserve"> </w:t>
      </w:r>
      <w:r w:rsidRPr="00F745E8">
        <w:rPr>
          <w:rFonts w:ascii="Tahoma" w:hAnsi="Tahoma" w:cs="Tahoma"/>
          <w:sz w:val="18"/>
          <w:szCs w:val="18"/>
          <w:lang w:val="en-US"/>
        </w:rPr>
        <w:t>IOBE</w:t>
      </w:r>
    </w:p>
    <w:p w:rsidR="00085DA8" w:rsidRPr="00F745E8" w:rsidRDefault="00085DA8" w:rsidP="00354DAC">
      <w:pPr>
        <w:spacing w:before="240" w:line="288" w:lineRule="auto"/>
        <w:jc w:val="both"/>
      </w:pPr>
      <w:r w:rsidRPr="00F745E8">
        <w:rPr>
          <w:rFonts w:ascii="Tahoma" w:hAnsi="Tahoma" w:cs="Tahoma"/>
          <w:sz w:val="22"/>
          <w:szCs w:val="22"/>
        </w:rPr>
        <w:t xml:space="preserve">Επιδείνωση σημειώνεται και στις επιχειρηματικές προσδοκίες στις </w:t>
      </w:r>
      <w:r w:rsidRPr="00F745E8">
        <w:rPr>
          <w:rFonts w:ascii="Tahoma" w:hAnsi="Tahoma" w:cs="Tahoma"/>
          <w:b/>
          <w:bCs/>
          <w:sz w:val="22"/>
          <w:szCs w:val="22"/>
        </w:rPr>
        <w:t>Κατασκευές Δημοσίων Έργων</w:t>
      </w:r>
      <w:r w:rsidRPr="00F745E8">
        <w:rPr>
          <w:rFonts w:ascii="Tahoma" w:hAnsi="Tahoma" w:cs="Tahoma"/>
          <w:sz w:val="22"/>
          <w:szCs w:val="22"/>
        </w:rPr>
        <w:t xml:space="preserve">, με το σχετικό δείκτη να περιορίζεται στις 59,4 μονάδες (από 68,8 τον Οκτώβριο και 36,1 πέρυσι). Οι αδύναμες προβλέψεις για τις προγραμματισμένες εργασίες παραμένουν εξαιρετικά υποτονικές, παρά τη μικρή θετική μεταβολή (-64 από -71 μονάδες το σχετικό </w:t>
      </w:r>
      <w:r w:rsidRPr="00F745E8">
        <w:rPr>
          <w:rFonts w:ascii="Tahoma" w:hAnsi="Tahoma" w:cs="Tahoma"/>
          <w:sz w:val="22"/>
          <w:szCs w:val="22"/>
        </w:rPr>
        <w:lastRenderedPageBreak/>
        <w:t>ισοζύγιο), ενώ η κατακόρυφη άνοδος στις προβλέψεις της απασχόλησης του προηγούμενου μήνα, δίνει τώρα τη θέση της σε σημαντική πτώση (στις -27 ο δείκτης). Άλλωστε οι εκτιμήσεις για την τρέχουσα πορεία των εργασιών των επιχειρήσεων επιδεινώνονται εκ νέου σημαντικά με πτώση του σχετικού δείκτη στις -40 μονάδες, ενώ ως προς τις τιμές, ο σχετικός δείκτης επανέρχεται στα επίπεδα Σεπτεμβρίου, στις -10 μονάδες (από -32). Τέλος, μία στις δέκα επιχειρήσεις δηλώνει απρόσκοπτη επιχειρηματική λειτουργία, ενώ από τις υπόλοιπες, το 52% επισημαίνει τη χαμηλή χρηματοδότηση, το 16% τη χαμηλή ζήτηση και το 22% τους λοιπούς συγκυριακούς παράγοντες ως βασικότερα προσκόμματα της λειτουργίας του.</w:t>
      </w:r>
    </w:p>
    <w:p w:rsidR="00085DA8" w:rsidRPr="00F745E8" w:rsidRDefault="00085DA8" w:rsidP="00354DAC"/>
    <w:p w:rsidR="00085DA8" w:rsidRPr="00F745E8" w:rsidRDefault="00085DA8" w:rsidP="00354DAC">
      <w:pPr>
        <w:shd w:val="clear" w:color="auto" w:fill="D9D9D9"/>
        <w:spacing w:before="240" w:after="120"/>
        <w:jc w:val="both"/>
        <w:rPr>
          <w:rFonts w:ascii="Tahoma" w:hAnsi="Tahoma" w:cs="Tahoma"/>
          <w:b/>
          <w:bCs/>
          <w:i/>
          <w:iCs/>
          <w:sz w:val="22"/>
          <w:szCs w:val="22"/>
          <w:u w:val="single"/>
        </w:rPr>
      </w:pPr>
      <w:r w:rsidRPr="00F745E8">
        <w:rPr>
          <w:rFonts w:ascii="Tahoma" w:hAnsi="Tahoma" w:cs="Tahoma"/>
          <w:b/>
          <w:bCs/>
          <w:caps/>
          <w:sz w:val="22"/>
          <w:szCs w:val="22"/>
        </w:rPr>
        <w:t xml:space="preserve">3. λιανικο εμποριο: </w:t>
      </w:r>
      <w:r w:rsidRPr="00F745E8">
        <w:rPr>
          <w:rFonts w:ascii="Tahoma" w:hAnsi="Tahoma" w:cs="Tahoma"/>
          <w:b/>
          <w:bCs/>
          <w:i/>
          <w:iCs/>
          <w:sz w:val="22"/>
          <w:szCs w:val="22"/>
        </w:rPr>
        <w:t xml:space="preserve">Μικρή βελτίωση των προσδοκιών, εξαιρετικά υποτονικές όμως οι πωλήσεις </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b/>
          <w:bCs/>
          <w:sz w:val="22"/>
          <w:szCs w:val="22"/>
        </w:rPr>
      </w:pPr>
      <w:r w:rsidRPr="00F745E8">
        <w:rPr>
          <w:rFonts w:ascii="Tahoma" w:hAnsi="Tahoma" w:cs="Tahoma"/>
          <w:sz w:val="22"/>
          <w:szCs w:val="22"/>
        </w:rPr>
        <w:t>Ο δείκτης επιχειρηματικών προσδοκιών στο</w:t>
      </w:r>
      <w:r w:rsidRPr="00F745E8">
        <w:rPr>
          <w:rFonts w:ascii="Tahoma" w:hAnsi="Tahoma" w:cs="Tahoma"/>
          <w:b/>
          <w:bCs/>
          <w:sz w:val="22"/>
          <w:szCs w:val="22"/>
        </w:rPr>
        <w:t xml:space="preserve"> Λιανικό Εμπόριο</w:t>
      </w:r>
      <w:r w:rsidRPr="00F745E8">
        <w:rPr>
          <w:rFonts w:ascii="Tahoma" w:hAnsi="Tahoma" w:cs="Tahoma"/>
          <w:sz w:val="22"/>
          <w:szCs w:val="22"/>
        </w:rPr>
        <w:t xml:space="preserve">, μετά από ένα δίμηνο πτώσης, τον Νοέμβριο κερδίζει ελαφρά έδαφος και διαμορφώνεται στις 56,2 μονάδες (από τις 51,1 μονάδες), σε λίγο κατώτερη επίδοση έναντι της αντίστοιχης περσινής (59,7 μονάδες). Ουσιαστικά όμως απλώς αποκλιμακώνονται </w:t>
      </w:r>
      <w:r>
        <w:rPr>
          <w:rFonts w:ascii="Tahoma" w:hAnsi="Tahoma" w:cs="Tahoma"/>
          <w:sz w:val="22"/>
          <w:szCs w:val="22"/>
        </w:rPr>
        <w:t>σε μικρό βαθμό</w:t>
      </w:r>
      <w:r w:rsidRPr="00F745E8">
        <w:rPr>
          <w:rFonts w:ascii="Tahoma" w:hAnsi="Tahoma" w:cs="Tahoma"/>
          <w:sz w:val="22"/>
          <w:szCs w:val="22"/>
        </w:rPr>
        <w:t xml:space="preserve"> οι πολύ δυσμενείς </w:t>
      </w:r>
      <w:r w:rsidRPr="00F745E8">
        <w:rPr>
          <w:rFonts w:ascii="Tahoma" w:hAnsi="Tahoma" w:cs="Tahoma"/>
          <w:b/>
          <w:bCs/>
          <w:sz w:val="22"/>
          <w:szCs w:val="22"/>
        </w:rPr>
        <w:t>εκτιμήσεις και προβλέψεις για τις πωλήσεις</w:t>
      </w:r>
      <w:r>
        <w:rPr>
          <w:rFonts w:ascii="Tahoma" w:hAnsi="Tahoma" w:cs="Tahoma"/>
          <w:b/>
          <w:bCs/>
          <w:sz w:val="22"/>
          <w:szCs w:val="22"/>
        </w:rPr>
        <w:t>,</w:t>
      </w:r>
      <w:r w:rsidRPr="00F745E8">
        <w:rPr>
          <w:rFonts w:ascii="Tahoma" w:hAnsi="Tahoma" w:cs="Tahoma"/>
          <w:b/>
          <w:bCs/>
          <w:sz w:val="22"/>
          <w:szCs w:val="22"/>
        </w:rPr>
        <w:t xml:space="preserve"> τόσο τις τρέχουσες όσο και τις πωλήσεις της επόμενης περιόδου, ίσως προεξοφλώντας κάποια κινητικότητα λόγω των εορτών. </w:t>
      </w:r>
      <w:r w:rsidRPr="00F745E8">
        <w:rPr>
          <w:rFonts w:ascii="Tahoma" w:hAnsi="Tahoma" w:cs="Tahoma"/>
          <w:sz w:val="22"/>
          <w:szCs w:val="22"/>
        </w:rPr>
        <w:t xml:space="preserve">Αναλυτικότερα, οι αρνητικές </w:t>
      </w:r>
      <w:r w:rsidRPr="00F745E8">
        <w:rPr>
          <w:rFonts w:ascii="Tahoma" w:hAnsi="Tahoma" w:cs="Tahoma"/>
          <w:i/>
          <w:iCs/>
          <w:sz w:val="22"/>
          <w:szCs w:val="22"/>
        </w:rPr>
        <w:t xml:space="preserve">εκτιμήσεις των επιχειρήσεων για τις τρέχουσες πωλήσεις </w:t>
      </w:r>
      <w:r w:rsidRPr="00F745E8">
        <w:rPr>
          <w:rFonts w:ascii="Tahoma" w:hAnsi="Tahoma" w:cs="Tahoma"/>
          <w:sz w:val="22"/>
          <w:szCs w:val="22"/>
        </w:rPr>
        <w:t xml:space="preserve">περιορίζονται, με το σχετικό δείκτη να διαμορφώνεται 11 μονάδες υψηλότερα, στις -63. Όμως και πάλι επτά στις 10 επιχειρήσεις (από 82%) αναφέρουν μειωμένες πωλήσεις και μόλις ένα 7-8% το τελευταίο δίμηνο δηλώνει το αντίθετο. Στις </w:t>
      </w:r>
      <w:r w:rsidRPr="00F745E8">
        <w:rPr>
          <w:rFonts w:ascii="Tahoma" w:hAnsi="Tahoma" w:cs="Tahoma"/>
          <w:i/>
          <w:iCs/>
          <w:sz w:val="22"/>
          <w:szCs w:val="22"/>
        </w:rPr>
        <w:t>εκτιμήσεις για τα</w:t>
      </w:r>
      <w:r w:rsidRPr="00F745E8">
        <w:rPr>
          <w:rFonts w:ascii="Tahoma" w:hAnsi="Tahoma" w:cs="Tahoma"/>
          <w:sz w:val="22"/>
          <w:szCs w:val="22"/>
        </w:rPr>
        <w:t xml:space="preserve"> </w:t>
      </w:r>
      <w:r w:rsidRPr="00F745E8">
        <w:rPr>
          <w:rFonts w:ascii="Tahoma" w:hAnsi="Tahoma" w:cs="Tahoma"/>
          <w:i/>
          <w:iCs/>
          <w:sz w:val="22"/>
          <w:szCs w:val="22"/>
        </w:rPr>
        <w:t>αποθέματα</w:t>
      </w:r>
      <w:r w:rsidRPr="00F745E8">
        <w:rPr>
          <w:rFonts w:ascii="Tahoma" w:hAnsi="Tahoma" w:cs="Tahoma"/>
          <w:sz w:val="22"/>
          <w:szCs w:val="22"/>
        </w:rPr>
        <w:t xml:space="preserve">, το σχετικό ισοζύγιο αποκλιμακώνεται στη +1 μονάδα υποδηλώνοντας μικρή ρευστοποίηση. Οι δυσμενείς προβλέψεις για την </w:t>
      </w:r>
      <w:r w:rsidRPr="00F745E8">
        <w:rPr>
          <w:rFonts w:ascii="Tahoma" w:hAnsi="Tahoma" w:cs="Tahoma"/>
          <w:i/>
          <w:iCs/>
          <w:sz w:val="22"/>
          <w:szCs w:val="22"/>
        </w:rPr>
        <w:t>εξέλιξη των πωλήσεων το επόμενο τρίμηνο</w:t>
      </w:r>
      <w:r w:rsidRPr="00F745E8">
        <w:rPr>
          <w:rFonts w:ascii="Tahoma" w:hAnsi="Tahoma" w:cs="Tahoma"/>
          <w:sz w:val="22"/>
          <w:szCs w:val="22"/>
        </w:rPr>
        <w:t xml:space="preserve"> αμβλύνονται, με το σχετικό δείκτη να καταγράφει άνοδο 13 μονάδων, στις -50. Από τα υπόλοιπα στοιχεία δραστηριότητας, ο αρνητικός δείκτης στις παραγγελίες προς προμηθευτές ενισχύεται περαιτέρω κινούμενος στις -59 μονάδες (από -54), ενώ ως προς τις την απασχόληση, οι δυσμενείς προβλέψεις δε διαφοροποιούνται από τον προηγούμενο μήνα (-37 μονάδες), με σταθερά καμία επιχείρηση από τις αρχές του έτους να μην αναμένει άνοδο. Τέλος, στις τιμές, ο σχετικός αποπληθωριστικός δείκτης αμβλύνεται ελαφρά στις -20 μονάδες (από -24), με το 27% των επιχειρήσεων να αναμένει νέα μείωση τιμών και το 7% να δηλώνει το αντίθετο.</w:t>
      </w:r>
    </w:p>
    <w:p w:rsidR="00085DA8" w:rsidRPr="00F745E8" w:rsidRDefault="00085DA8" w:rsidP="00354DAC">
      <w:pPr>
        <w:spacing w:line="288" w:lineRule="auto"/>
        <w:jc w:val="both"/>
        <w:rPr>
          <w:rFonts w:ascii="Tahoma" w:hAnsi="Tahoma" w:cs="Tahoma"/>
          <w:b/>
          <w:bCs/>
          <w:sz w:val="22"/>
          <w:szCs w:val="22"/>
        </w:rPr>
      </w:pPr>
    </w:p>
    <w:p w:rsidR="00085DA8" w:rsidRPr="00F745E8" w:rsidRDefault="00085DA8" w:rsidP="00354DAC">
      <w:pPr>
        <w:spacing w:line="288" w:lineRule="auto"/>
        <w:jc w:val="both"/>
        <w:rPr>
          <w:rFonts w:ascii="Tahoma" w:hAnsi="Tahoma" w:cs="Tahoma"/>
          <w:sz w:val="22"/>
          <w:szCs w:val="22"/>
        </w:rPr>
      </w:pPr>
      <w:r w:rsidRPr="00F745E8">
        <w:rPr>
          <w:rFonts w:ascii="Tahoma" w:hAnsi="Tahoma" w:cs="Tahoma"/>
          <w:sz w:val="22"/>
          <w:szCs w:val="22"/>
        </w:rPr>
        <w:t>Οι εξελίξεις σε επιμέρους κλάδους του Λιανικού εμπορίου είναι οι εξής:</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Περαιτέρω, ήπια πτώση σημειώνουν οι επιχειρηματικές προσδοκίες στα </w:t>
      </w:r>
      <w:r w:rsidRPr="00F745E8">
        <w:rPr>
          <w:rFonts w:ascii="Tahoma" w:hAnsi="Tahoma" w:cs="Tahoma"/>
          <w:b/>
          <w:bCs/>
          <w:sz w:val="22"/>
          <w:szCs w:val="22"/>
        </w:rPr>
        <w:t>Τρόφιμα – Ποτά – Καπνός</w:t>
      </w:r>
      <w:r w:rsidRPr="00F745E8">
        <w:rPr>
          <w:rFonts w:ascii="Tahoma" w:hAnsi="Tahoma" w:cs="Tahoma"/>
          <w:sz w:val="22"/>
          <w:szCs w:val="22"/>
        </w:rPr>
        <w:t xml:space="preserve">, με το σχετικό δείκτη να υποχωρεί για τρίτο διαδοχικό μήνα σε ιστορικά χαμηλά επίπεδα, στις 48,8 μονάδες (από 50,7 μονάδες). Η εξασθένηση των προσδοκιών οφείλεται στις δυσμενέστερες προβλέψεις των πωλήσεων (στις -67 από -63 μονάδες ο δείκτης) και τη μικρή διόγκωση των αποθεμάτων (+6 από +2 μονάδες ο δείκτης). Πάντως, στις τρέχουσες πωλήσεις, το σχετικό έντονα αρνητικό ισοζύγιο βελτιώνεται οριακά, στις -53 μονάδες. </w:t>
      </w:r>
      <w:r>
        <w:rPr>
          <w:rFonts w:ascii="Tahoma" w:hAnsi="Tahoma" w:cs="Tahoma"/>
          <w:sz w:val="22"/>
          <w:szCs w:val="22"/>
        </w:rPr>
        <w:t xml:space="preserve">Εξάλλου, </w:t>
      </w:r>
      <w:r w:rsidRPr="00F745E8">
        <w:rPr>
          <w:rFonts w:ascii="Tahoma" w:hAnsi="Tahoma" w:cs="Tahoma"/>
          <w:sz w:val="22"/>
          <w:szCs w:val="22"/>
        </w:rPr>
        <w:t xml:space="preserve">κατακόρυφη είναι η πτώση που σημειώνουν οι προβλέψεις παραγγελιών προς τους προμηθευτές (στις -55 μονάδες το ισοζύγιο), ενώ «βουτιά» 20 μονάδων καταγράφει και ο δείκτης της απασχόλησης του κλάδου (στις -24), </w:t>
      </w:r>
      <w:r>
        <w:rPr>
          <w:rFonts w:ascii="Tahoma" w:hAnsi="Tahoma" w:cs="Tahoma"/>
          <w:sz w:val="22"/>
          <w:szCs w:val="22"/>
        </w:rPr>
        <w:t xml:space="preserve">καθώς </w:t>
      </w:r>
      <w:r w:rsidRPr="00F745E8">
        <w:rPr>
          <w:rFonts w:ascii="Tahoma" w:hAnsi="Tahoma" w:cs="Tahoma"/>
          <w:sz w:val="22"/>
          <w:szCs w:val="22"/>
        </w:rPr>
        <w:t xml:space="preserve">καμία επιχείρηση δεν αναμένει άνοδο. </w:t>
      </w:r>
      <w:r w:rsidRPr="00F745E8">
        <w:rPr>
          <w:rFonts w:ascii="Tahoma" w:hAnsi="Tahoma" w:cs="Tahoma"/>
          <w:sz w:val="22"/>
          <w:szCs w:val="22"/>
        </w:rPr>
        <w:lastRenderedPageBreak/>
        <w:t>Τέλος, σε σχέση με τις τιμές, ο σταθερά αρνητικός δείκτης (-39 μονάδες) υποδηλώνει συνέχιση των προσφορών με στόχο την ενίσχυση των πωλήσεων.</w:t>
      </w:r>
    </w:p>
    <w:p w:rsidR="00085DA8" w:rsidRPr="00F745E8" w:rsidRDefault="00085DA8" w:rsidP="00354DAC">
      <w:pPr>
        <w:spacing w:line="288" w:lineRule="auto"/>
        <w:jc w:val="both"/>
        <w:rPr>
          <w:rFonts w:ascii="Tahoma" w:hAnsi="Tahoma" w:cs="Tahoma"/>
          <w:b/>
          <w:bCs/>
          <w:sz w:val="22"/>
          <w:szCs w:val="22"/>
        </w:rPr>
      </w:pPr>
    </w:p>
    <w:p w:rsidR="00085DA8" w:rsidRPr="00F745E8" w:rsidRDefault="00085DA8" w:rsidP="00837BC6">
      <w:pPr>
        <w:jc w:val="both"/>
        <w:rPr>
          <w:rFonts w:ascii="Tahoma" w:hAnsi="Tahoma" w:cs="Tahoma"/>
          <w:sz w:val="22"/>
          <w:szCs w:val="22"/>
        </w:rPr>
      </w:pPr>
      <w:r w:rsidRPr="00F745E8">
        <w:rPr>
          <w:rFonts w:ascii="Tahoma" w:hAnsi="Tahoma" w:cs="Tahoma"/>
          <w:sz w:val="22"/>
          <w:szCs w:val="22"/>
        </w:rPr>
        <w:t xml:space="preserve">Επιδείνωση καταγράφεται και στις επιχειρηματικές προσδοκίες στα </w:t>
      </w:r>
      <w:r w:rsidRPr="00F745E8">
        <w:rPr>
          <w:rFonts w:ascii="Tahoma" w:hAnsi="Tahoma" w:cs="Tahoma"/>
          <w:b/>
          <w:bCs/>
          <w:sz w:val="22"/>
          <w:szCs w:val="22"/>
        </w:rPr>
        <w:t>Υφάσματα – Ένδυση – Υπόδηση</w:t>
      </w:r>
      <w:r w:rsidRPr="00F745E8">
        <w:rPr>
          <w:rFonts w:ascii="Tahoma" w:hAnsi="Tahoma" w:cs="Tahoma"/>
          <w:sz w:val="22"/>
          <w:szCs w:val="22"/>
        </w:rPr>
        <w:t>, όπου ο σχετικός δείκτης χάνει σχεδόν 4 μονάδες και διαμορφώνεται στις 50,8 μονάδες, επίδοση πάντως υψηλότερη από την αντίστοιχη περσινή (42,1 μονάδες). Η πτώση εκπορεύεται κυρίως από τη διόγκωση των αποθεμάτων, καθώς ο δείκτης είναι πια θετικός τον Νοέμβριο</w:t>
      </w:r>
      <w:r>
        <w:rPr>
          <w:rFonts w:ascii="Tahoma" w:hAnsi="Tahoma" w:cs="Tahoma"/>
          <w:sz w:val="22"/>
          <w:szCs w:val="22"/>
        </w:rPr>
        <w:t>,</w:t>
      </w:r>
      <w:r w:rsidRPr="00F745E8">
        <w:rPr>
          <w:rFonts w:ascii="Tahoma" w:hAnsi="Tahoma" w:cs="Tahoma"/>
          <w:sz w:val="22"/>
          <w:szCs w:val="22"/>
        </w:rPr>
        <w:t xml:space="preserve"> στη +1 μονάδα. Αντίθετα, οι εξαιρετικά απαισιόδοξες εκτιμήσεις και προβλέψεις για τις πωλήσεις αμβλύνονται, αντισταθμίζοντας εν μέρει τη διόρθωση των αποθεμάτων (στις -78 και -66 μονάδες, από -84 και -81 μονάδες αντίστοιχα). Μικρή βελτίωση καταγράφει και ο δείκτης των παραγγελιών προς προμηθευτές το επόμενο διάστημα, κινούμενος στις -73 μονάδες, ενώ και σε επίπεδο απασχόλησης, το 72%, (έναντι 85% τον Οκτώβριο) των επιχειρήσεων προβλέπει μείωσή της και μάλιστα 6% (από 4%) αναμένει ακόμα και άνοδο. Τέλος, στις τιμές, ένα 55% αναμένει μείωσή τους, ενώ σταθερά από τις αρχές του έτους, καμία επιχείρηση δεν αναμένει άνοδο τιμών. </w:t>
      </w:r>
    </w:p>
    <w:p w:rsidR="00085DA8" w:rsidRPr="00F745E8" w:rsidRDefault="00085DA8" w:rsidP="002762E4">
      <w:pPr>
        <w:jc w:val="both"/>
        <w:rPr>
          <w:rFonts w:ascii="Tahoma" w:hAnsi="Tahoma" w:cs="Tahoma"/>
          <w:b/>
          <w:bCs/>
          <w:sz w:val="22"/>
          <w:szCs w:val="22"/>
        </w:rPr>
      </w:pPr>
    </w:p>
    <w:p w:rsidR="00085DA8" w:rsidRPr="00F745E8" w:rsidRDefault="00085DA8" w:rsidP="002762E4">
      <w:pPr>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Πίνακας 4: </w:t>
      </w:r>
      <w:r w:rsidRPr="00F745E8">
        <w:rPr>
          <w:rFonts w:ascii="Tahoma" w:hAnsi="Tahoma" w:cs="Tahoma"/>
          <w:color w:val="000080"/>
          <w:sz w:val="22"/>
          <w:szCs w:val="22"/>
        </w:rPr>
        <w:t>Δείκτης Επιχειρηματικών Προσδοκιών στο Λιανικό Εμπόριο</w:t>
      </w: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4"/>
        <w:gridCol w:w="765"/>
        <w:gridCol w:w="413"/>
        <w:gridCol w:w="478"/>
        <w:gridCol w:w="362"/>
        <w:gridCol w:w="444"/>
        <w:gridCol w:w="450"/>
        <w:gridCol w:w="316"/>
        <w:gridCol w:w="929"/>
        <w:gridCol w:w="663"/>
        <w:gridCol w:w="120"/>
        <w:gridCol w:w="675"/>
        <w:gridCol w:w="208"/>
        <w:gridCol w:w="556"/>
        <w:gridCol w:w="344"/>
        <w:gridCol w:w="418"/>
        <w:gridCol w:w="482"/>
        <w:gridCol w:w="280"/>
        <w:gridCol w:w="761"/>
      </w:tblGrid>
      <w:tr w:rsidR="00085DA8" w:rsidRPr="00F745E8" w:rsidTr="004C49D6">
        <w:trPr>
          <w:trHeight w:val="327"/>
          <w:jc w:val="center"/>
        </w:trPr>
        <w:tc>
          <w:tcPr>
            <w:tcW w:w="1942" w:type="dxa"/>
            <w:gridSpan w:val="3"/>
            <w:shd w:val="clear" w:color="auto" w:fill="800000"/>
          </w:tcPr>
          <w:p w:rsidR="00085DA8" w:rsidRPr="00F745E8" w:rsidRDefault="00085DA8" w:rsidP="002762E4">
            <w:pPr>
              <w:jc w:val="center"/>
              <w:rPr>
                <w:rFonts w:ascii="Tahoma" w:hAnsi="Tahoma" w:cs="Tahoma"/>
                <w:b/>
                <w:bCs/>
                <w:color w:val="FFFFFF"/>
                <w:sz w:val="18"/>
                <w:szCs w:val="18"/>
              </w:rPr>
            </w:pPr>
          </w:p>
        </w:tc>
        <w:tc>
          <w:tcPr>
            <w:tcW w:w="840" w:type="dxa"/>
            <w:gridSpan w:val="2"/>
            <w:shd w:val="clear" w:color="auto" w:fill="800000"/>
          </w:tcPr>
          <w:p w:rsidR="00085DA8" w:rsidRPr="00F745E8" w:rsidRDefault="00085DA8" w:rsidP="002762E4">
            <w:pPr>
              <w:jc w:val="center"/>
              <w:rPr>
                <w:rFonts w:ascii="Tahoma" w:hAnsi="Tahoma" w:cs="Tahoma"/>
                <w:b/>
                <w:bCs/>
                <w:color w:val="FFFFFF"/>
                <w:sz w:val="18"/>
                <w:szCs w:val="18"/>
              </w:rPr>
            </w:pPr>
          </w:p>
        </w:tc>
        <w:tc>
          <w:tcPr>
            <w:tcW w:w="894" w:type="dxa"/>
            <w:gridSpan w:val="2"/>
            <w:shd w:val="clear" w:color="auto" w:fill="800000"/>
          </w:tcPr>
          <w:p w:rsidR="00085DA8" w:rsidRPr="00F745E8" w:rsidRDefault="00085DA8" w:rsidP="002762E4">
            <w:pPr>
              <w:jc w:val="center"/>
              <w:rPr>
                <w:rFonts w:ascii="Tahoma" w:hAnsi="Tahoma" w:cs="Tahoma"/>
                <w:b/>
                <w:bCs/>
                <w:color w:val="FFFFFF"/>
                <w:sz w:val="18"/>
                <w:szCs w:val="18"/>
              </w:rPr>
            </w:pPr>
          </w:p>
        </w:tc>
        <w:tc>
          <w:tcPr>
            <w:tcW w:w="5752" w:type="dxa"/>
            <w:gridSpan w:val="12"/>
            <w:shd w:val="clear" w:color="auto" w:fill="800000"/>
          </w:tcPr>
          <w:p w:rsidR="00085DA8" w:rsidRPr="00F745E8" w:rsidRDefault="00085DA8" w:rsidP="002762E4">
            <w:pPr>
              <w:jc w:val="center"/>
              <w:rPr>
                <w:rFonts w:ascii="Tahoma" w:hAnsi="Tahoma" w:cs="Tahoma"/>
                <w:b/>
                <w:bCs/>
                <w:color w:val="FFFFFF"/>
                <w:sz w:val="18"/>
                <w:szCs w:val="18"/>
              </w:rPr>
            </w:pPr>
            <w:r w:rsidRPr="00F745E8">
              <w:rPr>
                <w:rFonts w:ascii="Tahoma" w:hAnsi="Tahoma" w:cs="Tahoma"/>
                <w:b/>
                <w:bCs/>
                <w:color w:val="FFFFFF"/>
                <w:sz w:val="18"/>
                <w:szCs w:val="18"/>
              </w:rPr>
              <w:t>Μέσος όρος</w:t>
            </w:r>
          </w:p>
        </w:tc>
      </w:tr>
      <w:tr w:rsidR="00085DA8" w:rsidRPr="00F745E8" w:rsidTr="004C49D6">
        <w:trPr>
          <w:jc w:val="center"/>
        </w:trPr>
        <w:tc>
          <w:tcPr>
            <w:tcW w:w="1942" w:type="dxa"/>
            <w:gridSpan w:val="3"/>
            <w:vMerge w:val="restart"/>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Λιανικό Εμπόριο</w:t>
            </w:r>
          </w:p>
          <w:p w:rsidR="00085DA8" w:rsidRPr="00F745E8" w:rsidRDefault="00085DA8" w:rsidP="002762E4">
            <w:pPr>
              <w:pStyle w:val="Heading2"/>
              <w:rPr>
                <w:rFonts w:ascii="Tahoma" w:hAnsi="Tahoma" w:cs="Tahoma"/>
                <w:lang w:val="en-US"/>
              </w:rPr>
            </w:pPr>
            <w:r w:rsidRPr="00F745E8">
              <w:rPr>
                <w:rFonts w:ascii="Tahoma" w:hAnsi="Tahoma" w:cs="Tahoma"/>
                <w:i w:val="0"/>
                <w:iCs w:val="0"/>
              </w:rPr>
              <w:t>(1996-2006=100)</w:t>
            </w:r>
            <w:r w:rsidRPr="00F745E8">
              <w:rPr>
                <w:rFonts w:ascii="Tahoma" w:hAnsi="Tahoma" w:cs="Tahoma"/>
                <w:lang w:val="en-US"/>
              </w:rPr>
              <w:t xml:space="preserve"> </w:t>
            </w:r>
          </w:p>
        </w:tc>
        <w:tc>
          <w:tcPr>
            <w:tcW w:w="840" w:type="dxa"/>
            <w:gridSpan w:val="2"/>
            <w:shd w:val="clear" w:color="auto" w:fill="FFFF99"/>
            <w:vAlign w:val="center"/>
          </w:tcPr>
          <w:p w:rsidR="00085DA8" w:rsidRPr="00F745E8" w:rsidRDefault="00085DA8" w:rsidP="002762E4">
            <w:pPr>
              <w:jc w:val="center"/>
              <w:rPr>
                <w:rFonts w:ascii="Tahoma" w:hAnsi="Tahoma" w:cs="Tahoma"/>
                <w:sz w:val="18"/>
                <w:szCs w:val="18"/>
              </w:rPr>
            </w:pPr>
            <w:r w:rsidRPr="00DA3F78">
              <w:rPr>
                <w:rFonts w:ascii="Tahoma" w:hAnsi="Tahoma" w:cs="Tahoma"/>
                <w:b/>
                <w:sz w:val="18"/>
                <w:szCs w:val="18"/>
                <w:lang w:val="en-US"/>
              </w:rPr>
              <w:t xml:space="preserve">Min </w:t>
            </w:r>
          </w:p>
        </w:tc>
        <w:tc>
          <w:tcPr>
            <w:tcW w:w="894" w:type="dxa"/>
            <w:gridSpan w:val="2"/>
            <w:shd w:val="clear" w:color="auto" w:fill="FFFF99"/>
            <w:vAlign w:val="center"/>
          </w:tcPr>
          <w:p w:rsidR="00085DA8" w:rsidRPr="00F745E8" w:rsidRDefault="00085DA8" w:rsidP="002762E4">
            <w:pPr>
              <w:jc w:val="center"/>
              <w:rPr>
                <w:rFonts w:ascii="Tahoma" w:hAnsi="Tahoma" w:cs="Tahoma"/>
                <w:sz w:val="18"/>
                <w:szCs w:val="18"/>
              </w:rPr>
            </w:pPr>
            <w:r w:rsidRPr="00DA3F78">
              <w:rPr>
                <w:rFonts w:ascii="Tahoma" w:hAnsi="Tahoma" w:cs="Tahoma"/>
                <w:b/>
                <w:sz w:val="18"/>
                <w:szCs w:val="18"/>
                <w:lang w:val="en-US"/>
              </w:rPr>
              <w:t xml:space="preserve">Max </w:t>
            </w:r>
          </w:p>
        </w:tc>
        <w:tc>
          <w:tcPr>
            <w:tcW w:w="1245" w:type="dxa"/>
            <w:gridSpan w:val="2"/>
            <w:shd w:val="clear" w:color="auto" w:fill="FFFF99"/>
            <w:vAlign w:val="center"/>
          </w:tcPr>
          <w:p w:rsidR="00085DA8" w:rsidRPr="00F745E8" w:rsidRDefault="00085DA8" w:rsidP="002762E4">
            <w:pPr>
              <w:jc w:val="center"/>
              <w:rPr>
                <w:rFonts w:ascii="Tahoma" w:hAnsi="Tahoma" w:cs="Tahoma"/>
                <w:b/>
                <w:bCs/>
                <w:sz w:val="18"/>
                <w:szCs w:val="18"/>
              </w:rPr>
            </w:pPr>
            <w:r w:rsidRPr="00F745E8">
              <w:rPr>
                <w:rFonts w:ascii="Tahoma" w:hAnsi="Tahoma" w:cs="Tahoma"/>
                <w:b/>
                <w:bCs/>
                <w:sz w:val="18"/>
                <w:szCs w:val="18"/>
              </w:rPr>
              <w:t>2001-2011</w:t>
            </w:r>
          </w:p>
        </w:tc>
        <w:tc>
          <w:tcPr>
            <w:tcW w:w="783" w:type="dxa"/>
            <w:gridSpan w:val="2"/>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2007</w:t>
            </w:r>
          </w:p>
        </w:tc>
        <w:tc>
          <w:tcPr>
            <w:tcW w:w="883" w:type="dxa"/>
            <w:gridSpan w:val="2"/>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2008</w:t>
            </w:r>
          </w:p>
        </w:tc>
        <w:tc>
          <w:tcPr>
            <w:tcW w:w="900" w:type="dxa"/>
            <w:gridSpan w:val="2"/>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2009</w:t>
            </w:r>
          </w:p>
        </w:tc>
        <w:tc>
          <w:tcPr>
            <w:tcW w:w="900" w:type="dxa"/>
            <w:gridSpan w:val="2"/>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2010</w:t>
            </w:r>
          </w:p>
        </w:tc>
        <w:tc>
          <w:tcPr>
            <w:tcW w:w="1041" w:type="dxa"/>
            <w:gridSpan w:val="2"/>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2011</w:t>
            </w:r>
          </w:p>
        </w:tc>
      </w:tr>
      <w:tr w:rsidR="00085DA8" w:rsidRPr="00F745E8" w:rsidTr="004C49D6">
        <w:trPr>
          <w:trHeight w:val="271"/>
          <w:jc w:val="center"/>
        </w:trPr>
        <w:tc>
          <w:tcPr>
            <w:tcW w:w="1942" w:type="dxa"/>
            <w:gridSpan w:val="3"/>
            <w:vMerge/>
            <w:shd w:val="clear" w:color="auto" w:fill="FFFF99"/>
            <w:vAlign w:val="center"/>
          </w:tcPr>
          <w:p w:rsidR="00085DA8" w:rsidRPr="00F745E8" w:rsidRDefault="00085DA8" w:rsidP="002762E4">
            <w:pPr>
              <w:pStyle w:val="Heading1"/>
              <w:spacing w:line="240" w:lineRule="auto"/>
              <w:rPr>
                <w:rFonts w:ascii="Tahoma" w:hAnsi="Tahoma" w:cs="Arial"/>
                <w:b w:val="0"/>
                <w:bCs w:val="0"/>
                <w:sz w:val="18"/>
                <w:szCs w:val="18"/>
              </w:rPr>
            </w:pPr>
          </w:p>
        </w:tc>
        <w:tc>
          <w:tcPr>
            <w:tcW w:w="840"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50,8</w:t>
            </w:r>
          </w:p>
          <w:p w:rsidR="00085DA8" w:rsidRPr="00F745E8" w:rsidRDefault="00085DA8" w:rsidP="002762E4">
            <w:pPr>
              <w:jc w:val="center"/>
              <w:rPr>
                <w:rFonts w:ascii="Tahoma" w:hAnsi="Tahoma" w:cs="Tahoma"/>
                <w:sz w:val="18"/>
                <w:szCs w:val="18"/>
              </w:rPr>
            </w:pPr>
            <w:r w:rsidRPr="00F745E8">
              <w:rPr>
                <w:rFonts w:ascii="Tahoma" w:hAnsi="Tahoma" w:cs="Tahoma"/>
                <w:sz w:val="18"/>
                <w:szCs w:val="18"/>
              </w:rPr>
              <w:t>Ιούλ-10</w:t>
            </w:r>
          </w:p>
        </w:tc>
        <w:tc>
          <w:tcPr>
            <w:tcW w:w="894"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124,3</w:t>
            </w:r>
          </w:p>
          <w:p w:rsidR="00085DA8" w:rsidRPr="00F745E8" w:rsidRDefault="00085DA8" w:rsidP="002762E4">
            <w:pPr>
              <w:jc w:val="center"/>
              <w:rPr>
                <w:rFonts w:ascii="Tahoma" w:hAnsi="Tahoma" w:cs="Tahoma"/>
                <w:sz w:val="18"/>
                <w:szCs w:val="18"/>
              </w:rPr>
            </w:pPr>
            <w:r w:rsidRPr="00F745E8">
              <w:rPr>
                <w:rFonts w:ascii="Tahoma" w:hAnsi="Tahoma" w:cs="Tahoma"/>
                <w:sz w:val="18"/>
                <w:szCs w:val="18"/>
              </w:rPr>
              <w:t>Μαι-07</w:t>
            </w:r>
          </w:p>
        </w:tc>
        <w:tc>
          <w:tcPr>
            <w:tcW w:w="1245" w:type="dxa"/>
            <w:gridSpan w:val="2"/>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92,9</w:t>
            </w:r>
          </w:p>
        </w:tc>
        <w:tc>
          <w:tcPr>
            <w:tcW w:w="783"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120,8</w:t>
            </w:r>
          </w:p>
        </w:tc>
        <w:tc>
          <w:tcPr>
            <w:tcW w:w="883"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102,5</w:t>
            </w:r>
          </w:p>
        </w:tc>
        <w:tc>
          <w:tcPr>
            <w:tcW w:w="900"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80,4</w:t>
            </w:r>
          </w:p>
        </w:tc>
        <w:tc>
          <w:tcPr>
            <w:tcW w:w="900"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59,2</w:t>
            </w:r>
          </w:p>
        </w:tc>
        <w:tc>
          <w:tcPr>
            <w:tcW w:w="1041"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58,9</w:t>
            </w:r>
          </w:p>
        </w:tc>
      </w:tr>
      <w:tr w:rsidR="00085DA8" w:rsidRPr="00F745E8" w:rsidTr="004C49D6">
        <w:trPr>
          <w:jc w:val="center"/>
        </w:trPr>
        <w:tc>
          <w:tcPr>
            <w:tcW w:w="9428" w:type="dxa"/>
            <w:gridSpan w:val="19"/>
            <w:shd w:val="clear" w:color="auto" w:fill="800000"/>
            <w:vAlign w:val="center"/>
          </w:tcPr>
          <w:p w:rsidR="00085DA8" w:rsidRPr="00F745E8" w:rsidRDefault="00085DA8" w:rsidP="002762E4">
            <w:pPr>
              <w:pStyle w:val="Heading7"/>
              <w:jc w:val="center"/>
              <w:rPr>
                <w:rFonts w:ascii="Tahoma" w:hAnsi="Tahoma" w:cs="Tahoma"/>
                <w:color w:val="FFFFFF"/>
              </w:rPr>
            </w:pPr>
            <w:r w:rsidRPr="00F745E8">
              <w:rPr>
                <w:rFonts w:ascii="Tahoma" w:hAnsi="Tahoma" w:cs="Tahoma"/>
                <w:color w:val="FFFFFF"/>
                <w:lang w:val="en-US"/>
              </w:rPr>
              <w:t>20</w:t>
            </w:r>
            <w:r w:rsidRPr="00F745E8">
              <w:rPr>
                <w:rFonts w:ascii="Tahoma" w:hAnsi="Tahoma" w:cs="Tahoma"/>
                <w:color w:val="FFFFFF"/>
              </w:rPr>
              <w:t>11</w:t>
            </w:r>
          </w:p>
        </w:tc>
      </w:tr>
      <w:tr w:rsidR="00085DA8" w:rsidRPr="00F745E8" w:rsidTr="004C49D6">
        <w:trPr>
          <w:jc w:val="center"/>
        </w:trPr>
        <w:tc>
          <w:tcPr>
            <w:tcW w:w="764" w:type="dxa"/>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Ι</w:t>
            </w:r>
          </w:p>
        </w:tc>
        <w:tc>
          <w:tcPr>
            <w:tcW w:w="765"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Φ</w:t>
            </w:r>
          </w:p>
        </w:tc>
        <w:tc>
          <w:tcPr>
            <w:tcW w:w="891"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Μ</w:t>
            </w:r>
          </w:p>
        </w:tc>
        <w:tc>
          <w:tcPr>
            <w:tcW w:w="806"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Α</w:t>
            </w:r>
          </w:p>
        </w:tc>
        <w:tc>
          <w:tcPr>
            <w:tcW w:w="766"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Μ</w:t>
            </w:r>
          </w:p>
        </w:tc>
        <w:tc>
          <w:tcPr>
            <w:tcW w:w="929" w:type="dxa"/>
            <w:shd w:val="clear" w:color="auto" w:fill="FFFF99"/>
            <w:vAlign w:val="center"/>
          </w:tcPr>
          <w:p w:rsidR="00085DA8" w:rsidRPr="00F745E8" w:rsidRDefault="00085DA8" w:rsidP="002762E4">
            <w:pPr>
              <w:jc w:val="center"/>
              <w:rPr>
                <w:rFonts w:ascii="Tahoma" w:hAnsi="Tahoma" w:cs="Tahoma"/>
                <w:b/>
                <w:bCs/>
                <w:sz w:val="18"/>
                <w:szCs w:val="18"/>
              </w:rPr>
            </w:pPr>
            <w:r w:rsidRPr="00F745E8">
              <w:rPr>
                <w:rFonts w:ascii="Tahoma" w:hAnsi="Tahoma" w:cs="Tahoma"/>
                <w:b/>
                <w:bCs/>
                <w:sz w:val="18"/>
                <w:szCs w:val="18"/>
              </w:rPr>
              <w:t>Ι</w:t>
            </w:r>
          </w:p>
        </w:tc>
        <w:tc>
          <w:tcPr>
            <w:tcW w:w="663"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Ι</w:t>
            </w:r>
          </w:p>
        </w:tc>
        <w:tc>
          <w:tcPr>
            <w:tcW w:w="795"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Α</w:t>
            </w:r>
          </w:p>
        </w:tc>
        <w:tc>
          <w:tcPr>
            <w:tcW w:w="764"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Σ</w:t>
            </w:r>
          </w:p>
        </w:tc>
        <w:tc>
          <w:tcPr>
            <w:tcW w:w="762"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Ο</w:t>
            </w:r>
          </w:p>
        </w:tc>
        <w:tc>
          <w:tcPr>
            <w:tcW w:w="762"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Ν</w:t>
            </w:r>
          </w:p>
        </w:tc>
        <w:tc>
          <w:tcPr>
            <w:tcW w:w="761"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64"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57,5</w:t>
            </w:r>
          </w:p>
        </w:tc>
        <w:tc>
          <w:tcPr>
            <w:tcW w:w="765"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64,8</w:t>
            </w:r>
          </w:p>
        </w:tc>
        <w:tc>
          <w:tcPr>
            <w:tcW w:w="891" w:type="dxa"/>
            <w:gridSpan w:val="2"/>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66</w:t>
            </w:r>
            <w:r w:rsidRPr="00F745E8">
              <w:rPr>
                <w:rFonts w:ascii="Tahoma" w:hAnsi="Tahoma" w:cs="Tahoma"/>
                <w:sz w:val="18"/>
                <w:szCs w:val="18"/>
              </w:rPr>
              <w:t>,</w:t>
            </w:r>
            <w:r w:rsidRPr="00F745E8">
              <w:rPr>
                <w:rFonts w:ascii="Tahoma" w:hAnsi="Tahoma" w:cs="Tahoma"/>
                <w:sz w:val="18"/>
                <w:szCs w:val="18"/>
                <w:lang w:val="en-US"/>
              </w:rPr>
              <w:t>7</w:t>
            </w:r>
          </w:p>
        </w:tc>
        <w:tc>
          <w:tcPr>
            <w:tcW w:w="806"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lang w:val="en-US"/>
              </w:rPr>
              <w:t>62</w:t>
            </w:r>
            <w:r w:rsidRPr="00F745E8">
              <w:rPr>
                <w:rFonts w:ascii="Tahoma" w:hAnsi="Tahoma" w:cs="Tahoma"/>
                <w:sz w:val="18"/>
                <w:szCs w:val="18"/>
              </w:rPr>
              <w:t>,0</w:t>
            </w:r>
          </w:p>
        </w:tc>
        <w:tc>
          <w:tcPr>
            <w:tcW w:w="766"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52,9</w:t>
            </w:r>
          </w:p>
        </w:tc>
        <w:tc>
          <w:tcPr>
            <w:tcW w:w="929"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55,0</w:t>
            </w:r>
          </w:p>
        </w:tc>
        <w:tc>
          <w:tcPr>
            <w:tcW w:w="663"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56,9</w:t>
            </w:r>
          </w:p>
        </w:tc>
        <w:tc>
          <w:tcPr>
            <w:tcW w:w="795"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57,2</w:t>
            </w:r>
          </w:p>
        </w:tc>
        <w:tc>
          <w:tcPr>
            <w:tcW w:w="764"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57,1</w:t>
            </w:r>
          </w:p>
        </w:tc>
        <w:tc>
          <w:tcPr>
            <w:tcW w:w="762"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62,8</w:t>
            </w:r>
          </w:p>
        </w:tc>
        <w:tc>
          <w:tcPr>
            <w:tcW w:w="762" w:type="dxa"/>
            <w:gridSpan w:val="2"/>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59</w:t>
            </w:r>
            <w:r w:rsidRPr="00F745E8">
              <w:rPr>
                <w:rFonts w:ascii="Tahoma" w:hAnsi="Tahoma" w:cs="Tahoma"/>
                <w:sz w:val="18"/>
                <w:szCs w:val="18"/>
              </w:rPr>
              <w:t>,</w:t>
            </w:r>
            <w:r w:rsidRPr="00F745E8">
              <w:rPr>
                <w:rFonts w:ascii="Tahoma" w:hAnsi="Tahoma" w:cs="Tahoma"/>
                <w:sz w:val="18"/>
                <w:szCs w:val="18"/>
                <w:lang w:val="en-US"/>
              </w:rPr>
              <w:t>7</w:t>
            </w:r>
          </w:p>
        </w:tc>
        <w:tc>
          <w:tcPr>
            <w:tcW w:w="761"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54,1</w:t>
            </w:r>
          </w:p>
        </w:tc>
      </w:tr>
      <w:tr w:rsidR="00085DA8" w:rsidRPr="00F745E8" w:rsidTr="004C49D6">
        <w:trPr>
          <w:jc w:val="center"/>
        </w:trPr>
        <w:tc>
          <w:tcPr>
            <w:tcW w:w="9428" w:type="dxa"/>
            <w:gridSpan w:val="19"/>
            <w:shd w:val="clear" w:color="auto" w:fill="800000"/>
            <w:vAlign w:val="center"/>
          </w:tcPr>
          <w:p w:rsidR="00085DA8" w:rsidRPr="00F745E8" w:rsidRDefault="00085DA8" w:rsidP="002762E4">
            <w:pPr>
              <w:pStyle w:val="Heading7"/>
              <w:jc w:val="center"/>
              <w:rPr>
                <w:rFonts w:ascii="Tahoma" w:hAnsi="Tahoma" w:cs="Tahoma"/>
              </w:rPr>
            </w:pPr>
            <w:r w:rsidRPr="00F745E8">
              <w:rPr>
                <w:rFonts w:ascii="Tahoma" w:hAnsi="Tahoma" w:cs="Tahoma"/>
                <w:color w:val="FFFFFF"/>
                <w:lang w:val="en-US"/>
              </w:rPr>
              <w:t>2012</w:t>
            </w:r>
          </w:p>
        </w:tc>
      </w:tr>
      <w:tr w:rsidR="00085DA8" w:rsidRPr="00F745E8" w:rsidTr="004C49D6">
        <w:trPr>
          <w:jc w:val="center"/>
        </w:trPr>
        <w:tc>
          <w:tcPr>
            <w:tcW w:w="764" w:type="dxa"/>
            <w:shd w:val="clear" w:color="auto" w:fill="FFFF99"/>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Ι</w:t>
            </w:r>
          </w:p>
        </w:tc>
        <w:tc>
          <w:tcPr>
            <w:tcW w:w="765"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Φ</w:t>
            </w:r>
          </w:p>
        </w:tc>
        <w:tc>
          <w:tcPr>
            <w:tcW w:w="891"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Μ</w:t>
            </w:r>
          </w:p>
        </w:tc>
        <w:tc>
          <w:tcPr>
            <w:tcW w:w="806"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Α</w:t>
            </w:r>
          </w:p>
        </w:tc>
        <w:tc>
          <w:tcPr>
            <w:tcW w:w="766"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Μ</w:t>
            </w:r>
          </w:p>
        </w:tc>
        <w:tc>
          <w:tcPr>
            <w:tcW w:w="929" w:type="dxa"/>
            <w:shd w:val="clear" w:color="auto" w:fill="FFFF99"/>
            <w:vAlign w:val="center"/>
          </w:tcPr>
          <w:p w:rsidR="00085DA8" w:rsidRPr="00F745E8" w:rsidRDefault="00085DA8" w:rsidP="002762E4">
            <w:pPr>
              <w:jc w:val="center"/>
              <w:rPr>
                <w:rFonts w:ascii="Tahoma" w:hAnsi="Tahoma" w:cs="Tahoma"/>
                <w:b/>
                <w:bCs/>
                <w:sz w:val="18"/>
                <w:szCs w:val="18"/>
              </w:rPr>
            </w:pPr>
            <w:r w:rsidRPr="00F745E8">
              <w:rPr>
                <w:rFonts w:ascii="Tahoma" w:hAnsi="Tahoma" w:cs="Tahoma"/>
                <w:b/>
                <w:bCs/>
                <w:sz w:val="18"/>
                <w:szCs w:val="18"/>
              </w:rPr>
              <w:t>Ι</w:t>
            </w:r>
          </w:p>
        </w:tc>
        <w:tc>
          <w:tcPr>
            <w:tcW w:w="663"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Ι</w:t>
            </w:r>
          </w:p>
        </w:tc>
        <w:tc>
          <w:tcPr>
            <w:tcW w:w="795"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Α</w:t>
            </w:r>
          </w:p>
        </w:tc>
        <w:tc>
          <w:tcPr>
            <w:tcW w:w="764"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Σ</w:t>
            </w:r>
          </w:p>
        </w:tc>
        <w:tc>
          <w:tcPr>
            <w:tcW w:w="762"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Ο</w:t>
            </w:r>
          </w:p>
        </w:tc>
        <w:tc>
          <w:tcPr>
            <w:tcW w:w="762" w:type="dxa"/>
            <w:gridSpan w:val="2"/>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Ν</w:t>
            </w:r>
          </w:p>
        </w:tc>
        <w:tc>
          <w:tcPr>
            <w:tcW w:w="761" w:type="dxa"/>
            <w:shd w:val="clear" w:color="auto" w:fill="FFFF99"/>
            <w:vAlign w:val="center"/>
          </w:tcPr>
          <w:p w:rsidR="00085DA8" w:rsidRPr="00F745E8" w:rsidRDefault="00085DA8" w:rsidP="002762E4">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64"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56,0</w:t>
            </w:r>
          </w:p>
        </w:tc>
        <w:tc>
          <w:tcPr>
            <w:tcW w:w="765"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52,7</w:t>
            </w:r>
          </w:p>
        </w:tc>
        <w:tc>
          <w:tcPr>
            <w:tcW w:w="891"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51,9</w:t>
            </w:r>
          </w:p>
        </w:tc>
        <w:tc>
          <w:tcPr>
            <w:tcW w:w="806"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52,4</w:t>
            </w:r>
          </w:p>
        </w:tc>
        <w:tc>
          <w:tcPr>
            <w:tcW w:w="766" w:type="dxa"/>
            <w:gridSpan w:val="2"/>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58</w:t>
            </w:r>
            <w:r w:rsidRPr="00F745E8">
              <w:rPr>
                <w:rFonts w:ascii="Tahoma" w:hAnsi="Tahoma" w:cs="Tahoma"/>
                <w:sz w:val="18"/>
                <w:szCs w:val="18"/>
              </w:rPr>
              <w:t>,</w:t>
            </w:r>
            <w:r w:rsidRPr="00F745E8">
              <w:rPr>
                <w:rFonts w:ascii="Tahoma" w:hAnsi="Tahoma" w:cs="Tahoma"/>
                <w:sz w:val="18"/>
                <w:szCs w:val="18"/>
                <w:lang w:val="en-US"/>
              </w:rPr>
              <w:t>2</w:t>
            </w:r>
          </w:p>
        </w:tc>
        <w:tc>
          <w:tcPr>
            <w:tcW w:w="929" w:type="dxa"/>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58,2</w:t>
            </w:r>
          </w:p>
        </w:tc>
        <w:tc>
          <w:tcPr>
            <w:tcW w:w="663" w:type="dxa"/>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62.7</w:t>
            </w:r>
          </w:p>
        </w:tc>
        <w:tc>
          <w:tcPr>
            <w:tcW w:w="795"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67,5</w:t>
            </w:r>
          </w:p>
        </w:tc>
        <w:tc>
          <w:tcPr>
            <w:tcW w:w="764"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58,4</w:t>
            </w:r>
          </w:p>
        </w:tc>
        <w:tc>
          <w:tcPr>
            <w:tcW w:w="762" w:type="dxa"/>
            <w:gridSpan w:val="2"/>
            <w:shd w:val="clear" w:color="auto" w:fill="FFFF99"/>
            <w:vAlign w:val="center"/>
          </w:tcPr>
          <w:p w:rsidR="00085DA8" w:rsidRPr="00F745E8" w:rsidRDefault="00085DA8" w:rsidP="002762E4">
            <w:pPr>
              <w:jc w:val="center"/>
              <w:rPr>
                <w:rFonts w:ascii="Tahoma" w:hAnsi="Tahoma" w:cs="Tahoma"/>
                <w:sz w:val="18"/>
                <w:szCs w:val="18"/>
              </w:rPr>
            </w:pPr>
            <w:r w:rsidRPr="00F745E8">
              <w:rPr>
                <w:rFonts w:ascii="Tahoma" w:hAnsi="Tahoma" w:cs="Tahoma"/>
                <w:sz w:val="18"/>
                <w:szCs w:val="18"/>
              </w:rPr>
              <w:t>51,1</w:t>
            </w:r>
          </w:p>
        </w:tc>
        <w:tc>
          <w:tcPr>
            <w:tcW w:w="762" w:type="dxa"/>
            <w:gridSpan w:val="2"/>
            <w:shd w:val="clear" w:color="auto" w:fill="FFFF99"/>
            <w:vAlign w:val="center"/>
          </w:tcPr>
          <w:p w:rsidR="00085DA8" w:rsidRPr="00F745E8" w:rsidRDefault="00085DA8" w:rsidP="002762E4">
            <w:pPr>
              <w:jc w:val="center"/>
              <w:rPr>
                <w:rFonts w:ascii="Tahoma" w:hAnsi="Tahoma" w:cs="Tahoma"/>
                <w:sz w:val="18"/>
                <w:szCs w:val="18"/>
                <w:lang w:val="en-US"/>
              </w:rPr>
            </w:pPr>
            <w:r w:rsidRPr="00F745E8">
              <w:rPr>
                <w:rFonts w:ascii="Tahoma" w:hAnsi="Tahoma" w:cs="Tahoma"/>
                <w:sz w:val="18"/>
                <w:szCs w:val="18"/>
                <w:lang w:val="en-US"/>
              </w:rPr>
              <w:t>56</w:t>
            </w:r>
            <w:r>
              <w:rPr>
                <w:rFonts w:ascii="Tahoma" w:hAnsi="Tahoma" w:cs="Tahoma"/>
                <w:sz w:val="18"/>
                <w:szCs w:val="18"/>
              </w:rPr>
              <w:t>,</w:t>
            </w:r>
            <w:r w:rsidRPr="00F745E8">
              <w:rPr>
                <w:rFonts w:ascii="Tahoma" w:hAnsi="Tahoma" w:cs="Tahoma"/>
                <w:sz w:val="18"/>
                <w:szCs w:val="18"/>
                <w:lang w:val="en-US"/>
              </w:rPr>
              <w:t>2</w:t>
            </w:r>
          </w:p>
        </w:tc>
        <w:tc>
          <w:tcPr>
            <w:tcW w:w="761" w:type="dxa"/>
            <w:shd w:val="clear" w:color="auto" w:fill="FFFF99"/>
            <w:vAlign w:val="center"/>
          </w:tcPr>
          <w:p w:rsidR="00085DA8" w:rsidRPr="00F745E8" w:rsidRDefault="00085DA8" w:rsidP="002762E4">
            <w:pPr>
              <w:jc w:val="center"/>
              <w:rPr>
                <w:rFonts w:ascii="Tahoma" w:hAnsi="Tahoma" w:cs="Tahoma"/>
                <w:sz w:val="18"/>
                <w:szCs w:val="18"/>
              </w:rPr>
            </w:pPr>
          </w:p>
        </w:tc>
      </w:tr>
    </w:tbl>
    <w:p w:rsidR="00085DA8" w:rsidRPr="00F745E8" w:rsidRDefault="00085DA8" w:rsidP="002762E4">
      <w:pPr>
        <w:jc w:val="both"/>
        <w:rPr>
          <w:rFonts w:ascii="Tahoma" w:hAnsi="Tahoma" w:cs="Tahoma"/>
          <w:sz w:val="18"/>
          <w:szCs w:val="18"/>
        </w:rPr>
      </w:pPr>
      <w:r w:rsidRPr="00F745E8">
        <w:rPr>
          <w:rFonts w:ascii="Tahoma" w:hAnsi="Tahoma" w:cs="Tahoma"/>
          <w:b/>
          <w:bCs/>
          <w:sz w:val="18"/>
          <w:szCs w:val="18"/>
        </w:rPr>
        <w:t>Σημείωση:</w:t>
      </w:r>
      <w:r w:rsidRPr="00F745E8">
        <w:rPr>
          <w:rFonts w:ascii="Tahoma" w:hAnsi="Tahoma" w:cs="Tahoma"/>
          <w:sz w:val="18"/>
          <w:szCs w:val="18"/>
        </w:rPr>
        <w:t xml:space="preserve"> Ο δείκτης επιχειρηματικών προσδοκιών υπολογίζεται με βάση τις εκτιμήσεις και προβλέψεις για τις πωλήσεις και το ύψος των αποθεμάτων. </w:t>
      </w:r>
    </w:p>
    <w:p w:rsidR="00085DA8" w:rsidRPr="00F745E8" w:rsidRDefault="00085DA8" w:rsidP="002762E4">
      <w:pPr>
        <w:tabs>
          <w:tab w:val="left" w:pos="426"/>
        </w:tabs>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ΙΟΒΕ</w:t>
      </w:r>
    </w:p>
    <w:p w:rsidR="00085DA8" w:rsidRPr="00F745E8" w:rsidRDefault="00085DA8" w:rsidP="002762E4">
      <w:pPr>
        <w:tabs>
          <w:tab w:val="left" w:pos="426"/>
        </w:tabs>
        <w:jc w:val="both"/>
        <w:rPr>
          <w:rFonts w:ascii="Tahoma" w:hAnsi="Tahoma" w:cs="Tahoma"/>
          <w:sz w:val="18"/>
          <w:szCs w:val="18"/>
        </w:rPr>
      </w:pPr>
    </w:p>
    <w:p w:rsidR="00085DA8" w:rsidRPr="00F745E8" w:rsidRDefault="00085DA8" w:rsidP="002762E4">
      <w:pPr>
        <w:ind w:left="-284" w:right="-428"/>
        <w:jc w:val="center"/>
        <w:rPr>
          <w:rFonts w:ascii="Tahoma" w:hAnsi="Tahoma" w:cs="Tahoma"/>
          <w:color w:val="000080"/>
          <w:sz w:val="22"/>
          <w:szCs w:val="22"/>
        </w:rPr>
      </w:pPr>
      <w:r w:rsidRPr="00F745E8">
        <w:rPr>
          <w:rFonts w:ascii="Tahoma" w:hAnsi="Tahoma" w:cs="Tahoma"/>
          <w:b/>
          <w:bCs/>
          <w:color w:val="000080"/>
          <w:sz w:val="22"/>
          <w:szCs w:val="22"/>
        </w:rPr>
        <w:t xml:space="preserve">Διάγραμμα 4: </w:t>
      </w:r>
      <w:r w:rsidRPr="00F745E8">
        <w:rPr>
          <w:rFonts w:ascii="Tahoma" w:hAnsi="Tahoma" w:cs="Tahoma"/>
          <w:color w:val="000080"/>
          <w:sz w:val="22"/>
          <w:szCs w:val="22"/>
        </w:rPr>
        <w:t xml:space="preserve">Δείκτης Επιχειρηματικών Προσδοκιών στο Λιανικό Εμπόριο </w:t>
      </w:r>
    </w:p>
    <w:p w:rsidR="00085DA8" w:rsidRPr="00F745E8" w:rsidRDefault="00085DA8" w:rsidP="002762E4">
      <w:pPr>
        <w:ind w:left="-284" w:right="-428"/>
        <w:jc w:val="center"/>
        <w:rPr>
          <w:rFonts w:ascii="Tahoma" w:hAnsi="Tahoma" w:cs="Tahoma"/>
          <w:color w:val="000080"/>
          <w:sz w:val="22"/>
          <w:szCs w:val="22"/>
        </w:rPr>
      </w:pPr>
      <w:r w:rsidRPr="00F745E8">
        <w:rPr>
          <w:rFonts w:ascii="Tahoma" w:hAnsi="Tahoma" w:cs="Tahoma"/>
          <w:color w:val="000080"/>
          <w:sz w:val="22"/>
          <w:szCs w:val="22"/>
        </w:rPr>
        <w:t>(1996-2006=100)</w:t>
      </w:r>
    </w:p>
    <w:p w:rsidR="00085DA8" w:rsidRPr="00F745E8" w:rsidRDefault="00DF46E7" w:rsidP="00354DAC">
      <w:pPr>
        <w:ind w:left="-284" w:right="-428"/>
        <w:jc w:val="center"/>
        <w:rPr>
          <w:rFonts w:ascii="Tahoma" w:hAnsi="Tahoma" w:cs="Tahoma"/>
          <w:noProof/>
        </w:rPr>
      </w:pPr>
      <w:r>
        <w:rPr>
          <w:noProof/>
        </w:rPr>
        <w:drawing>
          <wp:inline distT="0" distB="0" distL="0" distR="0">
            <wp:extent cx="5238750" cy="3190875"/>
            <wp:effectExtent l="19050" t="0" r="0" b="0"/>
            <wp:docPr id="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srcRect t="1608"/>
                    <a:stretch>
                      <a:fillRect/>
                    </a:stretch>
                  </pic:blipFill>
                  <pic:spPr bwMode="auto">
                    <a:xfrm>
                      <a:off x="0" y="0"/>
                      <a:ext cx="5238750" cy="3190875"/>
                    </a:xfrm>
                    <a:prstGeom prst="rect">
                      <a:avLst/>
                    </a:prstGeom>
                    <a:noFill/>
                    <a:ln w="9525">
                      <a:noFill/>
                      <a:miter lim="800000"/>
                      <a:headEnd/>
                      <a:tailEnd/>
                    </a:ln>
                  </pic:spPr>
                </pic:pic>
              </a:graphicData>
            </a:graphic>
          </wp:inline>
        </w:drawing>
      </w:r>
    </w:p>
    <w:p w:rsidR="00085DA8" w:rsidRPr="00F745E8" w:rsidRDefault="00085DA8" w:rsidP="00354DAC">
      <w:pPr>
        <w:tabs>
          <w:tab w:val="left" w:pos="284"/>
        </w:tabs>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w:t>
      </w:r>
      <w:r w:rsidRPr="00F745E8">
        <w:rPr>
          <w:rFonts w:ascii="Tahoma" w:hAnsi="Tahoma" w:cs="Tahoma"/>
          <w:sz w:val="18"/>
          <w:szCs w:val="18"/>
          <w:lang w:val="en-US"/>
        </w:rPr>
        <w:t>IOBE</w:t>
      </w: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lastRenderedPageBreak/>
        <w:t xml:space="preserve">Οι επιχειρηματικές προσδοκίες κινούνται ανοδικά στα </w:t>
      </w:r>
      <w:r w:rsidRPr="00F745E8">
        <w:rPr>
          <w:rFonts w:ascii="Tahoma" w:hAnsi="Tahoma" w:cs="Tahoma"/>
          <w:b/>
          <w:bCs/>
          <w:sz w:val="22"/>
          <w:szCs w:val="22"/>
        </w:rPr>
        <w:t>Είδη Οικιακού Εξοπλισμού</w:t>
      </w:r>
      <w:r w:rsidRPr="00F745E8">
        <w:rPr>
          <w:rFonts w:ascii="Tahoma" w:hAnsi="Tahoma" w:cs="Tahoma"/>
          <w:sz w:val="22"/>
          <w:szCs w:val="22"/>
        </w:rPr>
        <w:t>, με το σχετικό δείκτη να κερδίζει 8 μονάδες και να διαμορφώνεται στις 69,3 μονάδες, στην καλύτερη επίδοση της τελευταίας τριετίας. Οι τρέχουσες πωλήσεις του κλάδου βελτιώνονται σημαντικά, αν και παραμένουν σε πολύ χαμηλά επίπεδα (στις -46 μονάδες από -71 το ισοζύγιο), ενώ ανάλογη είναι η βελτίωση και στις βραχυπρόθεσμες πωλήσεις, όπου ο σχετικός δείκτης κερδίζει 20 μονάδες, φθάνοντας στις -14 μονάδες. Η επαναφορά του ισοζυγίου των αποθεμάτων σε θετικά επίπεδα (+9 από -9 μονάδες) μετά από ένα εξάμηνο αρνητικών επιδόσεων, υποσκελίζει ως ένα βαθμό τις παραπάνω θετικές μεταβολές. Από τα υπόλοιπα στοιχεία, μικρή βελτίωση καταγράφεται και στις αρνητικές προβλέψεις των παραγγελιών προς προμηθευτές το επόμενο τρίμηνο (-37 από -41 μονάδες το ισοζύγιο), ενώ ως προς την απασχόληση, ένα 52% αναμένει μείωση των θέσεων εργασίας και καμία επιχείρηση, σταθερά από τις αρχές του έτους, δεν αναμένει άνοδο. Τέλος, στις τιμές, οι αποπληθωριστικές προσδοκίες εξομαλύνονται περαιτέρω (-5 από -16 μονάδες ο σχετικός δείκτης).</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Παραδόξως ανοδικά, στη λιγότερο δυσμενή επίδοση της τελευταίας τριετίας, κινείται και ο δείκτης επιχειρηματικών προσδοκιών στα </w:t>
      </w:r>
      <w:r w:rsidRPr="00F745E8">
        <w:rPr>
          <w:rFonts w:ascii="Tahoma" w:hAnsi="Tahoma" w:cs="Tahoma"/>
          <w:b/>
          <w:bCs/>
          <w:sz w:val="22"/>
          <w:szCs w:val="22"/>
        </w:rPr>
        <w:t>Οχήματα – Ανταλλακτικά</w:t>
      </w:r>
      <w:r w:rsidRPr="00F745E8">
        <w:rPr>
          <w:rFonts w:ascii="Tahoma" w:hAnsi="Tahoma" w:cs="Tahoma"/>
          <w:sz w:val="22"/>
          <w:szCs w:val="22"/>
        </w:rPr>
        <w:t>, διαμορφούμενος στις 70,2 μονάδες (από 58,7 μονάδες), ίσως λόγω της ολοκλήρωσης της απόσυρσης. Οι εκτιμήσεις για τις τρέχουσες πωλήσεις των επιχειρήσεων κερδίζουν έδαφος, με το σχετικό δείκτη να διαμορφώνεται στις -58 μονάδες, από τις -73 μονάδες τον περασμένο μήνα. Σημαντική βελτίωση όμως καταγράφουν και οι προβλεπόμενες πωλήσεις, με το σχετικό ισοζύγιο να σκαρφαλώνει στις -28 μονάδες (από -53), ενώ στα αποθέματα, ο δείκτης παραμένει αρνητικός (-3 από -8 μονάδες). Στις προβλέψεις των παραγγελιών προς προμηθευτές το επόμενο τρίμηνο σημειώνεται επίσης θετική μεταβολή (στις -55 από -66 μονάδες το ισοζύγιο), ενώ σε επίπεδο απασχόλησης, τα 3/5 των επιχειρήσεων (από 72%) αναμένουν νέες απώλειες θέσεων εργασίας. Τέλος, στις τιμές, οι προβλέψεις αποκλιμάκωσης παραμένουν, πτωτικές (-2 μονάδες το σχετικό ισοζύγιο).</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pPr>
      <w:r w:rsidRPr="00F745E8">
        <w:rPr>
          <w:rFonts w:ascii="Tahoma" w:hAnsi="Tahoma" w:cs="Tahoma"/>
          <w:sz w:val="22"/>
          <w:szCs w:val="22"/>
        </w:rPr>
        <w:t xml:space="preserve">Οι επιχειρηματικές προσδοκίες στα </w:t>
      </w:r>
      <w:r w:rsidRPr="00F745E8">
        <w:rPr>
          <w:rFonts w:ascii="Tahoma" w:hAnsi="Tahoma" w:cs="Tahoma"/>
          <w:b/>
          <w:bCs/>
          <w:sz w:val="22"/>
          <w:szCs w:val="22"/>
        </w:rPr>
        <w:t xml:space="preserve">Πολυκαταστήματα </w:t>
      </w:r>
      <w:r w:rsidRPr="00F745E8">
        <w:rPr>
          <w:rFonts w:ascii="Tahoma" w:hAnsi="Tahoma" w:cs="Tahoma"/>
          <w:sz w:val="22"/>
          <w:szCs w:val="22"/>
        </w:rPr>
        <w:t>κατέρχονται</w:t>
      </w:r>
      <w:r w:rsidRPr="00F745E8">
        <w:rPr>
          <w:rFonts w:ascii="Tahoma" w:hAnsi="Tahoma" w:cs="Tahoma"/>
          <w:b/>
          <w:bCs/>
          <w:sz w:val="22"/>
          <w:szCs w:val="22"/>
        </w:rPr>
        <w:t xml:space="preserve"> </w:t>
      </w:r>
      <w:r w:rsidRPr="00F745E8">
        <w:rPr>
          <w:rFonts w:ascii="Tahoma" w:hAnsi="Tahoma" w:cs="Tahoma"/>
          <w:sz w:val="22"/>
          <w:szCs w:val="22"/>
        </w:rPr>
        <w:t xml:space="preserve">τον Νοέμβριο στη δυσμενέστερη επίδοση του έτους, με το σχετικό δείκτη να κινείται στις 39,7 μονάδες (από 46,3), σε τιμή χαμηλότερη από την αντίστοιχη περσινή (47,7 μονάδες). Στα βασικά στοιχεία δραστηριότητας, όλες (97%) οι επιχειρήσεις εκτιμούν εκ νέου πτώση των τρεχουσών πωλήσεων, ενώ ομόφωνα όλες οι επιχειρήσεις αναμένουν μείωσή τους το επόμενο τρίμηνο. Ο δείκτης των αποθεμάτων διατηρείται σε πολύ χαμηλά επίπεδα, αφού τα αποθέματα δεν ανανεώνονται (στις -30 από -38 μονάδες), ενώ από τα υπόλοιπα στοιχεία, όλες ανεξαρτήτως οι ερωτηθείσες επιχειρήσεις προβλέπουν μειωμένες παραγγελίες προς προμηθευτές. Το 1/5 εξ’ αυτών αναμένει πτώση και στις θέσεις εργασίας του κλάδου, χωρίς καμία να προβλέπει το αντίθετο, ενώ τέλος στις τιμές, ο σχετικός αποπληθωριστικός δείκτης αμβλύνεται κατά 10 μονάδες, στις -29, εξακολουθώντας όμως να εκφράζει τις προσδοκίες αποκλιμάκωσης από ένα 32% των επιχειρήσεων (από 42%). </w:t>
      </w:r>
    </w:p>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354DAC">
      <w:pPr>
        <w:shd w:val="clear" w:color="auto" w:fill="D9D9D9"/>
        <w:tabs>
          <w:tab w:val="left" w:pos="426"/>
        </w:tabs>
        <w:spacing w:line="288" w:lineRule="auto"/>
        <w:jc w:val="both"/>
        <w:rPr>
          <w:rFonts w:ascii="Tahoma" w:hAnsi="Tahoma" w:cs="Tahoma"/>
          <w:b/>
          <w:bCs/>
          <w:sz w:val="22"/>
          <w:szCs w:val="22"/>
          <w:u w:val="single"/>
        </w:rPr>
      </w:pPr>
      <w:r w:rsidRPr="00F745E8">
        <w:rPr>
          <w:rFonts w:ascii="Tahoma" w:hAnsi="Tahoma" w:cs="Tahoma"/>
          <w:b/>
          <w:bCs/>
          <w:caps/>
          <w:sz w:val="22"/>
          <w:szCs w:val="22"/>
        </w:rPr>
        <w:lastRenderedPageBreak/>
        <w:t>4.</w:t>
      </w:r>
      <w:r w:rsidRPr="00F745E8">
        <w:rPr>
          <w:rFonts w:ascii="Tahoma" w:hAnsi="Tahoma" w:cs="Tahoma"/>
          <w:b/>
          <w:bCs/>
          <w:caps/>
          <w:sz w:val="22"/>
          <w:szCs w:val="22"/>
        </w:rPr>
        <w:tab/>
        <w:t>υπηρεσίες</w:t>
      </w:r>
      <w:r w:rsidRPr="00F745E8">
        <w:rPr>
          <w:rFonts w:ascii="Tahoma" w:hAnsi="Tahoma" w:cs="Tahoma"/>
          <w:b/>
          <w:bCs/>
          <w:i/>
          <w:iCs/>
          <w:sz w:val="22"/>
          <w:szCs w:val="22"/>
        </w:rPr>
        <w:t xml:space="preserve">: Αμετάβλητες στο ιστορικό χαμηλό τους οι επιχειρηματικές προσδοκίες, </w:t>
      </w:r>
      <w:r>
        <w:rPr>
          <w:rFonts w:ascii="Tahoma" w:hAnsi="Tahoma" w:cs="Tahoma"/>
          <w:b/>
          <w:bCs/>
          <w:i/>
          <w:iCs/>
          <w:sz w:val="22"/>
          <w:szCs w:val="22"/>
        </w:rPr>
        <w:t>αναιμική</w:t>
      </w:r>
      <w:r w:rsidRPr="00F745E8">
        <w:rPr>
          <w:rFonts w:ascii="Tahoma" w:hAnsi="Tahoma" w:cs="Tahoma"/>
          <w:b/>
          <w:bCs/>
          <w:i/>
          <w:iCs/>
          <w:sz w:val="22"/>
          <w:szCs w:val="22"/>
        </w:rPr>
        <w:t xml:space="preserve"> η ζήτηση</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 xml:space="preserve">Ο Δείκτης Επιχειρηματικών Προσδοκιών στις </w:t>
      </w:r>
      <w:r w:rsidRPr="00F745E8">
        <w:rPr>
          <w:rFonts w:ascii="Tahoma" w:hAnsi="Tahoma" w:cs="Tahoma"/>
          <w:b/>
          <w:bCs/>
          <w:sz w:val="22"/>
          <w:szCs w:val="22"/>
        </w:rPr>
        <w:t>Υπηρεσίες</w:t>
      </w:r>
      <w:r w:rsidRPr="00F745E8">
        <w:rPr>
          <w:rFonts w:ascii="Tahoma" w:hAnsi="Tahoma" w:cs="Tahoma"/>
          <w:sz w:val="22"/>
          <w:szCs w:val="22"/>
        </w:rPr>
        <w:t xml:space="preserve"> παραμένει τον Νοέμβριο στα ιστορικά χαμηλά επίπεδα του Οκτωβρίου, στις 52,2 μονάδες. </w:t>
      </w:r>
      <w:r w:rsidRPr="00F745E8">
        <w:rPr>
          <w:rFonts w:ascii="Tahoma" w:hAnsi="Tahoma" w:cs="Tahoma"/>
          <w:b/>
          <w:bCs/>
          <w:sz w:val="22"/>
          <w:szCs w:val="22"/>
        </w:rPr>
        <w:t xml:space="preserve">Η τάση που καταγράφεται στους επιμέρους δείκτες είναι μικτή, με τα τρέχοντα στοιχεία να σταθεροποιούνται ή να καταγράφουν μικρή θετική μεταβολή, αλλά τις βραχυπρόθεσμες προβλέψεις να βαίνουν δυσμενέστερες. </w:t>
      </w:r>
      <w:r w:rsidRPr="00F745E8">
        <w:rPr>
          <w:rFonts w:ascii="Tahoma" w:hAnsi="Tahoma" w:cs="Tahoma"/>
          <w:sz w:val="22"/>
          <w:szCs w:val="22"/>
        </w:rPr>
        <w:t xml:space="preserve">Αναλυτικότερα, ο δείκτης των προβλέψεων </w:t>
      </w:r>
      <w:r w:rsidRPr="00F745E8">
        <w:rPr>
          <w:rFonts w:ascii="Tahoma" w:hAnsi="Tahoma" w:cs="Tahoma"/>
          <w:i/>
          <w:iCs/>
          <w:sz w:val="22"/>
          <w:szCs w:val="22"/>
        </w:rPr>
        <w:t>για τη ζήτηση</w:t>
      </w:r>
      <w:r w:rsidRPr="00F745E8">
        <w:rPr>
          <w:rFonts w:ascii="Tahoma" w:hAnsi="Tahoma" w:cs="Tahoma"/>
          <w:sz w:val="22"/>
          <w:szCs w:val="22"/>
        </w:rPr>
        <w:t xml:space="preserve"> </w:t>
      </w:r>
      <w:r w:rsidRPr="00F745E8">
        <w:rPr>
          <w:rFonts w:ascii="Tahoma" w:hAnsi="Tahoma" w:cs="Tahoma"/>
          <w:i/>
          <w:iCs/>
          <w:sz w:val="22"/>
          <w:szCs w:val="22"/>
        </w:rPr>
        <w:t>του επόμενου τριμήνου</w:t>
      </w:r>
      <w:r w:rsidRPr="00F745E8">
        <w:rPr>
          <w:rFonts w:ascii="Tahoma" w:hAnsi="Tahoma" w:cs="Tahoma"/>
          <w:sz w:val="22"/>
          <w:szCs w:val="22"/>
        </w:rPr>
        <w:t xml:space="preserve"> διαμορφώνεται 7 μονάδες χαμηλότερα σε σχέση με τον προηγούμενο μήνα, στις -44 μονάδες, ενώ στις </w:t>
      </w:r>
      <w:r w:rsidRPr="00F745E8">
        <w:rPr>
          <w:rFonts w:ascii="Tahoma" w:hAnsi="Tahoma" w:cs="Tahoma"/>
          <w:i/>
          <w:iCs/>
          <w:sz w:val="22"/>
          <w:szCs w:val="22"/>
        </w:rPr>
        <w:t>εκτιμήσεις για την τρέχουσα ζήτηση</w:t>
      </w:r>
      <w:r w:rsidRPr="00F745E8">
        <w:rPr>
          <w:rFonts w:ascii="Tahoma" w:hAnsi="Tahoma" w:cs="Tahoma"/>
          <w:sz w:val="22"/>
          <w:szCs w:val="22"/>
        </w:rPr>
        <w:t xml:space="preserve">, το σχετικό ισοζύγιο παραμένει αμετάβλητο στις -38 μονάδες. Ως προς </w:t>
      </w:r>
      <w:r w:rsidRPr="00F745E8">
        <w:rPr>
          <w:rFonts w:ascii="Tahoma" w:hAnsi="Tahoma" w:cs="Tahoma"/>
          <w:i/>
          <w:iCs/>
          <w:sz w:val="22"/>
          <w:szCs w:val="22"/>
        </w:rPr>
        <w:t>την τρέχουσα δραστηριότητα των επιχειρήσεων</w:t>
      </w:r>
      <w:r w:rsidRPr="00F745E8">
        <w:rPr>
          <w:rFonts w:ascii="Tahoma" w:hAnsi="Tahoma" w:cs="Tahoma"/>
          <w:sz w:val="22"/>
          <w:szCs w:val="22"/>
        </w:rPr>
        <w:t>, ο σχετικός δείκτης κερδίζει 7 μονάδες και διαμορφώνεται στις -22. Οι αρνητικές προβλέψεις για  την απασχόληση ενισχύονται τον Νοέμβριο, με το σχετικό ισοζύγιο να υποχωρεί στη δυσμενέστερη επίδοση του έτους, στις -37 μονάδες (από -29): τα 2/5 των επιχειρήσεων αναμένουν μείωση των θέσεων εργασίας, όταν μόλις το 2-3% το τελευταίο δίμηνο προσδοκά το αντίθετο. Ως προς τις τιμές, η αποπληθωριστική τάση εξομαλύνεται, με το σχετικό ισοζύγιο να κινείται 10 μονάδες υψηλότερα, στις -19. Τέλος, περιορίζεται στο 9% (από 12%) το ποσοστό εκείνων που δηλώνουν ακώλυτη επιχειρηματική λειτουργία, με το 46% να επισημαίνει την ανεπάρκεια ζήτησης ως το βασικότερο εμπόδιο στη λειτουργία του, το 28% την ανεπάρκεια κεφαλαίων κίνησης και το 15% παράγοντες όπως η γενική οικονομική κατάσταση και η ύφεση, οι έκτακτες εισφορές, η καθυστέρηση εισπράξεων Δημοσίου, η πολιτική αστάθεια, η έλλειψη ρευστότητας, οι τιμές των καυσίμων, η έλλειψη μέτρων ενίσχυσης του τουρισμού κ.α.</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276" w:lineRule="auto"/>
        <w:jc w:val="both"/>
        <w:rPr>
          <w:rFonts w:ascii="Tahoma" w:hAnsi="Tahoma" w:cs="Tahoma"/>
          <w:sz w:val="22"/>
          <w:szCs w:val="22"/>
        </w:rPr>
      </w:pPr>
      <w:r w:rsidRPr="00F745E8">
        <w:rPr>
          <w:rFonts w:ascii="Tahoma" w:hAnsi="Tahoma" w:cs="Tahoma"/>
          <w:sz w:val="22"/>
          <w:szCs w:val="22"/>
        </w:rPr>
        <w:t>Σε επίπεδο βασικών κλάδων των Υπηρεσιών επισημαίνονται τα εξής:</w:t>
      </w:r>
    </w:p>
    <w:p w:rsidR="00085DA8" w:rsidRPr="00F745E8" w:rsidRDefault="00085DA8" w:rsidP="00354DAC">
      <w:pPr>
        <w:spacing w:line="276" w:lineRule="auto"/>
        <w:jc w:val="both"/>
        <w:rPr>
          <w:rFonts w:ascii="Tahoma" w:hAnsi="Tahoma" w:cs="Tahoma"/>
          <w:sz w:val="22"/>
          <w:szCs w:val="22"/>
        </w:rPr>
      </w:pPr>
    </w:p>
    <w:p w:rsidR="00085DA8" w:rsidRPr="00F745E8" w:rsidRDefault="00085DA8" w:rsidP="00354DAC">
      <w:pPr>
        <w:spacing w:line="300" w:lineRule="exact"/>
        <w:jc w:val="both"/>
        <w:rPr>
          <w:rFonts w:ascii="Tahoma" w:hAnsi="Tahoma" w:cs="Tahoma"/>
          <w:sz w:val="22"/>
          <w:szCs w:val="22"/>
        </w:rPr>
      </w:pPr>
      <w:r w:rsidRPr="00F745E8">
        <w:rPr>
          <w:rFonts w:ascii="Tahoma" w:hAnsi="Tahoma" w:cs="Tahoma"/>
          <w:sz w:val="22"/>
          <w:szCs w:val="22"/>
        </w:rPr>
        <w:t xml:space="preserve">Ισχυρή πτώση καταγράφει τον Νοέμβριο ο δείκτης επιχειρηματικών προσδοκιών στα </w:t>
      </w:r>
      <w:r w:rsidRPr="00F745E8">
        <w:rPr>
          <w:rFonts w:ascii="Tahoma" w:hAnsi="Tahoma" w:cs="Tahoma"/>
          <w:b/>
          <w:bCs/>
          <w:sz w:val="22"/>
          <w:szCs w:val="22"/>
        </w:rPr>
        <w:t>Ξενοδοχεία – Εστιατόρια</w:t>
      </w:r>
      <w:r w:rsidRPr="00F745E8">
        <w:rPr>
          <w:rFonts w:ascii="Tahoma" w:hAnsi="Tahoma" w:cs="Tahoma"/>
          <w:sz w:val="22"/>
          <w:szCs w:val="22"/>
        </w:rPr>
        <w:t>, χάνοντας 22 μονάδες και κινούμενος έτσι στις 58,7 μονάδες, 10 μονάδες κατώτερα έναντι της αντίστοιχης περσινής τιμής του. Όλοι οι δείκτες επιδεινώνονται: η εκτιμώμενη ζήτηση της τρέχουσας περιόδου εξασθενεί σημαντικά, με το σχετικό δείκτη να περιορίζεται στις -41 μονάδες (από -17), ενώ και ο δείκτης της προβλεπόμενης ζήτησης υποχωρεί στη χειρότερη επίδοση του έτους, στις -67 από -42 μονάδες, ενδεικτικό των χαμηλών προσδοκιών για την εορταστική περίοδο. Στην τρέχουσα κατάσταση των επιχειρήσεων καταγράφεται επίσης αισθητή πτώση στο σχετικό –θετικό- ισοζύγιο (+3 από +26 μονάδες), ενώ από τα υπόλοιπα στοιχεία, δυσμενείς είναι οι προβλέψεις για την απασχόληση (-26 από -18 μονάδες ο δείκτης). Στις τιμές, οι προσδοκίες αποκλιμάκωσης εξομαλύνονται ήπια, με το σχετικό ισοζύγιο να διαμορφώνεται στις -11 μονάδες (από -15). Τέλος, μόλις 4% των επιχειρήσεων δηλώνει ανεμπόδιστη επιχειρηματική λειτουργία, με το 72% να κρίνει ως βασικότερο επιχειρηματικό εμπόδιο την ανεπάρκεια ζήτησης, το 1/10 την ανεπάρκεια κεφαλαίων κίνησης και ένα 13% τους λοιπούς συγκυριακούς παράγοντες.</w:t>
      </w:r>
    </w:p>
    <w:p w:rsidR="00085DA8" w:rsidRPr="00F745E8" w:rsidRDefault="00085DA8" w:rsidP="00354DAC">
      <w:pPr>
        <w:spacing w:line="300" w:lineRule="exact"/>
        <w:jc w:val="both"/>
        <w:rPr>
          <w:rFonts w:ascii="Tahoma" w:hAnsi="Tahoma" w:cs="Tahoma"/>
          <w:sz w:val="22"/>
          <w:szCs w:val="22"/>
        </w:rPr>
      </w:pPr>
    </w:p>
    <w:p w:rsidR="00085DA8" w:rsidRPr="00F745E8" w:rsidRDefault="00085DA8" w:rsidP="00354DAC">
      <w:pPr>
        <w:spacing w:line="300" w:lineRule="exact"/>
        <w:jc w:val="both"/>
        <w:rPr>
          <w:rFonts w:ascii="Tahoma" w:hAnsi="Tahoma" w:cs="Tahoma"/>
          <w:sz w:val="22"/>
          <w:szCs w:val="22"/>
        </w:rPr>
      </w:pPr>
      <w:r w:rsidRPr="00F745E8">
        <w:rPr>
          <w:rFonts w:ascii="Tahoma" w:hAnsi="Tahoma" w:cs="Tahoma"/>
          <w:sz w:val="22"/>
          <w:szCs w:val="22"/>
        </w:rPr>
        <w:t xml:space="preserve">Ανοδικά κινούνται οι επιχειρηματικές προσδοκίες στις </w:t>
      </w:r>
      <w:r w:rsidRPr="00F745E8">
        <w:rPr>
          <w:rFonts w:ascii="Tahoma" w:hAnsi="Tahoma" w:cs="Tahoma"/>
          <w:b/>
          <w:bCs/>
          <w:sz w:val="22"/>
          <w:szCs w:val="22"/>
        </w:rPr>
        <w:t>Διάφορες Επιχειρηματικές Δραστηριότητες</w:t>
      </w:r>
      <w:r w:rsidRPr="00F745E8">
        <w:rPr>
          <w:rFonts w:ascii="Tahoma" w:hAnsi="Tahoma" w:cs="Tahoma"/>
          <w:sz w:val="22"/>
          <w:szCs w:val="22"/>
        </w:rPr>
        <w:t xml:space="preserve"> τον Νοέμβριο, μετά το ιστορικό χαμηλό του Οκτωβρίου, φθάνοντας στις 40,9 μονάδες (από 29,8). Από τους κύριους δείκτες δραστηριότητας, το αρνητικό ισοζύγιο στις εκτιμήσεις για την τρέχουσα κατάσταση των επιχειρήσεων αμβλύνεται σημαντικά στις -39 μονάδες, όπως και η τρέχουσα ζήτηση (στις -59 από -65 μονάδες το ισοζύγιο). Ως προς τη </w:t>
      </w:r>
      <w:r w:rsidRPr="00F745E8">
        <w:rPr>
          <w:rFonts w:ascii="Tahoma" w:hAnsi="Tahoma" w:cs="Tahoma"/>
          <w:sz w:val="22"/>
          <w:szCs w:val="22"/>
        </w:rPr>
        <w:lastRenderedPageBreak/>
        <w:t>βραχυπρόθεσμη ζήτηση, ο δείκτης πρόβλεψης δεν μεταβάλλεται σημαντικά παραμένοντας έντονα αρνητικός (στις -42 μονάδες), ενώ από τα υπόλοιπα στοιχεία δραστηριότητας, το ποσοστό εκείνων που διατυπώνουν δυσμενείς προβλέψεις για την απασχόληση ενισχύεται στο 45% (από 38%), με σταθερά καμία επιχείρηση να μην αναμένει άνοδο. Από την άλλη πλευρά οι προβλέψεις υποχώρησης των τιμών αποκλιμακώνονται (στις -23 από τις -57 μονάδες), ενώ τέλος, το ποσοστό των ερωτηθέντων που δηλώνει απρόσκοπτη επιχειρηματική λειτουργία περιορίζεται στο 9%, με το 27% να αναφέρει την ανεπάρκεια ζήτησης, το 43% την ανεπάρκεια κεφαλαίων κίνησης και το 17% την τρέχουσα οικονομική δυστοκία ως βασικότερα λειτουργικά προσκόμματα.</w:t>
      </w:r>
    </w:p>
    <w:p w:rsidR="00085DA8" w:rsidRPr="00F745E8" w:rsidRDefault="00085DA8" w:rsidP="00354DAC">
      <w:pPr>
        <w:spacing w:line="300" w:lineRule="exact"/>
        <w:jc w:val="both"/>
        <w:rPr>
          <w:rFonts w:ascii="Tahoma" w:hAnsi="Tahoma" w:cs="Tahoma"/>
          <w:sz w:val="22"/>
          <w:szCs w:val="22"/>
        </w:rPr>
      </w:pPr>
    </w:p>
    <w:p w:rsidR="00085DA8" w:rsidRPr="00F745E8" w:rsidRDefault="00085DA8" w:rsidP="00354DAC">
      <w:pPr>
        <w:numPr>
          <w:ilvl w:val="12"/>
          <w:numId w:val="0"/>
        </w:numPr>
        <w:ind w:left="1985" w:hanging="1985"/>
        <w:jc w:val="center"/>
        <w:rPr>
          <w:rFonts w:ascii="Tahoma" w:hAnsi="Tahoma" w:cs="Tahoma"/>
          <w:b/>
          <w:bCs/>
          <w:color w:val="000080"/>
          <w:sz w:val="22"/>
          <w:szCs w:val="22"/>
        </w:rPr>
      </w:pPr>
    </w:p>
    <w:p w:rsidR="00085DA8" w:rsidRPr="00F745E8" w:rsidRDefault="00085DA8" w:rsidP="00354DAC">
      <w:pPr>
        <w:numPr>
          <w:ilvl w:val="12"/>
          <w:numId w:val="0"/>
        </w:numPr>
        <w:ind w:left="1985" w:hanging="1985"/>
        <w:jc w:val="center"/>
        <w:rPr>
          <w:rFonts w:ascii="Tahoma" w:hAnsi="Tahoma" w:cs="Tahoma"/>
          <w:color w:val="000080"/>
          <w:sz w:val="22"/>
          <w:szCs w:val="22"/>
        </w:rPr>
      </w:pPr>
      <w:r w:rsidRPr="00F745E8">
        <w:rPr>
          <w:rFonts w:ascii="Tahoma" w:hAnsi="Tahoma" w:cs="Tahoma"/>
          <w:b/>
          <w:bCs/>
          <w:color w:val="000080"/>
          <w:sz w:val="22"/>
          <w:szCs w:val="22"/>
        </w:rPr>
        <w:t xml:space="preserve">Πίνακας 5: </w:t>
      </w:r>
      <w:r w:rsidRPr="00F745E8">
        <w:rPr>
          <w:rFonts w:ascii="Tahoma" w:hAnsi="Tahoma" w:cs="Tahoma"/>
          <w:color w:val="000080"/>
          <w:sz w:val="22"/>
          <w:szCs w:val="22"/>
        </w:rPr>
        <w:t>Δείκτης Επιχειρηματικών Προσδοκιών στις Υπηρεσίες</w:t>
      </w:r>
    </w:p>
    <w:tbl>
      <w:tblPr>
        <w:tblW w:w="9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3"/>
        <w:gridCol w:w="754"/>
        <w:gridCol w:w="394"/>
        <w:gridCol w:w="471"/>
        <w:gridCol w:w="462"/>
        <w:gridCol w:w="327"/>
        <w:gridCol w:w="821"/>
        <w:gridCol w:w="974"/>
        <w:gridCol w:w="377"/>
        <w:gridCol w:w="306"/>
        <w:gridCol w:w="414"/>
        <w:gridCol w:w="349"/>
        <w:gridCol w:w="551"/>
        <w:gridCol w:w="203"/>
        <w:gridCol w:w="697"/>
        <w:gridCol w:w="58"/>
        <w:gridCol w:w="755"/>
        <w:gridCol w:w="87"/>
        <w:gridCol w:w="686"/>
      </w:tblGrid>
      <w:tr w:rsidR="00085DA8" w:rsidRPr="00F745E8" w:rsidTr="004C49D6">
        <w:trPr>
          <w:jc w:val="center"/>
        </w:trPr>
        <w:tc>
          <w:tcPr>
            <w:tcW w:w="1901" w:type="dxa"/>
            <w:gridSpan w:val="3"/>
            <w:shd w:val="clear" w:color="auto" w:fill="800000"/>
          </w:tcPr>
          <w:p w:rsidR="00085DA8" w:rsidRPr="00F745E8" w:rsidRDefault="00085DA8" w:rsidP="004C49D6">
            <w:pPr>
              <w:jc w:val="center"/>
              <w:rPr>
                <w:rFonts w:ascii="Tahoma" w:hAnsi="Tahoma" w:cs="Tahoma"/>
                <w:color w:val="FFFFFF"/>
                <w:sz w:val="18"/>
                <w:szCs w:val="18"/>
              </w:rPr>
            </w:pPr>
          </w:p>
        </w:tc>
        <w:tc>
          <w:tcPr>
            <w:tcW w:w="2081" w:type="dxa"/>
            <w:gridSpan w:val="4"/>
            <w:shd w:val="clear" w:color="auto" w:fill="800000"/>
          </w:tcPr>
          <w:p w:rsidR="00085DA8" w:rsidRPr="00F745E8" w:rsidRDefault="00085DA8" w:rsidP="004C49D6">
            <w:pPr>
              <w:rPr>
                <w:rFonts w:ascii="Tahoma" w:hAnsi="Tahoma" w:cs="Tahoma"/>
                <w:b/>
                <w:bCs/>
                <w:color w:val="FFFFFF"/>
                <w:sz w:val="18"/>
                <w:szCs w:val="18"/>
              </w:rPr>
            </w:pPr>
          </w:p>
        </w:tc>
        <w:tc>
          <w:tcPr>
            <w:tcW w:w="5457" w:type="dxa"/>
            <w:gridSpan w:val="12"/>
            <w:shd w:val="clear" w:color="auto" w:fill="800000"/>
          </w:tcPr>
          <w:p w:rsidR="00085DA8" w:rsidRPr="00F745E8" w:rsidRDefault="00085DA8" w:rsidP="004C49D6">
            <w:pPr>
              <w:jc w:val="center"/>
              <w:rPr>
                <w:rFonts w:ascii="Tahoma" w:hAnsi="Tahoma" w:cs="Tahoma"/>
                <w:b/>
                <w:bCs/>
                <w:color w:val="FFFFFF"/>
                <w:sz w:val="18"/>
                <w:szCs w:val="18"/>
              </w:rPr>
            </w:pPr>
            <w:r w:rsidRPr="00F745E8">
              <w:rPr>
                <w:rFonts w:ascii="Tahoma" w:hAnsi="Tahoma" w:cs="Tahoma"/>
                <w:b/>
                <w:bCs/>
                <w:color w:val="FFFFFF"/>
                <w:sz w:val="18"/>
                <w:szCs w:val="18"/>
              </w:rPr>
              <w:t>Μέσοι όροι</w:t>
            </w:r>
          </w:p>
        </w:tc>
      </w:tr>
      <w:tr w:rsidR="00085DA8" w:rsidRPr="00F745E8" w:rsidTr="004C49D6">
        <w:trPr>
          <w:jc w:val="center"/>
        </w:trPr>
        <w:tc>
          <w:tcPr>
            <w:tcW w:w="1901" w:type="dxa"/>
            <w:gridSpan w:val="3"/>
            <w:vMerge w:val="restart"/>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Υπηρεσίες</w:t>
            </w:r>
          </w:p>
          <w:p w:rsidR="00085DA8" w:rsidRPr="00F745E8" w:rsidRDefault="00085DA8" w:rsidP="004C49D6">
            <w:pPr>
              <w:pStyle w:val="Heading2"/>
              <w:rPr>
                <w:rFonts w:ascii="Tahoma" w:hAnsi="Tahoma" w:cs="Tahoma"/>
                <w:i w:val="0"/>
                <w:iCs w:val="0"/>
              </w:rPr>
            </w:pPr>
            <w:r w:rsidRPr="00F745E8">
              <w:rPr>
                <w:rFonts w:ascii="Tahoma" w:hAnsi="Tahoma" w:cs="Tahoma"/>
                <w:i w:val="0"/>
                <w:iCs w:val="0"/>
              </w:rPr>
              <w:t>(1998-2006=100)</w:t>
            </w:r>
          </w:p>
        </w:tc>
        <w:tc>
          <w:tcPr>
            <w:tcW w:w="933"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Min</w:t>
            </w:r>
          </w:p>
        </w:tc>
        <w:tc>
          <w:tcPr>
            <w:tcW w:w="1148"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Max</w:t>
            </w:r>
          </w:p>
        </w:tc>
        <w:tc>
          <w:tcPr>
            <w:tcW w:w="1351"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2001-20</w:t>
            </w:r>
            <w:r w:rsidRPr="00F745E8">
              <w:rPr>
                <w:rFonts w:ascii="Tahoma" w:hAnsi="Tahoma" w:cs="Tahoma"/>
                <w:b/>
                <w:bCs/>
                <w:sz w:val="18"/>
                <w:szCs w:val="18"/>
              </w:rPr>
              <w:t>11</w:t>
            </w:r>
          </w:p>
        </w:tc>
        <w:tc>
          <w:tcPr>
            <w:tcW w:w="720"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lang w:val="en-US"/>
              </w:rPr>
              <w:t>200</w:t>
            </w:r>
            <w:r w:rsidRPr="00F745E8">
              <w:rPr>
                <w:rFonts w:ascii="Tahoma" w:hAnsi="Tahoma" w:cs="Tahoma"/>
                <w:i w:val="0"/>
                <w:iCs w:val="0"/>
              </w:rPr>
              <w:t>7</w:t>
            </w:r>
          </w:p>
        </w:tc>
        <w:tc>
          <w:tcPr>
            <w:tcW w:w="900"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2008</w:t>
            </w:r>
          </w:p>
        </w:tc>
        <w:tc>
          <w:tcPr>
            <w:tcW w:w="900" w:type="dxa"/>
            <w:gridSpan w:val="2"/>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2009</w:t>
            </w:r>
          </w:p>
        </w:tc>
        <w:tc>
          <w:tcPr>
            <w:tcW w:w="900" w:type="dxa"/>
            <w:gridSpan w:val="3"/>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2010</w:t>
            </w:r>
          </w:p>
        </w:tc>
        <w:tc>
          <w:tcPr>
            <w:tcW w:w="686"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2011</w:t>
            </w:r>
          </w:p>
        </w:tc>
      </w:tr>
      <w:tr w:rsidR="00085DA8" w:rsidRPr="00F745E8" w:rsidTr="004C49D6">
        <w:trPr>
          <w:trHeight w:val="445"/>
          <w:jc w:val="center"/>
        </w:trPr>
        <w:tc>
          <w:tcPr>
            <w:tcW w:w="1901" w:type="dxa"/>
            <w:gridSpan w:val="3"/>
            <w:vMerge/>
            <w:shd w:val="clear" w:color="auto" w:fill="FFFF99"/>
            <w:vAlign w:val="center"/>
          </w:tcPr>
          <w:p w:rsidR="00085DA8" w:rsidRPr="00F745E8" w:rsidRDefault="00085DA8" w:rsidP="004C49D6">
            <w:pPr>
              <w:pStyle w:val="Heading1"/>
              <w:rPr>
                <w:rFonts w:ascii="Tahoma" w:hAnsi="Tahoma" w:cs="Arial"/>
                <w:b w:val="0"/>
                <w:bCs w:val="0"/>
                <w:sz w:val="18"/>
                <w:szCs w:val="18"/>
              </w:rPr>
            </w:pPr>
          </w:p>
        </w:tc>
        <w:tc>
          <w:tcPr>
            <w:tcW w:w="93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53,4</w:t>
            </w:r>
          </w:p>
          <w:p w:rsidR="00085DA8" w:rsidRPr="00F745E8" w:rsidRDefault="00085DA8" w:rsidP="004C49D6">
            <w:pPr>
              <w:jc w:val="center"/>
              <w:rPr>
                <w:rFonts w:ascii="Tahoma" w:hAnsi="Tahoma" w:cs="Tahoma"/>
                <w:sz w:val="18"/>
                <w:szCs w:val="18"/>
              </w:rPr>
            </w:pPr>
            <w:r w:rsidRPr="00F745E8">
              <w:rPr>
                <w:rFonts w:ascii="Tahoma" w:hAnsi="Tahoma" w:cs="Tahoma"/>
                <w:i/>
                <w:iCs/>
                <w:sz w:val="18"/>
                <w:szCs w:val="18"/>
              </w:rPr>
              <w:t>Φεβ-12</w:t>
            </w:r>
          </w:p>
        </w:tc>
        <w:tc>
          <w:tcPr>
            <w:tcW w:w="1148"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122,5</w:t>
            </w:r>
          </w:p>
          <w:p w:rsidR="00085DA8" w:rsidRPr="00F745E8" w:rsidRDefault="00085DA8" w:rsidP="004C49D6">
            <w:pPr>
              <w:jc w:val="center"/>
              <w:rPr>
                <w:rFonts w:ascii="Tahoma" w:hAnsi="Tahoma" w:cs="Tahoma"/>
                <w:sz w:val="18"/>
                <w:szCs w:val="18"/>
              </w:rPr>
            </w:pPr>
            <w:r w:rsidRPr="00F745E8">
              <w:rPr>
                <w:rFonts w:ascii="Tahoma" w:hAnsi="Tahoma" w:cs="Tahoma"/>
                <w:i/>
                <w:iCs/>
                <w:sz w:val="18"/>
                <w:szCs w:val="18"/>
              </w:rPr>
              <w:t>3</w:t>
            </w:r>
            <w:r w:rsidRPr="00F745E8">
              <w:rPr>
                <w:rFonts w:ascii="Tahoma" w:hAnsi="Tahoma" w:cs="Tahoma"/>
                <w:i/>
                <w:iCs/>
                <w:sz w:val="18"/>
                <w:szCs w:val="18"/>
                <w:vertAlign w:val="superscript"/>
              </w:rPr>
              <w:t xml:space="preserve">ο </w:t>
            </w:r>
            <w:r w:rsidRPr="00F745E8">
              <w:rPr>
                <w:rFonts w:ascii="Tahoma" w:hAnsi="Tahoma" w:cs="Tahoma"/>
                <w:i/>
                <w:iCs/>
                <w:sz w:val="18"/>
                <w:szCs w:val="18"/>
              </w:rPr>
              <w:t xml:space="preserve"> τριμ 01</w:t>
            </w:r>
          </w:p>
        </w:tc>
        <w:tc>
          <w:tcPr>
            <w:tcW w:w="1351"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87,8</w:t>
            </w:r>
          </w:p>
        </w:tc>
        <w:tc>
          <w:tcPr>
            <w:tcW w:w="720"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106,6</w:t>
            </w:r>
          </w:p>
        </w:tc>
        <w:tc>
          <w:tcPr>
            <w:tcW w:w="90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97,8</w:t>
            </w:r>
          </w:p>
        </w:tc>
        <w:tc>
          <w:tcPr>
            <w:tcW w:w="90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70,1</w:t>
            </w:r>
          </w:p>
        </w:tc>
        <w:tc>
          <w:tcPr>
            <w:tcW w:w="900"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63,6</w:t>
            </w:r>
          </w:p>
        </w:tc>
        <w:tc>
          <w:tcPr>
            <w:tcW w:w="686" w:type="dxa"/>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61,7</w:t>
            </w:r>
          </w:p>
        </w:tc>
      </w:tr>
      <w:tr w:rsidR="00085DA8" w:rsidRPr="00F745E8" w:rsidTr="004C49D6">
        <w:trPr>
          <w:jc w:val="center"/>
        </w:trPr>
        <w:tc>
          <w:tcPr>
            <w:tcW w:w="9439" w:type="dxa"/>
            <w:gridSpan w:val="19"/>
            <w:shd w:val="clear" w:color="auto" w:fill="800000"/>
            <w:vAlign w:val="center"/>
          </w:tcPr>
          <w:p w:rsidR="00085DA8" w:rsidRPr="00F745E8" w:rsidRDefault="00085DA8" w:rsidP="004C49D6">
            <w:pPr>
              <w:pStyle w:val="Heading7"/>
              <w:jc w:val="center"/>
              <w:rPr>
                <w:rFonts w:ascii="Tahoma" w:hAnsi="Tahoma" w:cs="Tahoma"/>
                <w:color w:val="FFFFFF"/>
              </w:rPr>
            </w:pPr>
            <w:r w:rsidRPr="00F745E8">
              <w:rPr>
                <w:rFonts w:ascii="Tahoma" w:hAnsi="Tahoma" w:cs="Tahoma"/>
                <w:color w:val="FFFFFF"/>
                <w:lang w:val="en-US"/>
              </w:rPr>
              <w:t>20</w:t>
            </w:r>
            <w:r w:rsidRPr="00F745E8">
              <w:rPr>
                <w:rFonts w:ascii="Tahoma" w:hAnsi="Tahoma" w:cs="Tahoma"/>
                <w:color w:val="FFFFFF"/>
              </w:rPr>
              <w:t>11</w:t>
            </w:r>
          </w:p>
        </w:tc>
      </w:tr>
      <w:tr w:rsidR="00085DA8" w:rsidRPr="00F745E8" w:rsidTr="004C49D6">
        <w:trPr>
          <w:jc w:val="center"/>
        </w:trPr>
        <w:tc>
          <w:tcPr>
            <w:tcW w:w="753"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5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865"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789"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821"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97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8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5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55"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55"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77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53"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60,1</w:t>
            </w:r>
          </w:p>
        </w:tc>
        <w:tc>
          <w:tcPr>
            <w:tcW w:w="754" w:type="dxa"/>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57,5</w:t>
            </w:r>
          </w:p>
        </w:tc>
        <w:tc>
          <w:tcPr>
            <w:tcW w:w="86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59,2</w:t>
            </w:r>
          </w:p>
        </w:tc>
        <w:tc>
          <w:tcPr>
            <w:tcW w:w="789"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62</w:t>
            </w:r>
            <w:r w:rsidRPr="00F745E8">
              <w:rPr>
                <w:rFonts w:ascii="Tahoma" w:hAnsi="Tahoma" w:cs="Tahoma"/>
                <w:sz w:val="18"/>
                <w:szCs w:val="18"/>
              </w:rPr>
              <w:t>,</w:t>
            </w:r>
            <w:r w:rsidRPr="00F745E8">
              <w:rPr>
                <w:rFonts w:ascii="Tahoma" w:hAnsi="Tahoma" w:cs="Tahoma"/>
                <w:sz w:val="18"/>
                <w:szCs w:val="18"/>
                <w:lang w:val="en-US"/>
              </w:rPr>
              <w:t>9</w:t>
            </w:r>
          </w:p>
        </w:tc>
        <w:tc>
          <w:tcPr>
            <w:tcW w:w="821"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61,9</w:t>
            </w:r>
          </w:p>
        </w:tc>
        <w:tc>
          <w:tcPr>
            <w:tcW w:w="97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64,0</w:t>
            </w:r>
          </w:p>
        </w:tc>
        <w:tc>
          <w:tcPr>
            <w:tcW w:w="68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65,4</w:t>
            </w:r>
          </w:p>
        </w:tc>
        <w:tc>
          <w:tcPr>
            <w:tcW w:w="76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69,1</w:t>
            </w:r>
          </w:p>
        </w:tc>
        <w:tc>
          <w:tcPr>
            <w:tcW w:w="75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66,8</w:t>
            </w:r>
          </w:p>
        </w:tc>
        <w:tc>
          <w:tcPr>
            <w:tcW w:w="755" w:type="dxa"/>
            <w:gridSpan w:val="2"/>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62</w:t>
            </w:r>
            <w:r w:rsidRPr="00F745E8">
              <w:rPr>
                <w:rFonts w:ascii="Tahoma" w:hAnsi="Tahoma" w:cs="Tahoma"/>
                <w:sz w:val="18"/>
                <w:szCs w:val="18"/>
              </w:rPr>
              <w:t>,</w:t>
            </w:r>
            <w:r w:rsidRPr="00F745E8">
              <w:rPr>
                <w:rFonts w:ascii="Tahoma" w:hAnsi="Tahoma" w:cs="Tahoma"/>
                <w:sz w:val="18"/>
                <w:szCs w:val="18"/>
                <w:lang w:val="en-US"/>
              </w:rPr>
              <w:t>1</w:t>
            </w:r>
          </w:p>
        </w:tc>
        <w:tc>
          <w:tcPr>
            <w:tcW w:w="755"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56,5</w:t>
            </w:r>
          </w:p>
        </w:tc>
        <w:tc>
          <w:tcPr>
            <w:tcW w:w="77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55,2</w:t>
            </w:r>
          </w:p>
        </w:tc>
      </w:tr>
      <w:tr w:rsidR="00085DA8" w:rsidRPr="00F745E8" w:rsidTr="004C49D6">
        <w:trPr>
          <w:jc w:val="center"/>
        </w:trPr>
        <w:tc>
          <w:tcPr>
            <w:tcW w:w="9439" w:type="dxa"/>
            <w:gridSpan w:val="19"/>
            <w:shd w:val="clear" w:color="auto" w:fill="800000"/>
            <w:vAlign w:val="center"/>
          </w:tcPr>
          <w:p w:rsidR="00085DA8" w:rsidRPr="00F745E8" w:rsidRDefault="00085DA8" w:rsidP="004C49D6">
            <w:pPr>
              <w:pStyle w:val="Heading7"/>
              <w:jc w:val="center"/>
              <w:rPr>
                <w:rFonts w:ascii="Tahoma" w:hAnsi="Tahoma" w:cs="Tahoma"/>
                <w:color w:val="FFFFFF"/>
                <w:lang w:val="en-US"/>
              </w:rPr>
            </w:pPr>
            <w:r w:rsidRPr="00F745E8">
              <w:rPr>
                <w:rFonts w:ascii="Tahoma" w:hAnsi="Tahoma" w:cs="Tahoma"/>
                <w:color w:val="FFFFFF"/>
                <w:lang w:val="en-US"/>
              </w:rPr>
              <w:t>2012</w:t>
            </w:r>
          </w:p>
        </w:tc>
      </w:tr>
      <w:tr w:rsidR="00085DA8" w:rsidRPr="00F745E8" w:rsidTr="004C49D6">
        <w:trPr>
          <w:jc w:val="center"/>
        </w:trPr>
        <w:tc>
          <w:tcPr>
            <w:tcW w:w="753" w:type="dxa"/>
            <w:shd w:val="clear" w:color="auto" w:fill="FFFF99"/>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54"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Φ</w:t>
            </w:r>
          </w:p>
        </w:tc>
        <w:tc>
          <w:tcPr>
            <w:tcW w:w="865"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789"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821"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Μ</w:t>
            </w:r>
          </w:p>
        </w:tc>
        <w:tc>
          <w:tcPr>
            <w:tcW w:w="97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8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Ι</w:t>
            </w:r>
          </w:p>
        </w:tc>
        <w:tc>
          <w:tcPr>
            <w:tcW w:w="76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Α</w:t>
            </w:r>
          </w:p>
        </w:tc>
        <w:tc>
          <w:tcPr>
            <w:tcW w:w="75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Σ</w:t>
            </w:r>
          </w:p>
        </w:tc>
        <w:tc>
          <w:tcPr>
            <w:tcW w:w="755"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Ο</w:t>
            </w:r>
          </w:p>
        </w:tc>
        <w:tc>
          <w:tcPr>
            <w:tcW w:w="755"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773"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jc w:val="center"/>
        </w:trPr>
        <w:tc>
          <w:tcPr>
            <w:tcW w:w="753"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54,2</w:t>
            </w:r>
          </w:p>
        </w:tc>
        <w:tc>
          <w:tcPr>
            <w:tcW w:w="75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53,4</w:t>
            </w:r>
          </w:p>
        </w:tc>
        <w:tc>
          <w:tcPr>
            <w:tcW w:w="86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55,2</w:t>
            </w:r>
          </w:p>
        </w:tc>
        <w:tc>
          <w:tcPr>
            <w:tcW w:w="78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56,1</w:t>
            </w:r>
          </w:p>
        </w:tc>
        <w:tc>
          <w:tcPr>
            <w:tcW w:w="821"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57,4</w:t>
            </w:r>
          </w:p>
        </w:tc>
        <w:tc>
          <w:tcPr>
            <w:tcW w:w="97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53,0</w:t>
            </w:r>
          </w:p>
        </w:tc>
        <w:tc>
          <w:tcPr>
            <w:tcW w:w="68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52,9</w:t>
            </w:r>
          </w:p>
        </w:tc>
        <w:tc>
          <w:tcPr>
            <w:tcW w:w="763"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55,0</w:t>
            </w:r>
          </w:p>
        </w:tc>
        <w:tc>
          <w:tcPr>
            <w:tcW w:w="75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59,9</w:t>
            </w:r>
          </w:p>
        </w:tc>
        <w:tc>
          <w:tcPr>
            <w:tcW w:w="75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52,2</w:t>
            </w:r>
          </w:p>
        </w:tc>
        <w:tc>
          <w:tcPr>
            <w:tcW w:w="755" w:type="dxa"/>
            <w:shd w:val="clear" w:color="auto" w:fill="FFFF99"/>
            <w:vAlign w:val="center"/>
          </w:tcPr>
          <w:p w:rsidR="00085DA8" w:rsidRPr="00F745E8" w:rsidRDefault="00085DA8" w:rsidP="004C49D6">
            <w:pPr>
              <w:jc w:val="center"/>
              <w:rPr>
                <w:rFonts w:ascii="Tahoma" w:hAnsi="Tahoma" w:cs="Tahoma"/>
                <w:sz w:val="18"/>
                <w:szCs w:val="18"/>
                <w:lang w:val="en-US"/>
              </w:rPr>
            </w:pPr>
            <w:r w:rsidRPr="00F745E8">
              <w:rPr>
                <w:rFonts w:ascii="Tahoma" w:hAnsi="Tahoma" w:cs="Tahoma"/>
                <w:sz w:val="18"/>
                <w:szCs w:val="18"/>
                <w:lang w:val="en-US"/>
              </w:rPr>
              <w:t>52</w:t>
            </w:r>
            <w:r>
              <w:rPr>
                <w:rFonts w:ascii="Tahoma" w:hAnsi="Tahoma" w:cs="Tahoma"/>
                <w:sz w:val="18"/>
                <w:szCs w:val="18"/>
              </w:rPr>
              <w:t>,</w:t>
            </w:r>
            <w:r w:rsidRPr="00F745E8">
              <w:rPr>
                <w:rFonts w:ascii="Tahoma" w:hAnsi="Tahoma" w:cs="Tahoma"/>
                <w:sz w:val="18"/>
                <w:szCs w:val="18"/>
                <w:lang w:val="en-US"/>
              </w:rPr>
              <w:t>5</w:t>
            </w:r>
          </w:p>
        </w:tc>
        <w:tc>
          <w:tcPr>
            <w:tcW w:w="773" w:type="dxa"/>
            <w:gridSpan w:val="2"/>
            <w:shd w:val="clear" w:color="auto" w:fill="FFFF99"/>
            <w:vAlign w:val="center"/>
          </w:tcPr>
          <w:p w:rsidR="00085DA8" w:rsidRPr="00F745E8" w:rsidRDefault="00085DA8" w:rsidP="004C49D6">
            <w:pPr>
              <w:jc w:val="center"/>
              <w:rPr>
                <w:rFonts w:ascii="Tahoma" w:hAnsi="Tahoma" w:cs="Tahoma"/>
                <w:sz w:val="18"/>
                <w:szCs w:val="18"/>
              </w:rPr>
            </w:pPr>
          </w:p>
        </w:tc>
      </w:tr>
    </w:tbl>
    <w:p w:rsidR="00085DA8" w:rsidRPr="00F745E8" w:rsidRDefault="00085DA8" w:rsidP="00354DAC">
      <w:pPr>
        <w:pStyle w:val="BodyText26"/>
        <w:spacing w:after="0" w:line="240" w:lineRule="auto"/>
        <w:rPr>
          <w:rFonts w:ascii="Tahoma" w:hAnsi="Tahoma" w:cs="Tahoma"/>
          <w:sz w:val="18"/>
          <w:szCs w:val="18"/>
        </w:rPr>
      </w:pPr>
      <w:r w:rsidRPr="00F745E8">
        <w:rPr>
          <w:rFonts w:ascii="Tahoma" w:hAnsi="Tahoma" w:cs="Tahoma"/>
          <w:b/>
          <w:bCs/>
          <w:sz w:val="18"/>
          <w:szCs w:val="18"/>
        </w:rPr>
        <w:t>Σημειώσεις:</w:t>
      </w:r>
      <w:r w:rsidRPr="00F745E8">
        <w:rPr>
          <w:rFonts w:ascii="Tahoma" w:hAnsi="Tahoma" w:cs="Tahoma"/>
          <w:sz w:val="18"/>
          <w:szCs w:val="18"/>
        </w:rPr>
        <w:t xml:space="preserve">. Ο δείκτης επιχειρηματικών προσδοκιών υπολογίζεται με βάση την κατάσταση της επιχείρησης, καθώς και τις εκτιμήσεις και τις προβλέψεις για την πορεία της ζήτησης. </w:t>
      </w:r>
    </w:p>
    <w:p w:rsidR="00085DA8" w:rsidRPr="00F745E8" w:rsidRDefault="00085DA8" w:rsidP="00354DAC">
      <w:pPr>
        <w:pStyle w:val="BodyText26"/>
        <w:spacing w:after="0" w:line="240" w:lineRule="auto"/>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w:t>
      </w:r>
      <w:r w:rsidRPr="00F745E8">
        <w:rPr>
          <w:rFonts w:ascii="Tahoma" w:hAnsi="Tahoma" w:cs="Tahoma"/>
          <w:sz w:val="18"/>
          <w:szCs w:val="18"/>
          <w:lang w:val="en-US"/>
        </w:rPr>
        <w:t>IOBE</w:t>
      </w:r>
    </w:p>
    <w:p w:rsidR="00085DA8" w:rsidRPr="00F745E8" w:rsidRDefault="00085DA8" w:rsidP="00354DAC">
      <w:pPr>
        <w:numPr>
          <w:ilvl w:val="12"/>
          <w:numId w:val="0"/>
        </w:numPr>
        <w:spacing w:after="60"/>
        <w:ind w:left="1985" w:hanging="1985"/>
        <w:jc w:val="center"/>
        <w:rPr>
          <w:rFonts w:ascii="Tahoma" w:hAnsi="Tahoma" w:cs="Tahoma"/>
          <w:b/>
          <w:bCs/>
          <w:color w:val="000080"/>
          <w:sz w:val="22"/>
          <w:szCs w:val="22"/>
        </w:rPr>
      </w:pPr>
    </w:p>
    <w:p w:rsidR="00085DA8" w:rsidRPr="00F745E8" w:rsidRDefault="00085DA8" w:rsidP="00354DAC">
      <w:pPr>
        <w:numPr>
          <w:ilvl w:val="12"/>
          <w:numId w:val="0"/>
        </w:numPr>
        <w:spacing w:after="60"/>
        <w:ind w:left="1985" w:hanging="1985"/>
        <w:jc w:val="center"/>
        <w:rPr>
          <w:rFonts w:ascii="Tahoma" w:hAnsi="Tahoma" w:cs="Tahoma"/>
          <w:color w:val="000080"/>
          <w:sz w:val="22"/>
          <w:szCs w:val="22"/>
        </w:rPr>
      </w:pPr>
      <w:r w:rsidRPr="00F745E8">
        <w:rPr>
          <w:rFonts w:ascii="Tahoma" w:hAnsi="Tahoma" w:cs="Tahoma"/>
          <w:b/>
          <w:bCs/>
          <w:color w:val="000080"/>
          <w:sz w:val="22"/>
          <w:szCs w:val="22"/>
        </w:rPr>
        <w:t xml:space="preserve">Διάγραμμα 5: </w:t>
      </w:r>
      <w:r w:rsidRPr="00F745E8">
        <w:rPr>
          <w:rFonts w:ascii="Tahoma" w:hAnsi="Tahoma" w:cs="Tahoma"/>
          <w:color w:val="000080"/>
          <w:sz w:val="22"/>
          <w:szCs w:val="22"/>
        </w:rPr>
        <w:t xml:space="preserve">Δείκτης Επιχειρηματικών Προσδοκιών στις Υπηρεσίες </w:t>
      </w:r>
    </w:p>
    <w:p w:rsidR="00085DA8" w:rsidRPr="00F745E8" w:rsidRDefault="00085DA8" w:rsidP="00354DAC">
      <w:pPr>
        <w:numPr>
          <w:ilvl w:val="12"/>
          <w:numId w:val="0"/>
        </w:numPr>
        <w:spacing w:after="60"/>
        <w:ind w:left="1985" w:hanging="1985"/>
        <w:jc w:val="center"/>
        <w:rPr>
          <w:rFonts w:ascii="Tahoma" w:hAnsi="Tahoma" w:cs="Tahoma"/>
          <w:color w:val="000080"/>
          <w:sz w:val="22"/>
          <w:szCs w:val="22"/>
        </w:rPr>
      </w:pPr>
      <w:r w:rsidRPr="00F745E8">
        <w:rPr>
          <w:rFonts w:ascii="Tahoma" w:hAnsi="Tahoma" w:cs="Tahoma"/>
          <w:color w:val="000080"/>
          <w:sz w:val="22"/>
          <w:szCs w:val="22"/>
        </w:rPr>
        <w:t>(1998-2006=100)</w:t>
      </w:r>
    </w:p>
    <w:p w:rsidR="00085DA8" w:rsidRPr="00F745E8" w:rsidRDefault="00DF46E7" w:rsidP="00354DAC">
      <w:pPr>
        <w:numPr>
          <w:ilvl w:val="12"/>
          <w:numId w:val="0"/>
        </w:numPr>
        <w:spacing w:after="60"/>
        <w:ind w:left="1985" w:hanging="1985"/>
        <w:jc w:val="center"/>
        <w:rPr>
          <w:noProof/>
        </w:rPr>
      </w:pPr>
      <w:r>
        <w:rPr>
          <w:noProof/>
        </w:rPr>
        <w:drawing>
          <wp:inline distT="0" distB="0" distL="0" distR="0">
            <wp:extent cx="5419725" cy="3209925"/>
            <wp:effectExtent l="19050" t="0" r="9525" b="0"/>
            <wp:docPr id="1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srcRect/>
                    <a:stretch>
                      <a:fillRect/>
                    </a:stretch>
                  </pic:blipFill>
                  <pic:spPr bwMode="auto">
                    <a:xfrm>
                      <a:off x="0" y="0"/>
                      <a:ext cx="5419725" cy="3209925"/>
                    </a:xfrm>
                    <a:prstGeom prst="rect">
                      <a:avLst/>
                    </a:prstGeom>
                    <a:noFill/>
                    <a:ln w="9525">
                      <a:noFill/>
                      <a:miter lim="800000"/>
                      <a:headEnd/>
                      <a:tailEnd/>
                    </a:ln>
                  </pic:spPr>
                </pic:pic>
              </a:graphicData>
            </a:graphic>
          </wp:inline>
        </w:drawing>
      </w:r>
    </w:p>
    <w:p w:rsidR="00085DA8" w:rsidRPr="00F745E8" w:rsidRDefault="00085DA8" w:rsidP="00354DAC">
      <w:pPr>
        <w:pStyle w:val="BodyText2"/>
        <w:spacing w:before="0" w:after="0" w:line="288" w:lineRule="auto"/>
        <w:rPr>
          <w:rFonts w:ascii="Tahoma" w:hAnsi="Tahoma" w:cs="Tahoma"/>
          <w:b w:val="0"/>
          <w:bCs w:val="0"/>
          <w:sz w:val="18"/>
          <w:szCs w:val="18"/>
        </w:rPr>
      </w:pPr>
      <w:r w:rsidRPr="00F745E8">
        <w:rPr>
          <w:rFonts w:ascii="Tahoma" w:hAnsi="Tahoma" w:cs="Tahoma"/>
          <w:sz w:val="18"/>
          <w:szCs w:val="18"/>
        </w:rPr>
        <w:t>Πηγή:</w:t>
      </w:r>
      <w:r w:rsidRPr="00F745E8">
        <w:rPr>
          <w:rFonts w:ascii="Tahoma" w:hAnsi="Tahoma" w:cs="Tahoma"/>
          <w:b w:val="0"/>
          <w:bCs w:val="0"/>
          <w:sz w:val="18"/>
          <w:szCs w:val="18"/>
        </w:rPr>
        <w:t xml:space="preserve"> </w:t>
      </w:r>
      <w:r w:rsidRPr="00F745E8">
        <w:rPr>
          <w:rFonts w:ascii="Tahoma" w:hAnsi="Tahoma" w:cs="Tahoma"/>
          <w:b w:val="0"/>
          <w:bCs w:val="0"/>
          <w:sz w:val="18"/>
          <w:szCs w:val="18"/>
          <w:lang w:val="en-US"/>
        </w:rPr>
        <w:t>IOBE</w:t>
      </w:r>
    </w:p>
    <w:p w:rsidR="00085DA8" w:rsidRPr="00F745E8" w:rsidRDefault="00085DA8" w:rsidP="00354DAC">
      <w:pPr>
        <w:pStyle w:val="BodyText2"/>
        <w:spacing w:before="0" w:after="0" w:line="288" w:lineRule="auto"/>
        <w:rPr>
          <w:rFonts w:ascii="Tahoma" w:hAnsi="Tahoma" w:cs="Tahoma"/>
          <w:b w:val="0"/>
          <w:bCs w:val="0"/>
          <w:sz w:val="18"/>
          <w:szCs w:val="18"/>
        </w:rPr>
      </w:pPr>
    </w:p>
    <w:p w:rsidR="00085DA8" w:rsidRPr="00F745E8" w:rsidRDefault="00085DA8" w:rsidP="00354DAC">
      <w:pPr>
        <w:spacing w:line="300" w:lineRule="exact"/>
        <w:jc w:val="both"/>
        <w:rPr>
          <w:rFonts w:ascii="Tahoma" w:hAnsi="Tahoma" w:cs="Tahoma"/>
          <w:sz w:val="22"/>
          <w:szCs w:val="22"/>
        </w:rPr>
      </w:pPr>
      <w:r w:rsidRPr="00F745E8">
        <w:rPr>
          <w:rFonts w:ascii="Tahoma" w:hAnsi="Tahoma" w:cs="Tahoma"/>
          <w:sz w:val="22"/>
          <w:szCs w:val="22"/>
        </w:rPr>
        <w:t xml:space="preserve">Οι προσδοκίες των επιχειρήσεων στους </w:t>
      </w:r>
      <w:r w:rsidRPr="00F745E8">
        <w:rPr>
          <w:rFonts w:ascii="Tahoma" w:hAnsi="Tahoma" w:cs="Tahoma"/>
          <w:b/>
          <w:bCs/>
          <w:sz w:val="22"/>
          <w:szCs w:val="22"/>
        </w:rPr>
        <w:t xml:space="preserve">Ενδιάμεσους Χρηματοπιστωτικούς Οργανισμούς </w:t>
      </w:r>
      <w:r w:rsidRPr="00F745E8">
        <w:rPr>
          <w:rFonts w:ascii="Tahoma" w:hAnsi="Tahoma" w:cs="Tahoma"/>
          <w:sz w:val="22"/>
          <w:szCs w:val="22"/>
        </w:rPr>
        <w:t xml:space="preserve">(δεν περιλαμβάνονται οι Τράπεζες) κερδίζουν περαιτέρω έδαφος τον Νοέμβριο, με το σχετικό δείκτη να ανέρχεται στις 65,7 μονάδες (από 54,8 μονάδες), ανώτερα έναντι της περσινής τιμής </w:t>
      </w:r>
      <w:r w:rsidRPr="00F745E8">
        <w:rPr>
          <w:rFonts w:ascii="Tahoma" w:hAnsi="Tahoma" w:cs="Tahoma"/>
          <w:sz w:val="22"/>
          <w:szCs w:val="22"/>
        </w:rPr>
        <w:lastRenderedPageBreak/>
        <w:t>του (38 μονάδες). Οι απαισιόδοξες εκτιμήσεις για την τρέχουσα κατάσταση των επιχειρήσεων αμβλύνονται (στις -17 μονάδες ο δείκτης), ενώ θετική είναι η μεταβολή και σε επίπεδο ζήτησης, τόσο της τρέχουσας, όσο και της προβλεπόμενης (στις -27 από -42 και αντίστοιχα στις +5 από -6 μονάδες οι σχετικοί δείκτες). Από τα υπόλοιπα στοιχεία, οι προσδοκίες για την απασχόληση υποχωρούν ελαφρά (στις -10 από -6 μονάδες ο δείκτης), ενώ στις τιμές το 14% προβλέπει μείωσή τους. Τέλος, περιορίζεται στο ¼ των ερωτηθέντων (από 32%), το ποσοστό όσων δηλώνουν απρόσκοπτη λειτουργία, με το 43% να αναφέρει την ανεπαρκή ζήτηση ως σημαντικότερο εμπόδιο λειτουργίας, το 1/5 την τρέχουσα οικονομική κατάσταση και ένα 12% την ανεπάρκεια κεφαλαίων κίνησης.</w:t>
      </w:r>
    </w:p>
    <w:p w:rsidR="00085DA8" w:rsidRPr="00F745E8" w:rsidRDefault="00085DA8" w:rsidP="00354DAC">
      <w:pPr>
        <w:spacing w:line="300" w:lineRule="exact"/>
        <w:jc w:val="both"/>
        <w:rPr>
          <w:rFonts w:ascii="Tahoma" w:hAnsi="Tahoma" w:cs="Tahoma"/>
          <w:sz w:val="22"/>
          <w:szCs w:val="22"/>
        </w:rPr>
      </w:pPr>
    </w:p>
    <w:p w:rsidR="00085DA8" w:rsidRPr="00F745E8" w:rsidRDefault="00085DA8" w:rsidP="00354DAC">
      <w:pPr>
        <w:spacing w:line="300" w:lineRule="exact"/>
        <w:jc w:val="both"/>
        <w:rPr>
          <w:rFonts w:ascii="Tahoma" w:hAnsi="Tahoma" w:cs="Tahoma"/>
          <w:sz w:val="22"/>
          <w:szCs w:val="22"/>
        </w:rPr>
      </w:pPr>
      <w:r w:rsidRPr="00F745E8">
        <w:rPr>
          <w:rFonts w:ascii="Tahoma" w:hAnsi="Tahoma" w:cs="Tahoma"/>
          <w:sz w:val="22"/>
          <w:szCs w:val="22"/>
        </w:rPr>
        <w:t>Στα ίδια σχεδόν επίπεδα παραμένουν οι επιχειρηματικές προσδοκίες στην</w:t>
      </w:r>
      <w:r w:rsidRPr="00F745E8">
        <w:rPr>
          <w:rFonts w:ascii="Tahoma" w:hAnsi="Tahoma" w:cs="Tahoma"/>
          <w:b/>
          <w:bCs/>
          <w:sz w:val="22"/>
          <w:szCs w:val="22"/>
        </w:rPr>
        <w:t xml:space="preserve"> Πληροφορική και Ανάπτυξη Λογισμικού</w:t>
      </w:r>
      <w:r w:rsidRPr="00F745E8">
        <w:rPr>
          <w:rFonts w:ascii="Tahoma" w:hAnsi="Tahoma" w:cs="Tahoma"/>
          <w:sz w:val="22"/>
          <w:szCs w:val="22"/>
        </w:rPr>
        <w:t>, με το σχετικό δείκτη να κινείται οριακά υψηλότερα, στις 58 μονάδες (από 57,4 μονάδες), ελαφρώς χαμηλότερα σε σχέση με την αντίστοιχη περσινή του τιμή (61,3 μονάδες). Οι εκτιμήσεις για την τρέχουσα δραστηριότητα παραμένουν αμετάβλητες, με το σχετικό δείκτη να διαμορφώνεται εκ νέου στις -24 μονάδες, ενώ ως προς τη ζήτηση, οι μεταβολές είναι επίσης οριακές (στις -15 και -24 μονάδες αντίστοιχα οι δύο δείκτες). Οι προβλέψεις για την απασχόληση ωστόσο επιδεινώνονται σημαντικά και αυτόν το μήνα, με το σχετικό αρνητικό ισοζύγιο να διευρύνεται στις -24 μονάδες (από -13). Ως προς τις τιμές, οι αποπληθωριστικές προβλέψεις διατηρούνται, εξασθενημένες όμως σε σχέση με τον Οκτώβριο (-30 από -45 μονάδες ο δείκτης). Τέλος, το 18% των ερωτηθέντων δηλώνει εκ νέου απρόσκοπτη επιχειρηματική λειτουργία, με τις μισές επιχειρήσεις να επισημαίνουν την ανεπάρκεια ζήτησης, το 18% την ανεπάρκεια κεφαλαίων κίνησης και το 1/10 την οικονομική συγκυρία ως τα κύρια λειτουργικά προσκόμματα.</w:t>
      </w:r>
    </w:p>
    <w:p w:rsidR="00085DA8" w:rsidRPr="00F745E8" w:rsidRDefault="00085DA8" w:rsidP="00354DAC">
      <w:pPr>
        <w:spacing w:line="300" w:lineRule="exact"/>
        <w:jc w:val="both"/>
      </w:pPr>
    </w:p>
    <w:p w:rsidR="00085DA8" w:rsidRPr="00F745E8" w:rsidRDefault="00085DA8" w:rsidP="00354DAC">
      <w:pPr>
        <w:spacing w:line="300" w:lineRule="exact"/>
        <w:jc w:val="both"/>
      </w:pPr>
      <w:r w:rsidRPr="00F745E8">
        <w:rPr>
          <w:rFonts w:ascii="Tahoma" w:hAnsi="Tahoma" w:cs="Tahoma"/>
          <w:sz w:val="22"/>
          <w:szCs w:val="22"/>
        </w:rPr>
        <w:t xml:space="preserve">Οι επιχειρηματικές προσδοκίες στον κλάδο των </w:t>
      </w:r>
      <w:r w:rsidRPr="00F745E8">
        <w:rPr>
          <w:rFonts w:ascii="Tahoma" w:hAnsi="Tahoma" w:cs="Tahoma"/>
          <w:b/>
          <w:bCs/>
          <w:sz w:val="22"/>
          <w:szCs w:val="22"/>
        </w:rPr>
        <w:t>Χερσαίων Μεταφορών</w:t>
      </w:r>
      <w:r w:rsidRPr="00F745E8">
        <w:rPr>
          <w:rFonts w:ascii="Tahoma" w:hAnsi="Tahoma" w:cs="Tahoma"/>
          <w:sz w:val="22"/>
          <w:szCs w:val="22"/>
        </w:rPr>
        <w:t xml:space="preserve"> δεν μεταβάλλονται τον Νοέμβριο, με τον σχετικό δείκτη να κινείται στις 52,1 μονάδες. Το ισοζύγιο των εκτιμήσεων για την τρέχουσα δραστηριότητα περιορίζεται περαιτέρω όμως, χάνοντας 10 μονάδες (στις -35), ενώ επιδείνωση καταγράφουν και οι προβλέψεις για την επερχόμενη ζήτηση, με το σχετικό δείκτη να σημειώνει τη χαμηλότερη φετινή τιμή του (-69 από -62 μονάδες). Τις εξελίξεις αυτές όμως αντισταθμίζει εξολοκλήρου η σημαντική βελτίωση του ισοζυγίου της τρέχουσας ζήτησης, το οποίο διαμορφώνεται στη λιγότερο αρνητική τιμή του φέτος, στις -8 μονάδες (από -25). Από τους υπόλοιπους δείκτες, οι προβλέψεις για την απασχόληση επιδεινώνονται, με το 73% των ερωτηθέντων να αναμένει πτώση στην απασχόληση του κλάδου και καμία επιχείρηση να μην αναμένει άνοδο. Ως προς τις τιμές, οι αποπληθωριστικές προσδοκίες διατηρούνται, με το 1/10 των επιχειρήσεων να αναμένει μείωσή τους και το 88% να προβλέπει σταθερότητα. Από την άλλη πλευρά όμως</w:t>
      </w:r>
      <w:r>
        <w:rPr>
          <w:rFonts w:ascii="Tahoma" w:hAnsi="Tahoma" w:cs="Tahoma"/>
          <w:sz w:val="22"/>
          <w:szCs w:val="22"/>
        </w:rPr>
        <w:t>,</w:t>
      </w:r>
      <w:r w:rsidRPr="00F745E8">
        <w:rPr>
          <w:rFonts w:ascii="Tahoma" w:hAnsi="Tahoma" w:cs="Tahoma"/>
          <w:sz w:val="22"/>
          <w:szCs w:val="22"/>
        </w:rPr>
        <w:t xml:space="preserve"> καμία επιχείρηση τον Νοέμβριο δε δηλώνει ανεμπόδιστη λειτουργία, με τις μισές επιχειρήσεις να επισημαίνουν την ανεπάρκεια κεφαλαίων κίνησης και από 1/4 αμφότερες την ανεπάρκεια ζήτησης και τη δυσμενή οικονομική κατάσταση ως τα βασικότερα λειτουργικά προσκόμματα. </w:t>
      </w:r>
    </w:p>
    <w:p w:rsidR="00085DA8" w:rsidRPr="00F745E8" w:rsidRDefault="00085DA8" w:rsidP="00354DAC"/>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0635AD"/>
    <w:p w:rsidR="00085DA8" w:rsidRPr="00F745E8" w:rsidRDefault="00085DA8" w:rsidP="0082027D">
      <w:pPr>
        <w:spacing w:line="300" w:lineRule="exact"/>
        <w:jc w:val="both"/>
      </w:pPr>
    </w:p>
    <w:p w:rsidR="00085DA8" w:rsidRPr="00F745E8" w:rsidRDefault="00085DA8" w:rsidP="007962C5">
      <w:pPr>
        <w:jc w:val="center"/>
        <w:rPr>
          <w:rFonts w:ascii="Tahoma" w:hAnsi="Tahoma" w:cs="Tahoma"/>
          <w:sz w:val="22"/>
          <w:szCs w:val="22"/>
        </w:rPr>
        <w:sectPr w:rsidR="00085DA8" w:rsidRPr="00F745E8" w:rsidSect="007962C5">
          <w:headerReference w:type="default" r:id="rId14"/>
          <w:footerReference w:type="even" r:id="rId15"/>
          <w:footerReference w:type="default" r:id="rId16"/>
          <w:footerReference w:type="first" r:id="rId17"/>
          <w:pgSz w:w="11906" w:h="16838" w:code="9"/>
          <w:pgMar w:top="1438" w:right="1274" w:bottom="1418" w:left="1418" w:header="720" w:footer="720" w:gutter="0"/>
          <w:cols w:space="720"/>
          <w:titlePg/>
          <w:rtlGutter/>
        </w:sectPr>
      </w:pPr>
    </w:p>
    <w:p w:rsidR="00085DA8" w:rsidRPr="00F745E8" w:rsidRDefault="00085DA8" w:rsidP="0082124A">
      <w:pPr>
        <w:tabs>
          <w:tab w:val="left" w:pos="426"/>
        </w:tabs>
        <w:spacing w:before="120" w:after="120"/>
        <w:jc w:val="both"/>
        <w:rPr>
          <w:rFonts w:ascii="Tahoma" w:hAnsi="Tahoma" w:cs="Tahoma"/>
          <w:b/>
          <w:color w:val="800000"/>
          <w:sz w:val="22"/>
        </w:rPr>
      </w:pPr>
      <w:r w:rsidRPr="00F745E8">
        <w:rPr>
          <w:rFonts w:ascii="Tahoma" w:hAnsi="Tahoma" w:cs="Tahoma"/>
          <w:b/>
          <w:color w:val="800000"/>
          <w:sz w:val="22"/>
        </w:rPr>
        <w:lastRenderedPageBreak/>
        <w:t>ΕΡΕΥΝΑ ΚΑΤΑΝΑΛΩΤΩΝ: Νοέμβριος 2012</w:t>
      </w:r>
    </w:p>
    <w:p w:rsidR="00085DA8" w:rsidRPr="00F745E8" w:rsidRDefault="00085DA8" w:rsidP="0042756D">
      <w:pPr>
        <w:tabs>
          <w:tab w:val="left" w:pos="426"/>
        </w:tabs>
        <w:spacing w:before="120" w:after="120"/>
        <w:jc w:val="both"/>
        <w:rPr>
          <w:rFonts w:ascii="Tahoma" w:hAnsi="Tahoma" w:cs="Tahoma"/>
          <w:b/>
          <w:bCs/>
          <w:i/>
          <w:iCs/>
          <w:color w:val="008080"/>
          <w:sz w:val="22"/>
          <w:szCs w:val="22"/>
          <w:u w:val="single"/>
        </w:rPr>
      </w:pPr>
      <w:r w:rsidRPr="00F745E8">
        <w:rPr>
          <w:rFonts w:ascii="Tahoma" w:hAnsi="Tahoma" w:cs="Tahoma"/>
          <w:b/>
          <w:bCs/>
          <w:i/>
          <w:iCs/>
          <w:color w:val="008080"/>
          <w:sz w:val="22"/>
          <w:szCs w:val="22"/>
          <w:u w:val="single"/>
        </w:rPr>
        <w:t>Άνοδος της καταναλωτικής εμπιστοσύνης</w:t>
      </w:r>
    </w:p>
    <w:p w:rsidR="00085DA8" w:rsidRPr="00F745E8" w:rsidRDefault="00085DA8" w:rsidP="0042756D">
      <w:pPr>
        <w:spacing w:before="240" w:line="288" w:lineRule="auto"/>
        <w:jc w:val="both"/>
        <w:rPr>
          <w:rFonts w:ascii="Tahoma" w:hAnsi="Tahoma" w:cs="Tahoma"/>
          <w:sz w:val="22"/>
          <w:szCs w:val="22"/>
        </w:rPr>
      </w:pPr>
      <w:r w:rsidRPr="00F745E8">
        <w:rPr>
          <w:rFonts w:ascii="Tahoma" w:hAnsi="Tahoma" w:cs="Tahoma"/>
          <w:sz w:val="22"/>
          <w:szCs w:val="22"/>
        </w:rPr>
        <w:t xml:space="preserve">Ο </w:t>
      </w:r>
      <w:r w:rsidRPr="00F745E8">
        <w:rPr>
          <w:rFonts w:ascii="Tahoma" w:hAnsi="Tahoma" w:cs="Tahoma"/>
          <w:b/>
          <w:bCs/>
          <w:sz w:val="22"/>
          <w:szCs w:val="22"/>
        </w:rPr>
        <w:t>δείκτης καταναλωτικής εμπιστοσύνης</w:t>
      </w:r>
      <w:r w:rsidRPr="00F745E8">
        <w:rPr>
          <w:rFonts w:ascii="Tahoma" w:hAnsi="Tahoma" w:cs="Tahoma"/>
          <w:sz w:val="22"/>
          <w:szCs w:val="22"/>
        </w:rPr>
        <w:t xml:space="preserve"> βελτιώνεται ελαφρά τον Νοέμβριο, μετά από ένα δίμηνο υποχώρησης, και διαμορφώνεται στις –74,1 μονάδες (από -77,5 μονάδες τον Οκτώβριο). </w:t>
      </w:r>
      <w:r>
        <w:rPr>
          <w:rFonts w:ascii="Tahoma" w:hAnsi="Tahoma" w:cs="Tahoma"/>
          <w:sz w:val="22"/>
          <w:szCs w:val="22"/>
        </w:rPr>
        <w:t xml:space="preserve">Όπως αναφέρθηκε και προηγούμενα, η </w:t>
      </w:r>
      <w:r>
        <w:rPr>
          <w:rFonts w:ascii="Tahoma" w:hAnsi="Tahoma" w:cs="Tahoma"/>
          <w:b/>
          <w:sz w:val="22"/>
          <w:szCs w:val="22"/>
        </w:rPr>
        <w:t>ψήφιση των νέων μέτρων από την Ελληνική Βουλή έδωσε τέλος σε μια μακρά περίοδο παρατεταμένων διαπραγματεύσεων με την τρόικα, που είχε επηρεάσει πολύ αρνητικά την καταναλωτική εμπιστοσύνη. Φαίνεται ότι τουλάχιστον για ένα μέρος του πληθυσμού αυτό το γεγονός αποτιμήθηκε θετικά, με την έννοια ότι άμβλυνε τις επιφυλάξεις τους για την πορεία της χώρας στο άμεσο μέλλον</w:t>
      </w:r>
      <w:r w:rsidRPr="00F745E8">
        <w:rPr>
          <w:rFonts w:ascii="Tahoma" w:hAnsi="Tahoma" w:cs="Tahoma"/>
          <w:b/>
          <w:sz w:val="22"/>
          <w:szCs w:val="22"/>
        </w:rPr>
        <w:t>.</w:t>
      </w:r>
      <w:r>
        <w:rPr>
          <w:rFonts w:ascii="Tahoma" w:hAnsi="Tahoma" w:cs="Tahoma"/>
          <w:b/>
          <w:sz w:val="22"/>
          <w:szCs w:val="22"/>
        </w:rPr>
        <w:t xml:space="preserve"> Μάλιστα θα πρέπει να σημειωθεί ότι σημειώνεται και μια μικρή επιστροφή καταθέσεων στο εγχώριο τραπεζικό σύστημα, χωρίς αυτό να σημαίνει ότι η απαισιοδοξία έχει υποχωρήσει σημαντικά</w:t>
      </w:r>
      <w:r w:rsidRPr="00F745E8">
        <w:rPr>
          <w:rFonts w:ascii="Tahoma" w:hAnsi="Tahoma" w:cs="Tahoma"/>
          <w:b/>
          <w:sz w:val="22"/>
          <w:szCs w:val="22"/>
        </w:rPr>
        <w:t xml:space="preserve">. </w:t>
      </w:r>
      <w:r w:rsidRPr="006C3626">
        <w:rPr>
          <w:rFonts w:ascii="Tahoma" w:hAnsi="Tahoma" w:cs="Tahoma"/>
          <w:sz w:val="22"/>
          <w:szCs w:val="22"/>
        </w:rPr>
        <w:t>Γι</w:t>
      </w:r>
      <w:r>
        <w:rPr>
          <w:rFonts w:ascii="Tahoma" w:hAnsi="Tahoma" w:cs="Tahoma"/>
          <w:sz w:val="22"/>
          <w:szCs w:val="22"/>
        </w:rPr>
        <w:t>’</w:t>
      </w:r>
      <w:r w:rsidRPr="006C3626">
        <w:rPr>
          <w:rFonts w:ascii="Tahoma" w:hAnsi="Tahoma" w:cs="Tahoma"/>
          <w:sz w:val="22"/>
          <w:szCs w:val="22"/>
        </w:rPr>
        <w:t xml:space="preserve"> αυτό άλλωστε και</w:t>
      </w:r>
      <w:r>
        <w:rPr>
          <w:rFonts w:ascii="Tahoma" w:hAnsi="Tahoma" w:cs="Tahoma"/>
          <w:b/>
          <w:sz w:val="22"/>
          <w:szCs w:val="22"/>
        </w:rPr>
        <w:t xml:space="preserve"> </w:t>
      </w:r>
      <w:r w:rsidRPr="00F745E8">
        <w:rPr>
          <w:rFonts w:ascii="Tahoma" w:hAnsi="Tahoma" w:cs="Tahoma"/>
          <w:sz w:val="22"/>
          <w:szCs w:val="22"/>
        </w:rPr>
        <w:t xml:space="preserve">οι Έλληνες </w:t>
      </w:r>
      <w:r>
        <w:rPr>
          <w:rFonts w:ascii="Tahoma" w:hAnsi="Tahoma" w:cs="Tahoma"/>
          <w:sz w:val="22"/>
          <w:szCs w:val="22"/>
        </w:rPr>
        <w:t xml:space="preserve">παραμένουν οι πιο </w:t>
      </w:r>
      <w:r w:rsidRPr="00F745E8">
        <w:rPr>
          <w:rFonts w:ascii="Tahoma" w:hAnsi="Tahoma" w:cs="Tahoma"/>
          <w:sz w:val="22"/>
          <w:szCs w:val="22"/>
        </w:rPr>
        <w:t>απαισι</w:t>
      </w:r>
      <w:r>
        <w:rPr>
          <w:rFonts w:ascii="Tahoma" w:hAnsi="Tahoma" w:cs="Tahoma"/>
          <w:sz w:val="22"/>
          <w:szCs w:val="22"/>
        </w:rPr>
        <w:t>όδοξοι ευρωπαίοι</w:t>
      </w:r>
      <w:r w:rsidRPr="00F745E8">
        <w:rPr>
          <w:rFonts w:ascii="Tahoma" w:hAnsi="Tahoma" w:cs="Tahoma"/>
          <w:sz w:val="22"/>
          <w:szCs w:val="22"/>
        </w:rPr>
        <w:t xml:space="preserve">, ενώ ακολουθούν </w:t>
      </w:r>
      <w:r>
        <w:rPr>
          <w:rFonts w:ascii="Tahoma" w:hAnsi="Tahoma" w:cs="Tahoma"/>
          <w:sz w:val="22"/>
          <w:szCs w:val="22"/>
        </w:rPr>
        <w:t>η</w:t>
      </w:r>
      <w:r w:rsidRPr="00F745E8">
        <w:rPr>
          <w:rFonts w:ascii="Tahoma" w:hAnsi="Tahoma" w:cs="Tahoma"/>
          <w:sz w:val="22"/>
          <w:szCs w:val="22"/>
        </w:rPr>
        <w:t xml:space="preserve"> Ουγγαρία, η Πορτογαλία, η Κύπρος και η Βουλγαρία, με τους σχετικούς δείκτες να </w:t>
      </w:r>
      <w:r>
        <w:rPr>
          <w:rFonts w:ascii="Tahoma" w:hAnsi="Tahoma" w:cs="Tahoma"/>
          <w:sz w:val="22"/>
          <w:szCs w:val="22"/>
        </w:rPr>
        <w:t>κινούνται πάντως ανοδικά</w:t>
      </w:r>
      <w:r w:rsidRPr="00F745E8">
        <w:rPr>
          <w:rFonts w:ascii="Tahoma" w:hAnsi="Tahoma" w:cs="Tahoma"/>
          <w:sz w:val="22"/>
          <w:szCs w:val="22"/>
        </w:rPr>
        <w:t xml:space="preserve">. </w:t>
      </w:r>
      <w:r>
        <w:rPr>
          <w:rFonts w:ascii="Tahoma" w:hAnsi="Tahoma" w:cs="Tahoma"/>
          <w:sz w:val="22"/>
          <w:szCs w:val="22"/>
        </w:rPr>
        <w:t xml:space="preserve">Άλλωστε η </w:t>
      </w:r>
      <w:r w:rsidRPr="00F745E8">
        <w:rPr>
          <w:rFonts w:ascii="Tahoma" w:hAnsi="Tahoma" w:cs="Tahoma"/>
          <w:sz w:val="22"/>
          <w:szCs w:val="22"/>
        </w:rPr>
        <w:t>καταναλωτική εμπιστοσύνη κινείται ανοδικά συνολικά σε 18 ευρωπαϊκές χώρες τον Νοέμβριο (από 12 τον Οκτώβριο), ενώ θετικοί δείκτες καταγράφονται στην Σουηδία, την Φινλανδία και την Δανία. Αναλυτικότερα για την Ελλάδα:</w:t>
      </w:r>
    </w:p>
    <w:p w:rsidR="00085DA8" w:rsidRPr="00F745E8" w:rsidRDefault="00085DA8" w:rsidP="0042756D">
      <w:pPr>
        <w:pStyle w:val="BodyText"/>
        <w:numPr>
          <w:ilvl w:val="0"/>
          <w:numId w:val="4"/>
        </w:numPr>
        <w:spacing w:before="240" w:after="120" w:line="276" w:lineRule="auto"/>
        <w:ind w:left="357" w:hanging="357"/>
        <w:rPr>
          <w:rFonts w:ascii="Tahoma" w:hAnsi="Tahoma" w:cs="Tahoma"/>
          <w:b/>
          <w:bCs/>
          <w:sz w:val="22"/>
          <w:szCs w:val="22"/>
          <w:u w:val="none"/>
        </w:rPr>
      </w:pPr>
      <w:r w:rsidRPr="00F745E8">
        <w:rPr>
          <w:rFonts w:ascii="Tahoma" w:hAnsi="Tahoma" w:cs="Tahoma"/>
          <w:b/>
          <w:bCs/>
          <w:sz w:val="22"/>
          <w:szCs w:val="22"/>
          <w:u w:val="none"/>
        </w:rPr>
        <w:t xml:space="preserve">Περαιτέρω, ήπια άμβλυνση των δυσμενών προβλέψεων για την οικονομική κατάσταση των νοικοκυριών </w:t>
      </w:r>
    </w:p>
    <w:p w:rsidR="00085DA8" w:rsidRPr="00F745E8" w:rsidRDefault="00085DA8" w:rsidP="0042756D">
      <w:pPr>
        <w:pStyle w:val="BodyText"/>
        <w:spacing w:after="120" w:line="276" w:lineRule="auto"/>
        <w:rPr>
          <w:rFonts w:ascii="Tahoma" w:hAnsi="Tahoma" w:cs="Tahoma"/>
          <w:sz w:val="22"/>
          <w:szCs w:val="22"/>
          <w:u w:val="none"/>
        </w:rPr>
      </w:pPr>
      <w:r w:rsidRPr="00F745E8">
        <w:rPr>
          <w:rFonts w:ascii="Tahoma" w:hAnsi="Tahoma" w:cs="Tahoma"/>
          <w:sz w:val="22"/>
          <w:szCs w:val="22"/>
          <w:u w:val="none"/>
        </w:rPr>
        <w:t xml:space="preserve">Οι αρνητικές προβλέψεις των Ελλήνων καταναλωτών τον Νοέμβριο για την </w:t>
      </w:r>
      <w:r w:rsidRPr="00F745E8">
        <w:rPr>
          <w:rFonts w:ascii="Tahoma" w:hAnsi="Tahoma" w:cs="Tahoma"/>
          <w:sz w:val="22"/>
          <w:szCs w:val="22"/>
        </w:rPr>
        <w:t>οικονομική κατάσταση του νοικοκυριού τους τους προσεχείς 12 μήνες</w:t>
      </w:r>
      <w:r w:rsidRPr="00F745E8">
        <w:rPr>
          <w:rFonts w:ascii="Tahoma" w:hAnsi="Tahoma" w:cs="Tahoma"/>
          <w:sz w:val="22"/>
          <w:szCs w:val="22"/>
          <w:u w:val="none"/>
        </w:rPr>
        <w:t xml:space="preserve"> εξομαλύνονται ελαφρά σε σχέση με τον Οκτώβριο, με το σχετικό δείκτη να διαμορφώνεται στις -67,0 (από -69,1) μονάδες. Το 77% των καταναλωτών (από 80%) κρίν</w:t>
      </w:r>
      <w:r>
        <w:rPr>
          <w:rFonts w:ascii="Tahoma" w:hAnsi="Tahoma" w:cs="Tahoma"/>
          <w:sz w:val="22"/>
          <w:szCs w:val="22"/>
          <w:u w:val="none"/>
        </w:rPr>
        <w:t>ει</w:t>
      </w:r>
      <w:r w:rsidRPr="00F745E8">
        <w:rPr>
          <w:rFonts w:ascii="Tahoma" w:hAnsi="Tahoma" w:cs="Tahoma"/>
          <w:sz w:val="22"/>
          <w:szCs w:val="22"/>
          <w:u w:val="none"/>
        </w:rPr>
        <w:t xml:space="preserve"> ότι το επόμενο διάστημα η οικονομική του κατάσταση θα επιδεινωθεί ελαφρά ή αισθητά, ενώ το 14% (από 11%) θεωρεί ότι θα παραμείνει αμετάβλητη. Οι σχετικοί δείκτες στην ΕΕ και την Ευρωζώνη κινούνται στις -12,2 και -14,0 μονάδες.</w:t>
      </w:r>
    </w:p>
    <w:p w:rsidR="00085DA8" w:rsidRPr="00F745E8" w:rsidRDefault="00085DA8" w:rsidP="0042756D">
      <w:pPr>
        <w:pStyle w:val="BodyText"/>
        <w:numPr>
          <w:ilvl w:val="0"/>
          <w:numId w:val="4"/>
        </w:numPr>
        <w:spacing w:after="120" w:line="276" w:lineRule="auto"/>
        <w:ind w:left="357" w:hanging="357"/>
        <w:rPr>
          <w:rFonts w:ascii="Tahoma" w:hAnsi="Tahoma" w:cs="Tahoma"/>
          <w:b/>
          <w:bCs/>
          <w:sz w:val="22"/>
          <w:szCs w:val="22"/>
          <w:u w:val="none"/>
        </w:rPr>
      </w:pPr>
      <w:r w:rsidRPr="00F745E8">
        <w:rPr>
          <w:rFonts w:ascii="Tahoma" w:hAnsi="Tahoma" w:cs="Tahoma"/>
          <w:b/>
          <w:bCs/>
          <w:sz w:val="22"/>
          <w:szCs w:val="22"/>
          <w:u w:val="none"/>
        </w:rPr>
        <w:t xml:space="preserve">Εντείνεται </w:t>
      </w:r>
      <w:r>
        <w:rPr>
          <w:rFonts w:ascii="Tahoma" w:hAnsi="Tahoma" w:cs="Tahoma"/>
          <w:b/>
          <w:bCs/>
          <w:sz w:val="22"/>
          <w:szCs w:val="22"/>
          <w:u w:val="none"/>
        </w:rPr>
        <w:t xml:space="preserve">όμως </w:t>
      </w:r>
      <w:r w:rsidRPr="00F745E8">
        <w:rPr>
          <w:rFonts w:ascii="Tahoma" w:hAnsi="Tahoma" w:cs="Tahoma"/>
          <w:b/>
          <w:bCs/>
          <w:sz w:val="22"/>
          <w:szCs w:val="22"/>
          <w:u w:val="none"/>
        </w:rPr>
        <w:t>η απαισιοδοξία στις προβλέψεις για την οικονομική κατάσταση της χώρας</w:t>
      </w:r>
    </w:p>
    <w:p w:rsidR="00085DA8" w:rsidRPr="00F745E8" w:rsidRDefault="00085DA8" w:rsidP="0042756D">
      <w:pPr>
        <w:pStyle w:val="BodyText"/>
        <w:spacing w:after="120" w:line="276" w:lineRule="auto"/>
        <w:rPr>
          <w:rFonts w:ascii="Tahoma" w:hAnsi="Tahoma" w:cs="Tahoma"/>
          <w:sz w:val="22"/>
          <w:szCs w:val="22"/>
          <w:u w:val="none"/>
        </w:rPr>
      </w:pPr>
      <w:r w:rsidRPr="00F745E8">
        <w:rPr>
          <w:rFonts w:ascii="Tahoma" w:hAnsi="Tahoma" w:cs="Tahoma"/>
          <w:bCs/>
          <w:sz w:val="22"/>
          <w:szCs w:val="22"/>
          <w:u w:val="none"/>
        </w:rPr>
        <w:t xml:space="preserve">Αντίθετα, </w:t>
      </w:r>
      <w:r w:rsidRPr="00F745E8">
        <w:rPr>
          <w:rFonts w:ascii="Tahoma" w:hAnsi="Tahoma" w:cs="Tahoma"/>
          <w:sz w:val="22"/>
          <w:szCs w:val="22"/>
          <w:u w:val="none"/>
        </w:rPr>
        <w:t xml:space="preserve">στις προβλέψεις για την </w:t>
      </w:r>
      <w:r w:rsidRPr="00F745E8">
        <w:rPr>
          <w:rFonts w:ascii="Tahoma" w:hAnsi="Tahoma" w:cs="Tahoma"/>
          <w:sz w:val="22"/>
          <w:szCs w:val="22"/>
        </w:rPr>
        <w:t>οικονομική κατάσταση της χώρας τους το προσεχές 12-μηνο</w:t>
      </w:r>
      <w:r w:rsidRPr="00F745E8">
        <w:rPr>
          <w:rFonts w:ascii="Tahoma" w:hAnsi="Tahoma" w:cs="Tahoma"/>
          <w:sz w:val="22"/>
          <w:szCs w:val="22"/>
          <w:u w:val="none"/>
        </w:rPr>
        <w:t>, ο σχετικός δείκτης διαμορφώνεται οριακά χαμηλότερα, στις -77,0 μονάδες, με το ποσοστό των καταναλωτών που προβλέπουν αισθητή επιδείνωση να διευρύνεται στο 7</w:t>
      </w:r>
      <w:r>
        <w:rPr>
          <w:rFonts w:ascii="Tahoma" w:hAnsi="Tahoma" w:cs="Tahoma"/>
          <w:sz w:val="22"/>
          <w:szCs w:val="22"/>
          <w:u w:val="none"/>
        </w:rPr>
        <w:t>6</w:t>
      </w:r>
      <w:r w:rsidRPr="00F745E8">
        <w:rPr>
          <w:rFonts w:ascii="Tahoma" w:hAnsi="Tahoma" w:cs="Tahoma"/>
          <w:sz w:val="22"/>
          <w:szCs w:val="22"/>
          <w:u w:val="none"/>
        </w:rPr>
        <w:t>% (από 73%) και ένα 7% να αναμένει εκ νέου ελαφρά βελτίωση. Οι αντίστοιχοι δείκτες σε ΕΕ και Ευρωζώνη διαμορφώνονται στις -28,3 και -31,9 μονάδες.</w:t>
      </w:r>
    </w:p>
    <w:p w:rsidR="00085DA8" w:rsidRPr="00F745E8" w:rsidRDefault="00085DA8" w:rsidP="0042756D">
      <w:pPr>
        <w:pStyle w:val="BodyText"/>
        <w:numPr>
          <w:ilvl w:val="0"/>
          <w:numId w:val="4"/>
        </w:numPr>
        <w:spacing w:before="240" w:after="120" w:line="288" w:lineRule="auto"/>
        <w:ind w:left="357" w:hanging="357"/>
        <w:rPr>
          <w:rFonts w:ascii="Tahoma" w:hAnsi="Tahoma" w:cs="Tahoma"/>
          <w:b/>
          <w:bCs/>
          <w:sz w:val="22"/>
          <w:szCs w:val="22"/>
          <w:u w:val="none"/>
        </w:rPr>
      </w:pPr>
      <w:r w:rsidRPr="00F745E8">
        <w:rPr>
          <w:rFonts w:ascii="Tahoma" w:hAnsi="Tahoma" w:cs="Tahoma"/>
          <w:b/>
          <w:bCs/>
          <w:sz w:val="22"/>
          <w:szCs w:val="22"/>
          <w:u w:val="none"/>
        </w:rPr>
        <w:t xml:space="preserve">Αισθητή άνοδος από το ιστορικό χαμηλό </w:t>
      </w:r>
      <w:r>
        <w:rPr>
          <w:rFonts w:ascii="Tahoma" w:hAnsi="Tahoma" w:cs="Tahoma"/>
          <w:b/>
          <w:bCs/>
          <w:sz w:val="22"/>
          <w:szCs w:val="22"/>
          <w:u w:val="none"/>
        </w:rPr>
        <w:t>της</w:t>
      </w:r>
      <w:r w:rsidRPr="00F745E8">
        <w:rPr>
          <w:rFonts w:ascii="Tahoma" w:hAnsi="Tahoma" w:cs="Tahoma"/>
          <w:b/>
          <w:bCs/>
          <w:sz w:val="22"/>
          <w:szCs w:val="22"/>
          <w:u w:val="none"/>
        </w:rPr>
        <w:t xml:space="preserve"> η πρόθεση για αποταμίευση</w:t>
      </w:r>
    </w:p>
    <w:p w:rsidR="00085DA8" w:rsidRPr="00F745E8" w:rsidRDefault="00085DA8" w:rsidP="0042756D">
      <w:pPr>
        <w:pStyle w:val="BodyText"/>
        <w:spacing w:after="120" w:line="288" w:lineRule="auto"/>
        <w:rPr>
          <w:rFonts w:ascii="Tahoma" w:hAnsi="Tahoma" w:cs="Tahoma"/>
          <w:sz w:val="22"/>
          <w:szCs w:val="22"/>
          <w:u w:val="none"/>
        </w:rPr>
      </w:pPr>
      <w:r w:rsidRPr="00F745E8">
        <w:rPr>
          <w:rFonts w:ascii="Tahoma" w:hAnsi="Tahoma" w:cs="Tahoma"/>
          <w:sz w:val="22"/>
          <w:szCs w:val="22"/>
          <w:u w:val="none"/>
        </w:rPr>
        <w:t xml:space="preserve">Ο δείκτης της </w:t>
      </w:r>
      <w:r w:rsidRPr="00F745E8">
        <w:rPr>
          <w:rFonts w:ascii="Tahoma" w:hAnsi="Tahoma" w:cs="Tahoma"/>
          <w:sz w:val="22"/>
          <w:szCs w:val="22"/>
        </w:rPr>
        <w:t>πρόθεσης για αποταμίευση τους προσεχείς 12 μήνες</w:t>
      </w:r>
      <w:r w:rsidRPr="00F745E8">
        <w:rPr>
          <w:rFonts w:ascii="Tahoma" w:hAnsi="Tahoma" w:cs="Tahoma"/>
          <w:sz w:val="22"/>
          <w:szCs w:val="22"/>
          <w:u w:val="none"/>
        </w:rPr>
        <w:t>, μετά την ιστορικά χαμηλή επίδοση του Οκτωβρίου, τον Νοέμβριο κερδίζει έδαφος και διαμορφώνεται στις -71,4 μονάδες (από -80,8)</w:t>
      </w:r>
      <w:r>
        <w:rPr>
          <w:rFonts w:ascii="Tahoma" w:hAnsi="Tahoma" w:cs="Tahoma"/>
          <w:sz w:val="22"/>
          <w:szCs w:val="22"/>
          <w:u w:val="none"/>
        </w:rPr>
        <w:t>, στη λιγότερο δυσμενή τιμή του έτους</w:t>
      </w:r>
      <w:r w:rsidRPr="00F745E8">
        <w:rPr>
          <w:rFonts w:ascii="Tahoma" w:hAnsi="Tahoma" w:cs="Tahoma"/>
          <w:sz w:val="22"/>
          <w:szCs w:val="22"/>
          <w:u w:val="none"/>
        </w:rPr>
        <w:t xml:space="preserve">. Το </w:t>
      </w:r>
      <w:r>
        <w:rPr>
          <w:rFonts w:ascii="Tahoma" w:hAnsi="Tahoma" w:cs="Tahoma"/>
          <w:sz w:val="22"/>
          <w:szCs w:val="22"/>
          <w:u w:val="none"/>
        </w:rPr>
        <w:t xml:space="preserve">72% </w:t>
      </w:r>
      <w:r w:rsidRPr="00F745E8">
        <w:rPr>
          <w:rFonts w:ascii="Tahoma" w:hAnsi="Tahoma" w:cs="Tahoma"/>
          <w:sz w:val="22"/>
          <w:szCs w:val="22"/>
          <w:u w:val="none"/>
        </w:rPr>
        <w:t>των ελληνικών νοικοκυριών δεν θεωρεί καθόλου πιθανή την αποταμίευση το επόμενο 12μηνο (από 81%), ενώ 11% (από 9%) τη θεωρούν αρκετά ή πολύ πιθανή. Οι αντίστοιχοι δείκτες σε ΕΕ και Ευρωζώνη κινούνται στις –12,2 και -14,6 μονάδες.</w:t>
      </w:r>
    </w:p>
    <w:p w:rsidR="00085DA8" w:rsidRPr="00F745E8" w:rsidRDefault="00085DA8" w:rsidP="0042756D">
      <w:pPr>
        <w:jc w:val="center"/>
        <w:rPr>
          <w:rFonts w:ascii="Tahoma" w:hAnsi="Tahoma" w:cs="Tahoma"/>
          <w:color w:val="000080"/>
          <w:sz w:val="22"/>
          <w:szCs w:val="22"/>
        </w:rPr>
      </w:pPr>
      <w:r w:rsidRPr="00F745E8">
        <w:rPr>
          <w:rFonts w:ascii="Tahoma" w:hAnsi="Tahoma" w:cs="Tahoma"/>
          <w:b/>
          <w:bCs/>
          <w:color w:val="000080"/>
          <w:sz w:val="22"/>
          <w:szCs w:val="22"/>
        </w:rPr>
        <w:lastRenderedPageBreak/>
        <w:t xml:space="preserve">Πίνακας 6: </w:t>
      </w:r>
      <w:r w:rsidRPr="00F745E8">
        <w:rPr>
          <w:rFonts w:ascii="Tahoma" w:hAnsi="Tahoma" w:cs="Tahoma"/>
          <w:color w:val="000080"/>
          <w:sz w:val="22"/>
          <w:szCs w:val="22"/>
        </w:rPr>
        <w:t>Δείκτης Εμπιστοσύνης Καταναλωτών (εποχικά εξομαλυμένα στοιχεία)</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3"/>
        <w:gridCol w:w="729"/>
        <w:gridCol w:w="186"/>
        <w:gridCol w:w="543"/>
        <w:gridCol w:w="553"/>
        <w:gridCol w:w="176"/>
        <w:gridCol w:w="664"/>
        <w:gridCol w:w="531"/>
        <w:gridCol w:w="114"/>
        <w:gridCol w:w="720"/>
        <w:gridCol w:w="66"/>
        <w:gridCol w:w="663"/>
        <w:gridCol w:w="339"/>
        <w:gridCol w:w="325"/>
        <w:gridCol w:w="575"/>
        <w:gridCol w:w="89"/>
        <w:gridCol w:w="664"/>
        <w:gridCol w:w="218"/>
        <w:gridCol w:w="446"/>
        <w:gridCol w:w="639"/>
      </w:tblGrid>
      <w:tr w:rsidR="00085DA8" w:rsidRPr="00F745E8" w:rsidTr="004C49D6">
        <w:trPr>
          <w:trHeight w:val="284"/>
          <w:jc w:val="center"/>
        </w:trPr>
        <w:tc>
          <w:tcPr>
            <w:tcW w:w="1433" w:type="dxa"/>
            <w:shd w:val="clear" w:color="auto" w:fill="800000"/>
            <w:vAlign w:val="center"/>
          </w:tcPr>
          <w:p w:rsidR="00085DA8" w:rsidRPr="00F745E8" w:rsidRDefault="00085DA8" w:rsidP="004C49D6">
            <w:pPr>
              <w:jc w:val="center"/>
              <w:rPr>
                <w:rFonts w:ascii="Tahoma" w:hAnsi="Tahoma" w:cs="Tahoma"/>
                <w:color w:val="FFFFFF"/>
                <w:sz w:val="18"/>
                <w:szCs w:val="18"/>
              </w:rPr>
            </w:pPr>
          </w:p>
        </w:tc>
        <w:tc>
          <w:tcPr>
            <w:tcW w:w="2011" w:type="dxa"/>
            <w:gridSpan w:val="4"/>
            <w:shd w:val="clear" w:color="auto" w:fill="800000"/>
            <w:vAlign w:val="center"/>
          </w:tcPr>
          <w:p w:rsidR="00085DA8" w:rsidRPr="00F745E8" w:rsidRDefault="00085DA8" w:rsidP="004C49D6">
            <w:pPr>
              <w:jc w:val="center"/>
              <w:rPr>
                <w:rFonts w:ascii="Tahoma" w:hAnsi="Tahoma" w:cs="Tahoma"/>
                <w:b/>
                <w:bCs/>
                <w:color w:val="FFFFFF"/>
                <w:sz w:val="18"/>
                <w:szCs w:val="18"/>
              </w:rPr>
            </w:pPr>
          </w:p>
        </w:tc>
        <w:tc>
          <w:tcPr>
            <w:tcW w:w="6229" w:type="dxa"/>
            <w:gridSpan w:val="15"/>
            <w:shd w:val="clear" w:color="auto" w:fill="800000"/>
            <w:vAlign w:val="center"/>
          </w:tcPr>
          <w:p w:rsidR="00085DA8" w:rsidRPr="00F745E8" w:rsidRDefault="00085DA8" w:rsidP="004C49D6">
            <w:pPr>
              <w:jc w:val="center"/>
              <w:rPr>
                <w:rFonts w:ascii="Tahoma" w:hAnsi="Tahoma" w:cs="Tahoma"/>
                <w:b/>
                <w:bCs/>
                <w:color w:val="FFFFFF"/>
                <w:sz w:val="18"/>
                <w:szCs w:val="18"/>
              </w:rPr>
            </w:pPr>
            <w:r w:rsidRPr="00F745E8">
              <w:rPr>
                <w:rFonts w:ascii="Tahoma" w:hAnsi="Tahoma" w:cs="Tahoma"/>
                <w:b/>
                <w:bCs/>
                <w:color w:val="FFFFFF"/>
                <w:sz w:val="18"/>
                <w:szCs w:val="18"/>
              </w:rPr>
              <w:t>Μέσοι όροι</w:t>
            </w:r>
          </w:p>
        </w:tc>
      </w:tr>
      <w:tr w:rsidR="00085DA8" w:rsidRPr="00F745E8" w:rsidTr="004C49D6">
        <w:trPr>
          <w:trHeight w:val="284"/>
          <w:jc w:val="center"/>
        </w:trPr>
        <w:tc>
          <w:tcPr>
            <w:tcW w:w="1433" w:type="dxa"/>
            <w:shd w:val="clear" w:color="auto" w:fill="FFFF99"/>
            <w:vAlign w:val="center"/>
          </w:tcPr>
          <w:p w:rsidR="00085DA8" w:rsidRPr="00F745E8" w:rsidRDefault="00085DA8" w:rsidP="004C49D6">
            <w:pPr>
              <w:jc w:val="center"/>
              <w:rPr>
                <w:rFonts w:ascii="Tahoma" w:hAnsi="Tahoma" w:cs="Tahoma"/>
                <w:b/>
                <w:bCs/>
                <w:i/>
                <w:iCs/>
                <w:sz w:val="18"/>
                <w:szCs w:val="18"/>
              </w:rPr>
            </w:pPr>
          </w:p>
        </w:tc>
        <w:tc>
          <w:tcPr>
            <w:tcW w:w="915"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Min</w:t>
            </w:r>
          </w:p>
        </w:tc>
        <w:tc>
          <w:tcPr>
            <w:tcW w:w="1096" w:type="dxa"/>
            <w:gridSpan w:val="2"/>
            <w:shd w:val="clear" w:color="auto" w:fill="FFFF99"/>
            <w:vAlign w:val="center"/>
          </w:tcPr>
          <w:p w:rsidR="00085DA8" w:rsidRPr="00F745E8" w:rsidRDefault="00085DA8" w:rsidP="004C49D6">
            <w:pPr>
              <w:jc w:val="center"/>
              <w:rPr>
                <w:rFonts w:ascii="Tahoma" w:hAnsi="Tahoma" w:cs="Tahoma"/>
                <w:b/>
                <w:bCs/>
                <w:sz w:val="18"/>
                <w:szCs w:val="18"/>
                <w:lang w:val="en-US"/>
              </w:rPr>
            </w:pPr>
            <w:r w:rsidRPr="00F745E8">
              <w:rPr>
                <w:rFonts w:ascii="Tahoma" w:hAnsi="Tahoma" w:cs="Tahoma"/>
                <w:b/>
                <w:bCs/>
                <w:sz w:val="18"/>
                <w:szCs w:val="18"/>
                <w:lang w:val="en-US"/>
              </w:rPr>
              <w:t>Max</w:t>
            </w:r>
          </w:p>
        </w:tc>
        <w:tc>
          <w:tcPr>
            <w:tcW w:w="1371" w:type="dxa"/>
            <w:gridSpan w:val="3"/>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lang w:val="en-US"/>
              </w:rPr>
              <w:t>200</w:t>
            </w:r>
            <w:r w:rsidRPr="00F745E8">
              <w:rPr>
                <w:rFonts w:ascii="Tahoma" w:hAnsi="Tahoma" w:cs="Tahoma"/>
                <w:b/>
                <w:bCs/>
                <w:sz w:val="18"/>
                <w:szCs w:val="18"/>
              </w:rPr>
              <w:t>1</w:t>
            </w:r>
            <w:r w:rsidRPr="00F745E8">
              <w:rPr>
                <w:rFonts w:ascii="Tahoma" w:hAnsi="Tahoma" w:cs="Tahoma"/>
                <w:b/>
                <w:bCs/>
                <w:sz w:val="18"/>
                <w:szCs w:val="18"/>
                <w:lang w:val="en-US"/>
              </w:rPr>
              <w:t>-20</w:t>
            </w:r>
            <w:r w:rsidRPr="00F745E8">
              <w:rPr>
                <w:rFonts w:ascii="Tahoma" w:hAnsi="Tahoma" w:cs="Tahoma"/>
                <w:b/>
                <w:bCs/>
                <w:sz w:val="18"/>
                <w:szCs w:val="18"/>
              </w:rPr>
              <w:t>1</w:t>
            </w:r>
            <w:r w:rsidRPr="00F745E8">
              <w:rPr>
                <w:rFonts w:ascii="Tahoma" w:hAnsi="Tahoma" w:cs="Tahoma"/>
                <w:b/>
                <w:bCs/>
                <w:sz w:val="18"/>
                <w:szCs w:val="18"/>
                <w:lang w:val="en-US"/>
              </w:rPr>
              <w:t>1</w:t>
            </w:r>
          </w:p>
        </w:tc>
        <w:tc>
          <w:tcPr>
            <w:tcW w:w="900" w:type="dxa"/>
            <w:gridSpan w:val="3"/>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lang w:val="en-US"/>
              </w:rPr>
              <w:t>200</w:t>
            </w:r>
            <w:r w:rsidRPr="00F745E8">
              <w:rPr>
                <w:rFonts w:ascii="Tahoma" w:hAnsi="Tahoma" w:cs="Tahoma"/>
                <w:i w:val="0"/>
                <w:iCs w:val="0"/>
              </w:rPr>
              <w:t>7</w:t>
            </w:r>
          </w:p>
        </w:tc>
        <w:tc>
          <w:tcPr>
            <w:tcW w:w="1002"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2008</w:t>
            </w:r>
          </w:p>
        </w:tc>
        <w:tc>
          <w:tcPr>
            <w:tcW w:w="900"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2009</w:t>
            </w:r>
          </w:p>
        </w:tc>
        <w:tc>
          <w:tcPr>
            <w:tcW w:w="971" w:type="dxa"/>
            <w:gridSpan w:val="3"/>
            <w:shd w:val="clear" w:color="auto" w:fill="FFFF99"/>
            <w:vAlign w:val="center"/>
          </w:tcPr>
          <w:p w:rsidR="00085DA8" w:rsidRPr="00F745E8" w:rsidRDefault="00085DA8" w:rsidP="004C49D6">
            <w:pPr>
              <w:pStyle w:val="Heading2"/>
              <w:rPr>
                <w:rFonts w:ascii="Tahoma" w:hAnsi="Tahoma" w:cs="Tahoma"/>
                <w:i w:val="0"/>
                <w:iCs w:val="0"/>
                <w:lang w:val="en-US"/>
              </w:rPr>
            </w:pPr>
            <w:r w:rsidRPr="00F745E8">
              <w:rPr>
                <w:rFonts w:ascii="Tahoma" w:hAnsi="Tahoma" w:cs="Tahoma"/>
                <w:i w:val="0"/>
                <w:iCs w:val="0"/>
                <w:lang w:val="en-US"/>
              </w:rPr>
              <w:t>2010</w:t>
            </w:r>
          </w:p>
        </w:tc>
        <w:tc>
          <w:tcPr>
            <w:tcW w:w="1085" w:type="dxa"/>
            <w:gridSpan w:val="2"/>
            <w:shd w:val="clear" w:color="auto" w:fill="FFFF99"/>
            <w:vAlign w:val="center"/>
          </w:tcPr>
          <w:p w:rsidR="00085DA8" w:rsidRPr="00F745E8" w:rsidRDefault="00085DA8" w:rsidP="004C49D6">
            <w:pPr>
              <w:pStyle w:val="Heading2"/>
              <w:rPr>
                <w:rFonts w:ascii="Tahoma" w:hAnsi="Tahoma" w:cs="Tahoma"/>
                <w:i w:val="0"/>
                <w:iCs w:val="0"/>
                <w:lang w:val="en-US"/>
              </w:rPr>
            </w:pPr>
            <w:r w:rsidRPr="00F745E8">
              <w:rPr>
                <w:rFonts w:ascii="Tahoma" w:hAnsi="Tahoma" w:cs="Tahoma"/>
                <w:i w:val="0"/>
                <w:iCs w:val="0"/>
                <w:lang w:val="en-US"/>
              </w:rPr>
              <w:t>2011</w:t>
            </w:r>
          </w:p>
        </w:tc>
      </w:tr>
      <w:tr w:rsidR="00085DA8" w:rsidRPr="00F745E8" w:rsidTr="004C49D6">
        <w:trPr>
          <w:trHeight w:val="284"/>
          <w:jc w:val="center"/>
        </w:trPr>
        <w:tc>
          <w:tcPr>
            <w:tcW w:w="1433"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91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-31,9</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Μαρ-09</w:t>
            </w:r>
          </w:p>
        </w:tc>
        <w:tc>
          <w:tcPr>
            <w:tcW w:w="109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0,8</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Ιαν-01</w:t>
            </w:r>
          </w:p>
        </w:tc>
        <w:tc>
          <w:tcPr>
            <w:tcW w:w="13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-12,2</w:t>
            </w:r>
          </w:p>
        </w:tc>
        <w:tc>
          <w:tcPr>
            <w:tcW w:w="900"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-4,5</w:t>
            </w:r>
          </w:p>
        </w:tc>
        <w:tc>
          <w:tcPr>
            <w:tcW w:w="100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-17,7</w:t>
            </w:r>
          </w:p>
        </w:tc>
        <w:tc>
          <w:tcPr>
            <w:tcW w:w="90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-23,1</w:t>
            </w:r>
          </w:p>
        </w:tc>
        <w:tc>
          <w:tcPr>
            <w:tcW w:w="9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-13,2</w:t>
            </w:r>
          </w:p>
        </w:tc>
        <w:tc>
          <w:tcPr>
            <w:tcW w:w="108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-15,6</w:t>
            </w:r>
          </w:p>
        </w:tc>
      </w:tr>
      <w:tr w:rsidR="00085DA8" w:rsidRPr="00F745E8" w:rsidTr="004C49D6">
        <w:trPr>
          <w:trHeight w:val="171"/>
          <w:jc w:val="center"/>
        </w:trPr>
        <w:tc>
          <w:tcPr>
            <w:tcW w:w="1433"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91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-34,2</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Μαρ-09</w:t>
            </w:r>
          </w:p>
        </w:tc>
        <w:tc>
          <w:tcPr>
            <w:tcW w:w="109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1,0</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Ιαν-01</w:t>
            </w:r>
          </w:p>
        </w:tc>
        <w:tc>
          <w:tcPr>
            <w:tcW w:w="13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-13,4</w:t>
            </w:r>
          </w:p>
        </w:tc>
        <w:tc>
          <w:tcPr>
            <w:tcW w:w="900"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-5,2</w:t>
            </w:r>
          </w:p>
        </w:tc>
        <w:tc>
          <w:tcPr>
            <w:tcW w:w="100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-18,4</w:t>
            </w:r>
          </w:p>
        </w:tc>
        <w:tc>
          <w:tcPr>
            <w:tcW w:w="90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-24,8</w:t>
            </w:r>
          </w:p>
        </w:tc>
        <w:tc>
          <w:tcPr>
            <w:tcW w:w="9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-14,2</w:t>
            </w:r>
          </w:p>
        </w:tc>
        <w:tc>
          <w:tcPr>
            <w:tcW w:w="108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-14,6</w:t>
            </w:r>
          </w:p>
        </w:tc>
      </w:tr>
      <w:tr w:rsidR="00085DA8" w:rsidRPr="00F745E8" w:rsidTr="004C49D6">
        <w:trPr>
          <w:trHeight w:val="329"/>
          <w:jc w:val="center"/>
        </w:trPr>
        <w:tc>
          <w:tcPr>
            <w:tcW w:w="1433" w:type="dxa"/>
            <w:shd w:val="clear" w:color="auto" w:fill="FFFF99"/>
            <w:vAlign w:val="center"/>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91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-83,8</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Οκτ-11</w:t>
            </w:r>
          </w:p>
        </w:tc>
        <w:tc>
          <w:tcPr>
            <w:tcW w:w="1096"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-16,9</w:t>
            </w:r>
          </w:p>
          <w:p w:rsidR="00085DA8" w:rsidRPr="00F745E8" w:rsidRDefault="00085DA8" w:rsidP="004C49D6">
            <w:pPr>
              <w:jc w:val="center"/>
              <w:rPr>
                <w:rFonts w:ascii="Tahoma" w:hAnsi="Tahoma" w:cs="Tahoma"/>
                <w:sz w:val="18"/>
                <w:szCs w:val="18"/>
              </w:rPr>
            </w:pPr>
            <w:r w:rsidRPr="00F745E8">
              <w:rPr>
                <w:rFonts w:ascii="Tahoma" w:hAnsi="Tahoma" w:cs="Tahoma"/>
                <w:sz w:val="18"/>
                <w:szCs w:val="18"/>
              </w:rPr>
              <w:t>Απρ-04</w:t>
            </w:r>
          </w:p>
        </w:tc>
        <w:tc>
          <w:tcPr>
            <w:tcW w:w="13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-40,3</w:t>
            </w:r>
          </w:p>
        </w:tc>
        <w:tc>
          <w:tcPr>
            <w:tcW w:w="900"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-28,5</w:t>
            </w:r>
          </w:p>
        </w:tc>
        <w:tc>
          <w:tcPr>
            <w:tcW w:w="1002"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-46,0</w:t>
            </w:r>
          </w:p>
        </w:tc>
        <w:tc>
          <w:tcPr>
            <w:tcW w:w="900"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-45,7</w:t>
            </w:r>
          </w:p>
        </w:tc>
        <w:tc>
          <w:tcPr>
            <w:tcW w:w="971" w:type="dxa"/>
            <w:gridSpan w:val="3"/>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-63,4</w:t>
            </w:r>
          </w:p>
        </w:tc>
        <w:tc>
          <w:tcPr>
            <w:tcW w:w="108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-74,1</w:t>
            </w:r>
          </w:p>
        </w:tc>
      </w:tr>
      <w:tr w:rsidR="00085DA8" w:rsidRPr="00F745E8" w:rsidTr="004C49D6">
        <w:trPr>
          <w:trHeight w:val="284"/>
          <w:jc w:val="center"/>
        </w:trPr>
        <w:tc>
          <w:tcPr>
            <w:tcW w:w="9673" w:type="dxa"/>
            <w:gridSpan w:val="20"/>
            <w:shd w:val="clear" w:color="auto" w:fill="800000"/>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2011</w:t>
            </w:r>
          </w:p>
        </w:tc>
      </w:tr>
      <w:tr w:rsidR="00085DA8" w:rsidRPr="00F745E8" w:rsidTr="004C49D6">
        <w:trPr>
          <w:trHeight w:val="284"/>
          <w:jc w:val="center"/>
        </w:trPr>
        <w:tc>
          <w:tcPr>
            <w:tcW w:w="1433" w:type="dxa"/>
            <w:shd w:val="clear" w:color="auto" w:fill="FFFF99"/>
            <w:vAlign w:val="center"/>
          </w:tcPr>
          <w:p w:rsidR="00085DA8" w:rsidRPr="00F745E8" w:rsidRDefault="00085DA8" w:rsidP="004C49D6">
            <w:pPr>
              <w:jc w:val="center"/>
              <w:rPr>
                <w:rFonts w:ascii="Tahoma" w:hAnsi="Tahoma" w:cs="Tahoma"/>
                <w:sz w:val="18"/>
                <w:szCs w:val="18"/>
              </w:rPr>
            </w:pPr>
          </w:p>
        </w:tc>
        <w:tc>
          <w:tcPr>
            <w:tcW w:w="729"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Φ</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Μ</w:t>
            </w:r>
          </w:p>
        </w:tc>
        <w:tc>
          <w:tcPr>
            <w:tcW w:w="66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Α</w:t>
            </w:r>
          </w:p>
        </w:tc>
        <w:tc>
          <w:tcPr>
            <w:tcW w:w="645"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Μ</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Α</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Σ</w:t>
            </w:r>
          </w:p>
        </w:tc>
        <w:tc>
          <w:tcPr>
            <w:tcW w:w="66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Ο</w:t>
            </w:r>
          </w:p>
        </w:tc>
        <w:tc>
          <w:tcPr>
            <w:tcW w:w="66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639"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4C49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72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-12,8</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-12,5</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-13,0</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-14,1</w:t>
            </w:r>
          </w:p>
        </w:tc>
        <w:tc>
          <w:tcPr>
            <w:tcW w:w="64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-11,0</w:t>
            </w:r>
          </w:p>
        </w:tc>
        <w:tc>
          <w:tcPr>
            <w:tcW w:w="720"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-11,2</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-12,6</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-17,0</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-19,3</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-20,5</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-20,9</w:t>
            </w:r>
          </w:p>
        </w:tc>
        <w:tc>
          <w:tcPr>
            <w:tcW w:w="63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-22,1</w:t>
            </w:r>
          </w:p>
        </w:tc>
      </w:tr>
      <w:tr w:rsidR="00085DA8" w:rsidRPr="00F745E8" w:rsidTr="004C49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72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-11,6</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-10,3</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-11,0</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-12,0</w:t>
            </w:r>
          </w:p>
        </w:tc>
        <w:tc>
          <w:tcPr>
            <w:tcW w:w="64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-10,2</w:t>
            </w:r>
          </w:p>
        </w:tc>
        <w:tc>
          <w:tcPr>
            <w:tcW w:w="720"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-10,0</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-11,5</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-16,8</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-19,3</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-20,1</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-20,5</w:t>
            </w:r>
          </w:p>
        </w:tc>
        <w:tc>
          <w:tcPr>
            <w:tcW w:w="63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-21,3</w:t>
            </w:r>
          </w:p>
        </w:tc>
      </w:tr>
      <w:tr w:rsidR="00085DA8" w:rsidRPr="00F745E8" w:rsidTr="004C49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72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-72,1</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-67,3</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-66,2</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-70,0</w:t>
            </w:r>
          </w:p>
        </w:tc>
        <w:tc>
          <w:tcPr>
            <w:tcW w:w="645"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-68,5</w:t>
            </w:r>
          </w:p>
        </w:tc>
        <w:tc>
          <w:tcPr>
            <w:tcW w:w="720"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-75,0</w:t>
            </w:r>
          </w:p>
        </w:tc>
        <w:tc>
          <w:tcPr>
            <w:tcW w:w="729"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-76,8</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-71,2</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-73,6</w:t>
            </w:r>
          </w:p>
        </w:tc>
        <w:tc>
          <w:tcPr>
            <w:tcW w:w="664"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-83,8</w:t>
            </w:r>
          </w:p>
        </w:tc>
        <w:tc>
          <w:tcPr>
            <w:tcW w:w="664" w:type="dxa"/>
            <w:gridSpan w:val="2"/>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-82,3</w:t>
            </w:r>
          </w:p>
        </w:tc>
        <w:tc>
          <w:tcPr>
            <w:tcW w:w="639" w:type="dxa"/>
            <w:shd w:val="clear" w:color="auto" w:fill="FFFF99"/>
            <w:vAlign w:val="center"/>
          </w:tcPr>
          <w:p w:rsidR="00085DA8" w:rsidRPr="00F745E8" w:rsidRDefault="00085DA8" w:rsidP="004C49D6">
            <w:pPr>
              <w:jc w:val="center"/>
              <w:rPr>
                <w:rFonts w:ascii="Tahoma" w:hAnsi="Tahoma" w:cs="Tahoma"/>
                <w:sz w:val="18"/>
                <w:szCs w:val="18"/>
              </w:rPr>
            </w:pPr>
            <w:r w:rsidRPr="00F745E8">
              <w:rPr>
                <w:rFonts w:ascii="Tahoma" w:hAnsi="Tahoma" w:cs="Tahoma"/>
                <w:sz w:val="18"/>
                <w:szCs w:val="18"/>
              </w:rPr>
              <w:t>-81,9</w:t>
            </w:r>
          </w:p>
        </w:tc>
      </w:tr>
      <w:tr w:rsidR="00085DA8" w:rsidRPr="00F745E8" w:rsidTr="004C49D6">
        <w:trPr>
          <w:trHeight w:val="284"/>
          <w:jc w:val="center"/>
        </w:trPr>
        <w:tc>
          <w:tcPr>
            <w:tcW w:w="9673" w:type="dxa"/>
            <w:gridSpan w:val="20"/>
            <w:shd w:val="clear" w:color="auto" w:fill="800000"/>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2012</w:t>
            </w:r>
          </w:p>
        </w:tc>
      </w:tr>
      <w:tr w:rsidR="00085DA8" w:rsidRPr="00F745E8" w:rsidTr="004C49D6">
        <w:trPr>
          <w:trHeight w:val="284"/>
          <w:jc w:val="center"/>
        </w:trPr>
        <w:tc>
          <w:tcPr>
            <w:tcW w:w="1433" w:type="dxa"/>
            <w:shd w:val="clear" w:color="auto" w:fill="FFFF99"/>
            <w:vAlign w:val="center"/>
          </w:tcPr>
          <w:p w:rsidR="00085DA8" w:rsidRPr="00F745E8" w:rsidRDefault="00085DA8" w:rsidP="004C49D6">
            <w:pPr>
              <w:pStyle w:val="Heading7"/>
              <w:jc w:val="center"/>
              <w:rPr>
                <w:rFonts w:ascii="Tahoma" w:hAnsi="Tahoma" w:cs="Tahoma"/>
              </w:rPr>
            </w:pPr>
          </w:p>
        </w:tc>
        <w:tc>
          <w:tcPr>
            <w:tcW w:w="729"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Φ</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Μ</w:t>
            </w:r>
          </w:p>
        </w:tc>
        <w:tc>
          <w:tcPr>
            <w:tcW w:w="66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Α</w:t>
            </w:r>
          </w:p>
        </w:tc>
        <w:tc>
          <w:tcPr>
            <w:tcW w:w="645"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Μ</w:t>
            </w:r>
          </w:p>
        </w:tc>
        <w:tc>
          <w:tcPr>
            <w:tcW w:w="720"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729"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Ι</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Α</w:t>
            </w:r>
          </w:p>
        </w:tc>
        <w:tc>
          <w:tcPr>
            <w:tcW w:w="664" w:type="dxa"/>
            <w:gridSpan w:val="2"/>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Σ</w:t>
            </w:r>
          </w:p>
        </w:tc>
        <w:tc>
          <w:tcPr>
            <w:tcW w:w="664" w:type="dxa"/>
            <w:shd w:val="clear" w:color="auto" w:fill="FFFF99"/>
            <w:vAlign w:val="center"/>
          </w:tcPr>
          <w:p w:rsidR="00085DA8" w:rsidRPr="00F745E8" w:rsidRDefault="00085DA8" w:rsidP="004C49D6">
            <w:pPr>
              <w:jc w:val="center"/>
              <w:rPr>
                <w:rFonts w:ascii="Tahoma" w:hAnsi="Tahoma" w:cs="Tahoma"/>
                <w:b/>
                <w:bCs/>
                <w:sz w:val="18"/>
                <w:szCs w:val="18"/>
              </w:rPr>
            </w:pPr>
            <w:r w:rsidRPr="00F745E8">
              <w:rPr>
                <w:rFonts w:ascii="Tahoma" w:hAnsi="Tahoma" w:cs="Tahoma"/>
                <w:b/>
                <w:bCs/>
                <w:sz w:val="18"/>
                <w:szCs w:val="18"/>
              </w:rPr>
              <w:t>Ο</w:t>
            </w:r>
          </w:p>
        </w:tc>
        <w:tc>
          <w:tcPr>
            <w:tcW w:w="664" w:type="dxa"/>
            <w:gridSpan w:val="2"/>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Ν</w:t>
            </w:r>
          </w:p>
        </w:tc>
        <w:tc>
          <w:tcPr>
            <w:tcW w:w="639" w:type="dxa"/>
            <w:shd w:val="clear" w:color="auto" w:fill="FFFF99"/>
            <w:vAlign w:val="center"/>
          </w:tcPr>
          <w:p w:rsidR="00085DA8" w:rsidRPr="00F745E8" w:rsidRDefault="00085DA8" w:rsidP="004C49D6">
            <w:pPr>
              <w:pStyle w:val="Heading2"/>
              <w:rPr>
                <w:rFonts w:ascii="Tahoma" w:hAnsi="Tahoma" w:cs="Tahoma"/>
                <w:i w:val="0"/>
                <w:iCs w:val="0"/>
              </w:rPr>
            </w:pPr>
            <w:r w:rsidRPr="00F745E8">
              <w:rPr>
                <w:rFonts w:ascii="Tahoma" w:hAnsi="Tahoma" w:cs="Tahoma"/>
                <w:i w:val="0"/>
                <w:iCs w:val="0"/>
              </w:rPr>
              <w:t>Δ</w:t>
            </w:r>
          </w:p>
        </w:tc>
      </w:tr>
      <w:tr w:rsidR="00085DA8" w:rsidRPr="00F745E8" w:rsidTr="00607B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ΕΕ-27</w:t>
            </w:r>
          </w:p>
        </w:tc>
        <w:tc>
          <w:tcPr>
            <w:tcW w:w="729"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-20,8</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-20,1</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-19,3</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-20,2</w:t>
            </w:r>
          </w:p>
        </w:tc>
        <w:tc>
          <w:tcPr>
            <w:tcW w:w="645"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-19,4</w:t>
            </w:r>
          </w:p>
        </w:tc>
        <w:tc>
          <w:tcPr>
            <w:tcW w:w="720"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-19,7</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-20,2</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-22,7</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-24,0</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-24,3</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-23,8</w:t>
            </w:r>
          </w:p>
        </w:tc>
        <w:tc>
          <w:tcPr>
            <w:tcW w:w="639" w:type="dxa"/>
            <w:shd w:val="clear" w:color="auto" w:fill="FFFF99"/>
          </w:tcPr>
          <w:p w:rsidR="00085DA8" w:rsidRPr="00F745E8" w:rsidRDefault="00085DA8" w:rsidP="00307443">
            <w:pPr>
              <w:jc w:val="center"/>
              <w:rPr>
                <w:rFonts w:ascii="Tahoma" w:hAnsi="Tahoma" w:cs="Tahoma"/>
                <w:sz w:val="18"/>
                <w:szCs w:val="18"/>
              </w:rPr>
            </w:pPr>
          </w:p>
        </w:tc>
      </w:tr>
      <w:tr w:rsidR="00085DA8" w:rsidRPr="00F745E8" w:rsidTr="00607B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Ευρωζώνη</w:t>
            </w:r>
          </w:p>
        </w:tc>
        <w:tc>
          <w:tcPr>
            <w:tcW w:w="729"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-20,7</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-20,3</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-19,1</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-19,9</w:t>
            </w:r>
          </w:p>
        </w:tc>
        <w:tc>
          <w:tcPr>
            <w:tcW w:w="645"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-19,3</w:t>
            </w:r>
          </w:p>
        </w:tc>
        <w:tc>
          <w:tcPr>
            <w:tcW w:w="720"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-19,8</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-21,5</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-24,6</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-25,9</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-25,7</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-26,9</w:t>
            </w:r>
          </w:p>
        </w:tc>
        <w:tc>
          <w:tcPr>
            <w:tcW w:w="639" w:type="dxa"/>
            <w:shd w:val="clear" w:color="auto" w:fill="FFFF99"/>
          </w:tcPr>
          <w:p w:rsidR="00085DA8" w:rsidRPr="00F745E8" w:rsidRDefault="00085DA8" w:rsidP="00307443">
            <w:pPr>
              <w:jc w:val="center"/>
              <w:rPr>
                <w:rFonts w:ascii="Tahoma" w:hAnsi="Tahoma" w:cs="Tahoma"/>
                <w:sz w:val="18"/>
                <w:szCs w:val="18"/>
              </w:rPr>
            </w:pPr>
          </w:p>
        </w:tc>
      </w:tr>
      <w:tr w:rsidR="00085DA8" w:rsidRPr="00F745E8" w:rsidTr="00607BD6">
        <w:trPr>
          <w:trHeight w:val="284"/>
          <w:jc w:val="center"/>
        </w:trPr>
        <w:tc>
          <w:tcPr>
            <w:tcW w:w="1433" w:type="dxa"/>
            <w:shd w:val="clear" w:color="auto" w:fill="FFFF99"/>
          </w:tcPr>
          <w:p w:rsidR="00085DA8" w:rsidRPr="00F745E8" w:rsidRDefault="00085DA8" w:rsidP="004C49D6">
            <w:pPr>
              <w:pStyle w:val="Heading7"/>
              <w:jc w:val="center"/>
              <w:rPr>
                <w:rFonts w:ascii="Tahoma" w:hAnsi="Tahoma" w:cs="Tahoma"/>
              </w:rPr>
            </w:pPr>
            <w:r w:rsidRPr="00F745E8">
              <w:rPr>
                <w:rFonts w:ascii="Tahoma" w:hAnsi="Tahoma" w:cs="Tahoma"/>
              </w:rPr>
              <w:t>Ελλάδα</w:t>
            </w:r>
          </w:p>
        </w:tc>
        <w:tc>
          <w:tcPr>
            <w:tcW w:w="729"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-80,1</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-83,5</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-79,3</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-78,7</w:t>
            </w:r>
          </w:p>
        </w:tc>
        <w:tc>
          <w:tcPr>
            <w:tcW w:w="645"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-75,8</w:t>
            </w:r>
          </w:p>
        </w:tc>
        <w:tc>
          <w:tcPr>
            <w:tcW w:w="720"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-70,4</w:t>
            </w:r>
          </w:p>
        </w:tc>
        <w:tc>
          <w:tcPr>
            <w:tcW w:w="729"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-64,7</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-65,2</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-75,6</w:t>
            </w:r>
          </w:p>
        </w:tc>
        <w:tc>
          <w:tcPr>
            <w:tcW w:w="664" w:type="dxa"/>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-77,5</w:t>
            </w:r>
          </w:p>
        </w:tc>
        <w:tc>
          <w:tcPr>
            <w:tcW w:w="664" w:type="dxa"/>
            <w:gridSpan w:val="2"/>
            <w:shd w:val="clear" w:color="auto" w:fill="FFFF99"/>
            <w:vAlign w:val="bottom"/>
          </w:tcPr>
          <w:p w:rsidR="00085DA8" w:rsidRPr="00F745E8" w:rsidRDefault="00085DA8" w:rsidP="00307443">
            <w:pPr>
              <w:jc w:val="center"/>
              <w:rPr>
                <w:rFonts w:ascii="Tahoma" w:hAnsi="Tahoma" w:cs="Tahoma"/>
                <w:sz w:val="18"/>
                <w:szCs w:val="18"/>
              </w:rPr>
            </w:pPr>
            <w:r w:rsidRPr="00F745E8">
              <w:rPr>
                <w:rFonts w:ascii="Tahoma" w:hAnsi="Tahoma" w:cs="Tahoma"/>
                <w:sz w:val="18"/>
                <w:szCs w:val="18"/>
              </w:rPr>
              <w:t>-74,1</w:t>
            </w:r>
          </w:p>
        </w:tc>
        <w:tc>
          <w:tcPr>
            <w:tcW w:w="639" w:type="dxa"/>
            <w:shd w:val="clear" w:color="auto" w:fill="FFFF99"/>
          </w:tcPr>
          <w:p w:rsidR="00085DA8" w:rsidRPr="00F745E8" w:rsidRDefault="00085DA8" w:rsidP="00307443">
            <w:pPr>
              <w:jc w:val="center"/>
              <w:rPr>
                <w:rFonts w:ascii="Tahoma" w:hAnsi="Tahoma" w:cs="Tahoma"/>
                <w:sz w:val="18"/>
                <w:szCs w:val="18"/>
              </w:rPr>
            </w:pPr>
          </w:p>
        </w:tc>
      </w:tr>
    </w:tbl>
    <w:p w:rsidR="00085DA8" w:rsidRPr="00F745E8" w:rsidRDefault="00085DA8" w:rsidP="0042756D">
      <w:pPr>
        <w:pStyle w:val="BodyText"/>
        <w:spacing w:line="240" w:lineRule="auto"/>
        <w:rPr>
          <w:rFonts w:ascii="Tahoma" w:hAnsi="Tahoma" w:cs="Tahoma"/>
          <w:sz w:val="16"/>
          <w:szCs w:val="16"/>
          <w:u w:val="none"/>
        </w:rPr>
      </w:pPr>
      <w:r w:rsidRPr="00F745E8">
        <w:rPr>
          <w:rFonts w:ascii="Tahoma" w:hAnsi="Tahoma" w:cs="Tahoma"/>
          <w:b/>
          <w:bCs/>
          <w:sz w:val="16"/>
          <w:szCs w:val="16"/>
          <w:u w:val="none"/>
        </w:rPr>
        <w:t xml:space="preserve">Σημείωση: </w:t>
      </w:r>
      <w:r w:rsidRPr="00F745E8">
        <w:rPr>
          <w:rFonts w:ascii="Tahoma" w:hAnsi="Tahoma" w:cs="Tahoma"/>
          <w:sz w:val="16"/>
          <w:szCs w:val="16"/>
          <w:u w:val="none"/>
        </w:rPr>
        <w:t>ο Δείκτης Εμπιστοσύνης Καταναλωτών υπολογίζεται με βάση τις</w:t>
      </w:r>
      <w:r w:rsidRPr="00F745E8">
        <w:rPr>
          <w:sz w:val="16"/>
          <w:szCs w:val="16"/>
        </w:rPr>
        <w:t xml:space="preserve"> </w:t>
      </w:r>
      <w:r w:rsidRPr="00F745E8">
        <w:rPr>
          <w:rFonts w:ascii="Tahoma" w:hAnsi="Tahoma" w:cs="Tahoma"/>
          <w:sz w:val="16"/>
          <w:szCs w:val="16"/>
          <w:u w:val="none"/>
        </w:rPr>
        <w:t xml:space="preserve">προβλέψεις για τη γενικότερη οικονομική κατάσταση της χώρας, την οικονομική κατάσταση του νοικοκυριού τους, την πρόθεση αποταμίευσης και την πρόβλεψη για την ανεργία. Οι προβλέψεις κινούνται στο διάστημα +100 (όλοι προβλέπουν αύξηση) έως –100 (όλοι προβλέπουν μείωση) και εμφανίζονται ως διαφορές των θετικών-αρνητικών απαντήσεων. Αρνητική διαφορά σημαίνει ότι το ποσοστό αυτών που προβλέπουν μείωση του συγκεκριμένου μεγέθους είναι υψηλότερο του ποσοστού όσων προσδοκούν αύξηση και αντίστροφα. </w:t>
      </w:r>
    </w:p>
    <w:p w:rsidR="00085DA8" w:rsidRPr="00F745E8" w:rsidRDefault="00085DA8" w:rsidP="0042756D">
      <w:pPr>
        <w:pStyle w:val="BodyText"/>
        <w:spacing w:line="240" w:lineRule="auto"/>
        <w:rPr>
          <w:rFonts w:ascii="Tahoma" w:hAnsi="Tahoma" w:cs="Tahoma"/>
          <w:sz w:val="16"/>
          <w:szCs w:val="16"/>
          <w:u w:val="none"/>
        </w:rPr>
      </w:pPr>
      <w:r w:rsidRPr="00F745E8">
        <w:rPr>
          <w:rFonts w:ascii="Tahoma" w:hAnsi="Tahoma" w:cs="Tahoma"/>
          <w:b/>
          <w:bCs/>
          <w:sz w:val="16"/>
          <w:szCs w:val="16"/>
          <w:u w:val="none"/>
        </w:rPr>
        <w:t xml:space="preserve">Πηγή: </w:t>
      </w:r>
      <w:r w:rsidRPr="00F745E8">
        <w:rPr>
          <w:rFonts w:ascii="Tahoma" w:hAnsi="Tahoma" w:cs="Tahoma"/>
          <w:sz w:val="16"/>
          <w:szCs w:val="16"/>
          <w:u w:val="none"/>
        </w:rPr>
        <w:t>Ευρωπαϊκή Επιτροπή, DG Ecfin</w:t>
      </w:r>
    </w:p>
    <w:p w:rsidR="00085DA8" w:rsidRPr="00F745E8" w:rsidRDefault="00085DA8" w:rsidP="0042756D">
      <w:pPr>
        <w:numPr>
          <w:ilvl w:val="12"/>
          <w:numId w:val="0"/>
        </w:numPr>
        <w:ind w:left="1985" w:hanging="1985"/>
        <w:jc w:val="center"/>
        <w:rPr>
          <w:rFonts w:ascii="Tahoma" w:hAnsi="Tahoma" w:cs="Tahoma"/>
          <w:b/>
          <w:bCs/>
          <w:color w:val="000080"/>
          <w:sz w:val="22"/>
          <w:szCs w:val="22"/>
        </w:rPr>
      </w:pPr>
    </w:p>
    <w:p w:rsidR="00085DA8" w:rsidRPr="00F745E8" w:rsidRDefault="00085DA8" w:rsidP="0042756D">
      <w:pPr>
        <w:numPr>
          <w:ilvl w:val="12"/>
          <w:numId w:val="0"/>
        </w:numPr>
        <w:ind w:left="1985" w:hanging="1985"/>
        <w:jc w:val="center"/>
        <w:rPr>
          <w:rFonts w:ascii="Tahoma" w:hAnsi="Tahoma" w:cs="Tahoma"/>
          <w:color w:val="000080"/>
          <w:sz w:val="22"/>
          <w:szCs w:val="22"/>
        </w:rPr>
      </w:pPr>
      <w:r w:rsidRPr="00F745E8">
        <w:rPr>
          <w:rFonts w:ascii="Tahoma" w:hAnsi="Tahoma" w:cs="Tahoma"/>
          <w:b/>
          <w:bCs/>
          <w:color w:val="000080"/>
          <w:sz w:val="22"/>
          <w:szCs w:val="22"/>
        </w:rPr>
        <w:t xml:space="preserve">Διάγραμμα 6: </w:t>
      </w:r>
      <w:r w:rsidRPr="00F745E8">
        <w:rPr>
          <w:rFonts w:ascii="Tahoma" w:hAnsi="Tahoma" w:cs="Tahoma"/>
          <w:color w:val="000080"/>
          <w:sz w:val="22"/>
          <w:szCs w:val="22"/>
        </w:rPr>
        <w:t>Δείκτης Εμπιστοσύνης Καταναλωτών (εποχικά εξομαλυμένα στοιχεία)</w:t>
      </w:r>
    </w:p>
    <w:p w:rsidR="00085DA8" w:rsidRPr="00F745E8" w:rsidRDefault="00DF46E7" w:rsidP="0042756D">
      <w:pPr>
        <w:numPr>
          <w:ilvl w:val="12"/>
          <w:numId w:val="0"/>
        </w:numPr>
        <w:ind w:left="1985" w:hanging="1985"/>
        <w:jc w:val="center"/>
        <w:rPr>
          <w:noProof/>
        </w:rPr>
      </w:pPr>
      <w:r>
        <w:rPr>
          <w:noProof/>
        </w:rPr>
        <w:drawing>
          <wp:inline distT="0" distB="0" distL="0" distR="0">
            <wp:extent cx="5257800" cy="3114675"/>
            <wp:effectExtent l="1905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a:stretch>
                      <a:fillRect/>
                    </a:stretch>
                  </pic:blipFill>
                  <pic:spPr bwMode="auto">
                    <a:xfrm>
                      <a:off x="0" y="0"/>
                      <a:ext cx="5257800" cy="3114675"/>
                    </a:xfrm>
                    <a:prstGeom prst="rect">
                      <a:avLst/>
                    </a:prstGeom>
                    <a:noFill/>
                    <a:ln w="9525">
                      <a:noFill/>
                      <a:miter lim="800000"/>
                      <a:headEnd/>
                      <a:tailEnd/>
                    </a:ln>
                  </pic:spPr>
                </pic:pic>
              </a:graphicData>
            </a:graphic>
          </wp:inline>
        </w:drawing>
      </w:r>
    </w:p>
    <w:p w:rsidR="00085DA8" w:rsidRPr="00F745E8" w:rsidRDefault="00085DA8" w:rsidP="0042756D">
      <w:pPr>
        <w:ind w:right="-428"/>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xml:space="preserve"> Ευρωπαϊκή Επιτροπή, </w:t>
      </w:r>
      <w:r w:rsidRPr="00F745E8">
        <w:rPr>
          <w:rFonts w:ascii="Tahoma" w:hAnsi="Tahoma" w:cs="Tahoma"/>
          <w:sz w:val="18"/>
          <w:szCs w:val="18"/>
          <w:lang w:val="en-US"/>
        </w:rPr>
        <w:t>DG</w:t>
      </w:r>
      <w:r w:rsidRPr="00F745E8">
        <w:rPr>
          <w:rFonts w:ascii="Tahoma" w:hAnsi="Tahoma" w:cs="Tahoma"/>
          <w:sz w:val="18"/>
          <w:szCs w:val="18"/>
        </w:rPr>
        <w:t xml:space="preserve"> </w:t>
      </w:r>
      <w:r w:rsidRPr="00F745E8">
        <w:rPr>
          <w:rFonts w:ascii="Tahoma" w:hAnsi="Tahoma" w:cs="Tahoma"/>
          <w:sz w:val="18"/>
          <w:szCs w:val="18"/>
          <w:lang w:val="en-US"/>
        </w:rPr>
        <w:t>Ecfin</w:t>
      </w:r>
    </w:p>
    <w:p w:rsidR="00085DA8" w:rsidRPr="00F745E8" w:rsidRDefault="00085DA8" w:rsidP="0042756D">
      <w:pPr>
        <w:ind w:right="-428"/>
        <w:jc w:val="both"/>
        <w:rPr>
          <w:rFonts w:ascii="Tahoma" w:hAnsi="Tahoma" w:cs="Tahoma"/>
          <w:sz w:val="18"/>
          <w:szCs w:val="18"/>
        </w:rPr>
      </w:pPr>
    </w:p>
    <w:p w:rsidR="00085DA8" w:rsidRPr="00F745E8" w:rsidRDefault="00085DA8" w:rsidP="0042756D">
      <w:pPr>
        <w:pStyle w:val="BodyText"/>
        <w:numPr>
          <w:ilvl w:val="0"/>
          <w:numId w:val="4"/>
        </w:numPr>
        <w:spacing w:line="288" w:lineRule="auto"/>
        <w:rPr>
          <w:rFonts w:ascii="Tahoma" w:hAnsi="Tahoma" w:cs="Tahoma"/>
          <w:sz w:val="22"/>
          <w:szCs w:val="22"/>
          <w:u w:val="none"/>
        </w:rPr>
      </w:pPr>
      <w:r>
        <w:rPr>
          <w:rFonts w:ascii="Tahoma" w:hAnsi="Tahoma" w:cs="Tahoma"/>
          <w:b/>
          <w:bCs/>
          <w:sz w:val="22"/>
          <w:szCs w:val="22"/>
          <w:u w:val="none"/>
        </w:rPr>
        <w:t xml:space="preserve">Έντονα δυσμενείς οι προβλέψεις για την </w:t>
      </w:r>
      <w:r w:rsidRPr="00F745E8">
        <w:rPr>
          <w:rFonts w:ascii="Tahoma" w:hAnsi="Tahoma" w:cs="Tahoma"/>
          <w:b/>
          <w:bCs/>
          <w:sz w:val="22"/>
          <w:szCs w:val="22"/>
          <w:u w:val="none"/>
        </w:rPr>
        <w:t>εξέλιξη της ανεργίας</w:t>
      </w:r>
      <w:r>
        <w:rPr>
          <w:rFonts w:ascii="Tahoma" w:hAnsi="Tahoma" w:cs="Tahoma"/>
          <w:b/>
          <w:bCs/>
          <w:sz w:val="22"/>
          <w:szCs w:val="22"/>
          <w:u w:val="none"/>
        </w:rPr>
        <w:t>, παρά τη βελτίωση</w:t>
      </w:r>
    </w:p>
    <w:p w:rsidR="00085DA8" w:rsidRPr="00F745E8" w:rsidRDefault="00085DA8" w:rsidP="0042756D">
      <w:pPr>
        <w:spacing w:line="288" w:lineRule="auto"/>
        <w:jc w:val="both"/>
        <w:rPr>
          <w:rFonts w:ascii="Tahoma" w:hAnsi="Tahoma" w:cs="Tahoma"/>
          <w:sz w:val="22"/>
          <w:szCs w:val="22"/>
        </w:rPr>
      </w:pPr>
      <w:r w:rsidRPr="00F745E8">
        <w:rPr>
          <w:rFonts w:ascii="Tahoma" w:hAnsi="Tahoma" w:cs="Tahoma"/>
          <w:sz w:val="22"/>
          <w:szCs w:val="22"/>
        </w:rPr>
        <w:t xml:space="preserve">Ο δείκτης πρόβλεψης για την </w:t>
      </w:r>
      <w:r w:rsidRPr="00F745E8">
        <w:rPr>
          <w:rFonts w:ascii="Tahoma" w:hAnsi="Tahoma" w:cs="Tahoma"/>
          <w:sz w:val="22"/>
          <w:szCs w:val="22"/>
          <w:u w:val="single"/>
        </w:rPr>
        <w:t>εξέλιξη της ανεργίας τους προσεχείς 12 μήνες</w:t>
      </w:r>
      <w:r w:rsidRPr="00F745E8">
        <w:rPr>
          <w:rFonts w:ascii="Tahoma" w:hAnsi="Tahoma" w:cs="Tahoma"/>
          <w:sz w:val="22"/>
          <w:szCs w:val="22"/>
        </w:rPr>
        <w:t xml:space="preserve"> περιορίζεται τον Νοέμβριο ελαφρά, </w:t>
      </w:r>
      <w:r>
        <w:rPr>
          <w:rFonts w:ascii="Tahoma" w:hAnsi="Tahoma" w:cs="Tahoma"/>
          <w:sz w:val="22"/>
          <w:szCs w:val="22"/>
        </w:rPr>
        <w:t xml:space="preserve">κινούμενος </w:t>
      </w:r>
      <w:r w:rsidRPr="00F745E8">
        <w:rPr>
          <w:rFonts w:ascii="Tahoma" w:hAnsi="Tahoma" w:cs="Tahoma"/>
          <w:sz w:val="22"/>
          <w:szCs w:val="22"/>
        </w:rPr>
        <w:t xml:space="preserve">στις 81,0 μονάδες (από 83,6). Το ποσοστό των πολιτών που προβλέπει ότι η ανεργία θα αυξηθεί ελαφρά ή αισθητά </w:t>
      </w:r>
      <w:r>
        <w:rPr>
          <w:rFonts w:ascii="Tahoma" w:hAnsi="Tahoma" w:cs="Tahoma"/>
          <w:sz w:val="22"/>
          <w:szCs w:val="22"/>
        </w:rPr>
        <w:t xml:space="preserve">παραμένει όμως </w:t>
      </w:r>
      <w:r w:rsidRPr="00F745E8">
        <w:rPr>
          <w:rFonts w:ascii="Tahoma" w:hAnsi="Tahoma" w:cs="Tahoma"/>
          <w:sz w:val="22"/>
          <w:szCs w:val="22"/>
        </w:rPr>
        <w:t xml:space="preserve">στο 90%, ενώ </w:t>
      </w:r>
      <w:r>
        <w:rPr>
          <w:rFonts w:ascii="Tahoma" w:hAnsi="Tahoma" w:cs="Tahoma"/>
          <w:sz w:val="22"/>
          <w:szCs w:val="22"/>
        </w:rPr>
        <w:t xml:space="preserve">μόλις </w:t>
      </w:r>
      <w:r w:rsidRPr="00F745E8">
        <w:rPr>
          <w:rFonts w:ascii="Tahoma" w:hAnsi="Tahoma" w:cs="Tahoma"/>
          <w:sz w:val="22"/>
          <w:szCs w:val="22"/>
        </w:rPr>
        <w:lastRenderedPageBreak/>
        <w:t xml:space="preserve">5% (από 2%) προβλέπει ελαφρά ή αισθητή μείωση. Οι αντίστοιχοι δείκτες σε ΕΕ και Ευρωζώνη </w:t>
      </w:r>
      <w:r>
        <w:rPr>
          <w:rFonts w:ascii="Tahoma" w:hAnsi="Tahoma" w:cs="Tahoma"/>
          <w:sz w:val="22"/>
          <w:szCs w:val="22"/>
        </w:rPr>
        <w:t xml:space="preserve">ενισχύονται </w:t>
      </w:r>
      <w:r w:rsidRPr="00F745E8">
        <w:rPr>
          <w:rFonts w:ascii="Tahoma" w:hAnsi="Tahoma" w:cs="Tahoma"/>
          <w:sz w:val="22"/>
          <w:szCs w:val="22"/>
        </w:rPr>
        <w:t>στις +42,5 και +47,1 μονάδες.</w:t>
      </w:r>
    </w:p>
    <w:p w:rsidR="00085DA8" w:rsidRPr="00F745E8" w:rsidRDefault="00085DA8" w:rsidP="0042756D">
      <w:pPr>
        <w:ind w:right="-428"/>
        <w:jc w:val="both"/>
        <w:rPr>
          <w:rFonts w:ascii="Tahoma" w:hAnsi="Tahoma" w:cs="Tahoma"/>
          <w:sz w:val="18"/>
          <w:szCs w:val="18"/>
        </w:rPr>
      </w:pPr>
    </w:p>
    <w:p w:rsidR="00085DA8" w:rsidRPr="00F745E8" w:rsidRDefault="00085DA8" w:rsidP="0042756D">
      <w:pPr>
        <w:spacing w:before="120"/>
        <w:jc w:val="center"/>
        <w:rPr>
          <w:rFonts w:ascii="Tahoma" w:hAnsi="Tahoma" w:cs="Tahoma"/>
          <w:color w:val="000080"/>
          <w:sz w:val="22"/>
          <w:szCs w:val="22"/>
        </w:rPr>
      </w:pPr>
      <w:r w:rsidRPr="00F745E8">
        <w:rPr>
          <w:rFonts w:ascii="Tahoma" w:hAnsi="Tahoma" w:cs="Tahoma"/>
          <w:b/>
          <w:bCs/>
          <w:color w:val="000080"/>
          <w:sz w:val="22"/>
          <w:szCs w:val="22"/>
        </w:rPr>
        <w:t xml:space="preserve">Διάγραμμα 7: </w:t>
      </w:r>
      <w:r w:rsidRPr="00F745E8">
        <w:rPr>
          <w:rFonts w:ascii="Tahoma" w:hAnsi="Tahoma" w:cs="Tahoma"/>
          <w:color w:val="000080"/>
          <w:sz w:val="22"/>
          <w:szCs w:val="22"/>
        </w:rPr>
        <w:t>Βασικοί Δείκτες έρευνας καταναλωτών το επόμενο 12μηνο</w:t>
      </w:r>
    </w:p>
    <w:tbl>
      <w:tblPr>
        <w:tblW w:w="10895"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tblPr>
      <w:tblGrid>
        <w:gridCol w:w="5314"/>
        <w:gridCol w:w="5581"/>
      </w:tblGrid>
      <w:tr w:rsidR="00085DA8" w:rsidRPr="00F745E8" w:rsidTr="004C49D6">
        <w:trPr>
          <w:trHeight w:val="2537"/>
          <w:tblCellSpacing w:w="20" w:type="dxa"/>
          <w:jc w:val="center"/>
        </w:trPr>
        <w:tc>
          <w:tcPr>
            <w:tcW w:w="5254" w:type="dxa"/>
            <w:vAlign w:val="center"/>
          </w:tcPr>
          <w:p w:rsidR="00085DA8" w:rsidRPr="00F745E8" w:rsidRDefault="00085DA8" w:rsidP="004C49D6">
            <w:pPr>
              <w:jc w:val="center"/>
              <w:rPr>
                <w:rFonts w:ascii="Calibri" w:hAnsi="Calibri" w:cs="Calibri"/>
                <w:b/>
                <w:bCs/>
                <w:smallCaps/>
                <w:color w:val="000080"/>
              </w:rPr>
            </w:pPr>
            <w:r w:rsidRPr="00F745E8">
              <w:rPr>
                <w:rFonts w:ascii="Calibri" w:hAnsi="Calibri" w:cs="Calibri"/>
                <w:b/>
                <w:bCs/>
                <w:smallCaps/>
                <w:color w:val="000080"/>
                <w:sz w:val="22"/>
                <w:szCs w:val="22"/>
              </w:rPr>
              <w:t xml:space="preserve">Πρόθεση αποταμίευσησ </w:t>
            </w:r>
          </w:p>
          <w:p w:rsidR="00085DA8" w:rsidRPr="00F745E8" w:rsidRDefault="00DF46E7" w:rsidP="004C49D6">
            <w:pPr>
              <w:jc w:val="center"/>
              <w:rPr>
                <w:rFonts w:ascii="Calibri" w:hAnsi="Calibri" w:cs="Calibri"/>
                <w:i/>
                <w:iCs/>
                <w:smallCaps/>
                <w:noProof/>
              </w:rPr>
            </w:pPr>
            <w:r>
              <w:rPr>
                <w:rFonts w:ascii="Calibri" w:hAnsi="Calibri" w:cs="Calibri"/>
                <w:i/>
                <w:smallCaps/>
                <w:noProof/>
              </w:rPr>
              <w:drawing>
                <wp:inline distT="0" distB="0" distL="0" distR="0">
                  <wp:extent cx="2600325" cy="140017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srcRect t="9669" b="3217"/>
                          <a:stretch>
                            <a:fillRect/>
                          </a:stretch>
                        </pic:blipFill>
                        <pic:spPr bwMode="auto">
                          <a:xfrm>
                            <a:off x="0" y="0"/>
                            <a:ext cx="2600325" cy="1400175"/>
                          </a:xfrm>
                          <a:prstGeom prst="rect">
                            <a:avLst/>
                          </a:prstGeom>
                          <a:noFill/>
                          <a:ln w="9525">
                            <a:noFill/>
                            <a:miter lim="800000"/>
                            <a:headEnd/>
                            <a:tailEnd/>
                          </a:ln>
                        </pic:spPr>
                      </pic:pic>
                    </a:graphicData>
                  </a:graphic>
                </wp:inline>
              </w:drawing>
            </w:r>
          </w:p>
        </w:tc>
        <w:tc>
          <w:tcPr>
            <w:tcW w:w="5521" w:type="dxa"/>
            <w:vAlign w:val="center"/>
          </w:tcPr>
          <w:p w:rsidR="00085DA8" w:rsidRPr="00F745E8" w:rsidRDefault="00085DA8" w:rsidP="004C49D6">
            <w:pPr>
              <w:jc w:val="center"/>
              <w:rPr>
                <w:rFonts w:ascii="Calibri" w:hAnsi="Calibri" w:cs="Calibri"/>
                <w:b/>
                <w:bCs/>
                <w:smallCaps/>
                <w:color w:val="000080"/>
              </w:rPr>
            </w:pPr>
            <w:r w:rsidRPr="00F745E8">
              <w:rPr>
                <w:rFonts w:ascii="Calibri" w:hAnsi="Calibri" w:cs="Calibri"/>
                <w:b/>
                <w:bCs/>
                <w:smallCaps/>
                <w:color w:val="000080"/>
                <w:sz w:val="22"/>
                <w:szCs w:val="22"/>
              </w:rPr>
              <w:t xml:space="preserve">Προβλέψεις για την εξέλιξη της ανεργίας </w:t>
            </w:r>
          </w:p>
          <w:p w:rsidR="00085DA8" w:rsidRPr="00F745E8" w:rsidRDefault="00DF46E7" w:rsidP="004C49D6">
            <w:pPr>
              <w:jc w:val="center"/>
              <w:rPr>
                <w:rFonts w:ascii="Calibri" w:hAnsi="Calibri" w:cs="Calibri"/>
                <w:i/>
                <w:iCs/>
                <w:smallCaps/>
                <w:noProof/>
              </w:rPr>
            </w:pPr>
            <w:r>
              <w:rPr>
                <w:rFonts w:ascii="Calibri" w:hAnsi="Calibri" w:cs="Calibri"/>
                <w:i/>
                <w:smallCaps/>
                <w:noProof/>
              </w:rPr>
              <w:drawing>
                <wp:inline distT="0" distB="0" distL="0" distR="0">
                  <wp:extent cx="2657475" cy="15906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t="2803" b="2409"/>
                          <a:stretch>
                            <a:fillRect/>
                          </a:stretch>
                        </pic:blipFill>
                        <pic:spPr bwMode="auto">
                          <a:xfrm>
                            <a:off x="0" y="0"/>
                            <a:ext cx="2657475" cy="1590675"/>
                          </a:xfrm>
                          <a:prstGeom prst="rect">
                            <a:avLst/>
                          </a:prstGeom>
                          <a:noFill/>
                          <a:ln w="9525">
                            <a:noFill/>
                            <a:miter lim="800000"/>
                            <a:headEnd/>
                            <a:tailEnd/>
                          </a:ln>
                        </pic:spPr>
                      </pic:pic>
                    </a:graphicData>
                  </a:graphic>
                </wp:inline>
              </w:drawing>
            </w:r>
          </w:p>
        </w:tc>
      </w:tr>
      <w:tr w:rsidR="00085DA8" w:rsidRPr="00F745E8" w:rsidTr="004C49D6">
        <w:trPr>
          <w:trHeight w:val="2502"/>
          <w:tblCellSpacing w:w="20" w:type="dxa"/>
          <w:jc w:val="center"/>
        </w:trPr>
        <w:tc>
          <w:tcPr>
            <w:tcW w:w="5254" w:type="dxa"/>
            <w:vAlign w:val="center"/>
          </w:tcPr>
          <w:p w:rsidR="00085DA8" w:rsidRPr="00F745E8" w:rsidRDefault="00085DA8" w:rsidP="004C49D6">
            <w:pPr>
              <w:jc w:val="center"/>
              <w:rPr>
                <w:rFonts w:ascii="Calibri" w:hAnsi="Calibri" w:cs="Calibri"/>
                <w:b/>
                <w:bCs/>
                <w:smallCaps/>
                <w:color w:val="000080"/>
              </w:rPr>
            </w:pPr>
            <w:r w:rsidRPr="00F745E8">
              <w:rPr>
                <w:rFonts w:ascii="Calibri" w:hAnsi="Calibri" w:cs="Calibri"/>
                <w:b/>
                <w:bCs/>
                <w:smallCaps/>
                <w:color w:val="000080"/>
                <w:sz w:val="22"/>
                <w:szCs w:val="22"/>
              </w:rPr>
              <w:t>Προβλέψεις για την εξέλιξη των τιμών</w:t>
            </w:r>
          </w:p>
          <w:p w:rsidR="00085DA8" w:rsidRPr="00F745E8" w:rsidRDefault="00DF46E7" w:rsidP="004C49D6">
            <w:pPr>
              <w:jc w:val="center"/>
              <w:rPr>
                <w:rFonts w:ascii="Calibri" w:hAnsi="Calibri" w:cs="Calibri"/>
                <w:b/>
                <w:bCs/>
                <w:smallCaps/>
                <w:color w:val="000080"/>
                <w:lang w:val="en-US"/>
              </w:rPr>
            </w:pPr>
            <w:r>
              <w:rPr>
                <w:rFonts w:ascii="Calibri" w:hAnsi="Calibri" w:cs="Calibri"/>
                <w:b/>
                <w:smallCaps/>
                <w:noProof/>
                <w:color w:val="000080"/>
              </w:rPr>
              <w:drawing>
                <wp:inline distT="0" distB="0" distL="0" distR="0">
                  <wp:extent cx="2181225" cy="163830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l="8128" t="6483" r="15359"/>
                          <a:stretch>
                            <a:fillRect/>
                          </a:stretch>
                        </pic:blipFill>
                        <pic:spPr bwMode="auto">
                          <a:xfrm>
                            <a:off x="0" y="0"/>
                            <a:ext cx="2181225" cy="1638300"/>
                          </a:xfrm>
                          <a:prstGeom prst="rect">
                            <a:avLst/>
                          </a:prstGeom>
                          <a:noFill/>
                          <a:ln w="9525">
                            <a:noFill/>
                            <a:miter lim="800000"/>
                            <a:headEnd/>
                            <a:tailEnd/>
                          </a:ln>
                        </pic:spPr>
                      </pic:pic>
                    </a:graphicData>
                  </a:graphic>
                </wp:inline>
              </w:drawing>
            </w:r>
          </w:p>
        </w:tc>
        <w:tc>
          <w:tcPr>
            <w:tcW w:w="5521" w:type="dxa"/>
            <w:vAlign w:val="center"/>
          </w:tcPr>
          <w:p w:rsidR="00085DA8" w:rsidRPr="00F745E8" w:rsidRDefault="00085DA8" w:rsidP="004C49D6">
            <w:pPr>
              <w:jc w:val="center"/>
              <w:rPr>
                <w:rFonts w:ascii="Calibri" w:hAnsi="Calibri" w:cs="Calibri"/>
                <w:b/>
                <w:bCs/>
                <w:smallCaps/>
                <w:color w:val="000080"/>
              </w:rPr>
            </w:pPr>
            <w:r w:rsidRPr="00F745E8">
              <w:rPr>
                <w:rFonts w:ascii="Calibri" w:hAnsi="Calibri" w:cs="Calibri"/>
                <w:b/>
                <w:bCs/>
                <w:smallCaps/>
                <w:color w:val="000080"/>
                <w:sz w:val="22"/>
                <w:szCs w:val="22"/>
              </w:rPr>
              <w:t xml:space="preserve">Πρόθεση για μείζονες αγορές </w:t>
            </w:r>
          </w:p>
          <w:p w:rsidR="00085DA8" w:rsidRPr="00F745E8" w:rsidRDefault="00DF46E7" w:rsidP="004C49D6">
            <w:pPr>
              <w:jc w:val="center"/>
              <w:rPr>
                <w:rFonts w:ascii="Calibri" w:hAnsi="Calibri" w:cs="Calibri"/>
                <w:b/>
                <w:bCs/>
                <w:smallCaps/>
                <w:color w:val="000080"/>
                <w:lang w:val="en-US"/>
              </w:rPr>
            </w:pPr>
            <w:r>
              <w:rPr>
                <w:rFonts w:ascii="Calibri" w:hAnsi="Calibri" w:cs="Calibri"/>
                <w:b/>
                <w:smallCaps/>
                <w:noProof/>
                <w:color w:val="000080"/>
              </w:rPr>
              <w:drawing>
                <wp:inline distT="0" distB="0" distL="0" distR="0">
                  <wp:extent cx="1905000" cy="1504950"/>
                  <wp:effectExtent l="19050" t="0" r="0" b="0"/>
                  <wp:docPr id="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l="16026" t="6111" r="19231" b="11513"/>
                          <a:stretch>
                            <a:fillRect/>
                          </a:stretch>
                        </pic:blipFill>
                        <pic:spPr bwMode="auto">
                          <a:xfrm>
                            <a:off x="0" y="0"/>
                            <a:ext cx="1905000" cy="1504950"/>
                          </a:xfrm>
                          <a:prstGeom prst="rect">
                            <a:avLst/>
                          </a:prstGeom>
                          <a:noFill/>
                          <a:ln w="9525">
                            <a:noFill/>
                            <a:miter lim="800000"/>
                            <a:headEnd/>
                            <a:tailEnd/>
                          </a:ln>
                        </pic:spPr>
                      </pic:pic>
                    </a:graphicData>
                  </a:graphic>
                </wp:inline>
              </w:drawing>
            </w:r>
          </w:p>
        </w:tc>
      </w:tr>
    </w:tbl>
    <w:p w:rsidR="00085DA8" w:rsidRPr="00F745E8" w:rsidRDefault="00085DA8" w:rsidP="0042756D">
      <w:pPr>
        <w:spacing w:after="120"/>
        <w:jc w:val="both"/>
        <w:rPr>
          <w:rFonts w:ascii="Tahoma" w:hAnsi="Tahoma" w:cs="Tahoma"/>
          <w:sz w:val="18"/>
          <w:szCs w:val="18"/>
        </w:rPr>
      </w:pPr>
      <w:r w:rsidRPr="00F745E8">
        <w:rPr>
          <w:rFonts w:ascii="Tahoma" w:hAnsi="Tahoma" w:cs="Tahoma"/>
          <w:b/>
          <w:bCs/>
          <w:sz w:val="18"/>
          <w:szCs w:val="18"/>
        </w:rPr>
        <w:t>Πηγή</w:t>
      </w:r>
      <w:r w:rsidRPr="00F745E8">
        <w:rPr>
          <w:rFonts w:ascii="Tahoma" w:hAnsi="Tahoma" w:cs="Tahoma"/>
          <w:sz w:val="18"/>
          <w:szCs w:val="18"/>
        </w:rPr>
        <w:t>: ΙΟΒΕ</w:t>
      </w:r>
    </w:p>
    <w:p w:rsidR="00085DA8" w:rsidRPr="00F745E8" w:rsidRDefault="00085DA8" w:rsidP="0042756D">
      <w:pPr>
        <w:numPr>
          <w:ilvl w:val="0"/>
          <w:numId w:val="4"/>
        </w:numPr>
        <w:spacing w:after="120" w:line="276" w:lineRule="auto"/>
        <w:ind w:left="357" w:hanging="357"/>
        <w:jc w:val="both"/>
        <w:rPr>
          <w:rFonts w:ascii="Tahoma" w:hAnsi="Tahoma" w:cs="Tahoma"/>
          <w:b/>
          <w:bCs/>
          <w:sz w:val="22"/>
          <w:szCs w:val="22"/>
        </w:rPr>
      </w:pPr>
      <w:r w:rsidRPr="00F745E8">
        <w:rPr>
          <w:rFonts w:ascii="Tahoma" w:hAnsi="Tahoma" w:cs="Tahoma"/>
          <w:b/>
          <w:bCs/>
          <w:sz w:val="22"/>
          <w:szCs w:val="22"/>
        </w:rPr>
        <w:t>Ανάκαμψη από πολύ χαμηλά στις προβλέψεις για μείζονες αγορές</w:t>
      </w:r>
    </w:p>
    <w:p w:rsidR="00085DA8" w:rsidRPr="00F745E8" w:rsidRDefault="00085DA8" w:rsidP="0042756D">
      <w:pPr>
        <w:spacing w:after="120" w:line="276" w:lineRule="auto"/>
        <w:jc w:val="both"/>
        <w:rPr>
          <w:rFonts w:ascii="Tahoma" w:hAnsi="Tahoma" w:cs="Tahoma"/>
          <w:sz w:val="22"/>
          <w:szCs w:val="22"/>
        </w:rPr>
      </w:pPr>
      <w:r w:rsidRPr="00F745E8">
        <w:rPr>
          <w:rFonts w:ascii="Tahoma" w:hAnsi="Tahoma" w:cs="Tahoma"/>
          <w:sz w:val="22"/>
          <w:szCs w:val="22"/>
        </w:rPr>
        <w:t xml:space="preserve">Η πρόθεση των καταναλωτών για </w:t>
      </w:r>
      <w:r w:rsidRPr="00F745E8">
        <w:rPr>
          <w:rFonts w:ascii="Tahoma" w:hAnsi="Tahoma" w:cs="Tahoma"/>
          <w:sz w:val="22"/>
          <w:szCs w:val="22"/>
          <w:u w:val="single"/>
        </w:rPr>
        <w:t>σημαντικές αγορές τους προσεχείς 12 μήνες</w:t>
      </w:r>
      <w:r w:rsidRPr="00F745E8">
        <w:rPr>
          <w:rFonts w:ascii="Tahoma" w:hAnsi="Tahoma" w:cs="Tahoma"/>
          <w:sz w:val="22"/>
          <w:szCs w:val="22"/>
        </w:rPr>
        <w:t xml:space="preserve"> (επίπλων, ηλεκτρικών συσκευών κ.λπ.) ανακάμπτει, με το σχετικό δείκτη να κερδίζει σχεδόν 6 μονάδες, φθάνοντας στις -73,0. </w:t>
      </w:r>
      <w:r>
        <w:rPr>
          <w:rFonts w:ascii="Tahoma" w:hAnsi="Tahoma" w:cs="Tahoma"/>
          <w:sz w:val="22"/>
          <w:szCs w:val="22"/>
        </w:rPr>
        <w:t>Πάντως τ</w:t>
      </w:r>
      <w:r w:rsidRPr="00F745E8">
        <w:rPr>
          <w:rFonts w:ascii="Tahoma" w:hAnsi="Tahoma" w:cs="Tahoma"/>
          <w:sz w:val="22"/>
          <w:szCs w:val="22"/>
        </w:rPr>
        <w:t xml:space="preserve">ο 82% (από 86%) των καταναλωτών προβλέπει ότι θα προβεί σε πολύ ή λίγο λιγότερες δαπάνες, </w:t>
      </w:r>
      <w:r>
        <w:rPr>
          <w:rFonts w:ascii="Tahoma" w:hAnsi="Tahoma" w:cs="Tahoma"/>
          <w:sz w:val="22"/>
          <w:szCs w:val="22"/>
        </w:rPr>
        <w:t>και μόλις 2</w:t>
      </w:r>
      <w:r w:rsidRPr="00F745E8">
        <w:rPr>
          <w:rFonts w:ascii="Tahoma" w:hAnsi="Tahoma" w:cs="Tahoma"/>
          <w:sz w:val="22"/>
          <w:szCs w:val="22"/>
        </w:rPr>
        <w:t xml:space="preserve">% δηλώνει το αντίθετο. Οι ευρωπαϊκοί δείκτες διαμορφώνονται στις -24,2 και -25,1 μονάδες σε ΕΕ και Ευρωζώνη αντίστοιχα. </w:t>
      </w:r>
    </w:p>
    <w:p w:rsidR="00085DA8" w:rsidRPr="00F745E8" w:rsidRDefault="00085DA8" w:rsidP="0042756D">
      <w:pPr>
        <w:numPr>
          <w:ilvl w:val="0"/>
          <w:numId w:val="4"/>
        </w:numPr>
        <w:spacing w:after="120" w:line="276" w:lineRule="auto"/>
        <w:jc w:val="both"/>
        <w:rPr>
          <w:rFonts w:ascii="Tahoma" w:hAnsi="Tahoma" w:cs="Tahoma"/>
          <w:b/>
          <w:bCs/>
          <w:sz w:val="22"/>
          <w:szCs w:val="22"/>
        </w:rPr>
      </w:pPr>
      <w:r w:rsidRPr="00F745E8">
        <w:rPr>
          <w:rFonts w:ascii="Tahoma" w:hAnsi="Tahoma" w:cs="Tahoma"/>
          <w:b/>
          <w:bCs/>
          <w:sz w:val="22"/>
          <w:szCs w:val="22"/>
        </w:rPr>
        <w:t>Ελαφρά αποκλιμάκωση στις πληθωριστικές προσδοκίες</w:t>
      </w:r>
    </w:p>
    <w:p w:rsidR="00085DA8" w:rsidRPr="00F745E8" w:rsidRDefault="00085DA8" w:rsidP="0042756D">
      <w:pPr>
        <w:spacing w:after="120" w:line="276" w:lineRule="auto"/>
        <w:jc w:val="both"/>
        <w:rPr>
          <w:rFonts w:ascii="Tahoma" w:hAnsi="Tahoma" w:cs="Tahoma"/>
          <w:sz w:val="22"/>
          <w:szCs w:val="22"/>
        </w:rPr>
      </w:pPr>
      <w:r w:rsidRPr="00F745E8">
        <w:rPr>
          <w:rFonts w:ascii="Tahoma" w:hAnsi="Tahoma" w:cs="Tahoma"/>
          <w:sz w:val="22"/>
          <w:szCs w:val="22"/>
        </w:rPr>
        <w:t xml:space="preserve">Ο δείκτης </w:t>
      </w:r>
      <w:r w:rsidRPr="00F745E8">
        <w:rPr>
          <w:rFonts w:ascii="Tahoma" w:hAnsi="Tahoma" w:cs="Tahoma"/>
          <w:sz w:val="22"/>
          <w:szCs w:val="22"/>
          <w:u w:val="single"/>
        </w:rPr>
        <w:t>πρόβλεψης των τιμών τους προσεχείς 12 μήνες</w:t>
      </w:r>
      <w:r w:rsidRPr="00F745E8">
        <w:rPr>
          <w:rFonts w:ascii="Tahoma" w:hAnsi="Tahoma" w:cs="Tahoma"/>
          <w:sz w:val="22"/>
          <w:szCs w:val="22"/>
        </w:rPr>
        <w:t xml:space="preserve"> χάνει άλλες 2 σχεδόν μονάδες και διαμορφώνεται στις 7 μονάδες</w:t>
      </w:r>
      <w:r>
        <w:rPr>
          <w:rFonts w:ascii="Tahoma" w:hAnsi="Tahoma" w:cs="Tahoma"/>
          <w:sz w:val="22"/>
          <w:szCs w:val="22"/>
        </w:rPr>
        <w:t xml:space="preserve"> τον Νοέμβριο</w:t>
      </w:r>
      <w:r w:rsidRPr="00F745E8">
        <w:rPr>
          <w:rFonts w:ascii="Tahoma" w:hAnsi="Tahoma" w:cs="Tahoma"/>
          <w:sz w:val="22"/>
          <w:szCs w:val="22"/>
        </w:rPr>
        <w:t>, με το ποσοστό εκείνων που προβλέπουν αύξηση τιμών με τον ίδιο ή ταχύτερο ρυθμό να φθάνει το 45%. Οι αντίστοιχοι ευρωπαϊκοί δείκτες σε ΕΕ και Ευρωζώνη περιορίζονται στις +25,5 και +25,9 μονάδες.</w:t>
      </w:r>
    </w:p>
    <w:p w:rsidR="00085DA8" w:rsidRPr="00F745E8" w:rsidRDefault="00085DA8" w:rsidP="0042756D">
      <w:pPr>
        <w:numPr>
          <w:ilvl w:val="0"/>
          <w:numId w:val="4"/>
        </w:numPr>
        <w:spacing w:line="276" w:lineRule="auto"/>
        <w:ind w:left="357" w:hanging="357"/>
        <w:jc w:val="both"/>
        <w:rPr>
          <w:rFonts w:ascii="Tahoma" w:hAnsi="Tahoma" w:cs="Tahoma"/>
          <w:b/>
          <w:bCs/>
          <w:sz w:val="22"/>
          <w:szCs w:val="22"/>
        </w:rPr>
      </w:pPr>
      <w:r w:rsidRPr="00F745E8">
        <w:rPr>
          <w:rFonts w:ascii="Tahoma" w:hAnsi="Tahoma" w:cs="Tahoma"/>
          <w:b/>
          <w:bCs/>
          <w:sz w:val="22"/>
          <w:szCs w:val="22"/>
        </w:rPr>
        <w:t>Άνοδος του ποσοστού εκείνων που «αντλούν από τις αποταμιεύσεις» και όσων «έχουν χρεωθεί»</w:t>
      </w:r>
    </w:p>
    <w:p w:rsidR="00085DA8" w:rsidRDefault="00085DA8" w:rsidP="00884B78">
      <w:pPr>
        <w:spacing w:after="120" w:line="276" w:lineRule="auto"/>
        <w:jc w:val="both"/>
        <w:rPr>
          <w:rFonts w:ascii="Tahoma" w:hAnsi="Tahoma" w:cs="Tahoma"/>
          <w:b/>
          <w:color w:val="800000"/>
          <w:sz w:val="22"/>
        </w:rPr>
      </w:pPr>
      <w:r w:rsidRPr="00F745E8">
        <w:rPr>
          <w:rFonts w:ascii="Tahoma" w:hAnsi="Tahoma" w:cs="Tahoma"/>
          <w:sz w:val="22"/>
          <w:szCs w:val="22"/>
        </w:rPr>
        <w:t xml:space="preserve">Στις εκτιμήσεις για την </w:t>
      </w:r>
      <w:r w:rsidRPr="00F745E8">
        <w:rPr>
          <w:rFonts w:ascii="Tahoma" w:hAnsi="Tahoma" w:cs="Tahoma"/>
          <w:sz w:val="22"/>
          <w:szCs w:val="22"/>
          <w:u w:val="single"/>
        </w:rPr>
        <w:t>τρέχουσα οικονομική κατάσταση του νοικοκυριού</w:t>
      </w:r>
      <w:r w:rsidRPr="00F745E8">
        <w:rPr>
          <w:rFonts w:ascii="Tahoma" w:hAnsi="Tahoma" w:cs="Tahoma"/>
          <w:sz w:val="22"/>
          <w:szCs w:val="22"/>
        </w:rPr>
        <w:t>, το ποσοστό των καταναλωτών που δηλώνει ότι «μόλις τα βγάζει πέρα» μειώνεται στο 46% (από 3/5), ενώ το ποσοστό εκείνων που αναφέρουν ότι αντλούν από τις αποταμιεύσεις τους αυξάνεται στο 22% (από 15% τους τέσσερις προηγούμενους μήνες). Το 1/10 των καταναλωτών δηλώνει εκ νέου ότι αποταμιεύει λίγο ή πολύ, ενώ τέλος</w:t>
      </w:r>
      <w:r>
        <w:rPr>
          <w:rFonts w:ascii="Tahoma" w:hAnsi="Tahoma" w:cs="Tahoma"/>
          <w:sz w:val="22"/>
          <w:szCs w:val="22"/>
        </w:rPr>
        <w:t>,</w:t>
      </w:r>
      <w:r w:rsidRPr="00F745E8">
        <w:rPr>
          <w:rFonts w:ascii="Tahoma" w:hAnsi="Tahoma" w:cs="Tahoma"/>
          <w:sz w:val="22"/>
          <w:szCs w:val="22"/>
        </w:rPr>
        <w:t xml:space="preserve"> το ποσοστό όσων αναφέρουν ότι έχουν χρεωθεί αυξάνεται στο 21% (από 15%).</w:t>
      </w:r>
    </w:p>
    <w:sectPr w:rsidR="00085DA8" w:rsidSect="00A434FE">
      <w:headerReference w:type="first" r:id="rId23"/>
      <w:pgSz w:w="11906" w:h="16838" w:code="9"/>
      <w:pgMar w:top="1438" w:right="1274" w:bottom="141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E00" w:rsidRDefault="00101E00" w:rsidP="007962C5">
      <w:pPr>
        <w:pStyle w:val="Heading2"/>
      </w:pPr>
      <w:r>
        <w:separator/>
      </w:r>
    </w:p>
  </w:endnote>
  <w:endnote w:type="continuationSeparator" w:id="0">
    <w:p w:rsidR="00101E00" w:rsidRDefault="00101E00" w:rsidP="007962C5">
      <w:pPr>
        <w:pStyle w:val="Heading2"/>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Verdana">
    <w:panose1 w:val="020B0604030504040204"/>
    <w:charset w:val="A1"/>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A8" w:rsidRDefault="00467B87" w:rsidP="007962C5">
    <w:pPr>
      <w:pStyle w:val="Footer"/>
      <w:framePr w:wrap="around" w:vAnchor="text" w:hAnchor="margin" w:xAlign="right" w:y="1"/>
      <w:rPr>
        <w:rStyle w:val="PageNumber"/>
        <w:rFonts w:cs="Arial"/>
      </w:rPr>
    </w:pPr>
    <w:r>
      <w:rPr>
        <w:rStyle w:val="PageNumber"/>
        <w:rFonts w:cs="Arial"/>
      </w:rPr>
      <w:fldChar w:fldCharType="begin"/>
    </w:r>
    <w:r w:rsidR="00085DA8">
      <w:rPr>
        <w:rStyle w:val="PageNumber"/>
        <w:rFonts w:cs="Arial"/>
      </w:rPr>
      <w:instrText xml:space="preserve">PAGE  </w:instrText>
    </w:r>
    <w:r>
      <w:rPr>
        <w:rStyle w:val="PageNumber"/>
        <w:rFonts w:cs="Arial"/>
      </w:rPr>
      <w:fldChar w:fldCharType="end"/>
    </w:r>
  </w:p>
  <w:p w:rsidR="00085DA8" w:rsidRDefault="00085DA8" w:rsidP="007962C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A8" w:rsidRDefault="00467B87" w:rsidP="007962C5">
    <w:pPr>
      <w:pStyle w:val="Footer"/>
      <w:framePr w:wrap="around" w:vAnchor="text" w:hAnchor="margin" w:xAlign="right" w:y="1"/>
      <w:rPr>
        <w:rStyle w:val="PageNumber"/>
        <w:rFonts w:ascii="Tahoma" w:hAnsi="Tahoma" w:cs="Tahoma"/>
        <w:sz w:val="18"/>
        <w:szCs w:val="18"/>
      </w:rPr>
    </w:pPr>
    <w:r>
      <w:rPr>
        <w:rStyle w:val="PageNumber"/>
        <w:rFonts w:ascii="Tahoma" w:hAnsi="Tahoma" w:cs="Tahoma"/>
        <w:sz w:val="18"/>
        <w:szCs w:val="18"/>
      </w:rPr>
      <w:fldChar w:fldCharType="begin"/>
    </w:r>
    <w:r w:rsidR="00085DA8">
      <w:rPr>
        <w:rStyle w:val="PageNumber"/>
        <w:rFonts w:ascii="Tahoma" w:hAnsi="Tahoma" w:cs="Tahoma"/>
        <w:sz w:val="18"/>
        <w:szCs w:val="18"/>
      </w:rPr>
      <w:instrText xml:space="preserve">PAGE  </w:instrText>
    </w:r>
    <w:r>
      <w:rPr>
        <w:rStyle w:val="PageNumber"/>
        <w:rFonts w:ascii="Tahoma" w:hAnsi="Tahoma" w:cs="Tahoma"/>
        <w:sz w:val="18"/>
        <w:szCs w:val="18"/>
      </w:rPr>
      <w:fldChar w:fldCharType="separate"/>
    </w:r>
    <w:r w:rsidR="00DF46E7">
      <w:rPr>
        <w:rStyle w:val="PageNumber"/>
        <w:rFonts w:ascii="Tahoma" w:hAnsi="Tahoma" w:cs="Tahoma"/>
        <w:noProof/>
        <w:sz w:val="18"/>
        <w:szCs w:val="18"/>
      </w:rPr>
      <w:t>20</w:t>
    </w:r>
    <w:r>
      <w:rPr>
        <w:rStyle w:val="PageNumber"/>
        <w:rFonts w:ascii="Tahoma" w:hAnsi="Tahoma" w:cs="Tahoma"/>
        <w:sz w:val="18"/>
        <w:szCs w:val="18"/>
      </w:rPr>
      <w:fldChar w:fldCharType="end"/>
    </w:r>
  </w:p>
  <w:p w:rsidR="00085DA8" w:rsidRDefault="00085DA8" w:rsidP="007962C5">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A8" w:rsidRDefault="00085DA8" w:rsidP="007962C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E00" w:rsidRDefault="00101E00" w:rsidP="007962C5">
      <w:pPr>
        <w:pStyle w:val="Heading2"/>
      </w:pPr>
      <w:r>
        <w:separator/>
      </w:r>
    </w:p>
  </w:footnote>
  <w:footnote w:type="continuationSeparator" w:id="0">
    <w:p w:rsidR="00101E00" w:rsidRDefault="00101E00" w:rsidP="007962C5">
      <w:pPr>
        <w:pStyle w:val="Head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A8" w:rsidRDefault="00085DA8">
    <w:pPr>
      <w:pStyle w:val="Header"/>
      <w:pBdr>
        <w:bottom w:val="single" w:sz="4" w:space="0" w:color="auto"/>
      </w:pBdr>
      <w:rPr>
        <w:rFonts w:ascii="Tahoma" w:hAnsi="Tahoma" w:cs="Tahoma"/>
        <w:b/>
        <w:sz w:val="20"/>
        <w:szCs w:val="20"/>
      </w:rPr>
    </w:pPr>
    <w:r>
      <w:rPr>
        <w:rFonts w:ascii="Tahoma" w:hAnsi="Tahoma" w:cs="Tahoma"/>
        <w:b/>
        <w:sz w:val="20"/>
        <w:szCs w:val="20"/>
      </w:rPr>
      <w:t>Έρευνες Οικονομικής Συγκυρίας ΙΟΒΕ (</w:t>
    </w:r>
    <w:r>
      <w:rPr>
        <w:rFonts w:ascii="Tahoma" w:hAnsi="Tahoma" w:cs="Tahoma"/>
        <w:b/>
        <w:sz w:val="20"/>
        <w:szCs w:val="20"/>
        <w:lang w:val="en-US"/>
      </w:rPr>
      <w:t>DG</w:t>
    </w:r>
    <w:r w:rsidRPr="00561CC7">
      <w:rPr>
        <w:rFonts w:ascii="Tahoma" w:hAnsi="Tahoma" w:cs="Tahoma"/>
        <w:b/>
        <w:sz w:val="20"/>
        <w:szCs w:val="20"/>
      </w:rPr>
      <w:t xml:space="preserve"> </w:t>
    </w:r>
    <w:r>
      <w:rPr>
        <w:rFonts w:ascii="Tahoma" w:hAnsi="Tahoma" w:cs="Tahoma"/>
        <w:b/>
        <w:sz w:val="20"/>
        <w:szCs w:val="20"/>
        <w:lang w:val="en-US"/>
      </w:rPr>
      <w:t>ECFIN</w:t>
    </w:r>
    <w:r>
      <w:rPr>
        <w:rFonts w:ascii="Tahoma" w:hAnsi="Tahoma" w:cs="Tahoma"/>
        <w:b/>
        <w:sz w:val="20"/>
        <w:szCs w:val="20"/>
      </w:rPr>
      <w:t xml:space="preserve">) </w:t>
    </w:r>
  </w:p>
  <w:p w:rsidR="00085DA8" w:rsidRPr="00E71A76" w:rsidRDefault="00085DA8">
    <w:pPr>
      <w:pStyle w:val="Header"/>
      <w:pBdr>
        <w:bottom w:val="single" w:sz="4" w:space="0" w:color="auto"/>
      </w:pBdr>
      <w:rPr>
        <w:rFonts w:ascii="Tahoma" w:hAnsi="Tahoma" w:cs="Tahoma"/>
        <w:b/>
        <w:sz w:val="20"/>
        <w:szCs w:val="20"/>
        <w:lang w:val="en-US"/>
      </w:rPr>
    </w:pPr>
    <w:r>
      <w:rPr>
        <w:rFonts w:ascii="Tahoma" w:hAnsi="Tahoma" w:cs="Tahoma"/>
        <w:b/>
        <w:sz w:val="20"/>
        <w:szCs w:val="20"/>
      </w:rPr>
      <w:t>Νοέμβριος</w:t>
    </w:r>
    <w:r w:rsidRPr="00201EBC">
      <w:rPr>
        <w:rFonts w:ascii="Tahoma" w:hAnsi="Tahoma" w:cs="Tahoma"/>
        <w:b/>
        <w:sz w:val="20"/>
        <w:szCs w:val="20"/>
      </w:rPr>
      <w:t xml:space="preserve"> </w:t>
    </w:r>
    <w:r>
      <w:rPr>
        <w:rFonts w:ascii="Tahoma" w:hAnsi="Tahoma" w:cs="Tahoma"/>
        <w:b/>
        <w:sz w:val="20"/>
        <w:szCs w:val="20"/>
      </w:rPr>
      <w:t>201</w:t>
    </w:r>
    <w:r>
      <w:rPr>
        <w:rFonts w:ascii="Tahoma" w:hAnsi="Tahoma" w:cs="Tahoma"/>
        <w:b/>
        <w:sz w:val="20"/>
        <w:szCs w:val="20"/>
        <w:lang w:val="en-US"/>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A8" w:rsidRDefault="00085DA8" w:rsidP="00A434FE">
    <w:pPr>
      <w:pStyle w:val="Header"/>
      <w:pBdr>
        <w:bottom w:val="single" w:sz="4" w:space="0" w:color="auto"/>
      </w:pBdr>
      <w:rPr>
        <w:rFonts w:ascii="Tahoma" w:hAnsi="Tahoma" w:cs="Tahoma"/>
        <w:b/>
        <w:sz w:val="20"/>
        <w:szCs w:val="20"/>
      </w:rPr>
    </w:pPr>
    <w:r>
      <w:rPr>
        <w:rFonts w:ascii="Tahoma" w:hAnsi="Tahoma" w:cs="Tahoma"/>
        <w:b/>
        <w:sz w:val="20"/>
        <w:szCs w:val="20"/>
      </w:rPr>
      <w:t>Έρευνες Οικονομικής Συγκυρίας ΙΟΒΕ (</w:t>
    </w:r>
    <w:r>
      <w:rPr>
        <w:rFonts w:ascii="Tahoma" w:hAnsi="Tahoma" w:cs="Tahoma"/>
        <w:b/>
        <w:sz w:val="20"/>
        <w:szCs w:val="20"/>
        <w:lang w:val="en-US"/>
      </w:rPr>
      <w:t>DG</w:t>
    </w:r>
    <w:r w:rsidRPr="00561CC7">
      <w:rPr>
        <w:rFonts w:ascii="Tahoma" w:hAnsi="Tahoma" w:cs="Tahoma"/>
        <w:b/>
        <w:sz w:val="20"/>
        <w:szCs w:val="20"/>
      </w:rPr>
      <w:t xml:space="preserve"> </w:t>
    </w:r>
    <w:r>
      <w:rPr>
        <w:rFonts w:ascii="Tahoma" w:hAnsi="Tahoma" w:cs="Tahoma"/>
        <w:b/>
        <w:sz w:val="20"/>
        <w:szCs w:val="20"/>
        <w:lang w:val="en-US"/>
      </w:rPr>
      <w:t>ECFIN</w:t>
    </w:r>
    <w:r>
      <w:rPr>
        <w:rFonts w:ascii="Tahoma" w:hAnsi="Tahoma" w:cs="Tahoma"/>
        <w:b/>
        <w:sz w:val="20"/>
        <w:szCs w:val="20"/>
      </w:rPr>
      <w:t xml:space="preserve">) </w:t>
    </w:r>
  </w:p>
  <w:p w:rsidR="00085DA8" w:rsidRDefault="00085DA8" w:rsidP="00A434FE">
    <w:pPr>
      <w:pStyle w:val="Header"/>
      <w:pBdr>
        <w:bottom w:val="single" w:sz="4" w:space="0" w:color="auto"/>
      </w:pBdr>
      <w:rPr>
        <w:rFonts w:ascii="Tahoma" w:hAnsi="Tahoma" w:cs="Tahoma"/>
        <w:b/>
        <w:sz w:val="20"/>
        <w:szCs w:val="20"/>
      </w:rPr>
    </w:pPr>
    <w:r>
      <w:rPr>
        <w:rFonts w:ascii="Tahoma" w:hAnsi="Tahoma" w:cs="Tahoma"/>
        <w:b/>
        <w:sz w:val="20"/>
        <w:szCs w:val="20"/>
      </w:rPr>
      <w:t>Σεπτέμβριος 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
      </v:shape>
    </w:pict>
  </w:numPicBullet>
  <w:numPicBullet w:numPicBulletId="1">
    <w:pict>
      <v:shape id="_x0000_i1030" type="#_x0000_t75" style="width:9pt;height:9pt" o:bullet="t">
        <v:imagedata r:id="rId2" o:title=""/>
      </v:shape>
    </w:pict>
  </w:numPicBullet>
  <w:numPicBullet w:numPicBulletId="2">
    <w:pict>
      <v:shape id="_x0000_i1031" type="#_x0000_t75" style="width:9pt;height:9pt" o:bullet="t">
        <v:imagedata r:id="rId3" o:title=""/>
      </v:shape>
    </w:pict>
  </w:numPicBullet>
  <w:abstractNum w:abstractNumId="0">
    <w:nsid w:val="29961A41"/>
    <w:multiLevelType w:val="hybridMultilevel"/>
    <w:tmpl w:val="B114CDD2"/>
    <w:lvl w:ilvl="0" w:tplc="33CA1BEC">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30210C3C"/>
    <w:multiLevelType w:val="hybridMultilevel"/>
    <w:tmpl w:val="58DA3510"/>
    <w:lvl w:ilvl="0" w:tplc="1E540320">
      <w:start w:val="1"/>
      <w:numFmt w:val="bullet"/>
      <w:lvlText w:val=""/>
      <w:lvlPicBulletId w:val="1"/>
      <w:lvlJc w:val="left"/>
      <w:pPr>
        <w:tabs>
          <w:tab w:val="num" w:pos="360"/>
        </w:tabs>
        <w:ind w:left="360" w:hanging="360"/>
      </w:pPr>
      <w:rPr>
        <w:rFonts w:ascii="Symbol" w:hAnsi="Symbol" w:hint="default"/>
        <w:color w:val="auto"/>
      </w:rPr>
    </w:lvl>
    <w:lvl w:ilvl="1" w:tplc="04080003" w:tentative="1">
      <w:start w:val="1"/>
      <w:numFmt w:val="bullet"/>
      <w:lvlText w:val="o"/>
      <w:lvlJc w:val="left"/>
      <w:pPr>
        <w:tabs>
          <w:tab w:val="num" w:pos="853"/>
        </w:tabs>
        <w:ind w:left="853" w:hanging="360"/>
      </w:pPr>
      <w:rPr>
        <w:rFonts w:ascii="Courier New" w:hAnsi="Courier New" w:hint="default"/>
      </w:rPr>
    </w:lvl>
    <w:lvl w:ilvl="2" w:tplc="04080005" w:tentative="1">
      <w:start w:val="1"/>
      <w:numFmt w:val="bullet"/>
      <w:lvlText w:val=""/>
      <w:lvlJc w:val="left"/>
      <w:pPr>
        <w:tabs>
          <w:tab w:val="num" w:pos="1573"/>
        </w:tabs>
        <w:ind w:left="1573" w:hanging="360"/>
      </w:pPr>
      <w:rPr>
        <w:rFonts w:ascii="Wingdings" w:hAnsi="Wingdings" w:hint="default"/>
      </w:rPr>
    </w:lvl>
    <w:lvl w:ilvl="3" w:tplc="04080001" w:tentative="1">
      <w:start w:val="1"/>
      <w:numFmt w:val="bullet"/>
      <w:lvlText w:val=""/>
      <w:lvlJc w:val="left"/>
      <w:pPr>
        <w:tabs>
          <w:tab w:val="num" w:pos="2293"/>
        </w:tabs>
        <w:ind w:left="2293" w:hanging="360"/>
      </w:pPr>
      <w:rPr>
        <w:rFonts w:ascii="Symbol" w:hAnsi="Symbol" w:hint="default"/>
      </w:rPr>
    </w:lvl>
    <w:lvl w:ilvl="4" w:tplc="04080003" w:tentative="1">
      <w:start w:val="1"/>
      <w:numFmt w:val="bullet"/>
      <w:lvlText w:val="o"/>
      <w:lvlJc w:val="left"/>
      <w:pPr>
        <w:tabs>
          <w:tab w:val="num" w:pos="3013"/>
        </w:tabs>
        <w:ind w:left="3013" w:hanging="360"/>
      </w:pPr>
      <w:rPr>
        <w:rFonts w:ascii="Courier New" w:hAnsi="Courier New" w:hint="default"/>
      </w:rPr>
    </w:lvl>
    <w:lvl w:ilvl="5" w:tplc="04080005" w:tentative="1">
      <w:start w:val="1"/>
      <w:numFmt w:val="bullet"/>
      <w:lvlText w:val=""/>
      <w:lvlJc w:val="left"/>
      <w:pPr>
        <w:tabs>
          <w:tab w:val="num" w:pos="3733"/>
        </w:tabs>
        <w:ind w:left="3733" w:hanging="360"/>
      </w:pPr>
      <w:rPr>
        <w:rFonts w:ascii="Wingdings" w:hAnsi="Wingdings" w:hint="default"/>
      </w:rPr>
    </w:lvl>
    <w:lvl w:ilvl="6" w:tplc="04080001" w:tentative="1">
      <w:start w:val="1"/>
      <w:numFmt w:val="bullet"/>
      <w:lvlText w:val=""/>
      <w:lvlJc w:val="left"/>
      <w:pPr>
        <w:tabs>
          <w:tab w:val="num" w:pos="4453"/>
        </w:tabs>
        <w:ind w:left="4453" w:hanging="360"/>
      </w:pPr>
      <w:rPr>
        <w:rFonts w:ascii="Symbol" w:hAnsi="Symbol" w:hint="default"/>
      </w:rPr>
    </w:lvl>
    <w:lvl w:ilvl="7" w:tplc="04080003" w:tentative="1">
      <w:start w:val="1"/>
      <w:numFmt w:val="bullet"/>
      <w:lvlText w:val="o"/>
      <w:lvlJc w:val="left"/>
      <w:pPr>
        <w:tabs>
          <w:tab w:val="num" w:pos="5173"/>
        </w:tabs>
        <w:ind w:left="5173" w:hanging="360"/>
      </w:pPr>
      <w:rPr>
        <w:rFonts w:ascii="Courier New" w:hAnsi="Courier New" w:hint="default"/>
      </w:rPr>
    </w:lvl>
    <w:lvl w:ilvl="8" w:tplc="04080005" w:tentative="1">
      <w:start w:val="1"/>
      <w:numFmt w:val="bullet"/>
      <w:lvlText w:val=""/>
      <w:lvlJc w:val="left"/>
      <w:pPr>
        <w:tabs>
          <w:tab w:val="num" w:pos="5893"/>
        </w:tabs>
        <w:ind w:left="5893" w:hanging="360"/>
      </w:pPr>
      <w:rPr>
        <w:rFonts w:ascii="Wingdings" w:hAnsi="Wingdings" w:hint="default"/>
      </w:rPr>
    </w:lvl>
  </w:abstractNum>
  <w:abstractNum w:abstractNumId="2">
    <w:nsid w:val="448E35D7"/>
    <w:multiLevelType w:val="hybridMultilevel"/>
    <w:tmpl w:val="5F826D86"/>
    <w:lvl w:ilvl="0" w:tplc="83CA6408">
      <w:start w:val="1"/>
      <w:numFmt w:val="bullet"/>
      <w:lvlText w:val=""/>
      <w:lvlJc w:val="left"/>
      <w:pPr>
        <w:tabs>
          <w:tab w:val="num" w:pos="360"/>
        </w:tabs>
        <w:ind w:left="360" w:hanging="360"/>
      </w:pPr>
      <w:rPr>
        <w:rFonts w:ascii="Symbol" w:hAnsi="Symbol" w:hint="default"/>
        <w:color w:val="auto"/>
      </w:rPr>
    </w:lvl>
    <w:lvl w:ilvl="1" w:tplc="04080003" w:tentative="1">
      <w:start w:val="1"/>
      <w:numFmt w:val="bullet"/>
      <w:lvlText w:val="o"/>
      <w:lvlJc w:val="left"/>
      <w:pPr>
        <w:tabs>
          <w:tab w:val="num" w:pos="853"/>
        </w:tabs>
        <w:ind w:left="853" w:hanging="360"/>
      </w:pPr>
      <w:rPr>
        <w:rFonts w:ascii="Courier New" w:hAnsi="Courier New" w:hint="default"/>
      </w:rPr>
    </w:lvl>
    <w:lvl w:ilvl="2" w:tplc="04080005" w:tentative="1">
      <w:start w:val="1"/>
      <w:numFmt w:val="bullet"/>
      <w:lvlText w:val=""/>
      <w:lvlJc w:val="left"/>
      <w:pPr>
        <w:tabs>
          <w:tab w:val="num" w:pos="1573"/>
        </w:tabs>
        <w:ind w:left="1573" w:hanging="360"/>
      </w:pPr>
      <w:rPr>
        <w:rFonts w:ascii="Wingdings" w:hAnsi="Wingdings" w:hint="default"/>
      </w:rPr>
    </w:lvl>
    <w:lvl w:ilvl="3" w:tplc="04080001" w:tentative="1">
      <w:start w:val="1"/>
      <w:numFmt w:val="bullet"/>
      <w:lvlText w:val=""/>
      <w:lvlJc w:val="left"/>
      <w:pPr>
        <w:tabs>
          <w:tab w:val="num" w:pos="2293"/>
        </w:tabs>
        <w:ind w:left="2293" w:hanging="360"/>
      </w:pPr>
      <w:rPr>
        <w:rFonts w:ascii="Symbol" w:hAnsi="Symbol" w:hint="default"/>
      </w:rPr>
    </w:lvl>
    <w:lvl w:ilvl="4" w:tplc="04080003" w:tentative="1">
      <w:start w:val="1"/>
      <w:numFmt w:val="bullet"/>
      <w:lvlText w:val="o"/>
      <w:lvlJc w:val="left"/>
      <w:pPr>
        <w:tabs>
          <w:tab w:val="num" w:pos="3013"/>
        </w:tabs>
        <w:ind w:left="3013" w:hanging="360"/>
      </w:pPr>
      <w:rPr>
        <w:rFonts w:ascii="Courier New" w:hAnsi="Courier New" w:hint="default"/>
      </w:rPr>
    </w:lvl>
    <w:lvl w:ilvl="5" w:tplc="04080005" w:tentative="1">
      <w:start w:val="1"/>
      <w:numFmt w:val="bullet"/>
      <w:lvlText w:val=""/>
      <w:lvlJc w:val="left"/>
      <w:pPr>
        <w:tabs>
          <w:tab w:val="num" w:pos="3733"/>
        </w:tabs>
        <w:ind w:left="3733" w:hanging="360"/>
      </w:pPr>
      <w:rPr>
        <w:rFonts w:ascii="Wingdings" w:hAnsi="Wingdings" w:hint="default"/>
      </w:rPr>
    </w:lvl>
    <w:lvl w:ilvl="6" w:tplc="04080001" w:tentative="1">
      <w:start w:val="1"/>
      <w:numFmt w:val="bullet"/>
      <w:lvlText w:val=""/>
      <w:lvlJc w:val="left"/>
      <w:pPr>
        <w:tabs>
          <w:tab w:val="num" w:pos="4453"/>
        </w:tabs>
        <w:ind w:left="4453" w:hanging="360"/>
      </w:pPr>
      <w:rPr>
        <w:rFonts w:ascii="Symbol" w:hAnsi="Symbol" w:hint="default"/>
      </w:rPr>
    </w:lvl>
    <w:lvl w:ilvl="7" w:tplc="04080003" w:tentative="1">
      <w:start w:val="1"/>
      <w:numFmt w:val="bullet"/>
      <w:lvlText w:val="o"/>
      <w:lvlJc w:val="left"/>
      <w:pPr>
        <w:tabs>
          <w:tab w:val="num" w:pos="5173"/>
        </w:tabs>
        <w:ind w:left="5173" w:hanging="360"/>
      </w:pPr>
      <w:rPr>
        <w:rFonts w:ascii="Courier New" w:hAnsi="Courier New" w:hint="default"/>
      </w:rPr>
    </w:lvl>
    <w:lvl w:ilvl="8" w:tplc="04080005" w:tentative="1">
      <w:start w:val="1"/>
      <w:numFmt w:val="bullet"/>
      <w:lvlText w:val=""/>
      <w:lvlJc w:val="left"/>
      <w:pPr>
        <w:tabs>
          <w:tab w:val="num" w:pos="5893"/>
        </w:tabs>
        <w:ind w:left="5893" w:hanging="360"/>
      </w:pPr>
      <w:rPr>
        <w:rFonts w:ascii="Wingdings" w:hAnsi="Wingdings" w:hint="default"/>
      </w:rPr>
    </w:lvl>
  </w:abstractNum>
  <w:abstractNum w:abstractNumId="3">
    <w:nsid w:val="6288483C"/>
    <w:multiLevelType w:val="hybridMultilevel"/>
    <w:tmpl w:val="DFA2E118"/>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
    <w:nsid w:val="74507EE8"/>
    <w:multiLevelType w:val="hybridMultilevel"/>
    <w:tmpl w:val="5CF48226"/>
    <w:lvl w:ilvl="0" w:tplc="2AA0C1AC">
      <w:start w:val="1"/>
      <w:numFmt w:val="decimal"/>
      <w:lvlText w:val="%1."/>
      <w:lvlJc w:val="left"/>
      <w:pPr>
        <w:tabs>
          <w:tab w:val="num" w:pos="720"/>
        </w:tabs>
        <w:ind w:left="720" w:hanging="360"/>
      </w:pPr>
      <w:rPr>
        <w:rFonts w:cs="Times New Roman" w:hint="default"/>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0"/>
  </w:num>
  <w:num w:numId="4">
    <w:abstractNumId w:val="1"/>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A02078"/>
    <w:rsid w:val="00000732"/>
    <w:rsid w:val="0000187C"/>
    <w:rsid w:val="00003BFB"/>
    <w:rsid w:val="00003FDE"/>
    <w:rsid w:val="000044CF"/>
    <w:rsid w:val="00004CE4"/>
    <w:rsid w:val="0000549C"/>
    <w:rsid w:val="00006049"/>
    <w:rsid w:val="000061EA"/>
    <w:rsid w:val="00011152"/>
    <w:rsid w:val="00011FDB"/>
    <w:rsid w:val="00012BAC"/>
    <w:rsid w:val="00013D51"/>
    <w:rsid w:val="0001477D"/>
    <w:rsid w:val="000158D6"/>
    <w:rsid w:val="00017349"/>
    <w:rsid w:val="00021806"/>
    <w:rsid w:val="00021C32"/>
    <w:rsid w:val="0002241F"/>
    <w:rsid w:val="00022E78"/>
    <w:rsid w:val="00023D33"/>
    <w:rsid w:val="00027A58"/>
    <w:rsid w:val="00035E57"/>
    <w:rsid w:val="0003713E"/>
    <w:rsid w:val="00042366"/>
    <w:rsid w:val="0004308B"/>
    <w:rsid w:val="00043FCD"/>
    <w:rsid w:val="00046605"/>
    <w:rsid w:val="00053704"/>
    <w:rsid w:val="00054D5D"/>
    <w:rsid w:val="00056A32"/>
    <w:rsid w:val="00060D16"/>
    <w:rsid w:val="00062C24"/>
    <w:rsid w:val="00062DD5"/>
    <w:rsid w:val="000635AD"/>
    <w:rsid w:val="00065B42"/>
    <w:rsid w:val="00065E0C"/>
    <w:rsid w:val="000716AF"/>
    <w:rsid w:val="00071895"/>
    <w:rsid w:val="00072675"/>
    <w:rsid w:val="00076C7C"/>
    <w:rsid w:val="000804D8"/>
    <w:rsid w:val="000811B0"/>
    <w:rsid w:val="00083D9A"/>
    <w:rsid w:val="000856FC"/>
    <w:rsid w:val="00085DA8"/>
    <w:rsid w:val="00092F10"/>
    <w:rsid w:val="00095B77"/>
    <w:rsid w:val="00096FAE"/>
    <w:rsid w:val="000A1BAC"/>
    <w:rsid w:val="000A2930"/>
    <w:rsid w:val="000A3155"/>
    <w:rsid w:val="000A4A3D"/>
    <w:rsid w:val="000A7CBA"/>
    <w:rsid w:val="000B1783"/>
    <w:rsid w:val="000B2C0A"/>
    <w:rsid w:val="000B2CFA"/>
    <w:rsid w:val="000B2D11"/>
    <w:rsid w:val="000C1112"/>
    <w:rsid w:val="000C1F80"/>
    <w:rsid w:val="000C4C0F"/>
    <w:rsid w:val="000C5FC6"/>
    <w:rsid w:val="000C7BE2"/>
    <w:rsid w:val="000D10BD"/>
    <w:rsid w:val="000D1AF9"/>
    <w:rsid w:val="000D234B"/>
    <w:rsid w:val="000D476C"/>
    <w:rsid w:val="000D529D"/>
    <w:rsid w:val="000D666E"/>
    <w:rsid w:val="000E4B9A"/>
    <w:rsid w:val="000F3F04"/>
    <w:rsid w:val="000F42E4"/>
    <w:rsid w:val="000F5C28"/>
    <w:rsid w:val="000F5F2D"/>
    <w:rsid w:val="000F7209"/>
    <w:rsid w:val="00101E00"/>
    <w:rsid w:val="00101FD9"/>
    <w:rsid w:val="00105B41"/>
    <w:rsid w:val="00110460"/>
    <w:rsid w:val="00127FFC"/>
    <w:rsid w:val="00130683"/>
    <w:rsid w:val="0013291E"/>
    <w:rsid w:val="00133C07"/>
    <w:rsid w:val="00134EBA"/>
    <w:rsid w:val="00137A55"/>
    <w:rsid w:val="001407A6"/>
    <w:rsid w:val="00140F6A"/>
    <w:rsid w:val="00141FFC"/>
    <w:rsid w:val="00142CA7"/>
    <w:rsid w:val="00145C49"/>
    <w:rsid w:val="001501E2"/>
    <w:rsid w:val="00150A9A"/>
    <w:rsid w:val="001535E0"/>
    <w:rsid w:val="0015416A"/>
    <w:rsid w:val="00155B27"/>
    <w:rsid w:val="00160291"/>
    <w:rsid w:val="0016276B"/>
    <w:rsid w:val="00164C79"/>
    <w:rsid w:val="00165F29"/>
    <w:rsid w:val="001664DE"/>
    <w:rsid w:val="001758B8"/>
    <w:rsid w:val="00177C45"/>
    <w:rsid w:val="00181864"/>
    <w:rsid w:val="00181C82"/>
    <w:rsid w:val="0019477A"/>
    <w:rsid w:val="001A07DC"/>
    <w:rsid w:val="001A2F94"/>
    <w:rsid w:val="001A3D2C"/>
    <w:rsid w:val="001A4E82"/>
    <w:rsid w:val="001B3C8C"/>
    <w:rsid w:val="001B3F04"/>
    <w:rsid w:val="001B52E0"/>
    <w:rsid w:val="001C0583"/>
    <w:rsid w:val="001C10A2"/>
    <w:rsid w:val="001C1CFC"/>
    <w:rsid w:val="001D1481"/>
    <w:rsid w:val="001D3836"/>
    <w:rsid w:val="001D50B8"/>
    <w:rsid w:val="001D7A68"/>
    <w:rsid w:val="001E0BF3"/>
    <w:rsid w:val="001E10FA"/>
    <w:rsid w:val="001E1AE8"/>
    <w:rsid w:val="001E1F3E"/>
    <w:rsid w:val="001E2205"/>
    <w:rsid w:val="001E2D00"/>
    <w:rsid w:val="001E5750"/>
    <w:rsid w:val="001E70ED"/>
    <w:rsid w:val="001F2060"/>
    <w:rsid w:val="001F3780"/>
    <w:rsid w:val="001F5641"/>
    <w:rsid w:val="001F65DC"/>
    <w:rsid w:val="001F6A85"/>
    <w:rsid w:val="001F726C"/>
    <w:rsid w:val="001F7B36"/>
    <w:rsid w:val="00200551"/>
    <w:rsid w:val="00201D19"/>
    <w:rsid w:val="00201EBC"/>
    <w:rsid w:val="00202322"/>
    <w:rsid w:val="002059EF"/>
    <w:rsid w:val="00212F1B"/>
    <w:rsid w:val="0021499A"/>
    <w:rsid w:val="00221683"/>
    <w:rsid w:val="002222D6"/>
    <w:rsid w:val="00222A77"/>
    <w:rsid w:val="0022492D"/>
    <w:rsid w:val="00225A95"/>
    <w:rsid w:val="00231D8A"/>
    <w:rsid w:val="00231FA8"/>
    <w:rsid w:val="00234D9D"/>
    <w:rsid w:val="00242D64"/>
    <w:rsid w:val="002447D1"/>
    <w:rsid w:val="00244FFE"/>
    <w:rsid w:val="00251FF7"/>
    <w:rsid w:val="0025460D"/>
    <w:rsid w:val="00256FAF"/>
    <w:rsid w:val="0026025A"/>
    <w:rsid w:val="00263904"/>
    <w:rsid w:val="00264012"/>
    <w:rsid w:val="002645D6"/>
    <w:rsid w:val="00267670"/>
    <w:rsid w:val="00267FC4"/>
    <w:rsid w:val="002705AC"/>
    <w:rsid w:val="0027294A"/>
    <w:rsid w:val="00273CD1"/>
    <w:rsid w:val="002762E4"/>
    <w:rsid w:val="00277080"/>
    <w:rsid w:val="00281D2A"/>
    <w:rsid w:val="00282FEA"/>
    <w:rsid w:val="002847B6"/>
    <w:rsid w:val="00284E38"/>
    <w:rsid w:val="00291894"/>
    <w:rsid w:val="002970AF"/>
    <w:rsid w:val="002977FA"/>
    <w:rsid w:val="002A1DC2"/>
    <w:rsid w:val="002A2FD5"/>
    <w:rsid w:val="002B1224"/>
    <w:rsid w:val="002B26B0"/>
    <w:rsid w:val="002B2777"/>
    <w:rsid w:val="002B4B7B"/>
    <w:rsid w:val="002C02C2"/>
    <w:rsid w:val="002C1C36"/>
    <w:rsid w:val="002C34E3"/>
    <w:rsid w:val="002C6675"/>
    <w:rsid w:val="002C69D8"/>
    <w:rsid w:val="002C7569"/>
    <w:rsid w:val="002C7A60"/>
    <w:rsid w:val="002D414F"/>
    <w:rsid w:val="002D5AF6"/>
    <w:rsid w:val="002D7C37"/>
    <w:rsid w:val="002E0128"/>
    <w:rsid w:val="002E2104"/>
    <w:rsid w:val="002E68A3"/>
    <w:rsid w:val="002F2484"/>
    <w:rsid w:val="002F657F"/>
    <w:rsid w:val="002F6639"/>
    <w:rsid w:val="002F6965"/>
    <w:rsid w:val="002F7E77"/>
    <w:rsid w:val="0030155B"/>
    <w:rsid w:val="003028B0"/>
    <w:rsid w:val="00303843"/>
    <w:rsid w:val="003060A7"/>
    <w:rsid w:val="00307443"/>
    <w:rsid w:val="00307802"/>
    <w:rsid w:val="00314E6C"/>
    <w:rsid w:val="0031528A"/>
    <w:rsid w:val="00315B53"/>
    <w:rsid w:val="003164FD"/>
    <w:rsid w:val="00316E83"/>
    <w:rsid w:val="003213C0"/>
    <w:rsid w:val="00322D3E"/>
    <w:rsid w:val="003276DF"/>
    <w:rsid w:val="00330BB2"/>
    <w:rsid w:val="003310EC"/>
    <w:rsid w:val="00332AAC"/>
    <w:rsid w:val="00334F02"/>
    <w:rsid w:val="00337442"/>
    <w:rsid w:val="003401A5"/>
    <w:rsid w:val="00352393"/>
    <w:rsid w:val="00353ED4"/>
    <w:rsid w:val="00354DAC"/>
    <w:rsid w:val="0035583F"/>
    <w:rsid w:val="0035619E"/>
    <w:rsid w:val="00360C21"/>
    <w:rsid w:val="003612C3"/>
    <w:rsid w:val="0036448E"/>
    <w:rsid w:val="003703B2"/>
    <w:rsid w:val="00370C98"/>
    <w:rsid w:val="003730EF"/>
    <w:rsid w:val="0037358E"/>
    <w:rsid w:val="00374698"/>
    <w:rsid w:val="00374F54"/>
    <w:rsid w:val="0038068D"/>
    <w:rsid w:val="003819EF"/>
    <w:rsid w:val="00387AFD"/>
    <w:rsid w:val="003902A1"/>
    <w:rsid w:val="00391CC3"/>
    <w:rsid w:val="003A0A95"/>
    <w:rsid w:val="003B3C6F"/>
    <w:rsid w:val="003B4221"/>
    <w:rsid w:val="003B429D"/>
    <w:rsid w:val="003B56FB"/>
    <w:rsid w:val="003B5DAB"/>
    <w:rsid w:val="003B78DF"/>
    <w:rsid w:val="003C02AE"/>
    <w:rsid w:val="003C1033"/>
    <w:rsid w:val="003C15E4"/>
    <w:rsid w:val="003C1CC0"/>
    <w:rsid w:val="003C2BD8"/>
    <w:rsid w:val="003C4DEE"/>
    <w:rsid w:val="003D0428"/>
    <w:rsid w:val="003D0BBD"/>
    <w:rsid w:val="003D3510"/>
    <w:rsid w:val="003D4264"/>
    <w:rsid w:val="003D42B7"/>
    <w:rsid w:val="003E07C2"/>
    <w:rsid w:val="003E0AEF"/>
    <w:rsid w:val="003E474F"/>
    <w:rsid w:val="003E48C4"/>
    <w:rsid w:val="003E5BB2"/>
    <w:rsid w:val="003F09AC"/>
    <w:rsid w:val="003F0F50"/>
    <w:rsid w:val="003F4744"/>
    <w:rsid w:val="003F4C45"/>
    <w:rsid w:val="003F4C55"/>
    <w:rsid w:val="003F5C2A"/>
    <w:rsid w:val="003F73EB"/>
    <w:rsid w:val="003F753D"/>
    <w:rsid w:val="00400F28"/>
    <w:rsid w:val="00401CB6"/>
    <w:rsid w:val="00402F2B"/>
    <w:rsid w:val="00404FC6"/>
    <w:rsid w:val="00416228"/>
    <w:rsid w:val="00422B19"/>
    <w:rsid w:val="004247B2"/>
    <w:rsid w:val="004256B9"/>
    <w:rsid w:val="00426C35"/>
    <w:rsid w:val="0042756D"/>
    <w:rsid w:val="00432801"/>
    <w:rsid w:val="00433366"/>
    <w:rsid w:val="004413A2"/>
    <w:rsid w:val="00441F07"/>
    <w:rsid w:val="00446692"/>
    <w:rsid w:val="00451352"/>
    <w:rsid w:val="00452E5D"/>
    <w:rsid w:val="00453C89"/>
    <w:rsid w:val="00460214"/>
    <w:rsid w:val="00461AEE"/>
    <w:rsid w:val="0046287D"/>
    <w:rsid w:val="00463C4B"/>
    <w:rsid w:val="00464462"/>
    <w:rsid w:val="00465843"/>
    <w:rsid w:val="0046784B"/>
    <w:rsid w:val="00467B87"/>
    <w:rsid w:val="004704CC"/>
    <w:rsid w:val="00470ECE"/>
    <w:rsid w:val="0047108C"/>
    <w:rsid w:val="004711CA"/>
    <w:rsid w:val="00473E75"/>
    <w:rsid w:val="00474DDA"/>
    <w:rsid w:val="0047587D"/>
    <w:rsid w:val="00476FDC"/>
    <w:rsid w:val="0048032F"/>
    <w:rsid w:val="00484100"/>
    <w:rsid w:val="00490E2E"/>
    <w:rsid w:val="0049255F"/>
    <w:rsid w:val="00492A3D"/>
    <w:rsid w:val="00494899"/>
    <w:rsid w:val="0049684C"/>
    <w:rsid w:val="00497B35"/>
    <w:rsid w:val="004A1F67"/>
    <w:rsid w:val="004A2513"/>
    <w:rsid w:val="004A3B70"/>
    <w:rsid w:val="004A4076"/>
    <w:rsid w:val="004A5723"/>
    <w:rsid w:val="004A57AE"/>
    <w:rsid w:val="004B177A"/>
    <w:rsid w:val="004B1D58"/>
    <w:rsid w:val="004B3498"/>
    <w:rsid w:val="004B415E"/>
    <w:rsid w:val="004B5A35"/>
    <w:rsid w:val="004C49D6"/>
    <w:rsid w:val="004C5EC6"/>
    <w:rsid w:val="004C605D"/>
    <w:rsid w:val="004C643F"/>
    <w:rsid w:val="004C670D"/>
    <w:rsid w:val="004D5A88"/>
    <w:rsid w:val="004E057D"/>
    <w:rsid w:val="004E14EA"/>
    <w:rsid w:val="004E51F1"/>
    <w:rsid w:val="004E7BAD"/>
    <w:rsid w:val="004F1764"/>
    <w:rsid w:val="004F468F"/>
    <w:rsid w:val="004F7B96"/>
    <w:rsid w:val="00500FB2"/>
    <w:rsid w:val="00501F40"/>
    <w:rsid w:val="00504BA4"/>
    <w:rsid w:val="005055E3"/>
    <w:rsid w:val="005063A1"/>
    <w:rsid w:val="00514041"/>
    <w:rsid w:val="00514434"/>
    <w:rsid w:val="005153BE"/>
    <w:rsid w:val="00516C60"/>
    <w:rsid w:val="00520482"/>
    <w:rsid w:val="00521BB2"/>
    <w:rsid w:val="00523660"/>
    <w:rsid w:val="005268B4"/>
    <w:rsid w:val="0053782D"/>
    <w:rsid w:val="0054348D"/>
    <w:rsid w:val="005453C9"/>
    <w:rsid w:val="0055288F"/>
    <w:rsid w:val="005618BE"/>
    <w:rsid w:val="00561CC7"/>
    <w:rsid w:val="00566D15"/>
    <w:rsid w:val="00573782"/>
    <w:rsid w:val="005755C6"/>
    <w:rsid w:val="0057638B"/>
    <w:rsid w:val="00576C25"/>
    <w:rsid w:val="00576DE8"/>
    <w:rsid w:val="00576F0E"/>
    <w:rsid w:val="00577C72"/>
    <w:rsid w:val="00581611"/>
    <w:rsid w:val="00582422"/>
    <w:rsid w:val="00582F00"/>
    <w:rsid w:val="005859E6"/>
    <w:rsid w:val="00585FD3"/>
    <w:rsid w:val="00593A55"/>
    <w:rsid w:val="00595208"/>
    <w:rsid w:val="005A0337"/>
    <w:rsid w:val="005A173D"/>
    <w:rsid w:val="005A1AA7"/>
    <w:rsid w:val="005A2700"/>
    <w:rsid w:val="005A2A32"/>
    <w:rsid w:val="005A3CEA"/>
    <w:rsid w:val="005B2349"/>
    <w:rsid w:val="005B37C1"/>
    <w:rsid w:val="005B6B65"/>
    <w:rsid w:val="005C0160"/>
    <w:rsid w:val="005C3AB4"/>
    <w:rsid w:val="005D2325"/>
    <w:rsid w:val="005D4744"/>
    <w:rsid w:val="005E2CAF"/>
    <w:rsid w:val="005E3CAF"/>
    <w:rsid w:val="005E455E"/>
    <w:rsid w:val="005E7000"/>
    <w:rsid w:val="005F0515"/>
    <w:rsid w:val="005F39C5"/>
    <w:rsid w:val="005F4972"/>
    <w:rsid w:val="005F51E8"/>
    <w:rsid w:val="00600456"/>
    <w:rsid w:val="00600581"/>
    <w:rsid w:val="00601AD9"/>
    <w:rsid w:val="0060249A"/>
    <w:rsid w:val="00602F6F"/>
    <w:rsid w:val="00607BD6"/>
    <w:rsid w:val="00611356"/>
    <w:rsid w:val="00612094"/>
    <w:rsid w:val="006120C6"/>
    <w:rsid w:val="0061485F"/>
    <w:rsid w:val="006149FB"/>
    <w:rsid w:val="00623484"/>
    <w:rsid w:val="0062421C"/>
    <w:rsid w:val="00626A23"/>
    <w:rsid w:val="00626AE6"/>
    <w:rsid w:val="00630742"/>
    <w:rsid w:val="0063255F"/>
    <w:rsid w:val="006470E2"/>
    <w:rsid w:val="00647E7E"/>
    <w:rsid w:val="00652608"/>
    <w:rsid w:val="006540A3"/>
    <w:rsid w:val="0065529E"/>
    <w:rsid w:val="006555BB"/>
    <w:rsid w:val="00655BDE"/>
    <w:rsid w:val="0066281F"/>
    <w:rsid w:val="006636A9"/>
    <w:rsid w:val="00663D88"/>
    <w:rsid w:val="00664771"/>
    <w:rsid w:val="00666885"/>
    <w:rsid w:val="00670F9E"/>
    <w:rsid w:val="00672E30"/>
    <w:rsid w:val="006736A6"/>
    <w:rsid w:val="006759E1"/>
    <w:rsid w:val="00675A71"/>
    <w:rsid w:val="006760FB"/>
    <w:rsid w:val="00676EC5"/>
    <w:rsid w:val="00680A70"/>
    <w:rsid w:val="00682C47"/>
    <w:rsid w:val="00683221"/>
    <w:rsid w:val="00686E7C"/>
    <w:rsid w:val="006871A1"/>
    <w:rsid w:val="006907F3"/>
    <w:rsid w:val="0069093B"/>
    <w:rsid w:val="006937D4"/>
    <w:rsid w:val="00695A92"/>
    <w:rsid w:val="006A204C"/>
    <w:rsid w:val="006A3EDA"/>
    <w:rsid w:val="006B00FE"/>
    <w:rsid w:val="006B0367"/>
    <w:rsid w:val="006B0BA9"/>
    <w:rsid w:val="006B0D9D"/>
    <w:rsid w:val="006B5A64"/>
    <w:rsid w:val="006B6277"/>
    <w:rsid w:val="006B682F"/>
    <w:rsid w:val="006B6BD5"/>
    <w:rsid w:val="006C174F"/>
    <w:rsid w:val="006C18B4"/>
    <w:rsid w:val="006C2DE0"/>
    <w:rsid w:val="006C3626"/>
    <w:rsid w:val="006C5D6A"/>
    <w:rsid w:val="006C7744"/>
    <w:rsid w:val="006D0AB1"/>
    <w:rsid w:val="006D2480"/>
    <w:rsid w:val="006D277C"/>
    <w:rsid w:val="006D4C86"/>
    <w:rsid w:val="006D4D24"/>
    <w:rsid w:val="006D5E73"/>
    <w:rsid w:val="006D6770"/>
    <w:rsid w:val="006E1117"/>
    <w:rsid w:val="006E5FC1"/>
    <w:rsid w:val="006E7740"/>
    <w:rsid w:val="006E7A0A"/>
    <w:rsid w:val="006E7B4C"/>
    <w:rsid w:val="006F4811"/>
    <w:rsid w:val="006F56A6"/>
    <w:rsid w:val="006F6DA7"/>
    <w:rsid w:val="006F6E70"/>
    <w:rsid w:val="0070176E"/>
    <w:rsid w:val="00702AEB"/>
    <w:rsid w:val="00704B8A"/>
    <w:rsid w:val="007067B8"/>
    <w:rsid w:val="00706D35"/>
    <w:rsid w:val="007122E6"/>
    <w:rsid w:val="007131D2"/>
    <w:rsid w:val="00714AF1"/>
    <w:rsid w:val="0071529F"/>
    <w:rsid w:val="00716DEB"/>
    <w:rsid w:val="0071796C"/>
    <w:rsid w:val="0072002A"/>
    <w:rsid w:val="00720295"/>
    <w:rsid w:val="00722255"/>
    <w:rsid w:val="0072235A"/>
    <w:rsid w:val="00724EA5"/>
    <w:rsid w:val="00725A0E"/>
    <w:rsid w:val="00725E77"/>
    <w:rsid w:val="0073738F"/>
    <w:rsid w:val="007408DE"/>
    <w:rsid w:val="00740D96"/>
    <w:rsid w:val="007416BF"/>
    <w:rsid w:val="0074348D"/>
    <w:rsid w:val="007505FB"/>
    <w:rsid w:val="007539ED"/>
    <w:rsid w:val="00754E02"/>
    <w:rsid w:val="00763320"/>
    <w:rsid w:val="00763BA8"/>
    <w:rsid w:val="00764BF7"/>
    <w:rsid w:val="007671C0"/>
    <w:rsid w:val="00770992"/>
    <w:rsid w:val="00771364"/>
    <w:rsid w:val="00771C82"/>
    <w:rsid w:val="007769DF"/>
    <w:rsid w:val="00777648"/>
    <w:rsid w:val="00781474"/>
    <w:rsid w:val="00781651"/>
    <w:rsid w:val="007817C8"/>
    <w:rsid w:val="0078398D"/>
    <w:rsid w:val="007875C3"/>
    <w:rsid w:val="00787952"/>
    <w:rsid w:val="00791AE7"/>
    <w:rsid w:val="00792B2E"/>
    <w:rsid w:val="007962C5"/>
    <w:rsid w:val="007A28F0"/>
    <w:rsid w:val="007A3057"/>
    <w:rsid w:val="007A4119"/>
    <w:rsid w:val="007A5B1B"/>
    <w:rsid w:val="007B16A1"/>
    <w:rsid w:val="007B41E8"/>
    <w:rsid w:val="007B54F2"/>
    <w:rsid w:val="007B6896"/>
    <w:rsid w:val="007B7177"/>
    <w:rsid w:val="007B78CD"/>
    <w:rsid w:val="007B7985"/>
    <w:rsid w:val="007C3FD6"/>
    <w:rsid w:val="007C4C9F"/>
    <w:rsid w:val="007D199D"/>
    <w:rsid w:val="007D3ABB"/>
    <w:rsid w:val="007D5788"/>
    <w:rsid w:val="007D6497"/>
    <w:rsid w:val="007D764F"/>
    <w:rsid w:val="007D7C50"/>
    <w:rsid w:val="007E2D3E"/>
    <w:rsid w:val="007E3607"/>
    <w:rsid w:val="007F1BBB"/>
    <w:rsid w:val="007F1C84"/>
    <w:rsid w:val="007F6511"/>
    <w:rsid w:val="00800023"/>
    <w:rsid w:val="00801B3B"/>
    <w:rsid w:val="00802669"/>
    <w:rsid w:val="00807A84"/>
    <w:rsid w:val="00807E92"/>
    <w:rsid w:val="00814582"/>
    <w:rsid w:val="00815095"/>
    <w:rsid w:val="00815700"/>
    <w:rsid w:val="0082027D"/>
    <w:rsid w:val="0082124A"/>
    <w:rsid w:val="00821300"/>
    <w:rsid w:val="00821A97"/>
    <w:rsid w:val="00821E62"/>
    <w:rsid w:val="00821F54"/>
    <w:rsid w:val="00822069"/>
    <w:rsid w:val="008277C5"/>
    <w:rsid w:val="008332F1"/>
    <w:rsid w:val="00837BC6"/>
    <w:rsid w:val="008402E2"/>
    <w:rsid w:val="00840CDD"/>
    <w:rsid w:val="00843122"/>
    <w:rsid w:val="008453F8"/>
    <w:rsid w:val="00846662"/>
    <w:rsid w:val="00847E6B"/>
    <w:rsid w:val="00850818"/>
    <w:rsid w:val="0085284F"/>
    <w:rsid w:val="00861BA1"/>
    <w:rsid w:val="00865F17"/>
    <w:rsid w:val="008713D6"/>
    <w:rsid w:val="00872283"/>
    <w:rsid w:val="00874BA4"/>
    <w:rsid w:val="00882069"/>
    <w:rsid w:val="00884B78"/>
    <w:rsid w:val="00885FB0"/>
    <w:rsid w:val="0088608B"/>
    <w:rsid w:val="00887CB6"/>
    <w:rsid w:val="008903A6"/>
    <w:rsid w:val="00891915"/>
    <w:rsid w:val="00893079"/>
    <w:rsid w:val="008941F3"/>
    <w:rsid w:val="00895257"/>
    <w:rsid w:val="00895B46"/>
    <w:rsid w:val="00897947"/>
    <w:rsid w:val="008B39A1"/>
    <w:rsid w:val="008B3B32"/>
    <w:rsid w:val="008B68A0"/>
    <w:rsid w:val="008C091A"/>
    <w:rsid w:val="008C572F"/>
    <w:rsid w:val="008D516B"/>
    <w:rsid w:val="008D6220"/>
    <w:rsid w:val="008D67FD"/>
    <w:rsid w:val="008E5BF4"/>
    <w:rsid w:val="008E75CB"/>
    <w:rsid w:val="008E7FCF"/>
    <w:rsid w:val="008F033C"/>
    <w:rsid w:val="008F0480"/>
    <w:rsid w:val="008F31C4"/>
    <w:rsid w:val="008F5C29"/>
    <w:rsid w:val="008F648A"/>
    <w:rsid w:val="008F6D28"/>
    <w:rsid w:val="0090057C"/>
    <w:rsid w:val="00907902"/>
    <w:rsid w:val="009109CC"/>
    <w:rsid w:val="00911370"/>
    <w:rsid w:val="009118A4"/>
    <w:rsid w:val="00914F23"/>
    <w:rsid w:val="009154DA"/>
    <w:rsid w:val="00915CF7"/>
    <w:rsid w:val="0091692E"/>
    <w:rsid w:val="009175DF"/>
    <w:rsid w:val="009208AD"/>
    <w:rsid w:val="009325FB"/>
    <w:rsid w:val="00932DC2"/>
    <w:rsid w:val="0093408E"/>
    <w:rsid w:val="00934A0E"/>
    <w:rsid w:val="00937DEC"/>
    <w:rsid w:val="0094048D"/>
    <w:rsid w:val="009409D3"/>
    <w:rsid w:val="009413E0"/>
    <w:rsid w:val="00941B0B"/>
    <w:rsid w:val="00942574"/>
    <w:rsid w:val="00942E2E"/>
    <w:rsid w:val="00947E65"/>
    <w:rsid w:val="00950B65"/>
    <w:rsid w:val="009518F9"/>
    <w:rsid w:val="00952B63"/>
    <w:rsid w:val="00953818"/>
    <w:rsid w:val="00960400"/>
    <w:rsid w:val="009673BA"/>
    <w:rsid w:val="00970B4F"/>
    <w:rsid w:val="00973900"/>
    <w:rsid w:val="00973C70"/>
    <w:rsid w:val="009750FC"/>
    <w:rsid w:val="00981906"/>
    <w:rsid w:val="009843D0"/>
    <w:rsid w:val="00987013"/>
    <w:rsid w:val="0099198C"/>
    <w:rsid w:val="00994360"/>
    <w:rsid w:val="009A2AD0"/>
    <w:rsid w:val="009A39BE"/>
    <w:rsid w:val="009A3CDC"/>
    <w:rsid w:val="009A5B34"/>
    <w:rsid w:val="009B4D07"/>
    <w:rsid w:val="009B77DD"/>
    <w:rsid w:val="009B7D8C"/>
    <w:rsid w:val="009C0257"/>
    <w:rsid w:val="009C11C7"/>
    <w:rsid w:val="009C12D1"/>
    <w:rsid w:val="009C1CAE"/>
    <w:rsid w:val="009C5A9F"/>
    <w:rsid w:val="009D3705"/>
    <w:rsid w:val="009D4E58"/>
    <w:rsid w:val="009D50F8"/>
    <w:rsid w:val="009E0112"/>
    <w:rsid w:val="009E4726"/>
    <w:rsid w:val="009F40A5"/>
    <w:rsid w:val="009F4CED"/>
    <w:rsid w:val="009F4DF1"/>
    <w:rsid w:val="009F6629"/>
    <w:rsid w:val="009F7D7E"/>
    <w:rsid w:val="00A013E2"/>
    <w:rsid w:val="00A014BE"/>
    <w:rsid w:val="00A02078"/>
    <w:rsid w:val="00A058D5"/>
    <w:rsid w:val="00A05D61"/>
    <w:rsid w:val="00A10AB3"/>
    <w:rsid w:val="00A10F70"/>
    <w:rsid w:val="00A1599B"/>
    <w:rsid w:val="00A1681F"/>
    <w:rsid w:val="00A21115"/>
    <w:rsid w:val="00A2203B"/>
    <w:rsid w:val="00A226D5"/>
    <w:rsid w:val="00A23CC7"/>
    <w:rsid w:val="00A27D4E"/>
    <w:rsid w:val="00A30920"/>
    <w:rsid w:val="00A32352"/>
    <w:rsid w:val="00A34CEF"/>
    <w:rsid w:val="00A35335"/>
    <w:rsid w:val="00A35902"/>
    <w:rsid w:val="00A404F5"/>
    <w:rsid w:val="00A41BA0"/>
    <w:rsid w:val="00A41D92"/>
    <w:rsid w:val="00A434FE"/>
    <w:rsid w:val="00A479C7"/>
    <w:rsid w:val="00A51078"/>
    <w:rsid w:val="00A53855"/>
    <w:rsid w:val="00A53A2D"/>
    <w:rsid w:val="00A545ED"/>
    <w:rsid w:val="00A5684E"/>
    <w:rsid w:val="00A56A66"/>
    <w:rsid w:val="00A610E7"/>
    <w:rsid w:val="00A61760"/>
    <w:rsid w:val="00A61D98"/>
    <w:rsid w:val="00A72114"/>
    <w:rsid w:val="00A806C8"/>
    <w:rsid w:val="00A850DC"/>
    <w:rsid w:val="00A91BB3"/>
    <w:rsid w:val="00A932BF"/>
    <w:rsid w:val="00A933EB"/>
    <w:rsid w:val="00A93895"/>
    <w:rsid w:val="00AA33ED"/>
    <w:rsid w:val="00AA3BBD"/>
    <w:rsid w:val="00AA41BF"/>
    <w:rsid w:val="00AA4FEE"/>
    <w:rsid w:val="00AB0796"/>
    <w:rsid w:val="00AB17A4"/>
    <w:rsid w:val="00AB2038"/>
    <w:rsid w:val="00AB2384"/>
    <w:rsid w:val="00AB5CF7"/>
    <w:rsid w:val="00AB787F"/>
    <w:rsid w:val="00AC1F92"/>
    <w:rsid w:val="00AC436C"/>
    <w:rsid w:val="00AC5398"/>
    <w:rsid w:val="00AC53E8"/>
    <w:rsid w:val="00AC64FD"/>
    <w:rsid w:val="00AD2DA5"/>
    <w:rsid w:val="00AD2EDD"/>
    <w:rsid w:val="00AD6D14"/>
    <w:rsid w:val="00AD7E23"/>
    <w:rsid w:val="00AE587C"/>
    <w:rsid w:val="00AF318C"/>
    <w:rsid w:val="00AF68AF"/>
    <w:rsid w:val="00B05000"/>
    <w:rsid w:val="00B051DA"/>
    <w:rsid w:val="00B05CF3"/>
    <w:rsid w:val="00B11F3D"/>
    <w:rsid w:val="00B137AC"/>
    <w:rsid w:val="00B15744"/>
    <w:rsid w:val="00B24E17"/>
    <w:rsid w:val="00B25959"/>
    <w:rsid w:val="00B303E9"/>
    <w:rsid w:val="00B3203F"/>
    <w:rsid w:val="00B3306A"/>
    <w:rsid w:val="00B34F06"/>
    <w:rsid w:val="00B37DDD"/>
    <w:rsid w:val="00B40A1E"/>
    <w:rsid w:val="00B43F4C"/>
    <w:rsid w:val="00B44386"/>
    <w:rsid w:val="00B472A2"/>
    <w:rsid w:val="00B500E5"/>
    <w:rsid w:val="00B50783"/>
    <w:rsid w:val="00B509FF"/>
    <w:rsid w:val="00B5243F"/>
    <w:rsid w:val="00B5371E"/>
    <w:rsid w:val="00B56D17"/>
    <w:rsid w:val="00B601A0"/>
    <w:rsid w:val="00B62C69"/>
    <w:rsid w:val="00B64080"/>
    <w:rsid w:val="00B70B3A"/>
    <w:rsid w:val="00B70D80"/>
    <w:rsid w:val="00B71A89"/>
    <w:rsid w:val="00B740FB"/>
    <w:rsid w:val="00B75AC8"/>
    <w:rsid w:val="00B776D6"/>
    <w:rsid w:val="00B7774D"/>
    <w:rsid w:val="00B80CC1"/>
    <w:rsid w:val="00B8136A"/>
    <w:rsid w:val="00B815B8"/>
    <w:rsid w:val="00B8382C"/>
    <w:rsid w:val="00B83F98"/>
    <w:rsid w:val="00B84DCA"/>
    <w:rsid w:val="00B855E4"/>
    <w:rsid w:val="00B869F9"/>
    <w:rsid w:val="00B871AC"/>
    <w:rsid w:val="00B9123A"/>
    <w:rsid w:val="00B91C26"/>
    <w:rsid w:val="00BA0DC9"/>
    <w:rsid w:val="00BA38B8"/>
    <w:rsid w:val="00BA5F97"/>
    <w:rsid w:val="00BA6DED"/>
    <w:rsid w:val="00BB1E15"/>
    <w:rsid w:val="00BB24AA"/>
    <w:rsid w:val="00BB2D4C"/>
    <w:rsid w:val="00BB6691"/>
    <w:rsid w:val="00BC368C"/>
    <w:rsid w:val="00BC487D"/>
    <w:rsid w:val="00BD0121"/>
    <w:rsid w:val="00BD0D98"/>
    <w:rsid w:val="00BD4421"/>
    <w:rsid w:val="00BD5661"/>
    <w:rsid w:val="00BE270B"/>
    <w:rsid w:val="00BE4EAD"/>
    <w:rsid w:val="00BE784A"/>
    <w:rsid w:val="00BF1097"/>
    <w:rsid w:val="00BF41AC"/>
    <w:rsid w:val="00C03DC4"/>
    <w:rsid w:val="00C04DDA"/>
    <w:rsid w:val="00C05D1C"/>
    <w:rsid w:val="00C07095"/>
    <w:rsid w:val="00C11464"/>
    <w:rsid w:val="00C15171"/>
    <w:rsid w:val="00C15C60"/>
    <w:rsid w:val="00C16FD1"/>
    <w:rsid w:val="00C2325D"/>
    <w:rsid w:val="00C2327A"/>
    <w:rsid w:val="00C23C7D"/>
    <w:rsid w:val="00C24653"/>
    <w:rsid w:val="00C2480E"/>
    <w:rsid w:val="00C26B66"/>
    <w:rsid w:val="00C30C05"/>
    <w:rsid w:val="00C313CC"/>
    <w:rsid w:val="00C33198"/>
    <w:rsid w:val="00C37CDC"/>
    <w:rsid w:val="00C451E7"/>
    <w:rsid w:val="00C46E1C"/>
    <w:rsid w:val="00C47305"/>
    <w:rsid w:val="00C50823"/>
    <w:rsid w:val="00C5162D"/>
    <w:rsid w:val="00C65933"/>
    <w:rsid w:val="00C65A17"/>
    <w:rsid w:val="00C662C6"/>
    <w:rsid w:val="00C71A1C"/>
    <w:rsid w:val="00C727B0"/>
    <w:rsid w:val="00C73D6D"/>
    <w:rsid w:val="00C80B8F"/>
    <w:rsid w:val="00C82524"/>
    <w:rsid w:val="00C838FE"/>
    <w:rsid w:val="00C844E0"/>
    <w:rsid w:val="00C8730C"/>
    <w:rsid w:val="00C875DF"/>
    <w:rsid w:val="00C90FF2"/>
    <w:rsid w:val="00C9101D"/>
    <w:rsid w:val="00C92761"/>
    <w:rsid w:val="00C977CF"/>
    <w:rsid w:val="00CA2A51"/>
    <w:rsid w:val="00CA44A4"/>
    <w:rsid w:val="00CA5574"/>
    <w:rsid w:val="00CB2D7B"/>
    <w:rsid w:val="00CB36E4"/>
    <w:rsid w:val="00CB4E3D"/>
    <w:rsid w:val="00CB77B0"/>
    <w:rsid w:val="00CC28FD"/>
    <w:rsid w:val="00CC4343"/>
    <w:rsid w:val="00CC561D"/>
    <w:rsid w:val="00CC56A8"/>
    <w:rsid w:val="00CD130B"/>
    <w:rsid w:val="00CD2C26"/>
    <w:rsid w:val="00CD335D"/>
    <w:rsid w:val="00CD4C13"/>
    <w:rsid w:val="00CE093A"/>
    <w:rsid w:val="00CE3FE2"/>
    <w:rsid w:val="00CE5447"/>
    <w:rsid w:val="00CF3ED3"/>
    <w:rsid w:val="00CF6243"/>
    <w:rsid w:val="00CF771E"/>
    <w:rsid w:val="00CF7FA3"/>
    <w:rsid w:val="00D110DA"/>
    <w:rsid w:val="00D13194"/>
    <w:rsid w:val="00D13EEC"/>
    <w:rsid w:val="00D20F72"/>
    <w:rsid w:val="00D23D6C"/>
    <w:rsid w:val="00D248FC"/>
    <w:rsid w:val="00D2541C"/>
    <w:rsid w:val="00D260F8"/>
    <w:rsid w:val="00D26D5F"/>
    <w:rsid w:val="00D26EB8"/>
    <w:rsid w:val="00D272C1"/>
    <w:rsid w:val="00D3525F"/>
    <w:rsid w:val="00D36DD8"/>
    <w:rsid w:val="00D44D4A"/>
    <w:rsid w:val="00D454E3"/>
    <w:rsid w:val="00D45823"/>
    <w:rsid w:val="00D479E7"/>
    <w:rsid w:val="00D5166E"/>
    <w:rsid w:val="00D557E0"/>
    <w:rsid w:val="00D64669"/>
    <w:rsid w:val="00D67C94"/>
    <w:rsid w:val="00D717B1"/>
    <w:rsid w:val="00D71923"/>
    <w:rsid w:val="00D72557"/>
    <w:rsid w:val="00D72DA4"/>
    <w:rsid w:val="00D76100"/>
    <w:rsid w:val="00D76591"/>
    <w:rsid w:val="00D76E9B"/>
    <w:rsid w:val="00D77FDF"/>
    <w:rsid w:val="00D869DA"/>
    <w:rsid w:val="00D8760A"/>
    <w:rsid w:val="00D91CB0"/>
    <w:rsid w:val="00D92229"/>
    <w:rsid w:val="00D9386F"/>
    <w:rsid w:val="00DA3F78"/>
    <w:rsid w:val="00DB28C9"/>
    <w:rsid w:val="00DB2B47"/>
    <w:rsid w:val="00DB300C"/>
    <w:rsid w:val="00DB4CDD"/>
    <w:rsid w:val="00DB5392"/>
    <w:rsid w:val="00DB618C"/>
    <w:rsid w:val="00DC1384"/>
    <w:rsid w:val="00DC34D3"/>
    <w:rsid w:val="00DC401D"/>
    <w:rsid w:val="00DC5228"/>
    <w:rsid w:val="00DD057B"/>
    <w:rsid w:val="00DD10B3"/>
    <w:rsid w:val="00DD796F"/>
    <w:rsid w:val="00DE3381"/>
    <w:rsid w:val="00DE497B"/>
    <w:rsid w:val="00DE5DA3"/>
    <w:rsid w:val="00DF3367"/>
    <w:rsid w:val="00DF40E5"/>
    <w:rsid w:val="00DF46E7"/>
    <w:rsid w:val="00DF5CB4"/>
    <w:rsid w:val="00DF5D13"/>
    <w:rsid w:val="00DF60C5"/>
    <w:rsid w:val="00DF7168"/>
    <w:rsid w:val="00E004FA"/>
    <w:rsid w:val="00E03634"/>
    <w:rsid w:val="00E04EB7"/>
    <w:rsid w:val="00E05DBF"/>
    <w:rsid w:val="00E05F44"/>
    <w:rsid w:val="00E0608C"/>
    <w:rsid w:val="00E1361D"/>
    <w:rsid w:val="00E151FC"/>
    <w:rsid w:val="00E161E7"/>
    <w:rsid w:val="00E203CD"/>
    <w:rsid w:val="00E21955"/>
    <w:rsid w:val="00E22AEE"/>
    <w:rsid w:val="00E3002F"/>
    <w:rsid w:val="00E30266"/>
    <w:rsid w:val="00E3407C"/>
    <w:rsid w:val="00E34D10"/>
    <w:rsid w:val="00E3684C"/>
    <w:rsid w:val="00E411FF"/>
    <w:rsid w:val="00E4493F"/>
    <w:rsid w:val="00E5044B"/>
    <w:rsid w:val="00E52B59"/>
    <w:rsid w:val="00E560DC"/>
    <w:rsid w:val="00E56816"/>
    <w:rsid w:val="00E64367"/>
    <w:rsid w:val="00E71A76"/>
    <w:rsid w:val="00E7243A"/>
    <w:rsid w:val="00E74817"/>
    <w:rsid w:val="00E776DE"/>
    <w:rsid w:val="00E8337A"/>
    <w:rsid w:val="00E85C35"/>
    <w:rsid w:val="00E90D7E"/>
    <w:rsid w:val="00E91136"/>
    <w:rsid w:val="00E92FB9"/>
    <w:rsid w:val="00E97580"/>
    <w:rsid w:val="00E97C07"/>
    <w:rsid w:val="00EA0730"/>
    <w:rsid w:val="00EA301B"/>
    <w:rsid w:val="00EA3255"/>
    <w:rsid w:val="00EA5A3E"/>
    <w:rsid w:val="00EA5EAB"/>
    <w:rsid w:val="00EB0657"/>
    <w:rsid w:val="00EB6D29"/>
    <w:rsid w:val="00EB6D86"/>
    <w:rsid w:val="00EC16CF"/>
    <w:rsid w:val="00EC38AC"/>
    <w:rsid w:val="00EC3FCC"/>
    <w:rsid w:val="00EC4C7F"/>
    <w:rsid w:val="00EC61E6"/>
    <w:rsid w:val="00EC6D7F"/>
    <w:rsid w:val="00ED0755"/>
    <w:rsid w:val="00ED4462"/>
    <w:rsid w:val="00ED5D68"/>
    <w:rsid w:val="00ED76FB"/>
    <w:rsid w:val="00EE087C"/>
    <w:rsid w:val="00EE1B4B"/>
    <w:rsid w:val="00EE20EF"/>
    <w:rsid w:val="00EE2C58"/>
    <w:rsid w:val="00EE5C12"/>
    <w:rsid w:val="00EE6896"/>
    <w:rsid w:val="00EF2DFF"/>
    <w:rsid w:val="00EF480B"/>
    <w:rsid w:val="00EF55CE"/>
    <w:rsid w:val="00F027B9"/>
    <w:rsid w:val="00F068DE"/>
    <w:rsid w:val="00F07D66"/>
    <w:rsid w:val="00F14336"/>
    <w:rsid w:val="00F22713"/>
    <w:rsid w:val="00F235DE"/>
    <w:rsid w:val="00F25DBF"/>
    <w:rsid w:val="00F2682A"/>
    <w:rsid w:val="00F26FC4"/>
    <w:rsid w:val="00F27750"/>
    <w:rsid w:val="00F31E17"/>
    <w:rsid w:val="00F32425"/>
    <w:rsid w:val="00F366F7"/>
    <w:rsid w:val="00F40D32"/>
    <w:rsid w:val="00F501AB"/>
    <w:rsid w:val="00F53EB4"/>
    <w:rsid w:val="00F60BFF"/>
    <w:rsid w:val="00F62898"/>
    <w:rsid w:val="00F745E8"/>
    <w:rsid w:val="00F751F8"/>
    <w:rsid w:val="00F75835"/>
    <w:rsid w:val="00F7609D"/>
    <w:rsid w:val="00F77F79"/>
    <w:rsid w:val="00F80FC6"/>
    <w:rsid w:val="00F81959"/>
    <w:rsid w:val="00F81B45"/>
    <w:rsid w:val="00F931C1"/>
    <w:rsid w:val="00F95DEA"/>
    <w:rsid w:val="00F973C3"/>
    <w:rsid w:val="00FA5C60"/>
    <w:rsid w:val="00FA6057"/>
    <w:rsid w:val="00FA7ABD"/>
    <w:rsid w:val="00FB19AB"/>
    <w:rsid w:val="00FB2FDC"/>
    <w:rsid w:val="00FB57E3"/>
    <w:rsid w:val="00FC1BF6"/>
    <w:rsid w:val="00FC1CDB"/>
    <w:rsid w:val="00FC1E99"/>
    <w:rsid w:val="00FC3D74"/>
    <w:rsid w:val="00FC3E00"/>
    <w:rsid w:val="00FC3ED6"/>
    <w:rsid w:val="00FC47C7"/>
    <w:rsid w:val="00FC4D3D"/>
    <w:rsid w:val="00FC68BC"/>
    <w:rsid w:val="00FC701A"/>
    <w:rsid w:val="00FD12A7"/>
    <w:rsid w:val="00FD1D9F"/>
    <w:rsid w:val="00FD6DF4"/>
    <w:rsid w:val="00FE2584"/>
    <w:rsid w:val="00FE3060"/>
    <w:rsid w:val="00FE370C"/>
    <w:rsid w:val="00FE3DD8"/>
    <w:rsid w:val="00FE48F5"/>
    <w:rsid w:val="00FE4926"/>
    <w:rsid w:val="00FE7391"/>
    <w:rsid w:val="00FE7AC8"/>
    <w:rsid w:val="00FF04B8"/>
    <w:rsid w:val="00FF2B9D"/>
    <w:rsid w:val="00FF340F"/>
    <w:rsid w:val="00FF4CB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A02078"/>
    <w:rPr>
      <w:rFonts w:ascii="Arial" w:hAnsi="Arial" w:cs="Arial"/>
      <w:sz w:val="24"/>
      <w:szCs w:val="24"/>
    </w:rPr>
  </w:style>
  <w:style w:type="paragraph" w:styleId="Heading1">
    <w:name w:val="heading 1"/>
    <w:basedOn w:val="Normal"/>
    <w:next w:val="Normal"/>
    <w:link w:val="Heading1Char"/>
    <w:uiPriority w:val="99"/>
    <w:qFormat/>
    <w:rsid w:val="00A02078"/>
    <w:pPr>
      <w:keepNext/>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9"/>
    <w:qFormat/>
    <w:rsid w:val="00A02078"/>
    <w:pPr>
      <w:keepNext/>
      <w:jc w:val="center"/>
      <w:outlineLvl w:val="1"/>
    </w:pPr>
    <w:rPr>
      <w:rFonts w:ascii="Times New Roman" w:hAnsi="Times New Roman" w:cs="Times New Roman"/>
      <w:b/>
      <w:bCs/>
      <w:i/>
      <w:iCs/>
      <w:sz w:val="18"/>
      <w:szCs w:val="18"/>
    </w:rPr>
  </w:style>
  <w:style w:type="paragraph" w:styleId="Heading3">
    <w:name w:val="heading 3"/>
    <w:basedOn w:val="Normal"/>
    <w:next w:val="Normal"/>
    <w:link w:val="Heading3Char"/>
    <w:uiPriority w:val="99"/>
    <w:qFormat/>
    <w:rsid w:val="00A02078"/>
    <w:pPr>
      <w:keepNext/>
      <w:spacing w:after="240" w:line="288" w:lineRule="auto"/>
      <w:jc w:val="both"/>
      <w:outlineLvl w:val="2"/>
    </w:pPr>
    <w:rPr>
      <w:rFonts w:ascii="Times New Roman" w:hAnsi="Times New Roman" w:cs="Times New Roman"/>
      <w:b/>
      <w:bCs/>
      <w:i/>
      <w:iCs/>
    </w:rPr>
  </w:style>
  <w:style w:type="paragraph" w:styleId="Heading4">
    <w:name w:val="heading 4"/>
    <w:basedOn w:val="Normal"/>
    <w:next w:val="Normal"/>
    <w:link w:val="Heading4Char"/>
    <w:uiPriority w:val="99"/>
    <w:qFormat/>
    <w:rsid w:val="00A02078"/>
    <w:pPr>
      <w:keepNext/>
      <w:spacing w:after="240" w:line="288" w:lineRule="auto"/>
      <w:jc w:val="center"/>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A02078"/>
    <w:pPr>
      <w:keepNext/>
      <w:spacing w:line="288" w:lineRule="auto"/>
      <w:jc w:val="center"/>
      <w:outlineLvl w:val="4"/>
    </w:pPr>
    <w:rPr>
      <w:rFonts w:ascii="Times New Roman" w:hAnsi="Times New Roman" w:cs="Times New Roman"/>
      <w:i/>
      <w:iCs/>
      <w:color w:val="000000"/>
      <w:sz w:val="18"/>
      <w:szCs w:val="18"/>
      <w:lang w:val="en-US"/>
    </w:rPr>
  </w:style>
  <w:style w:type="paragraph" w:styleId="Heading6">
    <w:name w:val="heading 6"/>
    <w:basedOn w:val="Normal"/>
    <w:next w:val="Normal"/>
    <w:link w:val="Heading6Char"/>
    <w:uiPriority w:val="99"/>
    <w:qFormat/>
    <w:rsid w:val="00A02078"/>
    <w:pPr>
      <w:keepNext/>
      <w:outlineLvl w:val="5"/>
    </w:pPr>
    <w:rPr>
      <w:rFonts w:ascii="Times New Roman" w:hAnsi="Times New Roman" w:cs="Times New Roman"/>
      <w:i/>
      <w:iCs/>
    </w:rPr>
  </w:style>
  <w:style w:type="paragraph" w:styleId="Heading7">
    <w:name w:val="heading 7"/>
    <w:basedOn w:val="Normal"/>
    <w:next w:val="Normal"/>
    <w:link w:val="Heading7Char"/>
    <w:uiPriority w:val="99"/>
    <w:qFormat/>
    <w:rsid w:val="00A02078"/>
    <w:pPr>
      <w:keepNext/>
      <w:outlineLvl w:val="6"/>
    </w:pPr>
    <w:rPr>
      <w:rFonts w:ascii="Times New Roman" w:hAnsi="Times New Roman" w:cs="Times New Roman"/>
      <w:b/>
      <w:bCs/>
      <w:sz w:val="18"/>
      <w:szCs w:val="18"/>
    </w:rPr>
  </w:style>
  <w:style w:type="paragraph" w:styleId="Heading8">
    <w:name w:val="heading 8"/>
    <w:basedOn w:val="Normal"/>
    <w:next w:val="Normal"/>
    <w:link w:val="Heading8Char"/>
    <w:uiPriority w:val="99"/>
    <w:qFormat/>
    <w:rsid w:val="00A02078"/>
    <w:pPr>
      <w:keepNext/>
      <w:outlineLvl w:val="7"/>
    </w:pPr>
    <w:rPr>
      <w:rFonts w:ascii="Times New Roman" w:hAnsi="Times New Roman" w:cs="Times New Roman"/>
      <w:i/>
      <w:iCs/>
      <w:sz w:val="18"/>
      <w:szCs w:val="18"/>
    </w:rPr>
  </w:style>
  <w:style w:type="paragraph" w:styleId="Heading9">
    <w:name w:val="heading 9"/>
    <w:basedOn w:val="Normal"/>
    <w:next w:val="Normal"/>
    <w:link w:val="Heading9Char"/>
    <w:uiPriority w:val="99"/>
    <w:qFormat/>
    <w:rsid w:val="00A02078"/>
    <w:pPr>
      <w:keepNext/>
      <w:spacing w:line="288" w:lineRule="auto"/>
      <w:ind w:left="709"/>
      <w:jc w:val="both"/>
      <w:outlineLvl w:val="8"/>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4726"/>
    <w:rPr>
      <w:rFonts w:cs="Times New Roman"/>
      <w:b/>
      <w:bCs/>
      <w:sz w:val="24"/>
      <w:szCs w:val="24"/>
      <w:lang w:val="el-GR" w:eastAsia="el-GR" w:bidi="ar-SA"/>
    </w:rPr>
  </w:style>
  <w:style w:type="character" w:customStyle="1" w:styleId="Heading2Char">
    <w:name w:val="Heading 2 Char"/>
    <w:basedOn w:val="DefaultParagraphFont"/>
    <w:link w:val="Heading2"/>
    <w:uiPriority w:val="99"/>
    <w:locked/>
    <w:rsid w:val="009E4726"/>
    <w:rPr>
      <w:rFonts w:cs="Times New Roman"/>
      <w:b/>
      <w:bCs/>
      <w:i/>
      <w:iCs/>
      <w:sz w:val="18"/>
      <w:szCs w:val="18"/>
      <w:lang w:val="el-GR" w:eastAsia="el-GR" w:bidi="ar-SA"/>
    </w:rPr>
  </w:style>
  <w:style w:type="character" w:customStyle="1" w:styleId="Heading3Char">
    <w:name w:val="Heading 3 Char"/>
    <w:basedOn w:val="DefaultParagraphFont"/>
    <w:link w:val="Heading3"/>
    <w:uiPriority w:val="99"/>
    <w:semiHidden/>
    <w:locked/>
    <w:rsid w:val="002C34E3"/>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2C34E3"/>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2C34E3"/>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2C34E3"/>
    <w:rPr>
      <w:rFonts w:ascii="Calibri" w:hAnsi="Calibri" w:cs="Times New Roman"/>
      <w:b/>
      <w:bCs/>
    </w:rPr>
  </w:style>
  <w:style w:type="character" w:customStyle="1" w:styleId="Heading7Char">
    <w:name w:val="Heading 7 Char"/>
    <w:basedOn w:val="DefaultParagraphFont"/>
    <w:link w:val="Heading7"/>
    <w:uiPriority w:val="99"/>
    <w:locked/>
    <w:rsid w:val="009E4726"/>
    <w:rPr>
      <w:rFonts w:cs="Times New Roman"/>
      <w:b/>
      <w:bCs/>
      <w:sz w:val="18"/>
      <w:szCs w:val="18"/>
      <w:lang w:val="el-GR" w:eastAsia="el-GR" w:bidi="ar-SA"/>
    </w:rPr>
  </w:style>
  <w:style w:type="character" w:customStyle="1" w:styleId="Heading8Char">
    <w:name w:val="Heading 8 Char"/>
    <w:basedOn w:val="DefaultParagraphFont"/>
    <w:link w:val="Heading8"/>
    <w:uiPriority w:val="99"/>
    <w:semiHidden/>
    <w:locked/>
    <w:rsid w:val="002C34E3"/>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2C34E3"/>
    <w:rPr>
      <w:rFonts w:ascii="Cambria" w:hAnsi="Cambria" w:cs="Times New Roman"/>
    </w:rPr>
  </w:style>
  <w:style w:type="paragraph" w:styleId="BalloonText">
    <w:name w:val="Balloon Text"/>
    <w:basedOn w:val="Normal"/>
    <w:link w:val="BalloonTextChar"/>
    <w:uiPriority w:val="99"/>
    <w:semiHidden/>
    <w:rsid w:val="00A0207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34E3"/>
    <w:rPr>
      <w:rFonts w:cs="Arial"/>
      <w:sz w:val="2"/>
    </w:rPr>
  </w:style>
  <w:style w:type="table" w:styleId="TableContemporary">
    <w:name w:val="Table Contemporary"/>
    <w:basedOn w:val="TableNormal"/>
    <w:uiPriority w:val="99"/>
    <w:rsid w:val="009E4726"/>
    <w:rPr>
      <w:sz w:val="20"/>
      <w:szCs w:val="20"/>
    </w:rPr>
    <w:tblPr>
      <w:tblStyleRowBandSize w:val="1"/>
      <w:tblInd w:w="0" w:type="dxa"/>
      <w:tblBorders>
        <w:top w:val="single" w:sz="4" w:space="0" w:color="auto"/>
        <w:left w:val="single" w:sz="4" w:space="0" w:color="auto"/>
        <w:bottom w:val="single" w:sz="4" w:space="0" w:color="auto"/>
        <w:right w:val="single" w:sz="4" w:space="0" w:color="auto"/>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Header">
    <w:name w:val="header"/>
    <w:basedOn w:val="Normal"/>
    <w:link w:val="HeaderChar"/>
    <w:uiPriority w:val="99"/>
    <w:rsid w:val="00A02078"/>
    <w:pPr>
      <w:tabs>
        <w:tab w:val="center" w:pos="4153"/>
        <w:tab w:val="right" w:pos="8306"/>
      </w:tabs>
    </w:pPr>
  </w:style>
  <w:style w:type="character" w:customStyle="1" w:styleId="HeaderChar">
    <w:name w:val="Header Char"/>
    <w:basedOn w:val="DefaultParagraphFont"/>
    <w:link w:val="Header"/>
    <w:uiPriority w:val="99"/>
    <w:semiHidden/>
    <w:locked/>
    <w:rsid w:val="002C34E3"/>
    <w:rPr>
      <w:rFonts w:ascii="Arial" w:hAnsi="Arial" w:cs="Arial"/>
      <w:sz w:val="24"/>
      <w:szCs w:val="24"/>
    </w:rPr>
  </w:style>
  <w:style w:type="character" w:styleId="PageNumber">
    <w:name w:val="page number"/>
    <w:basedOn w:val="DefaultParagraphFont"/>
    <w:uiPriority w:val="99"/>
    <w:rsid w:val="00A02078"/>
    <w:rPr>
      <w:rFonts w:cs="Times New Roman"/>
    </w:rPr>
  </w:style>
  <w:style w:type="paragraph" w:styleId="BodyText">
    <w:name w:val="Body Text"/>
    <w:basedOn w:val="Normal"/>
    <w:link w:val="BodyTextChar"/>
    <w:uiPriority w:val="99"/>
    <w:rsid w:val="00A02078"/>
    <w:pPr>
      <w:spacing w:line="360" w:lineRule="auto"/>
      <w:jc w:val="both"/>
    </w:pPr>
    <w:rPr>
      <w:rFonts w:ascii="Times New Roman" w:hAnsi="Times New Roman" w:cs="Times New Roman"/>
      <w:u w:val="single"/>
    </w:rPr>
  </w:style>
  <w:style w:type="character" w:customStyle="1" w:styleId="BodyTextChar">
    <w:name w:val="Body Text Char"/>
    <w:basedOn w:val="DefaultParagraphFont"/>
    <w:link w:val="BodyText"/>
    <w:uiPriority w:val="99"/>
    <w:locked/>
    <w:rsid w:val="009E4726"/>
    <w:rPr>
      <w:rFonts w:cs="Times New Roman"/>
      <w:sz w:val="24"/>
      <w:szCs w:val="24"/>
      <w:u w:val="single"/>
      <w:lang w:val="el-GR" w:eastAsia="el-GR" w:bidi="ar-SA"/>
    </w:rPr>
  </w:style>
  <w:style w:type="paragraph" w:styleId="BodyTextIndent">
    <w:name w:val="Body Text Indent"/>
    <w:basedOn w:val="Normal"/>
    <w:link w:val="BodyTextIndentChar"/>
    <w:uiPriority w:val="99"/>
    <w:rsid w:val="00A02078"/>
    <w:pPr>
      <w:tabs>
        <w:tab w:val="left" w:pos="426"/>
      </w:tabs>
      <w:spacing w:line="288" w:lineRule="auto"/>
      <w:ind w:left="284"/>
      <w:jc w:val="both"/>
    </w:pPr>
    <w:rPr>
      <w:rFonts w:ascii="Tahoma" w:hAnsi="Tahoma" w:cs="Tahoma"/>
    </w:rPr>
  </w:style>
  <w:style w:type="character" w:customStyle="1" w:styleId="BodyTextIndentChar">
    <w:name w:val="Body Text Indent Char"/>
    <w:basedOn w:val="DefaultParagraphFont"/>
    <w:link w:val="BodyTextIndent"/>
    <w:uiPriority w:val="99"/>
    <w:semiHidden/>
    <w:locked/>
    <w:rsid w:val="002C34E3"/>
    <w:rPr>
      <w:rFonts w:ascii="Arial" w:hAnsi="Arial" w:cs="Arial"/>
      <w:sz w:val="24"/>
      <w:szCs w:val="24"/>
    </w:rPr>
  </w:style>
  <w:style w:type="paragraph" w:styleId="Footer">
    <w:name w:val="footer"/>
    <w:basedOn w:val="Normal"/>
    <w:link w:val="FooterChar"/>
    <w:uiPriority w:val="99"/>
    <w:rsid w:val="00A02078"/>
    <w:pPr>
      <w:tabs>
        <w:tab w:val="center" w:pos="4153"/>
        <w:tab w:val="right" w:pos="8306"/>
      </w:tabs>
    </w:pPr>
  </w:style>
  <w:style w:type="character" w:customStyle="1" w:styleId="FooterChar">
    <w:name w:val="Footer Char"/>
    <w:basedOn w:val="DefaultParagraphFont"/>
    <w:link w:val="Footer"/>
    <w:uiPriority w:val="99"/>
    <w:semiHidden/>
    <w:locked/>
    <w:rsid w:val="002C34E3"/>
    <w:rPr>
      <w:rFonts w:ascii="Arial" w:hAnsi="Arial" w:cs="Arial"/>
      <w:sz w:val="24"/>
      <w:szCs w:val="24"/>
    </w:rPr>
  </w:style>
  <w:style w:type="paragraph" w:customStyle="1" w:styleId="BodyText26">
    <w:name w:val="Body Text 26"/>
    <w:basedOn w:val="Normal"/>
    <w:uiPriority w:val="99"/>
    <w:rsid w:val="00A02078"/>
    <w:pPr>
      <w:spacing w:after="240" w:line="288" w:lineRule="auto"/>
      <w:jc w:val="both"/>
    </w:pPr>
    <w:rPr>
      <w:rFonts w:ascii="Times New Roman" w:hAnsi="Times New Roman" w:cs="Times New Roman"/>
    </w:rPr>
  </w:style>
  <w:style w:type="paragraph" w:customStyle="1" w:styleId="BodyText25">
    <w:name w:val="Body Text 25"/>
    <w:basedOn w:val="Normal"/>
    <w:uiPriority w:val="99"/>
    <w:rsid w:val="00A02078"/>
    <w:pPr>
      <w:spacing w:after="240" w:line="288" w:lineRule="auto"/>
      <w:jc w:val="both"/>
    </w:pPr>
    <w:rPr>
      <w:rFonts w:ascii="Times New Roman" w:hAnsi="Times New Roman" w:cs="Times New Roman"/>
      <w:b/>
      <w:bCs/>
      <w:u w:val="single"/>
    </w:rPr>
  </w:style>
  <w:style w:type="paragraph" w:customStyle="1" w:styleId="BodyText24">
    <w:name w:val="Body Text 24"/>
    <w:basedOn w:val="Normal"/>
    <w:uiPriority w:val="99"/>
    <w:rsid w:val="00A02078"/>
    <w:pPr>
      <w:spacing w:after="240" w:line="288" w:lineRule="auto"/>
      <w:jc w:val="both"/>
    </w:pPr>
    <w:rPr>
      <w:rFonts w:ascii="Times New Roman" w:hAnsi="Times New Roman" w:cs="Times New Roman"/>
      <w:b/>
      <w:bCs/>
      <w:i/>
      <w:iCs/>
      <w:u w:val="single"/>
    </w:rPr>
  </w:style>
  <w:style w:type="paragraph" w:customStyle="1" w:styleId="BodyText23">
    <w:name w:val="Body Text 23"/>
    <w:basedOn w:val="Normal"/>
    <w:uiPriority w:val="99"/>
    <w:rsid w:val="00A02078"/>
    <w:pPr>
      <w:spacing w:line="360" w:lineRule="auto"/>
      <w:jc w:val="both"/>
    </w:pPr>
    <w:rPr>
      <w:rFonts w:ascii="Times New Roman" w:hAnsi="Times New Roman" w:cs="Times New Roman"/>
      <w:i/>
      <w:iCs/>
    </w:rPr>
  </w:style>
  <w:style w:type="paragraph" w:customStyle="1" w:styleId="Oooe4">
    <w:name w:val="Oooe4"/>
    <w:basedOn w:val="Normal"/>
    <w:uiPriority w:val="99"/>
    <w:rsid w:val="00A02078"/>
    <w:pPr>
      <w:spacing w:before="120" w:after="120" w:line="360" w:lineRule="auto"/>
      <w:jc w:val="both"/>
    </w:pPr>
    <w:rPr>
      <w:rFonts w:ascii="Times New Roman" w:hAnsi="Times New Roman" w:cs="Times New Roman"/>
      <w:sz w:val="22"/>
      <w:szCs w:val="22"/>
    </w:rPr>
  </w:style>
  <w:style w:type="paragraph" w:customStyle="1" w:styleId="BodyText22">
    <w:name w:val="Body Text 22"/>
    <w:basedOn w:val="Normal"/>
    <w:uiPriority w:val="99"/>
    <w:rsid w:val="00A02078"/>
    <w:pPr>
      <w:spacing w:after="240" w:line="288" w:lineRule="auto"/>
      <w:jc w:val="both"/>
    </w:pPr>
    <w:rPr>
      <w:rFonts w:ascii="Times New Roman" w:hAnsi="Times New Roman" w:cs="Times New Roman"/>
    </w:rPr>
  </w:style>
  <w:style w:type="paragraph" w:styleId="FootnoteText">
    <w:name w:val="footnote text"/>
    <w:basedOn w:val="Normal"/>
    <w:link w:val="FootnoteTextChar"/>
    <w:uiPriority w:val="99"/>
    <w:semiHidden/>
    <w:rsid w:val="00A02078"/>
    <w:rPr>
      <w:rFonts w:ascii="Times New Roman" w:hAnsi="Times New Roman" w:cs="Times New Roman"/>
      <w:sz w:val="20"/>
      <w:szCs w:val="20"/>
      <w:lang w:val="en-GB"/>
    </w:rPr>
  </w:style>
  <w:style w:type="character" w:customStyle="1" w:styleId="FootnoteTextChar">
    <w:name w:val="Footnote Text Char"/>
    <w:basedOn w:val="DefaultParagraphFont"/>
    <w:link w:val="FootnoteText"/>
    <w:uiPriority w:val="99"/>
    <w:semiHidden/>
    <w:locked/>
    <w:rsid w:val="002C34E3"/>
    <w:rPr>
      <w:rFonts w:ascii="Arial" w:hAnsi="Arial" w:cs="Arial"/>
      <w:sz w:val="20"/>
      <w:szCs w:val="20"/>
    </w:rPr>
  </w:style>
  <w:style w:type="character" w:styleId="FootnoteReference">
    <w:name w:val="footnote reference"/>
    <w:basedOn w:val="DefaultParagraphFont"/>
    <w:uiPriority w:val="99"/>
    <w:semiHidden/>
    <w:rsid w:val="00A02078"/>
    <w:rPr>
      <w:rFonts w:cs="Times New Roman"/>
      <w:vertAlign w:val="superscript"/>
    </w:rPr>
  </w:style>
  <w:style w:type="paragraph" w:customStyle="1" w:styleId="BodyText21">
    <w:name w:val="Body Text 21"/>
    <w:basedOn w:val="Normal"/>
    <w:uiPriority w:val="99"/>
    <w:rsid w:val="00A02078"/>
    <w:pPr>
      <w:spacing w:line="312" w:lineRule="auto"/>
      <w:ind w:left="720" w:hanging="720"/>
      <w:jc w:val="both"/>
    </w:pPr>
    <w:rPr>
      <w:rFonts w:ascii="Times New Roman" w:hAnsi="Times New Roman" w:cs="Times New Roman"/>
    </w:rPr>
  </w:style>
  <w:style w:type="paragraph" w:styleId="BodyText3">
    <w:name w:val="Body Text 3"/>
    <w:basedOn w:val="Normal"/>
    <w:link w:val="BodyText3Char"/>
    <w:uiPriority w:val="99"/>
    <w:rsid w:val="00A02078"/>
    <w:pPr>
      <w:spacing w:before="360" w:after="240" w:line="288" w:lineRule="auto"/>
      <w:ind w:right="-193"/>
      <w:jc w:val="both"/>
    </w:pPr>
    <w:rPr>
      <w:rFonts w:ascii="Times New Roman" w:hAnsi="Times New Roman" w:cs="Times New Roman"/>
    </w:rPr>
  </w:style>
  <w:style w:type="character" w:customStyle="1" w:styleId="BodyText3Char">
    <w:name w:val="Body Text 3 Char"/>
    <w:basedOn w:val="DefaultParagraphFont"/>
    <w:link w:val="BodyText3"/>
    <w:uiPriority w:val="99"/>
    <w:semiHidden/>
    <w:locked/>
    <w:rsid w:val="002C34E3"/>
    <w:rPr>
      <w:rFonts w:ascii="Arial" w:hAnsi="Arial" w:cs="Arial"/>
      <w:sz w:val="16"/>
      <w:szCs w:val="16"/>
    </w:rPr>
  </w:style>
  <w:style w:type="paragraph" w:styleId="BodyTextIndent2">
    <w:name w:val="Body Text Indent 2"/>
    <w:basedOn w:val="Normal"/>
    <w:link w:val="BodyTextIndent2Char"/>
    <w:uiPriority w:val="99"/>
    <w:rsid w:val="00A02078"/>
    <w:pPr>
      <w:tabs>
        <w:tab w:val="left" w:pos="4536"/>
      </w:tabs>
      <w:spacing w:line="288" w:lineRule="auto"/>
      <w:ind w:left="426"/>
      <w:jc w:val="both"/>
    </w:pPr>
    <w:rPr>
      <w:rFonts w:ascii="Tahoma" w:hAnsi="Tahoma" w:cs="Tahoma"/>
    </w:rPr>
  </w:style>
  <w:style w:type="character" w:customStyle="1" w:styleId="BodyTextIndent2Char">
    <w:name w:val="Body Text Indent 2 Char"/>
    <w:basedOn w:val="DefaultParagraphFont"/>
    <w:link w:val="BodyTextIndent2"/>
    <w:uiPriority w:val="99"/>
    <w:semiHidden/>
    <w:locked/>
    <w:rsid w:val="002C34E3"/>
    <w:rPr>
      <w:rFonts w:ascii="Arial" w:hAnsi="Arial" w:cs="Arial"/>
      <w:sz w:val="24"/>
      <w:szCs w:val="24"/>
    </w:rPr>
  </w:style>
  <w:style w:type="paragraph" w:customStyle="1" w:styleId="6">
    <w:name w:val="Στυλ6"/>
    <w:basedOn w:val="Normal"/>
    <w:uiPriority w:val="99"/>
    <w:rsid w:val="00A02078"/>
    <w:rPr>
      <w:rFonts w:ascii="Times New Roman" w:hAnsi="Times New Roman" w:cs="Times New Roman"/>
      <w:b/>
      <w:bCs/>
      <w:smallCaps/>
      <w:sz w:val="28"/>
      <w:szCs w:val="28"/>
    </w:rPr>
  </w:style>
  <w:style w:type="paragraph" w:styleId="BodyText2">
    <w:name w:val="Body Text 2"/>
    <w:basedOn w:val="Normal"/>
    <w:link w:val="BodyText2Char"/>
    <w:uiPriority w:val="99"/>
    <w:rsid w:val="00A02078"/>
    <w:pPr>
      <w:spacing w:before="120" w:after="120" w:line="360" w:lineRule="auto"/>
      <w:jc w:val="both"/>
    </w:pPr>
    <w:rPr>
      <w:rFonts w:ascii="Times New Roman" w:hAnsi="Times New Roman" w:cs="Times New Roman"/>
      <w:b/>
      <w:bCs/>
      <w:sz w:val="32"/>
      <w:szCs w:val="32"/>
    </w:rPr>
  </w:style>
  <w:style w:type="character" w:customStyle="1" w:styleId="BodyText2Char">
    <w:name w:val="Body Text 2 Char"/>
    <w:basedOn w:val="DefaultParagraphFont"/>
    <w:link w:val="BodyText2"/>
    <w:uiPriority w:val="99"/>
    <w:locked/>
    <w:rsid w:val="00E560DC"/>
    <w:rPr>
      <w:rFonts w:cs="Times New Roman"/>
      <w:b/>
      <w:bCs/>
      <w:sz w:val="32"/>
      <w:szCs w:val="32"/>
      <w:lang w:val="el-GR" w:eastAsia="el-GR" w:bidi="ar-SA"/>
    </w:rPr>
  </w:style>
  <w:style w:type="paragraph" w:styleId="BodyTextIndent3">
    <w:name w:val="Body Text Indent 3"/>
    <w:basedOn w:val="Normal"/>
    <w:link w:val="BodyTextIndent3Char"/>
    <w:uiPriority w:val="99"/>
    <w:rsid w:val="00A02078"/>
    <w:pPr>
      <w:spacing w:before="120" w:line="360" w:lineRule="auto"/>
      <w:ind w:left="3260" w:hanging="3402"/>
      <w:jc w:val="both"/>
    </w:pPr>
    <w:rPr>
      <w:rFonts w:ascii="Tahoma" w:hAnsi="Tahoma" w:cs="Tahoma"/>
      <w:b/>
      <w:bCs/>
      <w:i/>
      <w:iCs/>
      <w:lang w:val="en-US"/>
    </w:rPr>
  </w:style>
  <w:style w:type="character" w:customStyle="1" w:styleId="BodyTextIndent3Char">
    <w:name w:val="Body Text Indent 3 Char"/>
    <w:basedOn w:val="DefaultParagraphFont"/>
    <w:link w:val="BodyTextIndent3"/>
    <w:uiPriority w:val="99"/>
    <w:semiHidden/>
    <w:locked/>
    <w:rsid w:val="002C34E3"/>
    <w:rPr>
      <w:rFonts w:ascii="Arial" w:hAnsi="Arial" w:cs="Arial"/>
      <w:sz w:val="16"/>
      <w:szCs w:val="16"/>
    </w:rPr>
  </w:style>
  <w:style w:type="character" w:styleId="CommentReference">
    <w:name w:val="annotation reference"/>
    <w:basedOn w:val="DefaultParagraphFont"/>
    <w:uiPriority w:val="99"/>
    <w:semiHidden/>
    <w:rsid w:val="00A02078"/>
    <w:rPr>
      <w:rFonts w:cs="Times New Roman"/>
      <w:sz w:val="16"/>
      <w:szCs w:val="16"/>
    </w:rPr>
  </w:style>
  <w:style w:type="paragraph" w:styleId="CommentText">
    <w:name w:val="annotation text"/>
    <w:basedOn w:val="Normal"/>
    <w:link w:val="CommentTextChar"/>
    <w:uiPriority w:val="99"/>
    <w:semiHidden/>
    <w:rsid w:val="00A02078"/>
    <w:rPr>
      <w:sz w:val="20"/>
      <w:szCs w:val="20"/>
    </w:rPr>
  </w:style>
  <w:style w:type="character" w:customStyle="1" w:styleId="CommentTextChar">
    <w:name w:val="Comment Text Char"/>
    <w:basedOn w:val="DefaultParagraphFont"/>
    <w:link w:val="CommentText"/>
    <w:uiPriority w:val="99"/>
    <w:semiHidden/>
    <w:locked/>
    <w:rsid w:val="002C34E3"/>
    <w:rPr>
      <w:rFonts w:ascii="Arial" w:hAnsi="Arial" w:cs="Arial"/>
      <w:sz w:val="20"/>
      <w:szCs w:val="20"/>
    </w:rPr>
  </w:style>
  <w:style w:type="paragraph" w:styleId="CommentSubject">
    <w:name w:val="annotation subject"/>
    <w:basedOn w:val="CommentText"/>
    <w:next w:val="CommentText"/>
    <w:link w:val="CommentSubjectChar"/>
    <w:uiPriority w:val="99"/>
    <w:semiHidden/>
    <w:rsid w:val="00A02078"/>
    <w:rPr>
      <w:b/>
      <w:bCs/>
    </w:rPr>
  </w:style>
  <w:style w:type="character" w:customStyle="1" w:styleId="CommentSubjectChar">
    <w:name w:val="Comment Subject Char"/>
    <w:basedOn w:val="CommentTextChar"/>
    <w:link w:val="CommentSubject"/>
    <w:uiPriority w:val="99"/>
    <w:semiHidden/>
    <w:locked/>
    <w:rsid w:val="002C34E3"/>
    <w:rPr>
      <w:b/>
      <w:bCs/>
    </w:rPr>
  </w:style>
  <w:style w:type="table" w:styleId="TableGrid">
    <w:name w:val="Table Grid"/>
    <w:basedOn w:val="TableNormal"/>
    <w:uiPriority w:val="99"/>
    <w:rsid w:val="009E472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uiPriority w:val="99"/>
    <w:rsid w:val="009E4726"/>
    <w:pPr>
      <w:spacing w:before="40" w:after="40"/>
      <w:jc w:val="center"/>
    </w:pPr>
    <w:rPr>
      <w:rFonts w:ascii="Tahoma" w:hAnsi="Tahoma"/>
      <w:sz w:val="20"/>
      <w:szCs w:val="20"/>
    </w:rPr>
    <w:tblPr>
      <w:tblStyleRowBandSize w:val="1"/>
      <w:tblInd w:w="0" w:type="dxa"/>
      <w:tblBorders>
        <w:top w:val="single" w:sz="4" w:space="0" w:color="auto"/>
        <w:bottom w:val="single" w:sz="4" w:space="0" w:color="auto"/>
        <w:insideH w:val="dotted" w:sz="4" w:space="0" w:color="auto"/>
      </w:tblBorders>
      <w:tblCellMar>
        <w:top w:w="0" w:type="dxa"/>
        <w:left w:w="108" w:type="dxa"/>
        <w:bottom w:w="0" w:type="dxa"/>
        <w:right w:w="108" w:type="dxa"/>
      </w:tblCellMar>
    </w:tblPr>
    <w:tblStylePr w:type="firstRow">
      <w:rPr>
        <w:rFonts w:ascii="Times New Roman" w:hAnsi="Times New Roman" w:cs="Times New Roman"/>
        <w:b/>
        <w:sz w:val="20"/>
      </w:rPr>
      <w:tblPr/>
      <w:tcPr>
        <w:tcBorders>
          <w:top w:val="single" w:sz="12" w:space="0" w:color="auto"/>
          <w:left w:val="nil"/>
          <w:bottom w:val="single" w:sz="8" w:space="0" w:color="auto"/>
          <w:right w:val="nil"/>
          <w:insideV w:val="nil"/>
        </w:tcBorders>
        <w:shd w:val="clear" w:color="auto" w:fill="auto"/>
      </w:tcPr>
    </w:tblStylePr>
    <w:tblStylePr w:type="lastRow">
      <w:rPr>
        <w:rFonts w:ascii="Times New Roman" w:hAnsi="Times New Roman" w:cs="Times New Roman"/>
        <w:sz w:val="20"/>
        <w:szCs w:val="20"/>
      </w:rPr>
      <w:tblPr/>
      <w:tcPr>
        <w:tcBorders>
          <w:top w:val="nil"/>
          <w:left w:val="nil"/>
          <w:bottom w:val="single" w:sz="12" w:space="0" w:color="auto"/>
          <w:right w:val="nil"/>
          <w:insideV w:val="nil"/>
        </w:tcBorders>
        <w:shd w:val="clear" w:color="auto" w:fill="auto"/>
      </w:tcPr>
    </w:tblStylePr>
    <w:tblStylePr w:type="firstCol">
      <w:pPr>
        <w:jc w:val="left"/>
      </w:pPr>
      <w:rPr>
        <w:rFonts w:cs="Times New Roman"/>
        <w:b/>
      </w:rPr>
    </w:tblStylePr>
    <w:tblStylePr w:type="band1Horz">
      <w:rPr>
        <w:rFonts w:ascii="Times New Roman" w:hAnsi="Times New Roman" w:cs="Times New Roman"/>
      </w:rPr>
      <w:tblPr/>
      <w:tcPr>
        <w:tcBorders>
          <w:top w:val="dotted" w:sz="4" w:space="0" w:color="auto"/>
          <w:left w:val="nil"/>
          <w:bottom w:val="dotted" w:sz="4" w:space="0" w:color="auto"/>
          <w:right w:val="nil"/>
          <w:insideH w:val="nil"/>
          <w:insideV w:val="nil"/>
          <w:tl2br w:val="nil"/>
          <w:tr2bl w:val="nil"/>
        </w:tcBorders>
        <w:shd w:val="clear" w:color="auto" w:fill="auto"/>
      </w:tcPr>
    </w:tblStylePr>
    <w:tblStylePr w:type="band2Horz">
      <w:rPr>
        <w:rFonts w:cs="Times New Roman"/>
      </w:rPr>
      <w:tblPr/>
      <w:tcPr>
        <w:tcBorders>
          <w:top w:val="dotted" w:sz="4" w:space="0" w:color="auto"/>
          <w:left w:val="nil"/>
          <w:bottom w:val="dotted" w:sz="4" w:space="0" w:color="auto"/>
          <w:right w:val="nil"/>
          <w:insideH w:val="nil"/>
          <w:insideV w:val="nil"/>
          <w:tl2br w:val="nil"/>
          <w:tr2bl w:val="nil"/>
        </w:tcBorders>
      </w:tcPr>
    </w:tblStylePr>
  </w:style>
  <w:style w:type="paragraph" w:customStyle="1" w:styleId="CharChar1CharCharCharCharCharCharCharCharCharCharCharCharCharCharCharCharCharChar">
    <w:name w:val="Char Char1 Char Char Char Char Char Char Char Char Char Char Char Char Char Char Char Char Char Char"/>
    <w:basedOn w:val="Normal"/>
    <w:uiPriority w:val="99"/>
    <w:rsid w:val="009E4726"/>
    <w:pPr>
      <w:spacing w:after="160" w:line="240" w:lineRule="exact"/>
    </w:pPr>
    <w:rPr>
      <w:rFonts w:ascii="Verdana" w:hAnsi="Verdana" w:cs="Times New Roman"/>
      <w:sz w:val="20"/>
      <w:szCs w:val="20"/>
      <w:lang w:val="en-US" w:eastAsia="en-US"/>
    </w:rPr>
  </w:style>
  <w:style w:type="paragraph" w:customStyle="1" w:styleId="CharCharCharCharCharCharCharCharCharCharChar">
    <w:name w:val="Char Char Char Char Char Char Char Char Char Char Char"/>
    <w:basedOn w:val="Normal"/>
    <w:uiPriority w:val="99"/>
    <w:rsid w:val="009E4726"/>
    <w:pPr>
      <w:spacing w:after="160" w:line="240" w:lineRule="exact"/>
    </w:pPr>
    <w:rPr>
      <w:rFonts w:ascii="Verdana" w:hAnsi="Verdana" w:cs="Times New Roman"/>
      <w:sz w:val="20"/>
      <w:szCs w:val="20"/>
      <w:lang w:val="en-US" w:eastAsia="en-US"/>
    </w:rPr>
  </w:style>
  <w:style w:type="table" w:styleId="TableWeb1">
    <w:name w:val="Table Web 1"/>
    <w:basedOn w:val="TableNormal"/>
    <w:uiPriority w:val="99"/>
    <w:rsid w:val="009E4726"/>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CharCharCharCharCharCharCharCharCharCharCharCharCharChar">
    <w:name w:val="Char Char Char Char Char Char Char Char Char Char Char Char Char Char"/>
    <w:basedOn w:val="Normal"/>
    <w:uiPriority w:val="99"/>
    <w:rsid w:val="009E4726"/>
    <w:pPr>
      <w:spacing w:after="160" w:line="240" w:lineRule="exact"/>
    </w:pPr>
    <w:rPr>
      <w:rFonts w:ascii="Verdana" w:hAnsi="Verdana" w:cs="Times New Roman"/>
      <w:sz w:val="20"/>
      <w:szCs w:val="20"/>
      <w:lang w:val="en-US" w:eastAsia="en-US"/>
    </w:rPr>
  </w:style>
  <w:style w:type="paragraph" w:customStyle="1" w:styleId="CharChar">
    <w:name w:val="Char Char"/>
    <w:basedOn w:val="Normal"/>
    <w:uiPriority w:val="99"/>
    <w:rsid w:val="009E4726"/>
    <w:pPr>
      <w:spacing w:after="160" w:line="240" w:lineRule="exact"/>
    </w:pPr>
    <w:rPr>
      <w:rFonts w:ascii="Verdana" w:hAnsi="Verdana" w:cs="Times New Roman"/>
      <w:sz w:val="20"/>
      <w:szCs w:val="20"/>
      <w:lang w:val="en-US" w:eastAsia="en-US"/>
    </w:rPr>
  </w:style>
  <w:style w:type="paragraph" w:customStyle="1" w:styleId="Char">
    <w:name w:val="Char"/>
    <w:basedOn w:val="Normal"/>
    <w:uiPriority w:val="99"/>
    <w:rsid w:val="009E4726"/>
    <w:pPr>
      <w:spacing w:after="160" w:line="240" w:lineRule="exact"/>
    </w:pPr>
    <w:rPr>
      <w:rFonts w:ascii="Verdana" w:hAnsi="Verdana" w:cs="Times New Roman"/>
      <w:sz w:val="20"/>
      <w:szCs w:val="20"/>
      <w:lang w:val="en-US" w:eastAsia="en-US"/>
    </w:rPr>
  </w:style>
  <w:style w:type="paragraph" w:customStyle="1" w:styleId="CharCharCharChar">
    <w:name w:val="Char Char Char Char"/>
    <w:basedOn w:val="Normal"/>
    <w:uiPriority w:val="99"/>
    <w:rsid w:val="009E4726"/>
    <w:pPr>
      <w:spacing w:after="160" w:line="240" w:lineRule="exact"/>
    </w:pPr>
    <w:rPr>
      <w:rFonts w:ascii="Verdana" w:hAnsi="Verdana" w:cs="Times New Roman"/>
      <w:sz w:val="20"/>
      <w:szCs w:val="20"/>
      <w:lang w:val="en-US" w:eastAsia="en-US"/>
    </w:rPr>
  </w:style>
  <w:style w:type="paragraph" w:customStyle="1" w:styleId="CharChar1CharCharCharChar">
    <w:name w:val="Char Char1 Char Char Char Char"/>
    <w:basedOn w:val="Normal"/>
    <w:uiPriority w:val="99"/>
    <w:rsid w:val="009E4726"/>
    <w:pPr>
      <w:spacing w:after="160" w:line="240" w:lineRule="exact"/>
    </w:pPr>
    <w:rPr>
      <w:rFonts w:ascii="Verdana" w:hAnsi="Verdana" w:cs="Times New Roman"/>
      <w:sz w:val="20"/>
      <w:szCs w:val="20"/>
      <w:lang w:val="en-US" w:eastAsia="en-US"/>
    </w:rPr>
  </w:style>
  <w:style w:type="character" w:customStyle="1" w:styleId="EmailStyle701">
    <w:name w:val="EmailStyle70"/>
    <w:aliases w:val="EmailStyle70"/>
    <w:basedOn w:val="DefaultParagraphFont"/>
    <w:uiPriority w:val="99"/>
    <w:semiHidden/>
    <w:personal/>
    <w:rsid w:val="009E4726"/>
    <w:rPr>
      <w:rFonts w:ascii="Arial" w:hAnsi="Arial" w:cs="Arial"/>
      <w:color w:val="auto"/>
      <w:sz w:val="20"/>
      <w:szCs w:val="20"/>
    </w:rPr>
  </w:style>
  <w:style w:type="paragraph" w:customStyle="1" w:styleId="CharChar3">
    <w:name w:val="Char Char3"/>
    <w:basedOn w:val="Normal"/>
    <w:uiPriority w:val="99"/>
    <w:rsid w:val="009E4726"/>
    <w:pPr>
      <w:spacing w:after="160" w:line="240" w:lineRule="exact"/>
    </w:pPr>
    <w:rPr>
      <w:rFonts w:ascii="Tahoma" w:hAnsi="Tahoma" w:cs="Times New Roman"/>
      <w:sz w:val="20"/>
      <w:szCs w:val="20"/>
      <w:lang w:val="en-US" w:eastAsia="en-US"/>
    </w:rPr>
  </w:style>
  <w:style w:type="character" w:styleId="Hyperlink">
    <w:name w:val="Hyperlink"/>
    <w:basedOn w:val="DefaultParagraphFont"/>
    <w:uiPriority w:val="99"/>
    <w:rsid w:val="009E4726"/>
    <w:rPr>
      <w:rFonts w:cs="Times New Roman"/>
      <w:color w:val="0000FF"/>
      <w:u w:val="single"/>
    </w:rPr>
  </w:style>
  <w:style w:type="character" w:styleId="FollowedHyperlink">
    <w:name w:val="FollowedHyperlink"/>
    <w:basedOn w:val="DefaultParagraphFont"/>
    <w:uiPriority w:val="99"/>
    <w:rsid w:val="009E4726"/>
    <w:rPr>
      <w:rFonts w:cs="Times New Roman"/>
      <w:color w:val="800080"/>
      <w:u w:val="single"/>
    </w:rPr>
  </w:style>
  <w:style w:type="character" w:customStyle="1" w:styleId="CharChar6">
    <w:name w:val="Char Char6"/>
    <w:basedOn w:val="DefaultParagraphFont"/>
    <w:uiPriority w:val="99"/>
    <w:rsid w:val="009E4726"/>
    <w:rPr>
      <w:rFonts w:cs="Times New Roman"/>
      <w:b/>
      <w:bCs/>
      <w:sz w:val="24"/>
      <w:szCs w:val="24"/>
      <w:lang w:val="el-GR" w:eastAsia="el-GR" w:bidi="ar-SA"/>
    </w:rPr>
  </w:style>
  <w:style w:type="paragraph" w:styleId="ListParagraph">
    <w:name w:val="List Paragraph"/>
    <w:basedOn w:val="Normal"/>
    <w:uiPriority w:val="99"/>
    <w:qFormat/>
    <w:rsid w:val="00E560DC"/>
    <w:pPr>
      <w:ind w:left="720"/>
      <w:contextualSpacing/>
    </w:pPr>
  </w:style>
  <w:style w:type="character" w:customStyle="1" w:styleId="EmailStyle76">
    <w:name w:val="EmailStyle761"/>
    <w:aliases w:val="EmailStyle761"/>
    <w:basedOn w:val="DefaultParagraphFont"/>
    <w:uiPriority w:val="99"/>
    <w:semiHidden/>
    <w:personal/>
    <w:rsid w:val="00092F10"/>
    <w:rPr>
      <w:rFonts w:ascii="Arial" w:hAnsi="Arial" w:cs="Arial"/>
      <w:color w:val="auto"/>
      <w:sz w:val="20"/>
      <w:szCs w:val="20"/>
    </w:rPr>
  </w:style>
</w:styles>
</file>

<file path=word/webSettings.xml><?xml version="1.0" encoding="utf-8"?>
<w:webSettings xmlns:r="http://schemas.openxmlformats.org/officeDocument/2006/relationships" xmlns:w="http://schemas.openxmlformats.org/wordprocessingml/2006/main">
  <w:divs>
    <w:div w:id="681510107">
      <w:marLeft w:val="0"/>
      <w:marRight w:val="0"/>
      <w:marTop w:val="0"/>
      <w:marBottom w:val="0"/>
      <w:divBdr>
        <w:top w:val="none" w:sz="0" w:space="0" w:color="auto"/>
        <w:left w:val="none" w:sz="0" w:space="0" w:color="auto"/>
        <w:bottom w:val="none" w:sz="0" w:space="0" w:color="auto"/>
        <w:right w:val="none" w:sz="0" w:space="0" w:color="auto"/>
      </w:divBdr>
      <w:divsChild>
        <w:div w:id="681510106">
          <w:marLeft w:val="0"/>
          <w:marRight w:val="0"/>
          <w:marTop w:val="0"/>
          <w:marBottom w:val="0"/>
          <w:divBdr>
            <w:top w:val="none" w:sz="0" w:space="0" w:color="auto"/>
            <w:left w:val="none" w:sz="0" w:space="0" w:color="auto"/>
            <w:bottom w:val="none" w:sz="0" w:space="0" w:color="auto"/>
            <w:right w:val="none" w:sz="0" w:space="0" w:color="auto"/>
          </w:divBdr>
        </w:div>
      </w:divsChild>
    </w:div>
    <w:div w:id="681510108">
      <w:marLeft w:val="0"/>
      <w:marRight w:val="0"/>
      <w:marTop w:val="0"/>
      <w:marBottom w:val="0"/>
      <w:divBdr>
        <w:top w:val="none" w:sz="0" w:space="0" w:color="auto"/>
        <w:left w:val="none" w:sz="0" w:space="0" w:color="auto"/>
        <w:bottom w:val="none" w:sz="0" w:space="0" w:color="auto"/>
        <w:right w:val="none" w:sz="0" w:space="0" w:color="auto"/>
      </w:divBdr>
      <w:divsChild>
        <w:div w:id="681510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9.emf"/><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4.png"/><Relationship Id="rId12" Type="http://schemas.openxmlformats.org/officeDocument/2006/relationships/image" Target="media/image8.emf"/><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2.xml"/><Relationship Id="rId10" Type="http://schemas.openxmlformats.org/officeDocument/2006/relationships/image" Target="media/image6.e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header" Target="header1.xml"/><Relationship Id="rId22" Type="http://schemas.openxmlformats.org/officeDocument/2006/relationships/image" Target="media/image14.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7064</Words>
  <Characters>38146</Characters>
  <Application>Microsoft Office Word</Application>
  <DocSecurity>0</DocSecurity>
  <Lines>317</Lines>
  <Paragraphs>90</Paragraphs>
  <ScaleCrop>false</ScaleCrop>
  <Company/>
  <LinksUpToDate>false</LinksUpToDate>
  <CharactersWithSpaces>45120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News</cp:lastModifiedBy>
  <cp:revision>2</cp:revision>
  <cp:lastPrinted>2012-12-04T09:19:00Z</cp:lastPrinted>
  <dcterms:created xsi:type="dcterms:W3CDTF">2012-12-04T10:39:00Z</dcterms:created>
  <dcterms:modified xsi:type="dcterms:W3CDTF">2012-12-04T10:39:00Z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