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140" w:rsidRPr="00CB6CE9" w:rsidRDefault="00AF6BFA" w:rsidP="00EF59B3">
      <w:pPr>
        <w:pStyle w:val="af1"/>
        <w:spacing w:before="100" w:beforeAutospacing="1" w:after="100" w:afterAutospacing="1"/>
        <w:rPr>
          <w:rFonts w:ascii="Century Gothic" w:hAnsi="Century Gothic"/>
          <w:b/>
          <w:noProof/>
          <w:lang w:val="el-GR"/>
        </w:rPr>
      </w:pPr>
      <w:r w:rsidRPr="00AF6BFA">
        <w:rPr>
          <w:noProof/>
          <w:lang w:val="el-GR" w:eastAsia="el-GR"/>
        </w:rPr>
        <w:pict>
          <v:shapetype id="_x0000_t202" coordsize="21600,21600" o:spt="202" path="m,l,21600r21600,l21600,xe">
            <v:stroke joinstyle="miter"/>
            <v:path gradientshapeok="t" o:connecttype="rect"/>
          </v:shapetype>
          <v:shape id="_x0000_s1026" type="#_x0000_t202" style="position:absolute;margin-left:64.3pt;margin-top:16.35pt;width:351.9pt;height:24.45pt;z-index:251659776" strokecolor="white">
            <v:textbox style="mso-next-textbox:#_x0000_s1026">
              <w:txbxContent>
                <w:p w:rsidR="00BE6140" w:rsidRPr="00AB1466" w:rsidRDefault="00BE6140">
                  <w:pPr>
                    <w:rPr>
                      <w:rFonts w:ascii="Times New Roman" w:hAnsi="Times New Roman" w:cs="Times New Roman"/>
                    </w:rPr>
                  </w:pPr>
                  <w:r w:rsidRPr="00AB1466">
                    <w:rPr>
                      <w:rFonts w:ascii="Times New Roman" w:hAnsi="Times New Roman"/>
                      <w:b/>
                      <w:noProof/>
                    </w:rPr>
                    <w:t>ΙΔΡΥΜΑ ΟΙΚΟΝΟΜΙΚΩΝ &amp; ΒΙΟΜΗΧΑΝΙΚΩΝ ΕΡΕΥΝΩΝ</w:t>
                  </w:r>
                </w:p>
              </w:txbxContent>
            </v:textbox>
          </v:shape>
        </w:pict>
      </w:r>
      <w:r w:rsidR="005C53FF">
        <w:rPr>
          <w:rFonts w:ascii="Century Gothic" w:hAnsi="Century Gothic"/>
          <w:noProof/>
          <w:szCs w:val="16"/>
          <w:lang w:val="el-GR" w:eastAsia="el-GR"/>
        </w:rPr>
        <w:drawing>
          <wp:inline distT="0" distB="0" distL="0" distR="0">
            <wp:extent cx="731520" cy="71564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731520" cy="715645"/>
                    </a:xfrm>
                    <a:prstGeom prst="rect">
                      <a:avLst/>
                    </a:prstGeom>
                    <a:noFill/>
                    <a:ln w="9525">
                      <a:noFill/>
                      <a:miter lim="800000"/>
                      <a:headEnd/>
                      <a:tailEnd/>
                    </a:ln>
                  </pic:spPr>
                </pic:pic>
              </a:graphicData>
            </a:graphic>
          </wp:inline>
        </w:drawing>
      </w:r>
    </w:p>
    <w:p w:rsidR="00BE6140" w:rsidRPr="00CB6CE9" w:rsidRDefault="00BE6140" w:rsidP="00EF59B3">
      <w:pPr>
        <w:pStyle w:val="af1"/>
        <w:spacing w:before="100" w:beforeAutospacing="1" w:after="100" w:afterAutospacing="1"/>
        <w:rPr>
          <w:rFonts w:ascii="Century Gothic" w:hAnsi="Century Gothic"/>
          <w:sz w:val="72"/>
          <w:szCs w:val="72"/>
          <w:lang w:val="el-GR"/>
        </w:rPr>
      </w:pPr>
    </w:p>
    <w:p w:rsidR="00BE6140" w:rsidRPr="00CB6CE9" w:rsidRDefault="00BE6140" w:rsidP="00EF59B3">
      <w:pPr>
        <w:pStyle w:val="af1"/>
        <w:spacing w:before="100" w:beforeAutospacing="1" w:after="100" w:afterAutospacing="1"/>
        <w:rPr>
          <w:rFonts w:ascii="Times New Roman" w:hAnsi="Times New Roman"/>
          <w:sz w:val="72"/>
          <w:szCs w:val="72"/>
          <w:lang w:val="el-GR"/>
        </w:rPr>
      </w:pPr>
    </w:p>
    <w:p w:rsidR="00BE6140" w:rsidRPr="00CB6CE9" w:rsidRDefault="00AF6BFA" w:rsidP="00EF59B3">
      <w:pPr>
        <w:pStyle w:val="af1"/>
        <w:spacing w:before="100" w:beforeAutospacing="1" w:after="100" w:afterAutospacing="1"/>
        <w:jc w:val="center"/>
        <w:rPr>
          <w:rStyle w:val="af3"/>
          <w:rFonts w:ascii="Times New Roman" w:hAnsi="Times New Roman"/>
          <w:color w:val="943634"/>
          <w:sz w:val="44"/>
          <w:szCs w:val="44"/>
          <w:u w:val="none"/>
          <w:lang w:val="el-GR"/>
        </w:rPr>
      </w:pPr>
      <w:r w:rsidRPr="00AF6BFA">
        <w:rPr>
          <w:noProof/>
          <w:lang w:val="el-GR" w:eastAsia="el-GR"/>
        </w:rPr>
        <w:pict>
          <v:rect id="_x0000_s1027" style="position:absolute;left:0;text-align:left;margin-left:0;margin-top:0;width:623.8pt;height:63.45pt;z-index:251655680;mso-position-horizontal:center;mso-position-horizontal-relative:page;mso-position-vertical:bottom;mso-position-vertical-relative:page" o:allowincell="f" fillcolor="#76923c" strokecolor="#4f81bd">
            <w10:wrap anchorx="page" anchory="page"/>
          </v:rect>
        </w:pict>
      </w:r>
      <w:r w:rsidRPr="00AF6BFA">
        <w:rPr>
          <w:noProof/>
          <w:lang w:val="el-GR" w:eastAsia="el-GR"/>
        </w:rPr>
        <w:pict>
          <v:rect id="_x0000_s1028" style="position:absolute;left:0;text-align:left;margin-left:32.3pt;margin-top:-20.2pt;width:7.15pt;height:882.8pt;z-index:251658752;mso-position-horizontal-relative:page;mso-position-vertical-relative:page" o:allowincell="f" strokecolor="#31849b">
            <w10:wrap anchorx="margin" anchory="page"/>
          </v:rect>
        </w:pict>
      </w:r>
      <w:r w:rsidRPr="00AF6BFA">
        <w:rPr>
          <w:noProof/>
          <w:lang w:val="el-GR" w:eastAsia="el-GR"/>
        </w:rPr>
        <w:pict>
          <v:rect id="_x0000_s1029" style="position:absolute;left:0;text-align:left;margin-left:560.3pt;margin-top:-20.2pt;width:7.15pt;height:882.8pt;z-index:251657728;mso-position-horizontal-relative:page;mso-position-vertical-relative:page" o:allowincell="f" strokecolor="#31849b">
            <w10:wrap anchorx="page" anchory="page"/>
          </v:rect>
        </w:pict>
      </w:r>
      <w:r w:rsidRPr="00AF6BFA">
        <w:rPr>
          <w:noProof/>
          <w:lang w:val="el-GR" w:eastAsia="el-GR"/>
        </w:rPr>
        <w:pict>
          <v:rect id="_x0000_s1030" style="position:absolute;left:0;text-align:left;margin-left:-13.8pt;margin-top:.8pt;width:623.7pt;height:63.35pt;z-index:251656704;mso-position-horizontal-relative:page;mso-position-vertical-relative:page" o:allowincell="f" fillcolor="#76923c" strokecolor="#4f81bd">
            <w10:wrap anchorx="page" anchory="margin"/>
          </v:rect>
        </w:pict>
      </w:r>
      <w:r w:rsidR="00BE6140" w:rsidRPr="00CB6CE9">
        <w:rPr>
          <w:rStyle w:val="af3"/>
          <w:rFonts w:ascii="Times New Roman" w:hAnsi="Times New Roman"/>
          <w:color w:val="943634"/>
          <w:sz w:val="44"/>
          <w:szCs w:val="44"/>
          <w:u w:val="none"/>
          <w:lang w:val="el-GR"/>
        </w:rPr>
        <w:t>ΑΠΟΤΕΛΕΣΜΑΤΑ ΕΡΕΥΝΩΝ ΟΙΚΟΝΟΜΙΚΗΣ ΣΥΓΚΥΡΙΑΣ</w:t>
      </w:r>
    </w:p>
    <w:p w:rsidR="00BE6140" w:rsidRPr="00CB6CE9" w:rsidRDefault="00BE6140" w:rsidP="00EF59B3">
      <w:pPr>
        <w:pStyle w:val="af1"/>
        <w:shd w:val="clear" w:color="auto" w:fill="FFFFFF"/>
        <w:spacing w:before="100" w:beforeAutospacing="1" w:after="100" w:afterAutospacing="1"/>
        <w:jc w:val="center"/>
        <w:rPr>
          <w:rFonts w:ascii="Times New Roman" w:hAnsi="Times New Roman"/>
          <w:b/>
          <w:noProof/>
          <w:color w:val="365F91"/>
          <w:sz w:val="40"/>
          <w:szCs w:val="40"/>
          <w:lang w:val="el-GR"/>
        </w:rPr>
      </w:pPr>
    </w:p>
    <w:p w:rsidR="00BE6140" w:rsidRPr="00CB6CE9" w:rsidRDefault="00BE6140" w:rsidP="00223830">
      <w:pPr>
        <w:pStyle w:val="af1"/>
        <w:spacing w:before="100" w:beforeAutospacing="1" w:after="100" w:afterAutospacing="1"/>
        <w:jc w:val="center"/>
        <w:outlineLvl w:val="0"/>
        <w:rPr>
          <w:rFonts w:ascii="Times New Roman" w:hAnsi="Times New Roman"/>
          <w:b/>
          <w:noProof/>
          <w:color w:val="365F91"/>
          <w:sz w:val="32"/>
          <w:szCs w:val="32"/>
          <w:lang w:val="el-GR"/>
        </w:rPr>
      </w:pPr>
      <w:r>
        <w:rPr>
          <w:rFonts w:ascii="Times New Roman" w:hAnsi="Times New Roman"/>
          <w:b/>
          <w:noProof/>
          <w:color w:val="365F91"/>
          <w:sz w:val="32"/>
          <w:szCs w:val="32"/>
          <w:lang w:val="el-GR"/>
        </w:rPr>
        <w:t>ΣΕΠΤΕΜΒΡΙΟΣ</w:t>
      </w:r>
      <w:r w:rsidRPr="00CB6CE9">
        <w:rPr>
          <w:rFonts w:ascii="Times New Roman" w:hAnsi="Times New Roman"/>
          <w:b/>
          <w:noProof/>
          <w:color w:val="365F91"/>
          <w:sz w:val="32"/>
          <w:szCs w:val="32"/>
          <w:lang w:val="el-GR"/>
        </w:rPr>
        <w:t xml:space="preserve"> 2013</w:t>
      </w:r>
    </w:p>
    <w:p w:rsidR="00BE6140" w:rsidRPr="00CB6CE9" w:rsidRDefault="00BE6140" w:rsidP="00EF59B3">
      <w:pPr>
        <w:pStyle w:val="af1"/>
        <w:spacing w:before="100" w:beforeAutospacing="1" w:after="100" w:afterAutospacing="1"/>
        <w:rPr>
          <w:rFonts w:ascii="Century Gothic" w:hAnsi="Century Gothic"/>
          <w:sz w:val="36"/>
          <w:szCs w:val="36"/>
          <w:lang w:val="el-GR"/>
        </w:rPr>
      </w:pPr>
    </w:p>
    <w:p w:rsidR="00BE6140" w:rsidRPr="00CB6CE9" w:rsidRDefault="00BE6140" w:rsidP="00EF59B3">
      <w:pPr>
        <w:pStyle w:val="af1"/>
        <w:spacing w:before="100" w:beforeAutospacing="1" w:after="100" w:afterAutospacing="1"/>
        <w:rPr>
          <w:rFonts w:ascii="Century Gothic" w:hAnsi="Century Gothic"/>
          <w:sz w:val="36"/>
          <w:szCs w:val="36"/>
          <w:lang w:val="el-GR"/>
        </w:rPr>
      </w:pPr>
    </w:p>
    <w:p w:rsidR="00BE6140" w:rsidRPr="00CB6CE9" w:rsidRDefault="00BE6140" w:rsidP="00EF59B3">
      <w:pPr>
        <w:pStyle w:val="af1"/>
        <w:spacing w:before="100" w:beforeAutospacing="1" w:after="100" w:afterAutospacing="1"/>
        <w:jc w:val="both"/>
        <w:rPr>
          <w:rFonts w:ascii="Century Gothic" w:hAnsi="Century Gothic"/>
          <w:b/>
          <w:color w:val="365F91"/>
          <w:lang w:val="el-GR"/>
        </w:rPr>
      </w:pPr>
      <w:r w:rsidRPr="00CB6CE9">
        <w:rPr>
          <w:rFonts w:ascii="Century Gothic" w:hAnsi="Century Gothic"/>
          <w:b/>
          <w:color w:val="365F91"/>
          <w:lang w:val="el-GR"/>
        </w:rPr>
        <w:t>Α.</w:t>
      </w:r>
      <w:r w:rsidRPr="00CB6CE9">
        <w:rPr>
          <w:rFonts w:ascii="Century Gothic" w:hAnsi="Century Gothic"/>
          <w:b/>
          <w:color w:val="365F91"/>
          <w:lang w:val="el-GR"/>
        </w:rPr>
        <w:tab/>
        <w:t>ΟΙΚΟΝΟΜΙΚΟ ΚΛΙΜΑ (ΕΛΛΑΔΑ – ΕΕ-27– ΕΥΡΩΖΩΝΗ)</w:t>
      </w:r>
    </w:p>
    <w:p w:rsidR="00BE6140" w:rsidRPr="00CB6CE9" w:rsidRDefault="00BE6140" w:rsidP="00EF59B3">
      <w:pPr>
        <w:pStyle w:val="af1"/>
        <w:spacing w:before="100" w:beforeAutospacing="1" w:after="100" w:afterAutospacing="1"/>
        <w:jc w:val="both"/>
        <w:rPr>
          <w:rFonts w:ascii="Century Gothic" w:hAnsi="Century Gothic"/>
          <w:b/>
          <w:color w:val="365F91"/>
          <w:lang w:val="el-GR"/>
        </w:rPr>
      </w:pPr>
      <w:r w:rsidRPr="00CB6CE9">
        <w:rPr>
          <w:rFonts w:ascii="Century Gothic" w:hAnsi="Century Gothic"/>
          <w:b/>
          <w:color w:val="365F91"/>
          <w:lang w:val="el-GR"/>
        </w:rPr>
        <w:t xml:space="preserve">Β. </w:t>
      </w:r>
      <w:r w:rsidRPr="00CB6CE9">
        <w:rPr>
          <w:rFonts w:ascii="Century Gothic" w:hAnsi="Century Gothic"/>
          <w:b/>
          <w:color w:val="365F91"/>
          <w:lang w:val="el-GR"/>
        </w:rPr>
        <w:tab/>
        <w:t>ΒΙΟΜΗΧΑΝΙΑ –ΚΑΤΑΣΚΕΥΕΣ –ΛΙΑΝΙΚΟ ΕΜΠΟΡΙΟ – ΥΠΗΡΕΣΙΕΣ</w:t>
      </w:r>
    </w:p>
    <w:p w:rsidR="00BE6140" w:rsidRPr="00CB6CE9" w:rsidRDefault="00BE6140" w:rsidP="00EF59B3">
      <w:pPr>
        <w:pStyle w:val="af1"/>
        <w:spacing w:before="100" w:beforeAutospacing="1" w:after="100" w:afterAutospacing="1"/>
        <w:jc w:val="both"/>
        <w:rPr>
          <w:rFonts w:ascii="Century Gothic" w:hAnsi="Century Gothic"/>
          <w:b/>
          <w:color w:val="365F91"/>
          <w:lang w:val="el-GR"/>
        </w:rPr>
      </w:pPr>
      <w:r w:rsidRPr="00CB6CE9">
        <w:rPr>
          <w:rFonts w:ascii="Century Gothic" w:hAnsi="Century Gothic"/>
          <w:b/>
          <w:color w:val="365F91"/>
          <w:lang w:val="el-GR"/>
        </w:rPr>
        <w:t>Γ.</w:t>
      </w:r>
      <w:r w:rsidRPr="00CB6CE9">
        <w:rPr>
          <w:rFonts w:ascii="Century Gothic" w:hAnsi="Century Gothic"/>
          <w:b/>
          <w:color w:val="365F91"/>
          <w:lang w:val="el-GR"/>
        </w:rPr>
        <w:tab/>
        <w:t>ΚΑΤΑΝΑΛΩΤΙΚΗ ΕΜΠΙΣΤΟΣΥΝΗ (ΕΛΛΑΔΑ – ΕΕ-27– ΕΥΡΩΖΩΝΗ)</w:t>
      </w:r>
    </w:p>
    <w:p w:rsidR="00BE6140" w:rsidRPr="00CB6CE9" w:rsidRDefault="00BE6140" w:rsidP="00EF59B3">
      <w:pPr>
        <w:pStyle w:val="af1"/>
        <w:spacing w:before="100" w:beforeAutospacing="1" w:after="100" w:afterAutospacing="1"/>
        <w:rPr>
          <w:rFonts w:ascii="Century Gothic" w:hAnsi="Century Gothic"/>
          <w:sz w:val="36"/>
          <w:szCs w:val="36"/>
          <w:lang w:val="el-GR"/>
        </w:rPr>
      </w:pPr>
    </w:p>
    <w:p w:rsidR="00BE6140" w:rsidRPr="00CB6CE9" w:rsidRDefault="00BE6140" w:rsidP="00EF59B3">
      <w:pPr>
        <w:pStyle w:val="af1"/>
        <w:spacing w:before="100" w:beforeAutospacing="1" w:after="100" w:afterAutospacing="1"/>
        <w:rPr>
          <w:rFonts w:ascii="Century Gothic" w:hAnsi="Century Gothic"/>
          <w:sz w:val="36"/>
          <w:szCs w:val="36"/>
          <w:lang w:val="el-GR"/>
        </w:rPr>
      </w:pPr>
    </w:p>
    <w:p w:rsidR="00BE6140" w:rsidRPr="00CB6CE9" w:rsidRDefault="00BE6140" w:rsidP="00EF59B3">
      <w:pPr>
        <w:pStyle w:val="af1"/>
        <w:spacing w:before="100" w:beforeAutospacing="1" w:after="100" w:afterAutospacing="1"/>
        <w:rPr>
          <w:rFonts w:ascii="Century Gothic" w:hAnsi="Century Gothic"/>
          <w:sz w:val="36"/>
          <w:szCs w:val="36"/>
          <w:lang w:val="el-GR"/>
        </w:rPr>
      </w:pPr>
    </w:p>
    <w:p w:rsidR="00BE6140" w:rsidRPr="00CB6CE9" w:rsidRDefault="00BE6140" w:rsidP="00223830">
      <w:pPr>
        <w:pStyle w:val="af1"/>
        <w:spacing w:before="100" w:beforeAutospacing="1" w:after="100" w:afterAutospacing="1"/>
        <w:jc w:val="right"/>
        <w:outlineLvl w:val="0"/>
        <w:rPr>
          <w:rFonts w:ascii="Century Gothic" w:hAnsi="Century Gothic"/>
          <w:i/>
          <w:lang w:val="el-GR"/>
        </w:rPr>
      </w:pPr>
      <w:r>
        <w:rPr>
          <w:rFonts w:ascii="Century Gothic" w:hAnsi="Century Gothic"/>
          <w:i/>
          <w:lang w:val="el-GR"/>
        </w:rPr>
        <w:t>1</w:t>
      </w:r>
      <w:r w:rsidRPr="00CB6CE9">
        <w:rPr>
          <w:rFonts w:ascii="Century Gothic" w:hAnsi="Century Gothic"/>
          <w:i/>
          <w:lang w:val="el-GR"/>
        </w:rPr>
        <w:t xml:space="preserve"> </w:t>
      </w:r>
      <w:r>
        <w:rPr>
          <w:rFonts w:ascii="Century Gothic" w:hAnsi="Century Gothic"/>
          <w:i/>
          <w:lang w:val="el-GR"/>
        </w:rPr>
        <w:t>Ο</w:t>
      </w:r>
      <w:r>
        <w:rPr>
          <w:rFonts w:ascii="Century Gothic" w:hAnsi="Century Gothic"/>
          <w:i/>
          <w:iCs/>
          <w:sz w:val="20"/>
          <w:szCs w:val="20"/>
          <w:lang w:val="el-GR"/>
        </w:rPr>
        <w:t>κτωβρίου</w:t>
      </w:r>
      <w:r w:rsidRPr="007211A8">
        <w:rPr>
          <w:rFonts w:ascii="Century Gothic" w:hAnsi="Century Gothic"/>
          <w:b/>
          <w:i/>
          <w:iCs/>
          <w:sz w:val="20"/>
          <w:szCs w:val="20"/>
          <w:lang w:val="el-GR"/>
        </w:rPr>
        <w:t xml:space="preserve"> </w:t>
      </w:r>
      <w:r w:rsidRPr="00CB6CE9">
        <w:rPr>
          <w:rFonts w:ascii="Century Gothic" w:hAnsi="Century Gothic"/>
          <w:i/>
          <w:lang w:val="el-GR"/>
        </w:rPr>
        <w:t>2013</w:t>
      </w:r>
    </w:p>
    <w:p w:rsidR="00BE6140" w:rsidRPr="00CB6CE9" w:rsidRDefault="00BE6140" w:rsidP="00EF59B3">
      <w:pPr>
        <w:spacing w:before="100" w:beforeAutospacing="1" w:after="100" w:afterAutospacing="1"/>
        <w:jc w:val="both"/>
        <w:rPr>
          <w:rFonts w:ascii="Century Gothic" w:hAnsi="Century Gothic" w:cs="Times New Roman"/>
          <w:i/>
          <w:iCs/>
          <w:sz w:val="20"/>
          <w:szCs w:val="20"/>
        </w:rPr>
      </w:pPr>
      <w:r w:rsidRPr="00CB6CE9">
        <w:rPr>
          <w:rFonts w:ascii="Century Gothic" w:hAnsi="Century Gothic" w:cs="Times New Roman"/>
        </w:rPr>
        <w:br w:type="page"/>
      </w:r>
      <w:r w:rsidRPr="00CB6CE9">
        <w:rPr>
          <w:rFonts w:ascii="Century Gothic" w:hAnsi="Century Gothic" w:cs="Times New Roman"/>
          <w:i/>
          <w:iCs/>
          <w:sz w:val="20"/>
          <w:szCs w:val="20"/>
        </w:rPr>
        <w:lastRenderedPageBreak/>
        <w:t>Το ΙΟΒΕ διεξάγει κάθε μήνα από το 1981 Έρευνες Οικονομικής Συγκυρίας στις επιχειρήσεις στους τέσσερις τομείς της οικονομίας και, από τον Μάιο του 2008, και στους καταναλωτές. Οι έρευνες αποτελούν μέρος του κοινού εναρμονισμένου προγράμματος της Ευρωπαϊκής Ένωσης (</w:t>
      </w:r>
      <w:r w:rsidRPr="00CB6CE9">
        <w:rPr>
          <w:rFonts w:ascii="Century Gothic" w:hAnsi="Century Gothic" w:cs="Times New Roman"/>
          <w:i/>
          <w:iCs/>
          <w:sz w:val="20"/>
          <w:szCs w:val="20"/>
          <w:lang w:val="en-US"/>
        </w:rPr>
        <w:t>DG</w:t>
      </w:r>
      <w:r w:rsidRPr="00CB6CE9">
        <w:rPr>
          <w:rFonts w:ascii="Century Gothic" w:hAnsi="Century Gothic" w:cs="Times New Roman"/>
          <w:i/>
          <w:iCs/>
          <w:sz w:val="20"/>
          <w:szCs w:val="20"/>
        </w:rPr>
        <w:t xml:space="preserve"> </w:t>
      </w:r>
      <w:r w:rsidRPr="00CB6CE9">
        <w:rPr>
          <w:rFonts w:ascii="Century Gothic" w:hAnsi="Century Gothic" w:cs="Times New Roman"/>
          <w:i/>
          <w:iCs/>
          <w:sz w:val="20"/>
          <w:szCs w:val="20"/>
          <w:lang w:val="en-US"/>
        </w:rPr>
        <w:t>ECFIN</w:t>
      </w:r>
      <w:r w:rsidRPr="00CB6CE9">
        <w:rPr>
          <w:rFonts w:ascii="Century Gothic" w:hAnsi="Century Gothic" w:cs="Times New Roman"/>
          <w:i/>
          <w:iCs/>
          <w:sz w:val="20"/>
          <w:szCs w:val="20"/>
        </w:rPr>
        <w:t xml:space="preserve">) και τα αποτελέσματά τους χρησιμοποιούνται για τον υπολογισμό του δείκτη οικονομικού κλίματος σε Ελλάδα και στις υπόλοιπες ευρωπαϊκές χώρες, ενώ δημοσιεύονται αναλυτικά στις εκδόσεις της Ευρωπαϊκής Επιτροπής. Οι αναλύσεις που δημοσιεύονται κάθε μήνα με τη μορφή αυτής της έκδοσης στηρίζονται στα πρωτογενή, αναλυτικά στοιχεία για πάνω από 1000 επιχειρήσεις και αντιπροσωπευτικό δείγμα 1500 καταναλωτών, όπως προκύπτουν από τις έρευνες που διεξάγει αποκλειστικά και μόνο το ΙΟΒΕ για την Ελλάδα για λογαριασμό της Ευρωπαϊκής Επιτροπής. </w:t>
      </w:r>
    </w:p>
    <w:p w:rsidR="00BE6140" w:rsidRPr="00CB6CE9" w:rsidRDefault="00BE6140" w:rsidP="00EF59B3">
      <w:pPr>
        <w:pStyle w:val="a7"/>
        <w:spacing w:before="100" w:beforeAutospacing="1" w:after="100" w:afterAutospacing="1" w:line="288" w:lineRule="auto"/>
        <w:ind w:left="2977" w:hanging="2977"/>
        <w:rPr>
          <w:rFonts w:ascii="Century Gothic" w:hAnsi="Century Gothic"/>
          <w:b/>
          <w:bCs/>
          <w:i/>
          <w:iCs/>
          <w:sz w:val="20"/>
          <w:szCs w:val="20"/>
          <w:u w:val="none"/>
        </w:rPr>
      </w:pPr>
      <w:r w:rsidRPr="00CB6CE9">
        <w:rPr>
          <w:rFonts w:ascii="Century Gothic" w:hAnsi="Century Gothic"/>
          <w:i/>
          <w:iCs/>
          <w:sz w:val="20"/>
          <w:szCs w:val="20"/>
          <w:u w:val="none"/>
        </w:rPr>
        <w:t xml:space="preserve">Επόμενο δελτίο: </w:t>
      </w:r>
      <w:r>
        <w:rPr>
          <w:rFonts w:ascii="Century Gothic" w:hAnsi="Century Gothic"/>
          <w:b/>
          <w:i/>
          <w:iCs/>
          <w:sz w:val="20"/>
          <w:szCs w:val="20"/>
          <w:u w:val="none"/>
        </w:rPr>
        <w:t>1</w:t>
      </w:r>
      <w:r w:rsidRPr="00CB6CE9">
        <w:rPr>
          <w:rFonts w:ascii="Century Gothic" w:hAnsi="Century Gothic"/>
          <w:b/>
          <w:i/>
          <w:iCs/>
          <w:sz w:val="20"/>
          <w:szCs w:val="20"/>
          <w:u w:val="none"/>
        </w:rPr>
        <w:t xml:space="preserve"> </w:t>
      </w:r>
      <w:r>
        <w:rPr>
          <w:rFonts w:ascii="Century Gothic" w:hAnsi="Century Gothic"/>
          <w:b/>
          <w:i/>
          <w:iCs/>
          <w:sz w:val="20"/>
          <w:szCs w:val="20"/>
          <w:u w:val="none"/>
        </w:rPr>
        <w:t xml:space="preserve">Νοεμβρίου </w:t>
      </w:r>
      <w:r w:rsidRPr="00CB6CE9">
        <w:rPr>
          <w:rFonts w:ascii="Century Gothic" w:hAnsi="Century Gothic"/>
          <w:b/>
          <w:bCs/>
          <w:i/>
          <w:iCs/>
          <w:sz w:val="20"/>
          <w:szCs w:val="20"/>
          <w:u w:val="none"/>
        </w:rPr>
        <w:t>2013</w:t>
      </w:r>
    </w:p>
    <w:p w:rsidR="00BE6140" w:rsidRPr="00CB6CE9" w:rsidRDefault="00BE6140" w:rsidP="00EF59B3">
      <w:pPr>
        <w:pStyle w:val="a7"/>
        <w:spacing w:before="100" w:beforeAutospacing="1" w:after="100" w:afterAutospacing="1" w:line="288" w:lineRule="auto"/>
        <w:ind w:left="2977" w:hanging="2977"/>
        <w:rPr>
          <w:rFonts w:ascii="Century Gothic" w:hAnsi="Century Gothic"/>
          <w:b/>
          <w:bCs/>
          <w:sz w:val="22"/>
          <w:szCs w:val="22"/>
          <w:u w:val="none"/>
        </w:rPr>
      </w:pPr>
    </w:p>
    <w:p w:rsidR="00BE6140" w:rsidRPr="00CB6CE9" w:rsidRDefault="00BE6140" w:rsidP="00EF59B3">
      <w:pPr>
        <w:pStyle w:val="a7"/>
        <w:spacing w:before="100" w:beforeAutospacing="1" w:after="100" w:afterAutospacing="1" w:line="288" w:lineRule="auto"/>
        <w:ind w:left="2977" w:hanging="2977"/>
        <w:rPr>
          <w:rFonts w:ascii="Century Gothic" w:hAnsi="Century Gothic"/>
          <w:b/>
          <w:bCs/>
          <w:sz w:val="22"/>
          <w:szCs w:val="22"/>
          <w:u w:val="none"/>
        </w:rPr>
      </w:pPr>
    </w:p>
    <w:p w:rsidR="00BE6140" w:rsidRPr="00CB6CE9" w:rsidRDefault="00BE6140" w:rsidP="00EF59B3">
      <w:pPr>
        <w:pStyle w:val="a7"/>
        <w:spacing w:before="100" w:beforeAutospacing="1" w:after="100" w:afterAutospacing="1" w:line="288" w:lineRule="auto"/>
        <w:ind w:left="2977" w:hanging="2977"/>
        <w:rPr>
          <w:rFonts w:ascii="Century Gothic" w:hAnsi="Century Gothic"/>
          <w:sz w:val="22"/>
          <w:szCs w:val="22"/>
          <w:u w:val="none"/>
        </w:rPr>
      </w:pPr>
    </w:p>
    <w:p w:rsidR="00BE6140" w:rsidRPr="00CB6CE9" w:rsidRDefault="00BE6140" w:rsidP="00EF59B3">
      <w:pPr>
        <w:pStyle w:val="a7"/>
        <w:spacing w:before="100" w:beforeAutospacing="1" w:after="100" w:afterAutospacing="1" w:line="288" w:lineRule="auto"/>
        <w:ind w:left="2977" w:hanging="2977"/>
        <w:rPr>
          <w:rFonts w:ascii="Century Gothic" w:hAnsi="Century Gothic"/>
          <w:sz w:val="22"/>
          <w:szCs w:val="22"/>
          <w:u w:val="none"/>
        </w:rPr>
      </w:pPr>
    </w:p>
    <w:p w:rsidR="00BE6140" w:rsidRPr="00CB6CE9" w:rsidRDefault="00BE6140" w:rsidP="00EF59B3">
      <w:pPr>
        <w:pStyle w:val="a7"/>
        <w:spacing w:before="100" w:beforeAutospacing="1" w:after="100" w:afterAutospacing="1" w:line="288" w:lineRule="auto"/>
        <w:ind w:left="2977" w:hanging="2977"/>
        <w:rPr>
          <w:rFonts w:ascii="Century Gothic" w:hAnsi="Century Gothic"/>
          <w:sz w:val="22"/>
          <w:szCs w:val="22"/>
          <w:u w:val="none"/>
        </w:rPr>
      </w:pPr>
    </w:p>
    <w:p w:rsidR="00BE6140" w:rsidRPr="00CB6CE9" w:rsidRDefault="00BE6140" w:rsidP="00EF59B3">
      <w:pPr>
        <w:pStyle w:val="a7"/>
        <w:spacing w:before="100" w:beforeAutospacing="1" w:after="100" w:afterAutospacing="1" w:line="288" w:lineRule="auto"/>
        <w:ind w:left="2977" w:hanging="2977"/>
        <w:rPr>
          <w:rFonts w:ascii="Century Gothic" w:hAnsi="Century Gothic"/>
          <w:sz w:val="22"/>
          <w:szCs w:val="22"/>
          <w:u w:val="none"/>
        </w:rPr>
      </w:pPr>
    </w:p>
    <w:p w:rsidR="00BE6140" w:rsidRPr="00CB6CE9" w:rsidRDefault="00BE6140" w:rsidP="00EF59B3">
      <w:pPr>
        <w:pStyle w:val="a7"/>
        <w:spacing w:before="100" w:beforeAutospacing="1" w:after="100" w:afterAutospacing="1" w:line="288" w:lineRule="auto"/>
        <w:ind w:left="2977" w:hanging="2977"/>
        <w:rPr>
          <w:rFonts w:ascii="Century Gothic" w:hAnsi="Century Gothic"/>
          <w:sz w:val="22"/>
          <w:szCs w:val="22"/>
          <w:u w:val="none"/>
        </w:rPr>
      </w:pPr>
    </w:p>
    <w:p w:rsidR="00BE6140" w:rsidRPr="00CB6CE9" w:rsidRDefault="00BE6140" w:rsidP="00EF59B3">
      <w:pPr>
        <w:pStyle w:val="a7"/>
        <w:spacing w:before="100" w:beforeAutospacing="1" w:after="100" w:afterAutospacing="1" w:line="288" w:lineRule="auto"/>
        <w:ind w:left="2977" w:hanging="2977"/>
        <w:rPr>
          <w:rFonts w:ascii="Century Gothic" w:hAnsi="Century Gothic"/>
          <w:sz w:val="22"/>
          <w:szCs w:val="22"/>
          <w:u w:val="none"/>
        </w:rPr>
      </w:pPr>
    </w:p>
    <w:p w:rsidR="00BE6140" w:rsidRPr="00CB6CE9" w:rsidRDefault="00BE6140" w:rsidP="00EF59B3">
      <w:pPr>
        <w:pStyle w:val="a7"/>
        <w:spacing w:before="100" w:beforeAutospacing="1" w:after="100" w:afterAutospacing="1" w:line="288" w:lineRule="auto"/>
        <w:ind w:left="2977" w:hanging="2977"/>
        <w:rPr>
          <w:rFonts w:ascii="Century Gothic" w:hAnsi="Century Gothic"/>
          <w:sz w:val="22"/>
          <w:szCs w:val="22"/>
          <w:u w:val="none"/>
        </w:rPr>
      </w:pPr>
    </w:p>
    <w:p w:rsidR="00BE6140" w:rsidRPr="00CB6CE9" w:rsidRDefault="00BE6140" w:rsidP="00EF59B3">
      <w:pPr>
        <w:pStyle w:val="a7"/>
        <w:spacing w:before="100" w:beforeAutospacing="1" w:after="100" w:afterAutospacing="1" w:line="288" w:lineRule="auto"/>
        <w:ind w:left="2977" w:hanging="2977"/>
        <w:rPr>
          <w:rFonts w:ascii="Century Gothic" w:hAnsi="Century Gothic"/>
          <w:sz w:val="22"/>
          <w:szCs w:val="22"/>
          <w:u w:val="none"/>
        </w:rPr>
      </w:pPr>
    </w:p>
    <w:p w:rsidR="00BE6140" w:rsidRPr="00CB6CE9" w:rsidRDefault="00BE6140" w:rsidP="00EF59B3">
      <w:pPr>
        <w:pStyle w:val="a7"/>
        <w:spacing w:before="100" w:beforeAutospacing="1" w:after="100" w:afterAutospacing="1" w:line="288" w:lineRule="auto"/>
        <w:ind w:left="2977" w:hanging="2977"/>
        <w:rPr>
          <w:rFonts w:ascii="Century Gothic" w:hAnsi="Century Gothic"/>
          <w:sz w:val="22"/>
          <w:szCs w:val="22"/>
          <w:u w:val="none"/>
        </w:rPr>
      </w:pPr>
    </w:p>
    <w:p w:rsidR="00BE6140" w:rsidRPr="00CB6CE9" w:rsidRDefault="00BE6140" w:rsidP="00EF59B3">
      <w:pPr>
        <w:pStyle w:val="a7"/>
        <w:spacing w:before="100" w:beforeAutospacing="1" w:after="100" w:afterAutospacing="1" w:line="288" w:lineRule="auto"/>
        <w:ind w:left="2977" w:hanging="2977"/>
        <w:rPr>
          <w:rFonts w:ascii="Century Gothic" w:hAnsi="Century Gothic"/>
          <w:sz w:val="22"/>
          <w:szCs w:val="22"/>
          <w:u w:val="none"/>
        </w:rPr>
      </w:pPr>
    </w:p>
    <w:p w:rsidR="00BE6140" w:rsidRPr="00CB6CE9" w:rsidRDefault="00BE6140" w:rsidP="00EF59B3">
      <w:pPr>
        <w:pStyle w:val="a7"/>
        <w:spacing w:before="100" w:beforeAutospacing="1" w:after="100" w:afterAutospacing="1" w:line="288" w:lineRule="auto"/>
        <w:ind w:left="2977" w:hanging="2977"/>
        <w:rPr>
          <w:rFonts w:ascii="Century Gothic" w:hAnsi="Century Gothic"/>
          <w:sz w:val="22"/>
          <w:szCs w:val="22"/>
          <w:u w:val="none"/>
        </w:rPr>
      </w:pPr>
    </w:p>
    <w:p w:rsidR="00BE6140" w:rsidRPr="00CB6CE9" w:rsidRDefault="00BE6140" w:rsidP="00EF59B3">
      <w:pPr>
        <w:pStyle w:val="a7"/>
        <w:spacing w:before="100" w:beforeAutospacing="1" w:after="100" w:afterAutospacing="1" w:line="288" w:lineRule="auto"/>
        <w:ind w:left="2977" w:hanging="2977"/>
        <w:rPr>
          <w:rFonts w:ascii="Century Gothic" w:hAnsi="Century Gothic"/>
          <w:sz w:val="22"/>
          <w:szCs w:val="22"/>
          <w:u w:val="none"/>
        </w:rPr>
      </w:pPr>
    </w:p>
    <w:p w:rsidR="00BE6140" w:rsidRPr="00CB6CE9" w:rsidRDefault="00BE6140" w:rsidP="00EF59B3">
      <w:pPr>
        <w:pStyle w:val="a7"/>
        <w:spacing w:before="100" w:beforeAutospacing="1" w:after="100" w:afterAutospacing="1" w:line="288" w:lineRule="auto"/>
        <w:ind w:left="2977" w:hanging="2977"/>
        <w:rPr>
          <w:rFonts w:ascii="Century Gothic" w:hAnsi="Century Gothic"/>
          <w:sz w:val="22"/>
          <w:szCs w:val="22"/>
          <w:u w:val="none"/>
        </w:rPr>
      </w:pPr>
    </w:p>
    <w:p w:rsidR="00BE6140" w:rsidRPr="00CB6CE9" w:rsidRDefault="00BE6140" w:rsidP="00EF59B3">
      <w:pPr>
        <w:pStyle w:val="a7"/>
        <w:spacing w:before="100" w:beforeAutospacing="1" w:after="100" w:afterAutospacing="1" w:line="288" w:lineRule="auto"/>
        <w:ind w:left="2977" w:hanging="2977"/>
        <w:rPr>
          <w:rFonts w:ascii="Century Gothic" w:hAnsi="Century Gothic"/>
          <w:sz w:val="22"/>
          <w:szCs w:val="22"/>
          <w:u w:val="none"/>
        </w:rPr>
      </w:pPr>
    </w:p>
    <w:p w:rsidR="00BE6140" w:rsidRPr="00CB6CE9" w:rsidRDefault="00BE6140" w:rsidP="00EF59B3">
      <w:pPr>
        <w:pStyle w:val="a7"/>
        <w:spacing w:before="100" w:beforeAutospacing="1" w:after="100" w:afterAutospacing="1" w:line="288" w:lineRule="auto"/>
        <w:ind w:left="2977" w:hanging="2977"/>
        <w:rPr>
          <w:rFonts w:ascii="Century Gothic" w:hAnsi="Century Gothic"/>
          <w:sz w:val="22"/>
          <w:szCs w:val="22"/>
          <w:u w:val="none"/>
        </w:rPr>
      </w:pPr>
    </w:p>
    <w:p w:rsidR="00BE6140" w:rsidRPr="00CB6CE9" w:rsidRDefault="00BE6140" w:rsidP="00EF59B3">
      <w:pPr>
        <w:pStyle w:val="a7"/>
        <w:spacing w:before="100" w:beforeAutospacing="1" w:after="100" w:afterAutospacing="1" w:line="288" w:lineRule="auto"/>
        <w:ind w:left="2977" w:hanging="2977"/>
        <w:rPr>
          <w:rFonts w:ascii="Century Gothic" w:hAnsi="Century Gothic"/>
          <w:sz w:val="22"/>
          <w:szCs w:val="22"/>
          <w:u w:val="none"/>
        </w:rPr>
      </w:pPr>
    </w:p>
    <w:p w:rsidR="00BE6140" w:rsidRPr="00CB6CE9" w:rsidRDefault="00BE6140" w:rsidP="00DE206F">
      <w:pPr>
        <w:shd w:val="clear" w:color="auto" w:fill="943634"/>
        <w:tabs>
          <w:tab w:val="left" w:pos="567"/>
        </w:tabs>
        <w:spacing w:before="100" w:beforeAutospacing="1" w:after="100" w:afterAutospacing="1"/>
        <w:ind w:right="-193"/>
        <w:jc w:val="both"/>
        <w:outlineLvl w:val="0"/>
        <w:rPr>
          <w:rFonts w:ascii="Century Gothic" w:hAnsi="Century Gothic" w:cs="Times New Roman"/>
          <w:b/>
          <w:bCs/>
          <w:color w:val="FFFFFF"/>
        </w:rPr>
      </w:pPr>
      <w:r w:rsidRPr="00CB6CE9">
        <w:rPr>
          <w:rFonts w:ascii="Century Gothic" w:hAnsi="Century Gothic" w:cs="Times New Roman"/>
          <w:b/>
          <w:bCs/>
          <w:smallCaps/>
          <w:color w:val="FFFFFF"/>
        </w:rPr>
        <w:lastRenderedPageBreak/>
        <w:t>Α. ΟΙΚΟΝΟΜΙΚΟ ΚΛΙΜΑ: EE-27, ΕΥΡΩΖΩΝΗ, ΕΛΛΑΔΑ</w:t>
      </w:r>
    </w:p>
    <w:p w:rsidR="00BE6140" w:rsidRPr="00CB6CE9" w:rsidRDefault="00BE6140" w:rsidP="00C7401D">
      <w:pPr>
        <w:shd w:val="clear" w:color="auto" w:fill="DBE5F1"/>
        <w:spacing w:before="100" w:beforeAutospacing="1" w:after="100" w:afterAutospacing="1" w:line="288" w:lineRule="auto"/>
        <w:ind w:right="-142"/>
        <w:jc w:val="both"/>
        <w:outlineLvl w:val="0"/>
        <w:rPr>
          <w:rFonts w:ascii="Century Gothic" w:hAnsi="Century Gothic" w:cs="Times New Roman"/>
          <w:b/>
          <w:bCs/>
          <w:sz w:val="22"/>
          <w:szCs w:val="22"/>
        </w:rPr>
      </w:pPr>
      <w:r w:rsidRPr="00CB6CE9">
        <w:rPr>
          <w:rFonts w:ascii="Century Gothic" w:hAnsi="Century Gothic" w:cs="Times New Roman"/>
          <w:b/>
          <w:bCs/>
          <w:sz w:val="22"/>
          <w:szCs w:val="22"/>
          <w:u w:val="single"/>
        </w:rPr>
        <w:t>Ε.Ε – ΕΥΡΩΖΩΝΗ:</w:t>
      </w:r>
      <w:r>
        <w:rPr>
          <w:rFonts w:ascii="Century Gothic" w:hAnsi="Century Gothic" w:cs="Times New Roman"/>
          <w:b/>
          <w:bCs/>
          <w:sz w:val="22"/>
          <w:szCs w:val="22"/>
        </w:rPr>
        <w:t xml:space="preserve"> Ανάκαμψη του οικονομικού κλίματος σε </w:t>
      </w:r>
      <w:r w:rsidRPr="00CB6CE9">
        <w:rPr>
          <w:rFonts w:ascii="Century Gothic" w:hAnsi="Century Gothic" w:cs="Times New Roman"/>
          <w:b/>
          <w:bCs/>
          <w:iCs/>
          <w:sz w:val="22"/>
          <w:szCs w:val="22"/>
        </w:rPr>
        <w:t>ΕΕ</w:t>
      </w:r>
      <w:r w:rsidRPr="00CB6CE9">
        <w:rPr>
          <w:rFonts w:ascii="Century Gothic" w:hAnsi="Century Gothic" w:cs="Times New Roman"/>
          <w:b/>
          <w:bCs/>
          <w:sz w:val="22"/>
          <w:szCs w:val="22"/>
        </w:rPr>
        <w:t xml:space="preserve"> </w:t>
      </w:r>
      <w:r>
        <w:rPr>
          <w:rFonts w:ascii="Century Gothic" w:hAnsi="Century Gothic" w:cs="Times New Roman"/>
          <w:b/>
          <w:bCs/>
          <w:sz w:val="22"/>
          <w:szCs w:val="22"/>
        </w:rPr>
        <w:t xml:space="preserve">και </w:t>
      </w:r>
      <w:r w:rsidRPr="00CB6CE9">
        <w:rPr>
          <w:rFonts w:ascii="Century Gothic" w:hAnsi="Century Gothic" w:cs="Times New Roman"/>
          <w:b/>
          <w:bCs/>
          <w:iCs/>
          <w:sz w:val="22"/>
          <w:szCs w:val="22"/>
        </w:rPr>
        <w:t>Ε</w:t>
      </w:r>
      <w:r>
        <w:rPr>
          <w:rFonts w:ascii="Century Gothic" w:hAnsi="Century Gothic" w:cs="Times New Roman"/>
          <w:b/>
          <w:bCs/>
          <w:iCs/>
          <w:sz w:val="22"/>
          <w:szCs w:val="22"/>
        </w:rPr>
        <w:t>υρωζώνη</w:t>
      </w:r>
    </w:p>
    <w:p w:rsidR="00BE6140" w:rsidRPr="00B80C41" w:rsidRDefault="00BE6140" w:rsidP="00A80175">
      <w:pPr>
        <w:spacing w:before="100" w:beforeAutospacing="1" w:after="100" w:afterAutospacing="1" w:line="288" w:lineRule="auto"/>
        <w:ind w:right="-142"/>
        <w:jc w:val="both"/>
        <w:rPr>
          <w:rFonts w:ascii="Century Gothic" w:hAnsi="Century Gothic" w:cs="Times New Roman"/>
          <w:sz w:val="20"/>
          <w:szCs w:val="20"/>
        </w:rPr>
      </w:pPr>
      <w:r w:rsidRPr="00B80C41">
        <w:rPr>
          <w:rFonts w:ascii="Century Gothic" w:hAnsi="Century Gothic" w:cs="Times New Roman"/>
          <w:b/>
          <w:bCs/>
          <w:sz w:val="20"/>
          <w:szCs w:val="20"/>
        </w:rPr>
        <w:t>Το οικονομικό κλίμα βελτιώνεται για πέμπτο συνεχή μήνα τον Σεπτέμβριο στην Ευρωζώνη και στην ΕΕ</w:t>
      </w:r>
      <w:r w:rsidRPr="00B80C41">
        <w:rPr>
          <w:rStyle w:val="ab"/>
          <w:rFonts w:ascii="Century Gothic" w:hAnsi="Century Gothic"/>
          <w:b/>
          <w:bCs/>
          <w:sz w:val="20"/>
          <w:szCs w:val="20"/>
        </w:rPr>
        <w:footnoteReference w:id="1"/>
      </w:r>
      <w:r w:rsidRPr="00B80C41">
        <w:rPr>
          <w:rFonts w:ascii="Century Gothic" w:hAnsi="Century Gothic" w:cs="Times New Roman"/>
          <w:sz w:val="20"/>
          <w:szCs w:val="20"/>
        </w:rPr>
        <w:t xml:space="preserve">, με το σχετικό δείκτη να αυξάνεται σε σχέση με τον Αύγουστο κατά 1,6 και 2,4 μονάδες αντίστοιχα, στις 96,9 και 100,6 μονάδες. Η άνοδος του δείκτη στην ΕΕ είχε ως αποτέλεσμα τη διαμόρφωσή του οριακά υψηλότερα του μακροχρόνιου μέσου όρου του για πρώτη φορά από τον Ιούλιο του 2011. Στην </w:t>
      </w:r>
      <w:r w:rsidRPr="00B80C41">
        <w:rPr>
          <w:rFonts w:ascii="Century Gothic" w:hAnsi="Century Gothic" w:cs="Times New Roman"/>
          <w:b/>
          <w:sz w:val="20"/>
          <w:szCs w:val="20"/>
        </w:rPr>
        <w:t>Ευρωζώνη</w:t>
      </w:r>
      <w:r w:rsidRPr="00B80C41">
        <w:rPr>
          <w:rFonts w:ascii="Century Gothic" w:hAnsi="Century Gothic" w:cs="Times New Roman"/>
          <w:sz w:val="20"/>
          <w:szCs w:val="20"/>
        </w:rPr>
        <w:t xml:space="preserve">, η βελτίωση του κλίματος οφείλεται στην καλυτέρευση των επιχειρηματικών προσδοκιών σε όλους τους τομείς. Συγκεκριμένα, στο </w:t>
      </w:r>
      <w:r w:rsidRPr="00B80C41">
        <w:rPr>
          <w:rFonts w:ascii="Century Gothic" w:hAnsi="Century Gothic" w:cs="Times New Roman"/>
          <w:b/>
          <w:bCs/>
          <w:sz w:val="20"/>
          <w:szCs w:val="20"/>
        </w:rPr>
        <w:t>Λιανικό Εμπόριο</w:t>
      </w:r>
      <w:r w:rsidRPr="00B80C41">
        <w:rPr>
          <w:rFonts w:ascii="Century Gothic" w:hAnsi="Century Gothic" w:cs="Times New Roman"/>
          <w:bCs/>
          <w:sz w:val="20"/>
          <w:szCs w:val="20"/>
        </w:rPr>
        <w:t xml:space="preserve"> </w:t>
      </w:r>
      <w:r w:rsidRPr="00B80C41">
        <w:rPr>
          <w:rFonts w:ascii="Century Gothic" w:hAnsi="Century Gothic" w:cs="Times New Roman"/>
          <w:sz w:val="20"/>
          <w:szCs w:val="20"/>
        </w:rPr>
        <w:t xml:space="preserve">(+3,6) και στις </w:t>
      </w:r>
      <w:r w:rsidRPr="00B80C41">
        <w:rPr>
          <w:rFonts w:ascii="Century Gothic" w:hAnsi="Century Gothic" w:cs="Times New Roman"/>
          <w:b/>
          <w:sz w:val="20"/>
          <w:szCs w:val="20"/>
        </w:rPr>
        <w:t xml:space="preserve">Κατασκευές </w:t>
      </w:r>
      <w:r w:rsidRPr="00B80C41">
        <w:rPr>
          <w:rFonts w:ascii="Century Gothic" w:hAnsi="Century Gothic" w:cs="Times New Roman"/>
          <w:sz w:val="20"/>
          <w:szCs w:val="20"/>
        </w:rPr>
        <w:t>(+4,4)</w:t>
      </w:r>
      <w:r w:rsidRPr="00B80C41">
        <w:rPr>
          <w:rFonts w:ascii="Century Gothic" w:hAnsi="Century Gothic" w:cs="Times New Roman"/>
          <w:b/>
          <w:sz w:val="20"/>
          <w:szCs w:val="20"/>
        </w:rPr>
        <w:t>,</w:t>
      </w:r>
      <w:r w:rsidRPr="00B80C41">
        <w:rPr>
          <w:rFonts w:ascii="Century Gothic" w:hAnsi="Century Gothic" w:cs="Times New Roman"/>
          <w:sz w:val="20"/>
          <w:szCs w:val="20"/>
        </w:rPr>
        <w:t xml:space="preserve"> ο σχετικός δείκτης αυξάνεται αισθητά, ενώ οι προσδοκίες βελτιώθηκαν ηπιότερα στις </w:t>
      </w:r>
      <w:r w:rsidRPr="00B80C41">
        <w:rPr>
          <w:rFonts w:ascii="Century Gothic" w:hAnsi="Century Gothic" w:cs="Times New Roman"/>
          <w:b/>
          <w:sz w:val="20"/>
          <w:szCs w:val="20"/>
        </w:rPr>
        <w:t>Υπηρεσίες</w:t>
      </w:r>
      <w:r w:rsidRPr="00B80C41">
        <w:rPr>
          <w:rFonts w:ascii="Century Gothic" w:hAnsi="Century Gothic" w:cs="Times New Roman"/>
          <w:sz w:val="20"/>
          <w:szCs w:val="20"/>
        </w:rPr>
        <w:t xml:space="preserve"> (+1,9) και στη </w:t>
      </w:r>
      <w:r w:rsidRPr="00B80C41">
        <w:rPr>
          <w:rFonts w:ascii="Century Gothic" w:hAnsi="Century Gothic" w:cs="Times New Roman"/>
          <w:b/>
          <w:sz w:val="20"/>
          <w:szCs w:val="20"/>
        </w:rPr>
        <w:t>Βιομηχανία</w:t>
      </w:r>
      <w:r w:rsidRPr="00B80C41">
        <w:rPr>
          <w:rFonts w:ascii="Century Gothic" w:hAnsi="Century Gothic" w:cs="Times New Roman"/>
          <w:sz w:val="20"/>
          <w:szCs w:val="20"/>
        </w:rPr>
        <w:t xml:space="preserve"> (+1,1 μονάδες). Η </w:t>
      </w:r>
      <w:r w:rsidRPr="00B80C41">
        <w:rPr>
          <w:rFonts w:ascii="Century Gothic" w:hAnsi="Century Gothic" w:cs="Times New Roman"/>
          <w:b/>
          <w:sz w:val="20"/>
          <w:szCs w:val="20"/>
        </w:rPr>
        <w:t>καταναλωτική εμπιστοσύνη</w:t>
      </w:r>
      <w:r w:rsidRPr="00B80C41">
        <w:rPr>
          <w:rFonts w:ascii="Century Gothic" w:hAnsi="Century Gothic" w:cs="Times New Roman"/>
          <w:sz w:val="20"/>
          <w:szCs w:val="20"/>
        </w:rPr>
        <w:t xml:space="preserve"> αυξήθηκε κατά 0,7 μονάδες, παραμένοντας σε ανοδική τροχιά από τον περυσινό Δεκέμβριο, ενώ σε επίπεδο χωρών της Ευρωζώνης, ο </w:t>
      </w:r>
      <w:r w:rsidRPr="00B80C41">
        <w:rPr>
          <w:rFonts w:ascii="Century Gothic" w:hAnsi="Century Gothic" w:cs="Times New Roman"/>
          <w:b/>
          <w:sz w:val="20"/>
          <w:szCs w:val="20"/>
        </w:rPr>
        <w:t>δείκτης κλίματος</w:t>
      </w:r>
      <w:r w:rsidRPr="00B80C41">
        <w:rPr>
          <w:rFonts w:ascii="Century Gothic" w:hAnsi="Century Gothic" w:cs="Times New Roman"/>
          <w:sz w:val="20"/>
          <w:szCs w:val="20"/>
        </w:rPr>
        <w:t xml:space="preserve"> ανέκαμψε τον Σεπτέμβριο σε τρεις από τις πέντε μεγαλύτερες εξ’ αυτών, ήτοι στην Ιταλία (+2,5), την Ισπανία (+2,5) και την Γαλλία (+1,6). Στην Γερμανία ο δείκτης κλίματος ήταν σχεδόν αμετάβλητος (+0,3), ενώ υποχώρησε στην Ολλανδία (-0,9).</w:t>
      </w:r>
    </w:p>
    <w:p w:rsidR="00BE6140" w:rsidRPr="00B80C41" w:rsidRDefault="00BE6140" w:rsidP="00A80175">
      <w:pPr>
        <w:spacing w:before="100" w:beforeAutospacing="1" w:after="100" w:afterAutospacing="1" w:line="288" w:lineRule="auto"/>
        <w:ind w:right="-142"/>
        <w:jc w:val="both"/>
        <w:rPr>
          <w:rFonts w:ascii="Century Gothic" w:hAnsi="Century Gothic" w:cs="Times New Roman"/>
          <w:sz w:val="20"/>
          <w:szCs w:val="20"/>
        </w:rPr>
      </w:pPr>
      <w:r w:rsidRPr="00B80C41">
        <w:rPr>
          <w:rFonts w:ascii="Century Gothic" w:hAnsi="Century Gothic" w:cs="Times New Roman"/>
          <w:sz w:val="20"/>
          <w:szCs w:val="20"/>
        </w:rPr>
        <w:t xml:space="preserve">Στην </w:t>
      </w:r>
      <w:r w:rsidRPr="00B80C41">
        <w:rPr>
          <w:rFonts w:ascii="Century Gothic" w:hAnsi="Century Gothic" w:cs="Times New Roman"/>
          <w:b/>
          <w:sz w:val="20"/>
          <w:szCs w:val="20"/>
        </w:rPr>
        <w:t>ΕΕ</w:t>
      </w:r>
      <w:r w:rsidRPr="00B80C41">
        <w:rPr>
          <w:rFonts w:ascii="Century Gothic" w:hAnsi="Century Gothic" w:cs="Times New Roman"/>
          <w:sz w:val="20"/>
          <w:szCs w:val="20"/>
        </w:rPr>
        <w:t>, η βελτίωση του κλίματος είναι εντονότερη σε σχέση με την Ευρωζώνη</w:t>
      </w:r>
      <w:r w:rsidRPr="00D32564">
        <w:rPr>
          <w:rFonts w:ascii="Century Gothic" w:hAnsi="Century Gothic" w:cs="Times New Roman"/>
          <w:sz w:val="20"/>
          <w:szCs w:val="20"/>
        </w:rPr>
        <w:t>,</w:t>
      </w:r>
      <w:r w:rsidRPr="00B80C41">
        <w:rPr>
          <w:rFonts w:ascii="Century Gothic" w:hAnsi="Century Gothic" w:cs="Times New Roman"/>
          <w:sz w:val="20"/>
          <w:szCs w:val="20"/>
        </w:rPr>
        <w:t xml:space="preserve"> καθώς οι προσδοκίες βελτιώθηκαν έντονα στο Ην. Βασίλειο (+6,9), τη μεγαλύτερη οικονομία της ΕΕ εκτός Ευρωζώνης. Σε επίπεδο τομέων, η ανάκαμψη στη Βιομηχανία, τις Υπηρεσίες και τους καταναλωτές υπερβαίνει την αντίστοιχη στην Ευρωζώνη, ενώ στις Κατασκευές και το Λιανικό Εμπόριο</w:t>
      </w:r>
      <w:r w:rsidRPr="00543902">
        <w:rPr>
          <w:rFonts w:ascii="Century Gothic" w:hAnsi="Century Gothic" w:cs="Times New Roman"/>
          <w:sz w:val="20"/>
          <w:szCs w:val="20"/>
        </w:rPr>
        <w:t>,</w:t>
      </w:r>
      <w:r w:rsidRPr="00B80C41">
        <w:rPr>
          <w:rFonts w:ascii="Century Gothic" w:hAnsi="Century Gothic" w:cs="Times New Roman"/>
          <w:sz w:val="20"/>
          <w:szCs w:val="20"/>
        </w:rPr>
        <w:t xml:space="preserve"> η διόρθωση του σχετικού δείκτη ήταν ηπιότερη. Αναλυτικότερα: </w:t>
      </w:r>
    </w:p>
    <w:p w:rsidR="00BE6140" w:rsidRPr="00B80C41" w:rsidRDefault="00BE6140" w:rsidP="00A80175">
      <w:pPr>
        <w:pStyle w:val="af0"/>
        <w:numPr>
          <w:ilvl w:val="0"/>
          <w:numId w:val="1"/>
        </w:numPr>
        <w:tabs>
          <w:tab w:val="clear" w:pos="720"/>
          <w:tab w:val="num" w:pos="375"/>
        </w:tabs>
        <w:spacing w:before="100" w:beforeAutospacing="1" w:after="100" w:afterAutospacing="1" w:line="288" w:lineRule="auto"/>
        <w:ind w:left="375" w:right="-142"/>
        <w:jc w:val="both"/>
        <w:rPr>
          <w:rFonts w:ascii="Century Gothic" w:hAnsi="Century Gothic" w:cs="Times New Roman"/>
          <w:sz w:val="20"/>
          <w:szCs w:val="20"/>
        </w:rPr>
      </w:pPr>
      <w:r w:rsidRPr="00B80C41">
        <w:rPr>
          <w:rFonts w:ascii="Century Gothic" w:hAnsi="Century Gothic" w:cs="Times New Roman"/>
          <w:sz w:val="20"/>
          <w:szCs w:val="20"/>
        </w:rPr>
        <w:t xml:space="preserve">Στη </w:t>
      </w:r>
      <w:r w:rsidRPr="00B80C41">
        <w:rPr>
          <w:rFonts w:ascii="Century Gothic" w:hAnsi="Century Gothic" w:cs="Times New Roman"/>
          <w:b/>
          <w:bCs/>
          <w:sz w:val="20"/>
          <w:szCs w:val="20"/>
        </w:rPr>
        <w:t>Βιομηχανία</w:t>
      </w:r>
      <w:r w:rsidRPr="00B80C41">
        <w:rPr>
          <w:rFonts w:ascii="Century Gothic" w:hAnsi="Century Gothic" w:cs="Times New Roman"/>
          <w:sz w:val="20"/>
          <w:szCs w:val="20"/>
        </w:rPr>
        <w:t>,</w:t>
      </w:r>
      <w:r w:rsidRPr="00B80C41">
        <w:rPr>
          <w:rFonts w:ascii="Century Gothic" w:hAnsi="Century Gothic" w:cs="Times New Roman"/>
          <w:b/>
          <w:bCs/>
          <w:sz w:val="20"/>
          <w:szCs w:val="20"/>
        </w:rPr>
        <w:t xml:space="preserve"> </w:t>
      </w:r>
      <w:r w:rsidRPr="00B80C41">
        <w:rPr>
          <w:rFonts w:ascii="Century Gothic" w:hAnsi="Century Gothic" w:cs="Times New Roman"/>
          <w:sz w:val="20"/>
          <w:szCs w:val="20"/>
        </w:rPr>
        <w:t xml:space="preserve">οι δείκτες επιχειρηματικών προσδοκιών διαμορφώνονται στις -5,2 και -6,7 μονάδες σε ΕΕ και Ευρωζώνη αντίστοιχα. Οι </w:t>
      </w:r>
      <w:r w:rsidRPr="00B80C41">
        <w:rPr>
          <w:rFonts w:ascii="Century Gothic" w:hAnsi="Century Gothic" w:cs="Times New Roman"/>
          <w:i/>
          <w:iCs/>
          <w:sz w:val="20"/>
          <w:szCs w:val="20"/>
        </w:rPr>
        <w:t xml:space="preserve">προβλέψεις για την εξέλιξη της παραγωγής </w:t>
      </w:r>
      <w:r w:rsidRPr="00B80C41">
        <w:rPr>
          <w:rFonts w:ascii="Century Gothic" w:hAnsi="Century Gothic" w:cs="Times New Roman"/>
          <w:iCs/>
          <w:sz w:val="20"/>
          <w:szCs w:val="20"/>
        </w:rPr>
        <w:t xml:space="preserve">βελτιώνονται στην </w:t>
      </w:r>
      <w:r w:rsidRPr="00B80C41">
        <w:rPr>
          <w:rFonts w:ascii="Century Gothic" w:hAnsi="Century Gothic" w:cs="Times New Roman"/>
          <w:sz w:val="20"/>
          <w:szCs w:val="20"/>
        </w:rPr>
        <w:t>Ευρωζώνη</w:t>
      </w:r>
      <w:r w:rsidRPr="00B80C41">
        <w:rPr>
          <w:rFonts w:ascii="Century Gothic" w:hAnsi="Century Gothic" w:cs="Times New Roman"/>
          <w:iCs/>
          <w:sz w:val="20"/>
          <w:szCs w:val="20"/>
        </w:rPr>
        <w:t xml:space="preserve"> και κυρίως σ</w:t>
      </w:r>
      <w:r w:rsidRPr="00B80C41">
        <w:rPr>
          <w:rFonts w:ascii="Century Gothic" w:hAnsi="Century Gothic" w:cs="Times New Roman"/>
          <w:sz w:val="20"/>
          <w:szCs w:val="20"/>
        </w:rPr>
        <w:t xml:space="preserve">την ΕΕ, σε στενή συνάρτηση με τις καλύτερες </w:t>
      </w:r>
      <w:r w:rsidRPr="00B80C41">
        <w:rPr>
          <w:rFonts w:ascii="Century Gothic" w:hAnsi="Century Gothic" w:cs="Times New Roman"/>
          <w:i/>
          <w:iCs/>
          <w:sz w:val="20"/>
          <w:szCs w:val="20"/>
        </w:rPr>
        <w:t>εκτιμήσεις για τα επίπεδα παραγγελιών και ζήτησης</w:t>
      </w:r>
      <w:r w:rsidRPr="00B80C41">
        <w:rPr>
          <w:rFonts w:ascii="Century Gothic" w:hAnsi="Century Gothic" w:cs="Times New Roman"/>
          <w:iCs/>
          <w:sz w:val="20"/>
          <w:szCs w:val="20"/>
        </w:rPr>
        <w:t xml:space="preserve">. Από την άλλη πλευρά, </w:t>
      </w:r>
      <w:r w:rsidRPr="00B80C41">
        <w:rPr>
          <w:rFonts w:ascii="Century Gothic" w:hAnsi="Century Gothic" w:cs="Times New Roman"/>
          <w:sz w:val="20"/>
          <w:szCs w:val="20"/>
        </w:rPr>
        <w:t xml:space="preserve">οι δείκτες στις </w:t>
      </w:r>
      <w:r w:rsidRPr="00B80C41">
        <w:rPr>
          <w:rFonts w:ascii="Century Gothic" w:hAnsi="Century Gothic" w:cs="Times New Roman"/>
          <w:i/>
          <w:iCs/>
          <w:sz w:val="20"/>
          <w:szCs w:val="20"/>
        </w:rPr>
        <w:t>εκτιμήσεις για τα αποθέματα</w:t>
      </w:r>
      <w:r w:rsidRPr="00B80C41">
        <w:rPr>
          <w:rFonts w:ascii="Century Gothic" w:hAnsi="Century Gothic" w:cs="Times New Roman"/>
          <w:sz w:val="20"/>
          <w:szCs w:val="20"/>
        </w:rPr>
        <w:t xml:space="preserve"> μειώνονται ελαφρά στην Ευρωζώνη και περισσότερο στην ΕΕ.</w:t>
      </w:r>
    </w:p>
    <w:p w:rsidR="00BE6140" w:rsidRPr="00B80C41" w:rsidRDefault="00BE6140" w:rsidP="00A80175">
      <w:pPr>
        <w:numPr>
          <w:ilvl w:val="0"/>
          <w:numId w:val="1"/>
        </w:numPr>
        <w:tabs>
          <w:tab w:val="clear" w:pos="720"/>
          <w:tab w:val="num" w:pos="375"/>
        </w:tabs>
        <w:spacing w:before="120" w:after="100" w:afterAutospacing="1" w:line="288" w:lineRule="auto"/>
        <w:ind w:left="357" w:right="-142" w:hanging="357"/>
        <w:jc w:val="both"/>
        <w:rPr>
          <w:rFonts w:ascii="Century Gothic" w:hAnsi="Century Gothic" w:cs="Times New Roman"/>
          <w:sz w:val="20"/>
          <w:szCs w:val="20"/>
        </w:rPr>
      </w:pPr>
      <w:r w:rsidRPr="00B80C41">
        <w:rPr>
          <w:rFonts w:ascii="Century Gothic" w:hAnsi="Century Gothic" w:cs="Times New Roman"/>
          <w:sz w:val="20"/>
          <w:szCs w:val="20"/>
        </w:rPr>
        <w:t xml:space="preserve">Στις </w:t>
      </w:r>
      <w:r w:rsidRPr="00B80C41">
        <w:rPr>
          <w:rFonts w:ascii="Century Gothic" w:hAnsi="Century Gothic" w:cs="Times New Roman"/>
          <w:b/>
          <w:bCs/>
          <w:sz w:val="20"/>
          <w:szCs w:val="20"/>
        </w:rPr>
        <w:t>Υπηρεσίες</w:t>
      </w:r>
      <w:r w:rsidRPr="00B80C41">
        <w:rPr>
          <w:rFonts w:ascii="Century Gothic" w:hAnsi="Century Gothic" w:cs="Times New Roman"/>
          <w:sz w:val="20"/>
          <w:szCs w:val="20"/>
        </w:rPr>
        <w:t xml:space="preserve">, οι δείκτες προσδοκιών διαμορφώνονται στις +1,1 και -3,3 μονάδες στην ΕΕ και την Ευρωζώνη αντίστοιχα. Οι αρνητικές </w:t>
      </w:r>
      <w:r w:rsidRPr="00B80C41">
        <w:rPr>
          <w:rFonts w:ascii="Century Gothic" w:hAnsi="Century Gothic" w:cs="Times New Roman"/>
          <w:i/>
          <w:iCs/>
          <w:sz w:val="20"/>
          <w:szCs w:val="20"/>
        </w:rPr>
        <w:t>εκτιμήσεις των επιχειρήσεων για την τρέχουσα δραστηριότητά τους</w:t>
      </w:r>
      <w:r w:rsidRPr="00B80C41">
        <w:rPr>
          <w:rFonts w:ascii="Century Gothic" w:hAnsi="Century Gothic" w:cs="Times New Roman"/>
          <w:sz w:val="20"/>
          <w:szCs w:val="20"/>
        </w:rPr>
        <w:t xml:space="preserve"> αμβλύνονται ελαφρά στην Ευρωζώνη και περισσότερο στην ΕΕ, ενώ οι </w:t>
      </w:r>
      <w:r w:rsidRPr="00B80C41">
        <w:rPr>
          <w:rFonts w:ascii="Century Gothic" w:hAnsi="Century Gothic" w:cs="Times New Roman"/>
          <w:i/>
          <w:iCs/>
          <w:sz w:val="20"/>
          <w:szCs w:val="20"/>
        </w:rPr>
        <w:t>εκτιμήσεις</w:t>
      </w:r>
      <w:r w:rsidRPr="00B80C41">
        <w:rPr>
          <w:rFonts w:ascii="Century Gothic" w:hAnsi="Century Gothic" w:cs="Times New Roman"/>
          <w:sz w:val="20"/>
          <w:szCs w:val="20"/>
        </w:rPr>
        <w:t xml:space="preserve"> </w:t>
      </w:r>
      <w:r w:rsidRPr="00B80C41">
        <w:rPr>
          <w:rFonts w:ascii="Century Gothic" w:hAnsi="Century Gothic" w:cs="Times New Roman"/>
          <w:i/>
          <w:iCs/>
          <w:sz w:val="20"/>
          <w:szCs w:val="20"/>
        </w:rPr>
        <w:t>για την τρέχουσα</w:t>
      </w:r>
      <w:r w:rsidRPr="00B80C41">
        <w:rPr>
          <w:rFonts w:ascii="Century Gothic" w:hAnsi="Century Gothic" w:cs="Times New Roman"/>
          <w:sz w:val="20"/>
          <w:szCs w:val="20"/>
        </w:rPr>
        <w:t xml:space="preserve"> </w:t>
      </w:r>
      <w:r w:rsidRPr="00B80C41">
        <w:rPr>
          <w:rFonts w:ascii="Century Gothic" w:hAnsi="Century Gothic" w:cs="Times New Roman"/>
          <w:i/>
          <w:iCs/>
          <w:sz w:val="20"/>
          <w:szCs w:val="20"/>
        </w:rPr>
        <w:t>ζήτηση</w:t>
      </w:r>
      <w:r w:rsidRPr="00B80C41">
        <w:rPr>
          <w:rFonts w:ascii="Century Gothic" w:hAnsi="Century Gothic" w:cs="Times New Roman"/>
          <w:sz w:val="20"/>
          <w:szCs w:val="20"/>
        </w:rPr>
        <w:t xml:space="preserve"> βελτιώνονται ήπια και στις δύο ζώνες. Τέλος, οι </w:t>
      </w:r>
      <w:r w:rsidRPr="00B80C41">
        <w:rPr>
          <w:rFonts w:ascii="Century Gothic" w:hAnsi="Century Gothic" w:cs="Times New Roman"/>
          <w:i/>
          <w:iCs/>
          <w:sz w:val="20"/>
          <w:szCs w:val="20"/>
        </w:rPr>
        <w:t>προβλέψεις των επιχειρήσεων για τη</w:t>
      </w:r>
      <w:r w:rsidRPr="00B80C41">
        <w:rPr>
          <w:rFonts w:ascii="Century Gothic" w:hAnsi="Century Gothic" w:cs="Times New Roman"/>
          <w:sz w:val="20"/>
          <w:szCs w:val="20"/>
        </w:rPr>
        <w:t xml:space="preserve"> </w:t>
      </w:r>
      <w:r w:rsidRPr="00B80C41">
        <w:rPr>
          <w:rFonts w:ascii="Century Gothic" w:hAnsi="Century Gothic" w:cs="Times New Roman"/>
          <w:i/>
          <w:iCs/>
          <w:sz w:val="20"/>
          <w:szCs w:val="20"/>
        </w:rPr>
        <w:t>βραχυπρόθεσμη</w:t>
      </w:r>
      <w:r w:rsidRPr="00B80C41">
        <w:rPr>
          <w:rFonts w:ascii="Century Gothic" w:hAnsi="Century Gothic" w:cs="Times New Roman"/>
          <w:sz w:val="20"/>
          <w:szCs w:val="20"/>
        </w:rPr>
        <w:t xml:space="preserve"> </w:t>
      </w:r>
      <w:r w:rsidRPr="00B80C41">
        <w:rPr>
          <w:rFonts w:ascii="Century Gothic" w:hAnsi="Century Gothic" w:cs="Times New Roman"/>
          <w:i/>
          <w:iCs/>
          <w:sz w:val="20"/>
          <w:szCs w:val="20"/>
        </w:rPr>
        <w:t>εξέλιξη της ζήτησης</w:t>
      </w:r>
      <w:r w:rsidRPr="00B80C41">
        <w:rPr>
          <w:rFonts w:ascii="Century Gothic" w:hAnsi="Century Gothic" w:cs="Times New Roman"/>
          <w:sz w:val="20"/>
          <w:szCs w:val="20"/>
        </w:rPr>
        <w:t xml:space="preserve"> κερδίζουν πάνω από 2 μονάδες σε αμφότερες ΕΕ και Ευρωζώνη.</w:t>
      </w:r>
    </w:p>
    <w:p w:rsidR="00BE6140" w:rsidRPr="00B80C41" w:rsidRDefault="00BE6140" w:rsidP="00A80175">
      <w:pPr>
        <w:numPr>
          <w:ilvl w:val="0"/>
          <w:numId w:val="1"/>
        </w:numPr>
        <w:tabs>
          <w:tab w:val="clear" w:pos="720"/>
          <w:tab w:val="num" w:pos="0"/>
        </w:tabs>
        <w:spacing w:before="120" w:after="100" w:afterAutospacing="1" w:line="288" w:lineRule="auto"/>
        <w:ind w:left="357" w:right="-142" w:hanging="357"/>
        <w:jc w:val="both"/>
        <w:rPr>
          <w:rFonts w:ascii="Century Gothic" w:hAnsi="Century Gothic" w:cs="Times New Roman"/>
          <w:sz w:val="20"/>
          <w:szCs w:val="20"/>
        </w:rPr>
      </w:pPr>
      <w:r w:rsidRPr="00B80C41">
        <w:rPr>
          <w:rFonts w:ascii="Century Gothic" w:hAnsi="Century Gothic" w:cs="Times New Roman"/>
          <w:sz w:val="20"/>
          <w:szCs w:val="20"/>
        </w:rPr>
        <w:t xml:space="preserve">Στο </w:t>
      </w:r>
      <w:r w:rsidRPr="00B80C41">
        <w:rPr>
          <w:rFonts w:ascii="Century Gothic" w:hAnsi="Century Gothic" w:cs="Times New Roman"/>
          <w:b/>
          <w:bCs/>
          <w:sz w:val="20"/>
          <w:szCs w:val="20"/>
        </w:rPr>
        <w:t>Λιανικό Εμπόριο</w:t>
      </w:r>
      <w:r w:rsidRPr="00B80C41">
        <w:rPr>
          <w:rFonts w:ascii="Century Gothic" w:hAnsi="Century Gothic" w:cs="Times New Roman"/>
          <w:sz w:val="20"/>
          <w:szCs w:val="20"/>
        </w:rPr>
        <w:t xml:space="preserve">, οι σχετικοί δείκτες διαμορφώθηκαν στις -0,4 μονάδες στην ΕΕ και στις -7,0 μονάδες στην Ευρωζώνη. Οι αρνητικές </w:t>
      </w:r>
      <w:r w:rsidRPr="00B80C41">
        <w:rPr>
          <w:rFonts w:ascii="Century Gothic" w:hAnsi="Century Gothic" w:cs="Times New Roman"/>
          <w:i/>
          <w:iCs/>
          <w:sz w:val="20"/>
          <w:szCs w:val="20"/>
        </w:rPr>
        <w:t>εκτιμήσεις για την τρέχουσα επιχειρηματική δραστηριότητα</w:t>
      </w:r>
      <w:r w:rsidRPr="00B80C41">
        <w:rPr>
          <w:rFonts w:ascii="Century Gothic" w:hAnsi="Century Gothic" w:cs="Times New Roman"/>
          <w:sz w:val="20"/>
          <w:szCs w:val="20"/>
        </w:rPr>
        <w:t xml:space="preserve"> αμβλύνονται 5-6 μονάδες και στις δύο ζώνες, ενώ οι </w:t>
      </w:r>
      <w:r w:rsidRPr="00B80C41">
        <w:rPr>
          <w:rFonts w:ascii="Century Gothic" w:hAnsi="Century Gothic" w:cs="Times New Roman"/>
          <w:i/>
          <w:iCs/>
          <w:sz w:val="20"/>
          <w:szCs w:val="20"/>
        </w:rPr>
        <w:t>εκτιμήσεις για τα αποθέματα</w:t>
      </w:r>
      <w:r w:rsidRPr="00B80C41">
        <w:rPr>
          <w:rFonts w:ascii="Century Gothic" w:hAnsi="Century Gothic" w:cs="Times New Roman"/>
          <w:sz w:val="20"/>
          <w:szCs w:val="20"/>
        </w:rPr>
        <w:t xml:space="preserve"> εξομαλύνονται οριακά στην ΕΕ και ελαφρώς στην Ευρωζώνη. Τέλος, οριακή άνοδο σημειώνει ο δείκτης των </w:t>
      </w:r>
      <w:r w:rsidRPr="00B80C41">
        <w:rPr>
          <w:rFonts w:ascii="Century Gothic" w:hAnsi="Century Gothic" w:cs="Times New Roman"/>
          <w:i/>
          <w:iCs/>
          <w:sz w:val="20"/>
          <w:szCs w:val="20"/>
        </w:rPr>
        <w:t>προβλέψεων για τις πωλήσεις τους επόμενους μήνες</w:t>
      </w:r>
      <w:r w:rsidRPr="00B80C41">
        <w:rPr>
          <w:rFonts w:ascii="Century Gothic" w:hAnsi="Century Gothic" w:cs="Times New Roman"/>
          <w:sz w:val="20"/>
          <w:szCs w:val="20"/>
        </w:rPr>
        <w:t xml:space="preserve"> στην</w:t>
      </w:r>
      <w:r w:rsidRPr="00B80C41">
        <w:rPr>
          <w:rFonts w:ascii="Century Gothic" w:hAnsi="Century Gothic" w:cs="Times New Roman"/>
          <w:i/>
          <w:iCs/>
          <w:sz w:val="20"/>
          <w:szCs w:val="20"/>
        </w:rPr>
        <w:t xml:space="preserve"> </w:t>
      </w:r>
      <w:r w:rsidRPr="00B80C41">
        <w:rPr>
          <w:rFonts w:ascii="Century Gothic" w:hAnsi="Century Gothic" w:cs="Times New Roman"/>
          <w:sz w:val="20"/>
          <w:szCs w:val="20"/>
        </w:rPr>
        <w:t>ΕΕ, παρουσιάζει όμως έντονη αύξηση στην Ευρωζώνη.</w:t>
      </w:r>
    </w:p>
    <w:p w:rsidR="00BE6140" w:rsidRPr="00B80C41" w:rsidRDefault="00BE6140" w:rsidP="00A80175">
      <w:pPr>
        <w:numPr>
          <w:ilvl w:val="0"/>
          <w:numId w:val="1"/>
        </w:numPr>
        <w:tabs>
          <w:tab w:val="clear" w:pos="720"/>
          <w:tab w:val="num" w:pos="375"/>
        </w:tabs>
        <w:spacing w:before="120" w:after="100" w:afterAutospacing="1" w:line="288" w:lineRule="auto"/>
        <w:ind w:left="357" w:right="-142" w:hanging="357"/>
        <w:jc w:val="both"/>
        <w:rPr>
          <w:rFonts w:ascii="Century Gothic" w:hAnsi="Century Gothic" w:cs="Times New Roman"/>
          <w:sz w:val="20"/>
          <w:szCs w:val="20"/>
        </w:rPr>
      </w:pPr>
      <w:r w:rsidRPr="00B80C41">
        <w:rPr>
          <w:rFonts w:ascii="Century Gothic" w:hAnsi="Century Gothic" w:cs="Times New Roman"/>
          <w:sz w:val="20"/>
          <w:szCs w:val="20"/>
        </w:rPr>
        <w:t xml:space="preserve">Στις </w:t>
      </w:r>
      <w:r w:rsidRPr="00B80C41">
        <w:rPr>
          <w:rFonts w:ascii="Century Gothic" w:hAnsi="Century Gothic" w:cs="Times New Roman"/>
          <w:b/>
          <w:sz w:val="20"/>
          <w:szCs w:val="20"/>
        </w:rPr>
        <w:t>Κατασκευές</w:t>
      </w:r>
      <w:r w:rsidRPr="00B80C41">
        <w:rPr>
          <w:rFonts w:ascii="Century Gothic" w:hAnsi="Century Gothic" w:cs="Times New Roman"/>
          <w:sz w:val="20"/>
          <w:szCs w:val="20"/>
        </w:rPr>
        <w:t xml:space="preserve">, ο δείκτης επιχειρηματικών προσδοκιών ανήλθε στις -27,3 και -28,8 μονάδες σε ΕΕ και Ευρωζώνη αντίστοιχα. Οι αρνητικές </w:t>
      </w:r>
      <w:r w:rsidRPr="00B80C41">
        <w:rPr>
          <w:rFonts w:ascii="Century Gothic" w:hAnsi="Century Gothic" w:cs="Times New Roman"/>
          <w:i/>
          <w:sz w:val="20"/>
          <w:szCs w:val="20"/>
        </w:rPr>
        <w:t>προβλέψεις για το επίπεδο των εργασιών</w:t>
      </w:r>
      <w:r w:rsidRPr="00B80C41">
        <w:rPr>
          <w:rFonts w:ascii="Century Gothic" w:hAnsi="Century Gothic" w:cs="Times New Roman"/>
          <w:sz w:val="20"/>
          <w:szCs w:val="20"/>
        </w:rPr>
        <w:t xml:space="preserve"> </w:t>
      </w:r>
      <w:r w:rsidRPr="00B80C41">
        <w:rPr>
          <w:rFonts w:ascii="Century Gothic" w:hAnsi="Century Gothic" w:cs="Times New Roman"/>
          <w:sz w:val="20"/>
          <w:szCs w:val="20"/>
        </w:rPr>
        <w:lastRenderedPageBreak/>
        <w:t xml:space="preserve">αμβλύνονται περί τις 4 μονάδες σε αμφότερες ΕΕ και Ευρωζώνη, ενώ και οι </w:t>
      </w:r>
      <w:r w:rsidRPr="00B80C41">
        <w:rPr>
          <w:rFonts w:ascii="Century Gothic" w:hAnsi="Century Gothic" w:cs="Times New Roman"/>
          <w:i/>
          <w:sz w:val="20"/>
          <w:szCs w:val="20"/>
        </w:rPr>
        <w:t>προβλέψεις για την απασχόληση</w:t>
      </w:r>
      <w:r w:rsidRPr="00B80C41">
        <w:rPr>
          <w:rFonts w:ascii="Century Gothic" w:hAnsi="Century Gothic" w:cs="Times New Roman"/>
          <w:sz w:val="20"/>
          <w:szCs w:val="20"/>
        </w:rPr>
        <w:t xml:space="preserve"> επίσης βελτιώνονται και στις δύο ζώνες, περισσότερο </w:t>
      </w:r>
      <w:r>
        <w:rPr>
          <w:rFonts w:ascii="Century Gothic" w:hAnsi="Century Gothic" w:cs="Times New Roman"/>
          <w:sz w:val="20"/>
          <w:szCs w:val="20"/>
        </w:rPr>
        <w:t xml:space="preserve">όμως </w:t>
      </w:r>
      <w:r w:rsidRPr="00B80C41">
        <w:rPr>
          <w:rFonts w:ascii="Century Gothic" w:hAnsi="Century Gothic" w:cs="Times New Roman"/>
          <w:sz w:val="20"/>
          <w:szCs w:val="20"/>
        </w:rPr>
        <w:t xml:space="preserve">στην Ευρωζώνη. </w:t>
      </w:r>
    </w:p>
    <w:p w:rsidR="00BE6140" w:rsidRPr="00CB6CE9" w:rsidRDefault="00BE6140" w:rsidP="00582886">
      <w:pPr>
        <w:spacing w:line="288" w:lineRule="auto"/>
        <w:ind w:left="-284" w:right="-428"/>
        <w:jc w:val="center"/>
        <w:rPr>
          <w:rFonts w:ascii="Century Gothic" w:hAnsi="Century Gothic" w:cs="Times New Roman"/>
          <w:sz w:val="18"/>
          <w:szCs w:val="18"/>
          <w:vertAlign w:val="superscript"/>
        </w:rPr>
      </w:pPr>
      <w:r w:rsidRPr="00533FDE">
        <w:rPr>
          <w:rFonts w:ascii="Century Gothic" w:hAnsi="Century Gothic" w:cs="Times New Roman"/>
          <w:b/>
          <w:bCs/>
          <w:sz w:val="18"/>
          <w:szCs w:val="18"/>
        </w:rPr>
        <w:t xml:space="preserve">Πίνακας 1: </w:t>
      </w:r>
      <w:r w:rsidRPr="00533FDE">
        <w:rPr>
          <w:rFonts w:ascii="Century Gothic" w:hAnsi="Century Gothic" w:cs="Times New Roman"/>
          <w:sz w:val="18"/>
          <w:szCs w:val="18"/>
        </w:rPr>
        <w:t>Δείκτες Οικονομικού Κλίματος (1990-2012=100, εποχικά εξομαλυμένα στοιχεία)</w:t>
      </w:r>
      <w:r w:rsidRPr="00533FDE">
        <w:rPr>
          <w:rFonts w:ascii="Century Gothic" w:hAnsi="Century Gothic" w:cs="Times New Roman"/>
          <w:b/>
          <w:sz w:val="18"/>
          <w:szCs w:val="18"/>
          <w:vertAlign w:val="superscript"/>
        </w:rPr>
        <w:t>1</w:t>
      </w:r>
    </w:p>
    <w:tbl>
      <w:tblPr>
        <w:tblW w:w="9513" w:type="dxa"/>
        <w:jc w:val="center"/>
        <w:tblBorders>
          <w:top w:val="single" w:sz="4" w:space="0" w:color="943634"/>
          <w:left w:val="single" w:sz="4" w:space="0" w:color="943634"/>
          <w:bottom w:val="single" w:sz="4" w:space="0" w:color="943634"/>
          <w:right w:val="single" w:sz="4" w:space="0" w:color="943634"/>
          <w:insideH w:val="single" w:sz="4" w:space="0" w:color="FFFFFF"/>
          <w:insideV w:val="single" w:sz="4" w:space="0" w:color="FFFFFF"/>
        </w:tblBorders>
        <w:tblLayout w:type="fixed"/>
        <w:tblLook w:val="01E0"/>
      </w:tblPr>
      <w:tblGrid>
        <w:gridCol w:w="1201"/>
        <w:gridCol w:w="663"/>
        <w:gridCol w:w="330"/>
        <w:gridCol w:w="333"/>
        <w:gridCol w:w="665"/>
        <w:gridCol w:w="795"/>
        <w:gridCol w:w="412"/>
        <w:gridCol w:w="239"/>
        <w:gridCol w:w="703"/>
        <w:gridCol w:w="17"/>
        <w:gridCol w:w="720"/>
        <w:gridCol w:w="343"/>
        <w:gridCol w:w="377"/>
        <w:gridCol w:w="665"/>
        <w:gridCol w:w="720"/>
        <w:gridCol w:w="45"/>
        <w:gridCol w:w="620"/>
        <w:gridCol w:w="665"/>
      </w:tblGrid>
      <w:tr w:rsidR="00BE6140" w:rsidRPr="00CB6CE9" w:rsidTr="00DF2CBD">
        <w:trPr>
          <w:trHeight w:val="284"/>
          <w:jc w:val="center"/>
        </w:trPr>
        <w:tc>
          <w:tcPr>
            <w:tcW w:w="1201" w:type="dxa"/>
            <w:tcBorders>
              <w:top w:val="single" w:sz="4" w:space="0" w:color="943634"/>
            </w:tcBorders>
            <w:shd w:val="clear" w:color="auto" w:fill="9E3A38"/>
            <w:vAlign w:val="center"/>
          </w:tcPr>
          <w:p w:rsidR="00BE6140" w:rsidRPr="00CB6CE9" w:rsidRDefault="00BE6140" w:rsidP="00DF2CBD">
            <w:pPr>
              <w:jc w:val="center"/>
              <w:rPr>
                <w:rFonts w:ascii="Century Gothic" w:hAnsi="Century Gothic" w:cs="Times New Roman"/>
                <w:b/>
                <w:bCs/>
                <w:color w:val="FFFFFF"/>
                <w:sz w:val="18"/>
                <w:szCs w:val="18"/>
              </w:rPr>
            </w:pPr>
            <w:r w:rsidRPr="00CB6CE9">
              <w:rPr>
                <w:rFonts w:ascii="Century Gothic" w:hAnsi="Century Gothic" w:cs="Times New Roman"/>
                <w:b/>
                <w:bCs/>
                <w:color w:val="FFFFFF"/>
                <w:sz w:val="18"/>
                <w:szCs w:val="18"/>
              </w:rPr>
              <w:t>Περιοχή</w:t>
            </w:r>
          </w:p>
        </w:tc>
        <w:tc>
          <w:tcPr>
            <w:tcW w:w="1991" w:type="dxa"/>
            <w:gridSpan w:val="4"/>
            <w:tcBorders>
              <w:top w:val="single" w:sz="4" w:space="0" w:color="943634"/>
            </w:tcBorders>
            <w:shd w:val="clear" w:color="auto" w:fill="9E3A38"/>
            <w:vAlign w:val="center"/>
          </w:tcPr>
          <w:p w:rsidR="00BE6140" w:rsidRPr="00CB6CE9" w:rsidRDefault="00BE6140" w:rsidP="00DF2CBD">
            <w:pPr>
              <w:jc w:val="center"/>
              <w:rPr>
                <w:rFonts w:ascii="Century Gothic" w:hAnsi="Century Gothic" w:cs="Times New Roman"/>
                <w:b/>
                <w:bCs/>
                <w:color w:val="FFFFFF"/>
                <w:sz w:val="18"/>
                <w:szCs w:val="18"/>
              </w:rPr>
            </w:pPr>
            <w:r w:rsidRPr="00CB6CE9">
              <w:rPr>
                <w:rFonts w:ascii="Century Gothic" w:hAnsi="Century Gothic" w:cs="Times New Roman"/>
                <w:b/>
                <w:bCs/>
                <w:color w:val="FFFFFF"/>
                <w:sz w:val="18"/>
                <w:szCs w:val="18"/>
              </w:rPr>
              <w:t>Ακραίες τιμές</w:t>
            </w:r>
            <w:r>
              <w:rPr>
                <w:rFonts w:ascii="Century Gothic" w:hAnsi="Century Gothic" w:cs="Times New Roman"/>
                <w:b/>
                <w:bCs/>
                <w:color w:val="FFFFFF"/>
                <w:sz w:val="18"/>
                <w:szCs w:val="18"/>
                <w:vertAlign w:val="superscript"/>
              </w:rPr>
              <w:t>2</w:t>
            </w:r>
            <w:r>
              <w:rPr>
                <w:rFonts w:ascii="Century Gothic" w:hAnsi="Century Gothic" w:cs="Times New Roman"/>
                <w:b/>
                <w:bCs/>
                <w:color w:val="FFFFFF"/>
                <w:sz w:val="18"/>
                <w:szCs w:val="18"/>
              </w:rPr>
              <w:t xml:space="preserve"> </w:t>
            </w:r>
          </w:p>
        </w:tc>
        <w:tc>
          <w:tcPr>
            <w:tcW w:w="6321" w:type="dxa"/>
            <w:gridSpan w:val="13"/>
            <w:tcBorders>
              <w:top w:val="single" w:sz="4" w:space="0" w:color="943634"/>
              <w:right w:val="single" w:sz="4" w:space="0" w:color="FFFFFF"/>
            </w:tcBorders>
            <w:shd w:val="clear" w:color="auto" w:fill="9E3A38"/>
            <w:vAlign w:val="center"/>
          </w:tcPr>
          <w:p w:rsidR="00BE6140" w:rsidRPr="00CB6CE9" w:rsidRDefault="00BE6140" w:rsidP="00DF2CBD">
            <w:pPr>
              <w:jc w:val="center"/>
              <w:rPr>
                <w:rFonts w:ascii="Century Gothic" w:hAnsi="Century Gothic" w:cs="Times New Roman"/>
                <w:b/>
                <w:bCs/>
                <w:color w:val="FFFFFF"/>
                <w:sz w:val="18"/>
                <w:szCs w:val="18"/>
              </w:rPr>
            </w:pPr>
            <w:r w:rsidRPr="00CB6CE9">
              <w:rPr>
                <w:rFonts w:ascii="Century Gothic" w:hAnsi="Century Gothic" w:cs="Times New Roman"/>
                <w:b/>
                <w:bCs/>
                <w:color w:val="FFFFFF"/>
                <w:sz w:val="18"/>
                <w:szCs w:val="18"/>
              </w:rPr>
              <w:t>Μέσος όρος</w:t>
            </w:r>
          </w:p>
        </w:tc>
      </w:tr>
      <w:tr w:rsidR="00BE6140" w:rsidRPr="00CB6CE9" w:rsidTr="00DF2CBD">
        <w:trPr>
          <w:trHeight w:val="284"/>
          <w:jc w:val="center"/>
        </w:trPr>
        <w:tc>
          <w:tcPr>
            <w:tcW w:w="1201" w:type="dxa"/>
            <w:shd w:val="clear" w:color="auto" w:fill="DBE5F1"/>
            <w:vAlign w:val="center"/>
          </w:tcPr>
          <w:p w:rsidR="00BE6140" w:rsidRPr="00CB6CE9" w:rsidRDefault="00BE6140" w:rsidP="00DF2CBD">
            <w:pPr>
              <w:jc w:val="center"/>
              <w:rPr>
                <w:rFonts w:ascii="Century Gothic" w:hAnsi="Century Gothic" w:cs="Times New Roman"/>
                <w:b/>
                <w:bCs/>
                <w:i/>
                <w:iCs/>
                <w:color w:val="000000"/>
                <w:sz w:val="18"/>
                <w:szCs w:val="18"/>
              </w:rPr>
            </w:pPr>
          </w:p>
        </w:tc>
        <w:tc>
          <w:tcPr>
            <w:tcW w:w="993" w:type="dxa"/>
            <w:gridSpan w:val="2"/>
            <w:shd w:val="clear" w:color="auto" w:fill="D3DFEE"/>
            <w:vAlign w:val="center"/>
          </w:tcPr>
          <w:p w:rsidR="00BE6140" w:rsidRPr="00CB6CE9" w:rsidRDefault="00BE6140" w:rsidP="00DF2CBD">
            <w:pPr>
              <w:jc w:val="center"/>
              <w:rPr>
                <w:rFonts w:ascii="Century Gothic" w:hAnsi="Century Gothic" w:cs="Times New Roman"/>
                <w:b/>
                <w:bCs/>
                <w:color w:val="000000"/>
                <w:sz w:val="18"/>
                <w:szCs w:val="18"/>
              </w:rPr>
            </w:pPr>
            <w:r w:rsidRPr="00CB6CE9">
              <w:rPr>
                <w:rFonts w:ascii="Century Gothic" w:hAnsi="Century Gothic" w:cs="Times New Roman"/>
                <w:b/>
                <w:bCs/>
                <w:color w:val="000000"/>
                <w:sz w:val="18"/>
                <w:szCs w:val="18"/>
                <w:lang w:val="en-US"/>
              </w:rPr>
              <w:t>Min</w:t>
            </w:r>
          </w:p>
        </w:tc>
        <w:tc>
          <w:tcPr>
            <w:tcW w:w="998" w:type="dxa"/>
            <w:gridSpan w:val="2"/>
            <w:shd w:val="clear" w:color="auto" w:fill="DBE5F1"/>
            <w:vAlign w:val="center"/>
          </w:tcPr>
          <w:p w:rsidR="00BE6140" w:rsidRPr="00CB6CE9" w:rsidRDefault="00BE6140" w:rsidP="00DF2CBD">
            <w:pPr>
              <w:jc w:val="center"/>
              <w:rPr>
                <w:rFonts w:ascii="Century Gothic" w:hAnsi="Century Gothic" w:cs="Times New Roman"/>
                <w:b/>
                <w:bCs/>
                <w:color w:val="000000"/>
                <w:sz w:val="18"/>
                <w:szCs w:val="18"/>
              </w:rPr>
            </w:pPr>
            <w:r w:rsidRPr="00CB6CE9">
              <w:rPr>
                <w:rFonts w:ascii="Century Gothic" w:hAnsi="Century Gothic" w:cs="Times New Roman"/>
                <w:b/>
                <w:bCs/>
                <w:color w:val="000000"/>
                <w:sz w:val="18"/>
                <w:szCs w:val="18"/>
                <w:lang w:val="en-US"/>
              </w:rPr>
              <w:t>Max</w:t>
            </w:r>
          </w:p>
        </w:tc>
        <w:tc>
          <w:tcPr>
            <w:tcW w:w="1207" w:type="dxa"/>
            <w:gridSpan w:val="2"/>
            <w:shd w:val="clear" w:color="auto" w:fill="D3DFEE"/>
            <w:vAlign w:val="center"/>
          </w:tcPr>
          <w:p w:rsidR="00BE6140" w:rsidRPr="00CB6CE9" w:rsidRDefault="00BE6140" w:rsidP="00DF2CBD">
            <w:pPr>
              <w:jc w:val="center"/>
              <w:rPr>
                <w:rFonts w:ascii="Century Gothic" w:hAnsi="Century Gothic" w:cs="Times New Roman"/>
                <w:b/>
                <w:bCs/>
                <w:color w:val="000000"/>
                <w:sz w:val="18"/>
                <w:szCs w:val="18"/>
              </w:rPr>
            </w:pPr>
            <w:r w:rsidRPr="00CB6CE9">
              <w:rPr>
                <w:rFonts w:ascii="Century Gothic" w:hAnsi="Century Gothic" w:cs="Times New Roman"/>
                <w:b/>
                <w:bCs/>
                <w:color w:val="000000"/>
                <w:sz w:val="18"/>
                <w:szCs w:val="18"/>
              </w:rPr>
              <w:t>2001-2012</w:t>
            </w:r>
          </w:p>
        </w:tc>
        <w:tc>
          <w:tcPr>
            <w:tcW w:w="942" w:type="dxa"/>
            <w:gridSpan w:val="2"/>
            <w:shd w:val="clear" w:color="auto" w:fill="DBE5F1"/>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2008</w:t>
            </w:r>
          </w:p>
        </w:tc>
        <w:tc>
          <w:tcPr>
            <w:tcW w:w="1080" w:type="dxa"/>
            <w:gridSpan w:val="3"/>
            <w:shd w:val="clear" w:color="auto" w:fill="D3DFEE"/>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2009</w:t>
            </w:r>
          </w:p>
        </w:tc>
        <w:tc>
          <w:tcPr>
            <w:tcW w:w="1042" w:type="dxa"/>
            <w:gridSpan w:val="2"/>
            <w:shd w:val="clear" w:color="auto" w:fill="DBE5F1"/>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2010</w:t>
            </w:r>
          </w:p>
        </w:tc>
        <w:tc>
          <w:tcPr>
            <w:tcW w:w="765" w:type="dxa"/>
            <w:gridSpan w:val="2"/>
            <w:shd w:val="clear" w:color="auto" w:fill="D3DFEE"/>
            <w:vAlign w:val="center"/>
          </w:tcPr>
          <w:p w:rsidR="00BE6140" w:rsidRPr="00CB6CE9" w:rsidRDefault="00BE6140" w:rsidP="00DF2CBD">
            <w:pPr>
              <w:jc w:val="center"/>
              <w:rPr>
                <w:rFonts w:ascii="Century Gothic" w:hAnsi="Century Gothic" w:cs="Times New Roman"/>
                <w:b/>
                <w:bCs/>
                <w:color w:val="000000"/>
                <w:sz w:val="18"/>
                <w:szCs w:val="18"/>
              </w:rPr>
            </w:pPr>
            <w:r w:rsidRPr="00CB6CE9">
              <w:rPr>
                <w:rFonts w:ascii="Century Gothic" w:hAnsi="Century Gothic" w:cs="Times New Roman"/>
                <w:b/>
                <w:bCs/>
                <w:color w:val="000000"/>
                <w:sz w:val="18"/>
                <w:szCs w:val="18"/>
              </w:rPr>
              <w:t>2011</w:t>
            </w:r>
          </w:p>
        </w:tc>
        <w:tc>
          <w:tcPr>
            <w:tcW w:w="1285" w:type="dxa"/>
            <w:gridSpan w:val="2"/>
            <w:shd w:val="clear" w:color="auto" w:fill="DBE5F1"/>
            <w:vAlign w:val="center"/>
          </w:tcPr>
          <w:p w:rsidR="00BE6140" w:rsidRPr="00CB6CE9" w:rsidRDefault="00BE6140" w:rsidP="00DF2CBD">
            <w:pPr>
              <w:jc w:val="center"/>
              <w:rPr>
                <w:rFonts w:ascii="Century Gothic" w:hAnsi="Century Gothic" w:cs="Times New Roman"/>
                <w:b/>
                <w:bCs/>
                <w:color w:val="000000"/>
                <w:sz w:val="18"/>
                <w:szCs w:val="18"/>
              </w:rPr>
            </w:pPr>
            <w:r w:rsidRPr="00CB6CE9">
              <w:rPr>
                <w:rFonts w:ascii="Century Gothic" w:hAnsi="Century Gothic" w:cs="Times New Roman"/>
                <w:b/>
                <w:bCs/>
                <w:color w:val="000000"/>
                <w:sz w:val="18"/>
                <w:szCs w:val="18"/>
              </w:rPr>
              <w:t>2012</w:t>
            </w:r>
          </w:p>
        </w:tc>
      </w:tr>
      <w:tr w:rsidR="00BE6140" w:rsidRPr="00CB6CE9" w:rsidTr="00DF2CBD">
        <w:trPr>
          <w:trHeight w:val="284"/>
          <w:jc w:val="center"/>
        </w:trPr>
        <w:tc>
          <w:tcPr>
            <w:tcW w:w="1201" w:type="dxa"/>
            <w:shd w:val="clear" w:color="auto" w:fill="EDF2F8"/>
            <w:vAlign w:val="center"/>
          </w:tcPr>
          <w:p w:rsidR="00BE6140" w:rsidRPr="00CB6CE9" w:rsidRDefault="00BE6140" w:rsidP="00DF2CBD">
            <w:pPr>
              <w:pStyle w:val="7"/>
              <w:jc w:val="center"/>
              <w:rPr>
                <w:rFonts w:ascii="Century Gothic" w:hAnsi="Century Gothic"/>
                <w:color w:val="000000"/>
              </w:rPr>
            </w:pPr>
            <w:r w:rsidRPr="00CB6CE9">
              <w:rPr>
                <w:rFonts w:ascii="Century Gothic" w:hAnsi="Century Gothic"/>
                <w:color w:val="000000"/>
              </w:rPr>
              <w:t>ΕΕ-27</w:t>
            </w:r>
          </w:p>
        </w:tc>
        <w:tc>
          <w:tcPr>
            <w:tcW w:w="993" w:type="dxa"/>
            <w:gridSpan w:val="2"/>
            <w:shd w:val="clear" w:color="auto" w:fill="D3DFEE"/>
            <w:vAlign w:val="center"/>
          </w:tcPr>
          <w:p w:rsidR="00BE6140" w:rsidRPr="00CB6CE9" w:rsidRDefault="00BE6140" w:rsidP="00DF2CBD">
            <w:pPr>
              <w:jc w:val="center"/>
              <w:rPr>
                <w:rFonts w:ascii="Century Gothic" w:hAnsi="Century Gothic" w:cs="Times New Roman"/>
                <w:color w:val="000000"/>
                <w:sz w:val="18"/>
                <w:szCs w:val="18"/>
                <w:lang w:val="en-US"/>
              </w:rPr>
            </w:pPr>
            <w:r w:rsidRPr="00CB6CE9">
              <w:rPr>
                <w:rFonts w:ascii="Century Gothic" w:hAnsi="Century Gothic" w:cs="Times New Roman"/>
                <w:color w:val="000000"/>
                <w:sz w:val="18"/>
                <w:szCs w:val="18"/>
              </w:rPr>
              <w:t>67,2</w:t>
            </w:r>
          </w:p>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Μαρ-09</w:t>
            </w:r>
          </w:p>
        </w:tc>
        <w:tc>
          <w:tcPr>
            <w:tcW w:w="998" w:type="dxa"/>
            <w:gridSpan w:val="2"/>
            <w:shd w:val="clear" w:color="auto" w:fill="EDF2F8"/>
            <w:vAlign w:val="center"/>
          </w:tcPr>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114,1</w:t>
            </w:r>
          </w:p>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Ιουν-07</w:t>
            </w:r>
          </w:p>
        </w:tc>
        <w:tc>
          <w:tcPr>
            <w:tcW w:w="1207" w:type="dxa"/>
            <w:gridSpan w:val="2"/>
            <w:shd w:val="clear" w:color="auto" w:fill="D3DFEE"/>
            <w:vAlign w:val="center"/>
          </w:tcPr>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99,1</w:t>
            </w:r>
          </w:p>
        </w:tc>
        <w:tc>
          <w:tcPr>
            <w:tcW w:w="942" w:type="dxa"/>
            <w:gridSpan w:val="2"/>
            <w:shd w:val="clear" w:color="auto" w:fill="EDF2F8"/>
            <w:vAlign w:val="center"/>
          </w:tcPr>
          <w:p w:rsidR="00BE6140" w:rsidRPr="00CB6CE9" w:rsidRDefault="00BE6140" w:rsidP="00DF2CBD">
            <w:pPr>
              <w:jc w:val="center"/>
              <w:rPr>
                <w:rFonts w:ascii="Century Gothic" w:hAnsi="Century Gothic" w:cs="Times New Roman"/>
                <w:color w:val="000000"/>
                <w:sz w:val="18"/>
                <w:szCs w:val="18"/>
              </w:rPr>
            </w:pPr>
            <w:r>
              <w:rPr>
                <w:rFonts w:ascii="Century Gothic" w:hAnsi="Century Gothic" w:cs="Times New Roman"/>
                <w:color w:val="000000"/>
                <w:sz w:val="18"/>
                <w:szCs w:val="18"/>
              </w:rPr>
              <w:t>94,1</w:t>
            </w:r>
          </w:p>
        </w:tc>
        <w:tc>
          <w:tcPr>
            <w:tcW w:w="1080" w:type="dxa"/>
            <w:gridSpan w:val="3"/>
            <w:shd w:val="clear" w:color="auto" w:fill="D3DFEE"/>
            <w:vAlign w:val="center"/>
          </w:tcPr>
          <w:p w:rsidR="00BE6140" w:rsidRPr="00CB6CE9" w:rsidRDefault="00BE6140" w:rsidP="00DF2CBD">
            <w:pPr>
              <w:jc w:val="center"/>
              <w:rPr>
                <w:rFonts w:ascii="Century Gothic" w:hAnsi="Century Gothic" w:cs="Times New Roman"/>
                <w:color w:val="000000"/>
                <w:sz w:val="18"/>
                <w:szCs w:val="18"/>
              </w:rPr>
            </w:pPr>
            <w:r>
              <w:rPr>
                <w:rFonts w:ascii="Century Gothic" w:hAnsi="Century Gothic" w:cs="Times New Roman"/>
                <w:color w:val="000000"/>
                <w:sz w:val="18"/>
                <w:szCs w:val="18"/>
              </w:rPr>
              <w:t>79,6</w:t>
            </w:r>
          </w:p>
        </w:tc>
        <w:tc>
          <w:tcPr>
            <w:tcW w:w="1042" w:type="dxa"/>
            <w:gridSpan w:val="2"/>
            <w:shd w:val="clear" w:color="auto" w:fill="EDF2F8"/>
            <w:vAlign w:val="center"/>
          </w:tcPr>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101,7</w:t>
            </w:r>
          </w:p>
        </w:tc>
        <w:tc>
          <w:tcPr>
            <w:tcW w:w="765" w:type="dxa"/>
            <w:gridSpan w:val="2"/>
            <w:shd w:val="clear" w:color="auto" w:fill="D3DFEE"/>
            <w:vAlign w:val="center"/>
          </w:tcPr>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101,0</w:t>
            </w:r>
          </w:p>
        </w:tc>
        <w:tc>
          <w:tcPr>
            <w:tcW w:w="1285" w:type="dxa"/>
            <w:gridSpan w:val="2"/>
            <w:shd w:val="clear" w:color="auto" w:fill="EDF2F8"/>
            <w:vAlign w:val="center"/>
          </w:tcPr>
          <w:p w:rsidR="00BE6140" w:rsidRPr="00137979" w:rsidRDefault="00BE6140" w:rsidP="00DF2CBD">
            <w:pPr>
              <w:jc w:val="center"/>
              <w:rPr>
                <w:rFonts w:ascii="Century Gothic" w:hAnsi="Century Gothic" w:cs="Times New Roman"/>
                <w:color w:val="000000"/>
                <w:sz w:val="18"/>
                <w:szCs w:val="18"/>
              </w:rPr>
            </w:pPr>
            <w:r>
              <w:rPr>
                <w:rFonts w:ascii="Century Gothic" w:hAnsi="Century Gothic" w:cs="Times New Roman"/>
                <w:color w:val="000000"/>
                <w:sz w:val="18"/>
                <w:szCs w:val="18"/>
                <w:lang w:val="en-US"/>
              </w:rPr>
              <w:t>90,</w:t>
            </w:r>
            <w:r>
              <w:rPr>
                <w:rFonts w:ascii="Century Gothic" w:hAnsi="Century Gothic" w:cs="Times New Roman"/>
                <w:color w:val="000000"/>
                <w:sz w:val="18"/>
                <w:szCs w:val="18"/>
              </w:rPr>
              <w:t>8</w:t>
            </w:r>
          </w:p>
        </w:tc>
      </w:tr>
      <w:tr w:rsidR="00BE6140" w:rsidRPr="00CB6CE9" w:rsidTr="00DF2CBD">
        <w:trPr>
          <w:trHeight w:val="284"/>
          <w:jc w:val="center"/>
        </w:trPr>
        <w:tc>
          <w:tcPr>
            <w:tcW w:w="1201" w:type="dxa"/>
            <w:shd w:val="clear" w:color="auto" w:fill="DBE5F1"/>
            <w:vAlign w:val="center"/>
          </w:tcPr>
          <w:p w:rsidR="00BE6140" w:rsidRPr="00CB6CE9" w:rsidRDefault="00BE6140" w:rsidP="00DF2CBD">
            <w:pPr>
              <w:pStyle w:val="7"/>
              <w:jc w:val="center"/>
              <w:rPr>
                <w:rFonts w:ascii="Century Gothic" w:hAnsi="Century Gothic"/>
                <w:color w:val="000000"/>
              </w:rPr>
            </w:pPr>
            <w:r w:rsidRPr="00CB6CE9">
              <w:rPr>
                <w:rFonts w:ascii="Century Gothic" w:hAnsi="Century Gothic"/>
                <w:color w:val="000000"/>
              </w:rPr>
              <w:t>Ευρωζώνη</w:t>
            </w:r>
          </w:p>
        </w:tc>
        <w:tc>
          <w:tcPr>
            <w:tcW w:w="993" w:type="dxa"/>
            <w:gridSpan w:val="2"/>
            <w:shd w:val="clear" w:color="auto" w:fill="D3DFEE"/>
            <w:vAlign w:val="center"/>
          </w:tcPr>
          <w:p w:rsidR="00BE6140" w:rsidRPr="00137979" w:rsidRDefault="00BE6140" w:rsidP="00DF2CBD">
            <w:pPr>
              <w:jc w:val="center"/>
              <w:rPr>
                <w:rFonts w:ascii="Century Gothic" w:hAnsi="Century Gothic" w:cs="Times New Roman"/>
                <w:color w:val="000000"/>
                <w:sz w:val="18"/>
                <w:szCs w:val="18"/>
              </w:rPr>
            </w:pPr>
            <w:r>
              <w:rPr>
                <w:rFonts w:ascii="Century Gothic" w:hAnsi="Century Gothic" w:cs="Times New Roman"/>
                <w:color w:val="000000"/>
                <w:sz w:val="18"/>
                <w:szCs w:val="18"/>
              </w:rPr>
              <w:t>70,0</w:t>
            </w:r>
          </w:p>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Μαρ-09</w:t>
            </w:r>
          </w:p>
        </w:tc>
        <w:tc>
          <w:tcPr>
            <w:tcW w:w="998" w:type="dxa"/>
            <w:gridSpan w:val="2"/>
            <w:shd w:val="clear" w:color="auto" w:fill="DBE5F1"/>
            <w:vAlign w:val="center"/>
          </w:tcPr>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11</w:t>
            </w:r>
            <w:r w:rsidRPr="00CB6CE9">
              <w:rPr>
                <w:rFonts w:ascii="Century Gothic" w:hAnsi="Century Gothic" w:cs="Times New Roman"/>
                <w:color w:val="000000"/>
                <w:sz w:val="18"/>
                <w:szCs w:val="18"/>
                <w:lang w:val="en-US"/>
              </w:rPr>
              <w:t>3</w:t>
            </w:r>
            <w:r w:rsidRPr="00CB6CE9">
              <w:rPr>
                <w:rFonts w:ascii="Century Gothic" w:hAnsi="Century Gothic" w:cs="Times New Roman"/>
                <w:color w:val="000000"/>
                <w:sz w:val="18"/>
                <w:szCs w:val="18"/>
              </w:rPr>
              <w:t>,5</w:t>
            </w:r>
          </w:p>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Ιαν-01</w:t>
            </w:r>
          </w:p>
        </w:tc>
        <w:tc>
          <w:tcPr>
            <w:tcW w:w="1207" w:type="dxa"/>
            <w:gridSpan w:val="2"/>
            <w:shd w:val="clear" w:color="auto" w:fill="D3DFEE"/>
            <w:vAlign w:val="center"/>
          </w:tcPr>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98,5</w:t>
            </w:r>
          </w:p>
        </w:tc>
        <w:tc>
          <w:tcPr>
            <w:tcW w:w="942" w:type="dxa"/>
            <w:gridSpan w:val="2"/>
            <w:shd w:val="clear" w:color="auto" w:fill="DBE5F1"/>
            <w:vAlign w:val="center"/>
          </w:tcPr>
          <w:p w:rsidR="00BE6140" w:rsidRPr="00CB6CE9" w:rsidRDefault="00BE6140" w:rsidP="00DF2CBD">
            <w:pPr>
              <w:jc w:val="center"/>
              <w:rPr>
                <w:rFonts w:ascii="Century Gothic" w:hAnsi="Century Gothic" w:cs="Times New Roman"/>
                <w:color w:val="000000"/>
                <w:sz w:val="18"/>
                <w:szCs w:val="18"/>
              </w:rPr>
            </w:pPr>
            <w:r>
              <w:rPr>
                <w:rFonts w:ascii="Century Gothic" w:hAnsi="Century Gothic" w:cs="Times New Roman"/>
                <w:color w:val="000000"/>
                <w:sz w:val="18"/>
                <w:szCs w:val="18"/>
              </w:rPr>
              <w:t>94,3</w:t>
            </w:r>
          </w:p>
        </w:tc>
        <w:tc>
          <w:tcPr>
            <w:tcW w:w="1080" w:type="dxa"/>
            <w:gridSpan w:val="3"/>
            <w:shd w:val="clear" w:color="auto" w:fill="D3DFEE"/>
            <w:vAlign w:val="center"/>
          </w:tcPr>
          <w:p w:rsidR="00BE6140" w:rsidRPr="00CB6CE9" w:rsidRDefault="00BE6140" w:rsidP="00DF2CBD">
            <w:pPr>
              <w:jc w:val="center"/>
              <w:rPr>
                <w:rFonts w:ascii="Century Gothic" w:hAnsi="Century Gothic" w:cs="Times New Roman"/>
                <w:color w:val="000000"/>
                <w:sz w:val="18"/>
                <w:szCs w:val="18"/>
              </w:rPr>
            </w:pPr>
            <w:r>
              <w:rPr>
                <w:rFonts w:ascii="Century Gothic" w:hAnsi="Century Gothic" w:cs="Times New Roman"/>
                <w:color w:val="000000"/>
                <w:sz w:val="18"/>
                <w:szCs w:val="18"/>
              </w:rPr>
              <w:t>80,7</w:t>
            </w:r>
          </w:p>
        </w:tc>
        <w:tc>
          <w:tcPr>
            <w:tcW w:w="1042" w:type="dxa"/>
            <w:gridSpan w:val="2"/>
            <w:shd w:val="clear" w:color="auto" w:fill="DBE5F1"/>
            <w:vAlign w:val="center"/>
          </w:tcPr>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101,1</w:t>
            </w:r>
          </w:p>
        </w:tc>
        <w:tc>
          <w:tcPr>
            <w:tcW w:w="765" w:type="dxa"/>
            <w:gridSpan w:val="2"/>
            <w:shd w:val="clear" w:color="auto" w:fill="D3DFEE"/>
            <w:vAlign w:val="center"/>
          </w:tcPr>
          <w:p w:rsidR="00BE6140" w:rsidRPr="00CB6CE9" w:rsidRDefault="00BE6140" w:rsidP="00DF2CBD">
            <w:pPr>
              <w:jc w:val="center"/>
              <w:rPr>
                <w:rFonts w:ascii="Century Gothic" w:hAnsi="Century Gothic" w:cs="Times New Roman"/>
                <w:color w:val="000000"/>
                <w:sz w:val="18"/>
                <w:szCs w:val="18"/>
              </w:rPr>
            </w:pPr>
            <w:r>
              <w:rPr>
                <w:rFonts w:ascii="Century Gothic" w:hAnsi="Century Gothic" w:cs="Times New Roman"/>
                <w:color w:val="000000"/>
                <w:sz w:val="18"/>
                <w:szCs w:val="18"/>
              </w:rPr>
              <w:t>101,8</w:t>
            </w:r>
          </w:p>
        </w:tc>
        <w:tc>
          <w:tcPr>
            <w:tcW w:w="1285" w:type="dxa"/>
            <w:gridSpan w:val="2"/>
            <w:shd w:val="clear" w:color="auto" w:fill="DBE5F1"/>
            <w:vAlign w:val="center"/>
          </w:tcPr>
          <w:p w:rsidR="00BE6140" w:rsidRPr="00137979" w:rsidRDefault="00BE6140" w:rsidP="00DF2CBD">
            <w:pPr>
              <w:jc w:val="center"/>
              <w:rPr>
                <w:rFonts w:ascii="Century Gothic" w:hAnsi="Century Gothic" w:cs="Times New Roman"/>
                <w:color w:val="000000"/>
                <w:sz w:val="18"/>
                <w:szCs w:val="18"/>
              </w:rPr>
            </w:pPr>
            <w:r>
              <w:rPr>
                <w:rFonts w:ascii="Century Gothic" w:hAnsi="Century Gothic" w:cs="Times New Roman"/>
                <w:color w:val="000000"/>
                <w:sz w:val="18"/>
                <w:szCs w:val="18"/>
                <w:lang w:val="en-US"/>
              </w:rPr>
              <w:t>90,</w:t>
            </w:r>
            <w:r>
              <w:rPr>
                <w:rFonts w:ascii="Century Gothic" w:hAnsi="Century Gothic" w:cs="Times New Roman"/>
                <w:color w:val="000000"/>
                <w:sz w:val="18"/>
                <w:szCs w:val="18"/>
              </w:rPr>
              <w:t>4</w:t>
            </w:r>
          </w:p>
        </w:tc>
      </w:tr>
      <w:tr w:rsidR="00BE6140" w:rsidRPr="00CB6CE9" w:rsidTr="00DF2CBD">
        <w:trPr>
          <w:trHeight w:val="284"/>
          <w:jc w:val="center"/>
        </w:trPr>
        <w:tc>
          <w:tcPr>
            <w:tcW w:w="1201" w:type="dxa"/>
            <w:shd w:val="clear" w:color="auto" w:fill="EDF2F8"/>
            <w:vAlign w:val="center"/>
          </w:tcPr>
          <w:p w:rsidR="00BE6140" w:rsidRPr="00CB6CE9" w:rsidRDefault="00BE6140" w:rsidP="00DF2CBD">
            <w:pPr>
              <w:pStyle w:val="7"/>
              <w:jc w:val="center"/>
              <w:rPr>
                <w:rFonts w:ascii="Century Gothic" w:hAnsi="Century Gothic"/>
                <w:color w:val="000000"/>
              </w:rPr>
            </w:pPr>
            <w:r w:rsidRPr="00CB6CE9">
              <w:rPr>
                <w:rFonts w:ascii="Century Gothic" w:hAnsi="Century Gothic"/>
                <w:color w:val="000000"/>
              </w:rPr>
              <w:t>Ελλάδα</w:t>
            </w:r>
          </w:p>
        </w:tc>
        <w:tc>
          <w:tcPr>
            <w:tcW w:w="993" w:type="dxa"/>
            <w:gridSpan w:val="2"/>
            <w:shd w:val="clear" w:color="auto" w:fill="D3DFEE"/>
            <w:vAlign w:val="center"/>
          </w:tcPr>
          <w:p w:rsidR="00BE6140" w:rsidRPr="00CB6CE9" w:rsidRDefault="00BE6140" w:rsidP="00DF2CBD">
            <w:pPr>
              <w:jc w:val="center"/>
              <w:rPr>
                <w:rFonts w:ascii="Century Gothic" w:hAnsi="Century Gothic" w:cs="Times New Roman"/>
                <w:color w:val="000000"/>
                <w:sz w:val="18"/>
                <w:szCs w:val="18"/>
                <w:lang w:val="en-US"/>
              </w:rPr>
            </w:pPr>
            <w:r w:rsidRPr="00CB6CE9">
              <w:rPr>
                <w:rFonts w:ascii="Century Gothic" w:hAnsi="Century Gothic" w:cs="Times New Roman"/>
                <w:color w:val="000000"/>
                <w:sz w:val="18"/>
                <w:szCs w:val="18"/>
              </w:rPr>
              <w:t>74,4</w:t>
            </w:r>
          </w:p>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Μαρ-09</w:t>
            </w:r>
          </w:p>
        </w:tc>
        <w:tc>
          <w:tcPr>
            <w:tcW w:w="998" w:type="dxa"/>
            <w:gridSpan w:val="2"/>
            <w:shd w:val="clear" w:color="auto" w:fill="EDF2F8"/>
            <w:vAlign w:val="center"/>
          </w:tcPr>
          <w:p w:rsidR="00BE6140" w:rsidRPr="00CB6CE9" w:rsidRDefault="00BE6140" w:rsidP="00DF2CBD">
            <w:pPr>
              <w:jc w:val="center"/>
              <w:rPr>
                <w:rFonts w:ascii="Century Gothic" w:hAnsi="Century Gothic" w:cs="Times New Roman"/>
                <w:color w:val="000000"/>
                <w:sz w:val="18"/>
                <w:szCs w:val="18"/>
                <w:lang w:val="en-US"/>
              </w:rPr>
            </w:pPr>
            <w:r w:rsidRPr="00CB6CE9">
              <w:rPr>
                <w:rFonts w:ascii="Century Gothic" w:hAnsi="Century Gothic" w:cs="Times New Roman"/>
                <w:color w:val="000000"/>
                <w:sz w:val="18"/>
                <w:szCs w:val="18"/>
              </w:rPr>
              <w:t>11</w:t>
            </w:r>
            <w:r w:rsidRPr="00CB6CE9">
              <w:rPr>
                <w:rFonts w:ascii="Century Gothic" w:hAnsi="Century Gothic" w:cs="Times New Roman"/>
                <w:color w:val="000000"/>
                <w:sz w:val="18"/>
                <w:szCs w:val="18"/>
                <w:lang w:val="en-US"/>
              </w:rPr>
              <w:t>1</w:t>
            </w:r>
            <w:r w:rsidRPr="00CB6CE9">
              <w:rPr>
                <w:rFonts w:ascii="Century Gothic" w:hAnsi="Century Gothic" w:cs="Times New Roman"/>
                <w:color w:val="000000"/>
                <w:sz w:val="18"/>
                <w:szCs w:val="18"/>
              </w:rPr>
              <w:t>,</w:t>
            </w:r>
            <w:r w:rsidRPr="00CB6CE9">
              <w:rPr>
                <w:rFonts w:ascii="Century Gothic" w:hAnsi="Century Gothic" w:cs="Times New Roman"/>
                <w:color w:val="000000"/>
                <w:sz w:val="18"/>
                <w:szCs w:val="18"/>
                <w:lang w:val="en-US"/>
              </w:rPr>
              <w:t>9</w:t>
            </w:r>
          </w:p>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Απρ-04</w:t>
            </w:r>
          </w:p>
        </w:tc>
        <w:tc>
          <w:tcPr>
            <w:tcW w:w="1207" w:type="dxa"/>
            <w:gridSpan w:val="2"/>
            <w:shd w:val="clear" w:color="auto" w:fill="D3DFEE"/>
            <w:vAlign w:val="center"/>
          </w:tcPr>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96,1</w:t>
            </w:r>
          </w:p>
        </w:tc>
        <w:tc>
          <w:tcPr>
            <w:tcW w:w="942" w:type="dxa"/>
            <w:gridSpan w:val="2"/>
            <w:shd w:val="clear" w:color="auto" w:fill="EDF2F8"/>
            <w:vAlign w:val="center"/>
          </w:tcPr>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98,6</w:t>
            </w:r>
          </w:p>
        </w:tc>
        <w:tc>
          <w:tcPr>
            <w:tcW w:w="1080" w:type="dxa"/>
            <w:gridSpan w:val="3"/>
            <w:shd w:val="clear" w:color="auto" w:fill="D3DFEE"/>
            <w:vAlign w:val="center"/>
          </w:tcPr>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82,0</w:t>
            </w:r>
          </w:p>
        </w:tc>
        <w:tc>
          <w:tcPr>
            <w:tcW w:w="1042" w:type="dxa"/>
            <w:gridSpan w:val="2"/>
            <w:shd w:val="clear" w:color="auto" w:fill="EDF2F8"/>
            <w:vAlign w:val="center"/>
          </w:tcPr>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82,0</w:t>
            </w:r>
          </w:p>
        </w:tc>
        <w:tc>
          <w:tcPr>
            <w:tcW w:w="765" w:type="dxa"/>
            <w:gridSpan w:val="2"/>
            <w:shd w:val="clear" w:color="auto" w:fill="D3DFEE"/>
            <w:vAlign w:val="center"/>
          </w:tcPr>
          <w:p w:rsidR="00BE6140" w:rsidRPr="00CB6CE9" w:rsidRDefault="00BE6140" w:rsidP="00DF2CBD">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80,6</w:t>
            </w:r>
          </w:p>
        </w:tc>
        <w:tc>
          <w:tcPr>
            <w:tcW w:w="1285" w:type="dxa"/>
            <w:gridSpan w:val="2"/>
            <w:shd w:val="clear" w:color="auto" w:fill="EDF2F8"/>
            <w:vAlign w:val="center"/>
          </w:tcPr>
          <w:p w:rsidR="00BE6140" w:rsidRPr="00CB6CE9" w:rsidRDefault="00BE6140" w:rsidP="00DF2CBD">
            <w:pPr>
              <w:jc w:val="center"/>
              <w:rPr>
                <w:rFonts w:ascii="Century Gothic" w:hAnsi="Century Gothic" w:cs="Times New Roman"/>
                <w:color w:val="000000"/>
                <w:sz w:val="18"/>
                <w:szCs w:val="18"/>
                <w:lang w:val="en-US"/>
              </w:rPr>
            </w:pPr>
            <w:r w:rsidRPr="00CB6CE9">
              <w:rPr>
                <w:rFonts w:ascii="Century Gothic" w:hAnsi="Century Gothic" w:cs="Times New Roman"/>
                <w:color w:val="000000"/>
                <w:sz w:val="18"/>
                <w:szCs w:val="18"/>
                <w:lang w:val="en-US"/>
              </w:rPr>
              <w:t>80,0</w:t>
            </w:r>
          </w:p>
        </w:tc>
      </w:tr>
      <w:tr w:rsidR="00BE6140" w:rsidRPr="00CB6CE9" w:rsidTr="00DF2CBD">
        <w:trPr>
          <w:trHeight w:val="284"/>
          <w:jc w:val="center"/>
        </w:trPr>
        <w:tc>
          <w:tcPr>
            <w:tcW w:w="1201" w:type="dxa"/>
            <w:shd w:val="clear" w:color="auto" w:fill="943634"/>
            <w:vAlign w:val="center"/>
          </w:tcPr>
          <w:p w:rsidR="00BE6140" w:rsidRPr="00CB6CE9" w:rsidRDefault="00BE6140" w:rsidP="00DF2CBD">
            <w:pPr>
              <w:pStyle w:val="7"/>
              <w:jc w:val="center"/>
              <w:rPr>
                <w:rFonts w:ascii="Century Gothic" w:hAnsi="Century Gothic"/>
                <w:color w:val="FFFFFF"/>
              </w:rPr>
            </w:pPr>
            <w:r w:rsidRPr="00CB6CE9">
              <w:rPr>
                <w:rFonts w:ascii="Century Gothic" w:hAnsi="Century Gothic"/>
                <w:bCs w:val="0"/>
                <w:color w:val="FFFFFF"/>
              </w:rPr>
              <w:t>Περιοχή</w:t>
            </w:r>
          </w:p>
        </w:tc>
        <w:tc>
          <w:tcPr>
            <w:tcW w:w="8312" w:type="dxa"/>
            <w:gridSpan w:val="17"/>
            <w:shd w:val="clear" w:color="auto" w:fill="943634"/>
            <w:vAlign w:val="center"/>
          </w:tcPr>
          <w:p w:rsidR="00BE6140" w:rsidRPr="00CB6CE9" w:rsidRDefault="00BE6140" w:rsidP="00A80175">
            <w:pPr>
              <w:pStyle w:val="7"/>
              <w:jc w:val="center"/>
              <w:rPr>
                <w:rFonts w:ascii="Century Gothic" w:hAnsi="Century Gothic"/>
                <w:color w:val="FFFFFF"/>
              </w:rPr>
            </w:pPr>
            <w:r w:rsidRPr="00CB6CE9">
              <w:rPr>
                <w:rFonts w:ascii="Century Gothic" w:hAnsi="Century Gothic"/>
                <w:color w:val="FFFFFF"/>
                <w:lang w:val="en-US"/>
              </w:rPr>
              <w:t>20</w:t>
            </w:r>
            <w:r w:rsidRPr="00CB6CE9">
              <w:rPr>
                <w:rFonts w:ascii="Century Gothic" w:hAnsi="Century Gothic"/>
                <w:color w:val="FFFFFF"/>
              </w:rPr>
              <w:t>12</w:t>
            </w:r>
          </w:p>
        </w:tc>
      </w:tr>
      <w:tr w:rsidR="00BE6140" w:rsidRPr="00CB6CE9" w:rsidTr="00DF2CBD">
        <w:trPr>
          <w:trHeight w:val="284"/>
          <w:jc w:val="center"/>
        </w:trPr>
        <w:tc>
          <w:tcPr>
            <w:tcW w:w="1201" w:type="dxa"/>
            <w:shd w:val="clear" w:color="auto" w:fill="EDF2F8"/>
            <w:vAlign w:val="center"/>
          </w:tcPr>
          <w:p w:rsidR="00BE6140" w:rsidRPr="00CB6CE9" w:rsidRDefault="00BE6140" w:rsidP="00DF2CBD">
            <w:pPr>
              <w:jc w:val="center"/>
              <w:rPr>
                <w:rFonts w:ascii="Century Gothic" w:hAnsi="Century Gothic" w:cs="Times New Roman"/>
                <w:b/>
                <w:bCs/>
                <w:color w:val="000000"/>
                <w:sz w:val="18"/>
                <w:szCs w:val="18"/>
              </w:rPr>
            </w:pPr>
          </w:p>
        </w:tc>
        <w:tc>
          <w:tcPr>
            <w:tcW w:w="663" w:type="dxa"/>
            <w:shd w:val="clear" w:color="auto" w:fill="D3DFEE"/>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Ι</w:t>
            </w:r>
          </w:p>
        </w:tc>
        <w:tc>
          <w:tcPr>
            <w:tcW w:w="663" w:type="dxa"/>
            <w:gridSpan w:val="2"/>
            <w:shd w:val="clear" w:color="auto" w:fill="EDF2F8"/>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Φ</w:t>
            </w:r>
          </w:p>
        </w:tc>
        <w:tc>
          <w:tcPr>
            <w:tcW w:w="665" w:type="dxa"/>
            <w:shd w:val="clear" w:color="auto" w:fill="D3DFEE"/>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Μ</w:t>
            </w:r>
          </w:p>
        </w:tc>
        <w:tc>
          <w:tcPr>
            <w:tcW w:w="795" w:type="dxa"/>
            <w:shd w:val="clear" w:color="auto" w:fill="EDF2F8"/>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Α</w:t>
            </w:r>
          </w:p>
        </w:tc>
        <w:tc>
          <w:tcPr>
            <w:tcW w:w="651" w:type="dxa"/>
            <w:gridSpan w:val="2"/>
            <w:shd w:val="clear" w:color="auto" w:fill="D3DFEE"/>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Μ</w:t>
            </w:r>
          </w:p>
        </w:tc>
        <w:tc>
          <w:tcPr>
            <w:tcW w:w="720" w:type="dxa"/>
            <w:gridSpan w:val="2"/>
            <w:shd w:val="clear" w:color="auto" w:fill="EDF2F8"/>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Ι</w:t>
            </w:r>
          </w:p>
        </w:tc>
        <w:tc>
          <w:tcPr>
            <w:tcW w:w="720" w:type="dxa"/>
            <w:shd w:val="clear" w:color="auto" w:fill="D3DFEE"/>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Ι</w:t>
            </w:r>
          </w:p>
        </w:tc>
        <w:tc>
          <w:tcPr>
            <w:tcW w:w="720" w:type="dxa"/>
            <w:gridSpan w:val="2"/>
            <w:shd w:val="clear" w:color="auto" w:fill="EDF2F8"/>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Α</w:t>
            </w:r>
          </w:p>
        </w:tc>
        <w:tc>
          <w:tcPr>
            <w:tcW w:w="665" w:type="dxa"/>
            <w:shd w:val="clear" w:color="auto" w:fill="D3DFEE"/>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Σ</w:t>
            </w:r>
          </w:p>
        </w:tc>
        <w:tc>
          <w:tcPr>
            <w:tcW w:w="720" w:type="dxa"/>
            <w:shd w:val="clear" w:color="auto" w:fill="EDF2F8"/>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Ο</w:t>
            </w:r>
          </w:p>
        </w:tc>
        <w:tc>
          <w:tcPr>
            <w:tcW w:w="665" w:type="dxa"/>
            <w:gridSpan w:val="2"/>
            <w:shd w:val="clear" w:color="auto" w:fill="D3DFEE"/>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Ν</w:t>
            </w:r>
          </w:p>
        </w:tc>
        <w:tc>
          <w:tcPr>
            <w:tcW w:w="665" w:type="dxa"/>
            <w:shd w:val="clear" w:color="auto" w:fill="EDF2F8"/>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Δ</w:t>
            </w:r>
          </w:p>
        </w:tc>
      </w:tr>
      <w:tr w:rsidR="00BE6140" w:rsidRPr="00CB6CE9" w:rsidTr="00DF2CBD">
        <w:trPr>
          <w:trHeight w:val="77"/>
          <w:jc w:val="center"/>
        </w:trPr>
        <w:tc>
          <w:tcPr>
            <w:tcW w:w="1201" w:type="dxa"/>
            <w:shd w:val="clear" w:color="auto" w:fill="DBE5F1"/>
            <w:vAlign w:val="center"/>
          </w:tcPr>
          <w:p w:rsidR="00BE6140" w:rsidRPr="00CB6CE9" w:rsidRDefault="00BE6140" w:rsidP="00DF2CBD">
            <w:pPr>
              <w:pStyle w:val="7"/>
              <w:jc w:val="center"/>
              <w:rPr>
                <w:rFonts w:ascii="Century Gothic" w:hAnsi="Century Gothic"/>
                <w:color w:val="000000"/>
              </w:rPr>
            </w:pPr>
            <w:r w:rsidRPr="00CB6CE9">
              <w:rPr>
                <w:rFonts w:ascii="Century Gothic" w:hAnsi="Century Gothic"/>
                <w:color w:val="000000"/>
              </w:rPr>
              <w:t>ΕΕ-27</w:t>
            </w:r>
          </w:p>
        </w:tc>
        <w:tc>
          <w:tcPr>
            <w:tcW w:w="663" w:type="dxa"/>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93,6</w:t>
            </w:r>
          </w:p>
        </w:tc>
        <w:tc>
          <w:tcPr>
            <w:tcW w:w="663" w:type="dxa"/>
            <w:gridSpan w:val="2"/>
            <w:shd w:val="clear" w:color="auto" w:fill="DBE5F1"/>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94,8</w:t>
            </w:r>
          </w:p>
        </w:tc>
        <w:tc>
          <w:tcPr>
            <w:tcW w:w="665" w:type="dxa"/>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93,9</w:t>
            </w:r>
          </w:p>
        </w:tc>
        <w:tc>
          <w:tcPr>
            <w:tcW w:w="795" w:type="dxa"/>
            <w:shd w:val="clear" w:color="auto" w:fill="DBE5F1"/>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94,2</w:t>
            </w:r>
          </w:p>
        </w:tc>
        <w:tc>
          <w:tcPr>
            <w:tcW w:w="651" w:type="dxa"/>
            <w:gridSpan w:val="2"/>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91,5</w:t>
            </w:r>
          </w:p>
        </w:tc>
        <w:tc>
          <w:tcPr>
            <w:tcW w:w="720" w:type="dxa"/>
            <w:gridSpan w:val="2"/>
            <w:shd w:val="clear" w:color="auto" w:fill="DBE5F1"/>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91,5</w:t>
            </w:r>
          </w:p>
        </w:tc>
        <w:tc>
          <w:tcPr>
            <w:tcW w:w="720" w:type="dxa"/>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89,9</w:t>
            </w:r>
          </w:p>
        </w:tc>
        <w:tc>
          <w:tcPr>
            <w:tcW w:w="720" w:type="dxa"/>
            <w:gridSpan w:val="2"/>
            <w:shd w:val="clear" w:color="auto" w:fill="DBE5F1"/>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88,0</w:t>
            </w:r>
          </w:p>
        </w:tc>
        <w:tc>
          <w:tcPr>
            <w:tcW w:w="665" w:type="dxa"/>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87,0</w:t>
            </w:r>
          </w:p>
        </w:tc>
        <w:tc>
          <w:tcPr>
            <w:tcW w:w="720" w:type="dxa"/>
            <w:shd w:val="clear" w:color="auto" w:fill="DBE5F1"/>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87,1</w:t>
            </w:r>
          </w:p>
        </w:tc>
        <w:tc>
          <w:tcPr>
            <w:tcW w:w="665" w:type="dxa"/>
            <w:gridSpan w:val="2"/>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89,1</w:t>
            </w:r>
          </w:p>
        </w:tc>
        <w:tc>
          <w:tcPr>
            <w:tcW w:w="665" w:type="dxa"/>
            <w:shd w:val="clear" w:color="auto" w:fill="DBE5F1"/>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89,3</w:t>
            </w:r>
          </w:p>
        </w:tc>
      </w:tr>
      <w:tr w:rsidR="00BE6140" w:rsidRPr="00CB6CE9" w:rsidTr="00DF2CBD">
        <w:trPr>
          <w:trHeight w:val="284"/>
          <w:jc w:val="center"/>
        </w:trPr>
        <w:tc>
          <w:tcPr>
            <w:tcW w:w="1201" w:type="dxa"/>
            <w:shd w:val="clear" w:color="auto" w:fill="EDF2F8"/>
            <w:vAlign w:val="center"/>
          </w:tcPr>
          <w:p w:rsidR="00BE6140" w:rsidRPr="00CB6CE9" w:rsidRDefault="00BE6140" w:rsidP="00DF2CBD">
            <w:pPr>
              <w:pStyle w:val="7"/>
              <w:jc w:val="center"/>
              <w:rPr>
                <w:rFonts w:ascii="Century Gothic" w:hAnsi="Century Gothic"/>
                <w:color w:val="000000"/>
              </w:rPr>
            </w:pPr>
            <w:r w:rsidRPr="00CB6CE9">
              <w:rPr>
                <w:rFonts w:ascii="Century Gothic" w:hAnsi="Century Gothic"/>
                <w:color w:val="000000"/>
              </w:rPr>
              <w:t>Ευρωζώνη</w:t>
            </w:r>
          </w:p>
        </w:tc>
        <w:tc>
          <w:tcPr>
            <w:tcW w:w="663" w:type="dxa"/>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94,1</w:t>
            </w:r>
          </w:p>
        </w:tc>
        <w:tc>
          <w:tcPr>
            <w:tcW w:w="663" w:type="dxa"/>
            <w:gridSpan w:val="2"/>
            <w:shd w:val="clear" w:color="auto" w:fill="EDF2F8"/>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95,4</w:t>
            </w:r>
          </w:p>
        </w:tc>
        <w:tc>
          <w:tcPr>
            <w:tcW w:w="665" w:type="dxa"/>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95,4</w:t>
            </w:r>
          </w:p>
        </w:tc>
        <w:tc>
          <w:tcPr>
            <w:tcW w:w="795" w:type="dxa"/>
            <w:shd w:val="clear" w:color="auto" w:fill="EDF2F8"/>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94,0</w:t>
            </w:r>
          </w:p>
        </w:tc>
        <w:tc>
          <w:tcPr>
            <w:tcW w:w="651" w:type="dxa"/>
            <w:gridSpan w:val="2"/>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91,8</w:t>
            </w:r>
          </w:p>
        </w:tc>
        <w:tc>
          <w:tcPr>
            <w:tcW w:w="720" w:type="dxa"/>
            <w:gridSpan w:val="2"/>
            <w:shd w:val="clear" w:color="auto" w:fill="EDF2F8"/>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91,2</w:t>
            </w:r>
          </w:p>
        </w:tc>
        <w:tc>
          <w:tcPr>
            <w:tcW w:w="720" w:type="dxa"/>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88,9</w:t>
            </w:r>
          </w:p>
        </w:tc>
        <w:tc>
          <w:tcPr>
            <w:tcW w:w="720" w:type="dxa"/>
            <w:gridSpan w:val="2"/>
            <w:shd w:val="clear" w:color="auto" w:fill="EDF2F8"/>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87,3</w:t>
            </w:r>
          </w:p>
        </w:tc>
        <w:tc>
          <w:tcPr>
            <w:tcW w:w="665" w:type="dxa"/>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86,0</w:t>
            </w:r>
          </w:p>
        </w:tc>
        <w:tc>
          <w:tcPr>
            <w:tcW w:w="720" w:type="dxa"/>
            <w:shd w:val="clear" w:color="auto" w:fill="EDF2F8"/>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85,4</w:t>
            </w:r>
          </w:p>
        </w:tc>
        <w:tc>
          <w:tcPr>
            <w:tcW w:w="665" w:type="dxa"/>
            <w:gridSpan w:val="2"/>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86,9</w:t>
            </w:r>
          </w:p>
        </w:tc>
        <w:tc>
          <w:tcPr>
            <w:tcW w:w="665" w:type="dxa"/>
            <w:shd w:val="clear" w:color="auto" w:fill="EDF2F8"/>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88,0</w:t>
            </w:r>
          </w:p>
        </w:tc>
      </w:tr>
      <w:tr w:rsidR="00BE6140" w:rsidRPr="00CB6CE9" w:rsidTr="00DF2CBD">
        <w:trPr>
          <w:trHeight w:val="284"/>
          <w:jc w:val="center"/>
        </w:trPr>
        <w:tc>
          <w:tcPr>
            <w:tcW w:w="1201" w:type="dxa"/>
            <w:shd w:val="clear" w:color="auto" w:fill="DBE5F1"/>
            <w:vAlign w:val="center"/>
          </w:tcPr>
          <w:p w:rsidR="00BE6140" w:rsidRPr="00CB6CE9" w:rsidRDefault="00BE6140" w:rsidP="00DF2CBD">
            <w:pPr>
              <w:pStyle w:val="7"/>
              <w:jc w:val="center"/>
              <w:rPr>
                <w:rFonts w:ascii="Century Gothic" w:hAnsi="Century Gothic"/>
                <w:color w:val="000000"/>
              </w:rPr>
            </w:pPr>
            <w:r w:rsidRPr="00CB6CE9">
              <w:rPr>
                <w:rFonts w:ascii="Century Gothic" w:hAnsi="Century Gothic"/>
                <w:color w:val="000000"/>
              </w:rPr>
              <w:t>Ελλάδα</w:t>
            </w:r>
          </w:p>
        </w:tc>
        <w:tc>
          <w:tcPr>
            <w:tcW w:w="663" w:type="dxa"/>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78,2</w:t>
            </w:r>
          </w:p>
        </w:tc>
        <w:tc>
          <w:tcPr>
            <w:tcW w:w="663" w:type="dxa"/>
            <w:gridSpan w:val="2"/>
            <w:shd w:val="clear" w:color="auto" w:fill="DBE5F1"/>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78,2</w:t>
            </w:r>
          </w:p>
        </w:tc>
        <w:tc>
          <w:tcPr>
            <w:tcW w:w="665" w:type="dxa"/>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79,0</w:t>
            </w:r>
          </w:p>
        </w:tc>
        <w:tc>
          <w:tcPr>
            <w:tcW w:w="795" w:type="dxa"/>
            <w:shd w:val="clear" w:color="auto" w:fill="DBE5F1"/>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80,4</w:t>
            </w:r>
          </w:p>
        </w:tc>
        <w:tc>
          <w:tcPr>
            <w:tcW w:w="651" w:type="dxa"/>
            <w:gridSpan w:val="2"/>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79,2</w:t>
            </w:r>
          </w:p>
        </w:tc>
        <w:tc>
          <w:tcPr>
            <w:tcW w:w="720" w:type="dxa"/>
            <w:gridSpan w:val="2"/>
            <w:shd w:val="clear" w:color="auto" w:fill="DBE5F1"/>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77,3</w:t>
            </w:r>
          </w:p>
        </w:tc>
        <w:tc>
          <w:tcPr>
            <w:tcW w:w="720" w:type="dxa"/>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79,4</w:t>
            </w:r>
          </w:p>
        </w:tc>
        <w:tc>
          <w:tcPr>
            <w:tcW w:w="720" w:type="dxa"/>
            <w:gridSpan w:val="2"/>
            <w:shd w:val="clear" w:color="auto" w:fill="DBE5F1"/>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80,2</w:t>
            </w:r>
          </w:p>
        </w:tc>
        <w:tc>
          <w:tcPr>
            <w:tcW w:w="665" w:type="dxa"/>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79,4</w:t>
            </w:r>
          </w:p>
        </w:tc>
        <w:tc>
          <w:tcPr>
            <w:tcW w:w="720" w:type="dxa"/>
            <w:shd w:val="clear" w:color="auto" w:fill="DBE5F1"/>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79,2</w:t>
            </w:r>
          </w:p>
        </w:tc>
        <w:tc>
          <w:tcPr>
            <w:tcW w:w="665" w:type="dxa"/>
            <w:gridSpan w:val="2"/>
            <w:shd w:val="clear" w:color="auto" w:fill="D3DFEE"/>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82,1</w:t>
            </w:r>
          </w:p>
        </w:tc>
        <w:tc>
          <w:tcPr>
            <w:tcW w:w="665" w:type="dxa"/>
            <w:shd w:val="clear" w:color="auto" w:fill="DBE5F1"/>
            <w:vAlign w:val="bottom"/>
          </w:tcPr>
          <w:p w:rsidR="00BE6140" w:rsidRPr="00470FFA" w:rsidRDefault="00BE6140" w:rsidP="00DF2CBD">
            <w:pPr>
              <w:jc w:val="center"/>
              <w:rPr>
                <w:rFonts w:ascii="Century Gothic" w:hAnsi="Century Gothic" w:cs="Times New Roman"/>
                <w:color w:val="000000"/>
                <w:sz w:val="18"/>
                <w:szCs w:val="18"/>
              </w:rPr>
            </w:pPr>
            <w:r w:rsidRPr="00470FFA">
              <w:rPr>
                <w:rFonts w:ascii="Century Gothic" w:hAnsi="Century Gothic" w:cs="Times New Roman"/>
                <w:color w:val="000000"/>
                <w:sz w:val="18"/>
                <w:szCs w:val="18"/>
              </w:rPr>
              <w:t>86,9</w:t>
            </w:r>
          </w:p>
        </w:tc>
      </w:tr>
      <w:tr w:rsidR="00BE6140" w:rsidRPr="00CB6CE9" w:rsidTr="00DF2CBD">
        <w:trPr>
          <w:trHeight w:val="284"/>
          <w:jc w:val="center"/>
        </w:trPr>
        <w:tc>
          <w:tcPr>
            <w:tcW w:w="1201" w:type="dxa"/>
            <w:shd w:val="clear" w:color="auto" w:fill="943634"/>
            <w:vAlign w:val="center"/>
          </w:tcPr>
          <w:p w:rsidR="00BE6140" w:rsidRPr="00CB6CE9" w:rsidRDefault="00BE6140" w:rsidP="00DF2CBD">
            <w:pPr>
              <w:pStyle w:val="7"/>
              <w:jc w:val="center"/>
              <w:rPr>
                <w:rFonts w:ascii="Century Gothic" w:hAnsi="Century Gothic"/>
                <w:color w:val="000000"/>
              </w:rPr>
            </w:pPr>
            <w:r w:rsidRPr="00CB6CE9">
              <w:rPr>
                <w:rFonts w:ascii="Century Gothic" w:hAnsi="Century Gothic"/>
                <w:bCs w:val="0"/>
                <w:color w:val="FFFFFF"/>
              </w:rPr>
              <w:t>Περιοχή</w:t>
            </w:r>
          </w:p>
        </w:tc>
        <w:tc>
          <w:tcPr>
            <w:tcW w:w="8312" w:type="dxa"/>
            <w:gridSpan w:val="17"/>
            <w:shd w:val="clear" w:color="auto" w:fill="943634"/>
            <w:vAlign w:val="center"/>
          </w:tcPr>
          <w:p w:rsidR="00BE6140" w:rsidRPr="00CB6CE9" w:rsidRDefault="00BE6140" w:rsidP="00DF2CBD">
            <w:pPr>
              <w:pStyle w:val="7"/>
              <w:jc w:val="center"/>
              <w:rPr>
                <w:rFonts w:ascii="Century Gothic" w:hAnsi="Century Gothic"/>
                <w:color w:val="000000"/>
              </w:rPr>
            </w:pPr>
            <w:r w:rsidRPr="00CB6CE9">
              <w:rPr>
                <w:rFonts w:ascii="Century Gothic" w:hAnsi="Century Gothic"/>
                <w:color w:val="FFFFFF"/>
                <w:lang w:val="en-US"/>
              </w:rPr>
              <w:t>201</w:t>
            </w:r>
            <w:r w:rsidRPr="00CB6CE9">
              <w:rPr>
                <w:rFonts w:ascii="Century Gothic" w:hAnsi="Century Gothic"/>
                <w:color w:val="FFFFFF"/>
              </w:rPr>
              <w:t>3</w:t>
            </w:r>
          </w:p>
        </w:tc>
      </w:tr>
      <w:tr w:rsidR="00BE6140" w:rsidRPr="00CB6CE9" w:rsidTr="00DF2CBD">
        <w:trPr>
          <w:trHeight w:val="284"/>
          <w:jc w:val="center"/>
        </w:trPr>
        <w:tc>
          <w:tcPr>
            <w:tcW w:w="1201" w:type="dxa"/>
            <w:shd w:val="clear" w:color="auto" w:fill="DBE5F1"/>
            <w:vAlign w:val="center"/>
          </w:tcPr>
          <w:p w:rsidR="00BE6140" w:rsidRPr="00CB6CE9" w:rsidRDefault="00BE6140" w:rsidP="00DF2CBD">
            <w:pPr>
              <w:pStyle w:val="7"/>
              <w:jc w:val="center"/>
              <w:rPr>
                <w:rFonts w:ascii="Century Gothic" w:hAnsi="Century Gothic"/>
                <w:color w:val="000000"/>
              </w:rPr>
            </w:pPr>
          </w:p>
        </w:tc>
        <w:tc>
          <w:tcPr>
            <w:tcW w:w="663" w:type="dxa"/>
            <w:shd w:val="clear" w:color="auto" w:fill="D3DFEE"/>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Ι</w:t>
            </w:r>
          </w:p>
        </w:tc>
        <w:tc>
          <w:tcPr>
            <w:tcW w:w="663" w:type="dxa"/>
            <w:gridSpan w:val="2"/>
            <w:shd w:val="clear" w:color="auto" w:fill="DBE5F1"/>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Φ</w:t>
            </w:r>
          </w:p>
        </w:tc>
        <w:tc>
          <w:tcPr>
            <w:tcW w:w="665" w:type="dxa"/>
            <w:shd w:val="clear" w:color="auto" w:fill="D3DFEE"/>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Μ</w:t>
            </w:r>
          </w:p>
        </w:tc>
        <w:tc>
          <w:tcPr>
            <w:tcW w:w="795" w:type="dxa"/>
            <w:shd w:val="clear" w:color="auto" w:fill="DBE5F1"/>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Α</w:t>
            </w:r>
          </w:p>
        </w:tc>
        <w:tc>
          <w:tcPr>
            <w:tcW w:w="651" w:type="dxa"/>
            <w:gridSpan w:val="2"/>
            <w:shd w:val="clear" w:color="auto" w:fill="D3DFEE"/>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Μ</w:t>
            </w:r>
          </w:p>
        </w:tc>
        <w:tc>
          <w:tcPr>
            <w:tcW w:w="720" w:type="dxa"/>
            <w:gridSpan w:val="2"/>
            <w:shd w:val="clear" w:color="auto" w:fill="DBE5F1"/>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Ι</w:t>
            </w:r>
          </w:p>
        </w:tc>
        <w:tc>
          <w:tcPr>
            <w:tcW w:w="720" w:type="dxa"/>
            <w:shd w:val="clear" w:color="auto" w:fill="D3DFEE"/>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Ι</w:t>
            </w:r>
          </w:p>
        </w:tc>
        <w:tc>
          <w:tcPr>
            <w:tcW w:w="720" w:type="dxa"/>
            <w:gridSpan w:val="2"/>
            <w:shd w:val="clear" w:color="auto" w:fill="DBE5F1"/>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Α</w:t>
            </w:r>
          </w:p>
        </w:tc>
        <w:tc>
          <w:tcPr>
            <w:tcW w:w="665" w:type="dxa"/>
            <w:shd w:val="clear" w:color="auto" w:fill="D3DFEE"/>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Σ</w:t>
            </w:r>
          </w:p>
        </w:tc>
        <w:tc>
          <w:tcPr>
            <w:tcW w:w="720" w:type="dxa"/>
            <w:shd w:val="clear" w:color="auto" w:fill="DBE5F1"/>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Ο</w:t>
            </w:r>
          </w:p>
        </w:tc>
        <w:tc>
          <w:tcPr>
            <w:tcW w:w="665" w:type="dxa"/>
            <w:gridSpan w:val="2"/>
            <w:shd w:val="clear" w:color="auto" w:fill="D3DFEE"/>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Ν</w:t>
            </w:r>
          </w:p>
        </w:tc>
        <w:tc>
          <w:tcPr>
            <w:tcW w:w="665" w:type="dxa"/>
            <w:shd w:val="clear" w:color="auto" w:fill="DBE5F1"/>
            <w:vAlign w:val="center"/>
          </w:tcPr>
          <w:p w:rsidR="00BE6140" w:rsidRPr="00CB6CE9" w:rsidRDefault="00BE6140" w:rsidP="00DF2CBD">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Δ</w:t>
            </w:r>
          </w:p>
        </w:tc>
      </w:tr>
      <w:tr w:rsidR="00BE6140" w:rsidRPr="00CB6CE9" w:rsidTr="00DF2CBD">
        <w:trPr>
          <w:trHeight w:val="284"/>
          <w:jc w:val="center"/>
        </w:trPr>
        <w:tc>
          <w:tcPr>
            <w:tcW w:w="1201" w:type="dxa"/>
            <w:shd w:val="clear" w:color="auto" w:fill="EDF2F8"/>
            <w:vAlign w:val="center"/>
          </w:tcPr>
          <w:p w:rsidR="00BE6140" w:rsidRPr="00CB6CE9" w:rsidRDefault="00BE6140" w:rsidP="00DF2CBD">
            <w:pPr>
              <w:pStyle w:val="7"/>
              <w:jc w:val="center"/>
              <w:rPr>
                <w:rFonts w:ascii="Century Gothic" w:hAnsi="Century Gothic"/>
                <w:color w:val="000000"/>
              </w:rPr>
            </w:pPr>
            <w:r w:rsidRPr="00CB6CE9">
              <w:rPr>
                <w:rFonts w:ascii="Century Gothic" w:hAnsi="Century Gothic"/>
                <w:color w:val="000000"/>
              </w:rPr>
              <w:t>ΕΕ-27</w:t>
            </w:r>
          </w:p>
        </w:tc>
        <w:tc>
          <w:tcPr>
            <w:tcW w:w="663" w:type="dxa"/>
            <w:shd w:val="clear" w:color="auto" w:fill="D3DFEE"/>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91,0</w:t>
            </w:r>
          </w:p>
        </w:tc>
        <w:tc>
          <w:tcPr>
            <w:tcW w:w="663" w:type="dxa"/>
            <w:gridSpan w:val="2"/>
            <w:shd w:val="clear" w:color="auto" w:fill="EDF2F8"/>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91,5</w:t>
            </w:r>
          </w:p>
        </w:tc>
        <w:tc>
          <w:tcPr>
            <w:tcW w:w="665" w:type="dxa"/>
            <w:shd w:val="clear" w:color="auto" w:fill="D3DFEE"/>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91,5</w:t>
            </w:r>
          </w:p>
        </w:tc>
        <w:tc>
          <w:tcPr>
            <w:tcW w:w="795" w:type="dxa"/>
            <w:shd w:val="clear" w:color="auto" w:fill="EDF2F8"/>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89,7</w:t>
            </w:r>
          </w:p>
        </w:tc>
        <w:tc>
          <w:tcPr>
            <w:tcW w:w="651" w:type="dxa"/>
            <w:gridSpan w:val="2"/>
            <w:shd w:val="clear" w:color="auto" w:fill="D3DFEE"/>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90,9</w:t>
            </w:r>
          </w:p>
        </w:tc>
        <w:tc>
          <w:tcPr>
            <w:tcW w:w="720" w:type="dxa"/>
            <w:gridSpan w:val="2"/>
            <w:shd w:val="clear" w:color="auto" w:fill="EDF2F8"/>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92,6</w:t>
            </w:r>
          </w:p>
        </w:tc>
        <w:tc>
          <w:tcPr>
            <w:tcW w:w="720" w:type="dxa"/>
            <w:shd w:val="clear" w:color="auto" w:fill="D3DFEE"/>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95,0</w:t>
            </w:r>
          </w:p>
        </w:tc>
        <w:tc>
          <w:tcPr>
            <w:tcW w:w="720" w:type="dxa"/>
            <w:gridSpan w:val="2"/>
            <w:shd w:val="clear" w:color="auto" w:fill="EDF2F8"/>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98,2</w:t>
            </w:r>
          </w:p>
        </w:tc>
        <w:tc>
          <w:tcPr>
            <w:tcW w:w="665" w:type="dxa"/>
            <w:shd w:val="clear" w:color="auto" w:fill="D3DFEE"/>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100,6</w:t>
            </w:r>
          </w:p>
        </w:tc>
        <w:tc>
          <w:tcPr>
            <w:tcW w:w="720" w:type="dxa"/>
            <w:shd w:val="clear" w:color="auto" w:fill="EDF2F8"/>
            <w:vAlign w:val="center"/>
          </w:tcPr>
          <w:p w:rsidR="00BE6140" w:rsidRPr="00CB6CE9" w:rsidRDefault="00BE6140" w:rsidP="00DF2CBD">
            <w:pPr>
              <w:jc w:val="center"/>
              <w:rPr>
                <w:rFonts w:ascii="Century Gothic" w:hAnsi="Century Gothic" w:cs="Times New Roman"/>
                <w:color w:val="000000"/>
                <w:sz w:val="18"/>
                <w:szCs w:val="18"/>
              </w:rPr>
            </w:pPr>
          </w:p>
        </w:tc>
        <w:tc>
          <w:tcPr>
            <w:tcW w:w="665" w:type="dxa"/>
            <w:gridSpan w:val="2"/>
            <w:shd w:val="clear" w:color="auto" w:fill="D3DFEE"/>
            <w:vAlign w:val="center"/>
          </w:tcPr>
          <w:p w:rsidR="00BE6140" w:rsidRPr="00CB6CE9" w:rsidRDefault="00BE6140" w:rsidP="00DF2CBD">
            <w:pPr>
              <w:jc w:val="center"/>
              <w:rPr>
                <w:rFonts w:ascii="Century Gothic" w:hAnsi="Century Gothic" w:cs="Times New Roman"/>
                <w:color w:val="000000"/>
                <w:sz w:val="18"/>
                <w:szCs w:val="18"/>
              </w:rPr>
            </w:pPr>
          </w:p>
        </w:tc>
        <w:tc>
          <w:tcPr>
            <w:tcW w:w="665" w:type="dxa"/>
            <w:shd w:val="clear" w:color="auto" w:fill="EDF2F8"/>
            <w:vAlign w:val="center"/>
          </w:tcPr>
          <w:p w:rsidR="00BE6140" w:rsidRPr="00CB6CE9" w:rsidRDefault="00BE6140" w:rsidP="00DF2CBD">
            <w:pPr>
              <w:jc w:val="center"/>
              <w:rPr>
                <w:rFonts w:ascii="Century Gothic" w:hAnsi="Century Gothic" w:cs="Times New Roman"/>
                <w:bCs/>
                <w:color w:val="000000"/>
                <w:sz w:val="18"/>
                <w:szCs w:val="18"/>
              </w:rPr>
            </w:pPr>
          </w:p>
        </w:tc>
      </w:tr>
      <w:tr w:rsidR="00BE6140" w:rsidRPr="00CB6CE9" w:rsidTr="00DF2CBD">
        <w:trPr>
          <w:trHeight w:val="284"/>
          <w:jc w:val="center"/>
        </w:trPr>
        <w:tc>
          <w:tcPr>
            <w:tcW w:w="1201" w:type="dxa"/>
            <w:shd w:val="clear" w:color="auto" w:fill="DBE5F1"/>
            <w:vAlign w:val="center"/>
          </w:tcPr>
          <w:p w:rsidR="00BE6140" w:rsidRPr="00CB6CE9" w:rsidRDefault="00BE6140" w:rsidP="00DF2CBD">
            <w:pPr>
              <w:pStyle w:val="7"/>
              <w:jc w:val="center"/>
              <w:rPr>
                <w:rFonts w:ascii="Century Gothic" w:hAnsi="Century Gothic"/>
                <w:color w:val="000000"/>
              </w:rPr>
            </w:pPr>
            <w:r w:rsidRPr="00CB6CE9">
              <w:rPr>
                <w:rFonts w:ascii="Century Gothic" w:hAnsi="Century Gothic"/>
                <w:color w:val="000000"/>
              </w:rPr>
              <w:t>Ευρωζώνη</w:t>
            </w:r>
          </w:p>
        </w:tc>
        <w:tc>
          <w:tcPr>
            <w:tcW w:w="663" w:type="dxa"/>
            <w:shd w:val="clear" w:color="auto" w:fill="D3DFEE"/>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89,7</w:t>
            </w:r>
          </w:p>
        </w:tc>
        <w:tc>
          <w:tcPr>
            <w:tcW w:w="663" w:type="dxa"/>
            <w:gridSpan w:val="2"/>
            <w:shd w:val="clear" w:color="auto" w:fill="DBE5F1"/>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90,5</w:t>
            </w:r>
          </w:p>
        </w:tc>
        <w:tc>
          <w:tcPr>
            <w:tcW w:w="665" w:type="dxa"/>
            <w:shd w:val="clear" w:color="auto" w:fill="D3DFEE"/>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90,1</w:t>
            </w:r>
          </w:p>
        </w:tc>
        <w:tc>
          <w:tcPr>
            <w:tcW w:w="795" w:type="dxa"/>
            <w:shd w:val="clear" w:color="auto" w:fill="DBE5F1"/>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88,6</w:t>
            </w:r>
          </w:p>
        </w:tc>
        <w:tc>
          <w:tcPr>
            <w:tcW w:w="651" w:type="dxa"/>
            <w:gridSpan w:val="2"/>
            <w:shd w:val="clear" w:color="auto" w:fill="D3DFEE"/>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89,5</w:t>
            </w:r>
          </w:p>
        </w:tc>
        <w:tc>
          <w:tcPr>
            <w:tcW w:w="720" w:type="dxa"/>
            <w:gridSpan w:val="2"/>
            <w:shd w:val="clear" w:color="auto" w:fill="DBE5F1"/>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91,3</w:t>
            </w:r>
          </w:p>
        </w:tc>
        <w:tc>
          <w:tcPr>
            <w:tcW w:w="720" w:type="dxa"/>
            <w:shd w:val="clear" w:color="auto" w:fill="D3DFEE"/>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92,5</w:t>
            </w:r>
          </w:p>
        </w:tc>
        <w:tc>
          <w:tcPr>
            <w:tcW w:w="720" w:type="dxa"/>
            <w:gridSpan w:val="2"/>
            <w:shd w:val="clear" w:color="auto" w:fill="DBE5F1"/>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95,3</w:t>
            </w:r>
          </w:p>
        </w:tc>
        <w:tc>
          <w:tcPr>
            <w:tcW w:w="665" w:type="dxa"/>
            <w:shd w:val="clear" w:color="auto" w:fill="D3DFEE"/>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96,9</w:t>
            </w:r>
          </w:p>
        </w:tc>
        <w:tc>
          <w:tcPr>
            <w:tcW w:w="720" w:type="dxa"/>
            <w:shd w:val="clear" w:color="auto" w:fill="DBE5F1"/>
            <w:vAlign w:val="center"/>
          </w:tcPr>
          <w:p w:rsidR="00BE6140" w:rsidRPr="00CB6CE9" w:rsidRDefault="00BE6140" w:rsidP="00DF2CBD">
            <w:pPr>
              <w:jc w:val="center"/>
              <w:rPr>
                <w:rFonts w:ascii="Century Gothic" w:hAnsi="Century Gothic" w:cs="Times New Roman"/>
                <w:color w:val="000000"/>
                <w:sz w:val="18"/>
                <w:szCs w:val="18"/>
              </w:rPr>
            </w:pPr>
          </w:p>
        </w:tc>
        <w:tc>
          <w:tcPr>
            <w:tcW w:w="665" w:type="dxa"/>
            <w:gridSpan w:val="2"/>
            <w:shd w:val="clear" w:color="auto" w:fill="D3DFEE"/>
            <w:vAlign w:val="center"/>
          </w:tcPr>
          <w:p w:rsidR="00BE6140" w:rsidRPr="00CB6CE9" w:rsidRDefault="00BE6140" w:rsidP="00DF2CBD">
            <w:pPr>
              <w:jc w:val="center"/>
              <w:rPr>
                <w:rFonts w:ascii="Century Gothic" w:hAnsi="Century Gothic" w:cs="Times New Roman"/>
                <w:color w:val="000000"/>
                <w:sz w:val="18"/>
                <w:szCs w:val="18"/>
              </w:rPr>
            </w:pPr>
          </w:p>
        </w:tc>
        <w:tc>
          <w:tcPr>
            <w:tcW w:w="665" w:type="dxa"/>
            <w:shd w:val="clear" w:color="auto" w:fill="DBE5F1"/>
            <w:vAlign w:val="center"/>
          </w:tcPr>
          <w:p w:rsidR="00BE6140" w:rsidRPr="00CB6CE9" w:rsidRDefault="00BE6140" w:rsidP="00DF2CBD">
            <w:pPr>
              <w:jc w:val="center"/>
              <w:rPr>
                <w:rFonts w:ascii="Century Gothic" w:hAnsi="Century Gothic" w:cs="Times New Roman"/>
                <w:bCs/>
                <w:color w:val="000000"/>
                <w:sz w:val="18"/>
                <w:szCs w:val="18"/>
              </w:rPr>
            </w:pPr>
          </w:p>
        </w:tc>
      </w:tr>
      <w:tr w:rsidR="00BE6140" w:rsidRPr="00CB6CE9" w:rsidTr="00DF2CBD">
        <w:trPr>
          <w:trHeight w:val="284"/>
          <w:jc w:val="center"/>
        </w:trPr>
        <w:tc>
          <w:tcPr>
            <w:tcW w:w="1201" w:type="dxa"/>
            <w:tcBorders>
              <w:bottom w:val="single" w:sz="4" w:space="0" w:color="943634"/>
            </w:tcBorders>
            <w:shd w:val="clear" w:color="auto" w:fill="FFFFFF"/>
            <w:vAlign w:val="center"/>
          </w:tcPr>
          <w:p w:rsidR="00BE6140" w:rsidRPr="00CB6CE9" w:rsidRDefault="00BE6140" w:rsidP="00DF2CBD">
            <w:pPr>
              <w:pStyle w:val="7"/>
              <w:jc w:val="center"/>
              <w:rPr>
                <w:rFonts w:ascii="Century Gothic" w:hAnsi="Century Gothic"/>
              </w:rPr>
            </w:pPr>
            <w:r w:rsidRPr="00CB6CE9">
              <w:rPr>
                <w:rFonts w:ascii="Century Gothic" w:hAnsi="Century Gothic"/>
              </w:rPr>
              <w:t>Ελλάδα</w:t>
            </w:r>
          </w:p>
        </w:tc>
        <w:tc>
          <w:tcPr>
            <w:tcW w:w="663" w:type="dxa"/>
            <w:tcBorders>
              <w:bottom w:val="single" w:sz="4" w:space="0" w:color="943634"/>
            </w:tcBorders>
            <w:shd w:val="clear" w:color="auto" w:fill="D3DFEE"/>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85,8</w:t>
            </w:r>
          </w:p>
        </w:tc>
        <w:tc>
          <w:tcPr>
            <w:tcW w:w="663" w:type="dxa"/>
            <w:gridSpan w:val="2"/>
            <w:tcBorders>
              <w:bottom w:val="single" w:sz="4" w:space="0" w:color="943634"/>
            </w:tcBorders>
            <w:shd w:val="clear" w:color="auto" w:fill="FFFFFF"/>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86,9</w:t>
            </w:r>
          </w:p>
        </w:tc>
        <w:tc>
          <w:tcPr>
            <w:tcW w:w="665" w:type="dxa"/>
            <w:tcBorders>
              <w:bottom w:val="single" w:sz="4" w:space="0" w:color="943634"/>
            </w:tcBorders>
            <w:shd w:val="clear" w:color="auto" w:fill="D3DFEE"/>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88,1</w:t>
            </w:r>
          </w:p>
        </w:tc>
        <w:tc>
          <w:tcPr>
            <w:tcW w:w="795" w:type="dxa"/>
            <w:tcBorders>
              <w:bottom w:val="single" w:sz="4" w:space="0" w:color="943634"/>
            </w:tcBorders>
            <w:shd w:val="clear" w:color="auto" w:fill="FFFFFF"/>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89,2</w:t>
            </w:r>
          </w:p>
        </w:tc>
        <w:tc>
          <w:tcPr>
            <w:tcW w:w="651" w:type="dxa"/>
            <w:gridSpan w:val="2"/>
            <w:tcBorders>
              <w:bottom w:val="single" w:sz="4" w:space="0" w:color="943634"/>
            </w:tcBorders>
            <w:shd w:val="clear" w:color="auto" w:fill="D3DFEE"/>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93,8</w:t>
            </w:r>
          </w:p>
        </w:tc>
        <w:tc>
          <w:tcPr>
            <w:tcW w:w="720" w:type="dxa"/>
            <w:gridSpan w:val="2"/>
            <w:tcBorders>
              <w:bottom w:val="single" w:sz="4" w:space="0" w:color="943634"/>
            </w:tcBorders>
            <w:shd w:val="clear" w:color="auto" w:fill="FFFFFF"/>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93,5</w:t>
            </w:r>
          </w:p>
        </w:tc>
        <w:tc>
          <w:tcPr>
            <w:tcW w:w="720" w:type="dxa"/>
            <w:tcBorders>
              <w:bottom w:val="single" w:sz="4" w:space="0" w:color="943634"/>
            </w:tcBorders>
            <w:shd w:val="clear" w:color="auto" w:fill="D3DFEE"/>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91,7</w:t>
            </w:r>
          </w:p>
        </w:tc>
        <w:tc>
          <w:tcPr>
            <w:tcW w:w="720" w:type="dxa"/>
            <w:gridSpan w:val="2"/>
            <w:tcBorders>
              <w:bottom w:val="single" w:sz="4" w:space="0" w:color="943634"/>
            </w:tcBorders>
            <w:shd w:val="clear" w:color="auto" w:fill="FFFFFF"/>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89,2</w:t>
            </w:r>
          </w:p>
        </w:tc>
        <w:tc>
          <w:tcPr>
            <w:tcW w:w="665" w:type="dxa"/>
            <w:tcBorders>
              <w:bottom w:val="single" w:sz="4" w:space="0" w:color="943634"/>
            </w:tcBorders>
            <w:shd w:val="clear" w:color="auto" w:fill="D3DFEE"/>
            <w:vAlign w:val="bottom"/>
          </w:tcPr>
          <w:p w:rsidR="00BE6140" w:rsidRPr="005D3AB7" w:rsidRDefault="00BE6140" w:rsidP="00DF2CBD">
            <w:pPr>
              <w:jc w:val="center"/>
              <w:rPr>
                <w:rFonts w:ascii="Century Gothic" w:hAnsi="Century Gothic" w:cs="Times New Roman"/>
                <w:color w:val="000000"/>
                <w:sz w:val="18"/>
                <w:szCs w:val="18"/>
              </w:rPr>
            </w:pPr>
            <w:r w:rsidRPr="005D3AB7">
              <w:rPr>
                <w:rFonts w:ascii="Century Gothic" w:hAnsi="Century Gothic" w:cs="Times New Roman"/>
                <w:color w:val="000000"/>
                <w:sz w:val="18"/>
                <w:szCs w:val="18"/>
              </w:rPr>
              <w:t>93,1</w:t>
            </w:r>
          </w:p>
        </w:tc>
        <w:tc>
          <w:tcPr>
            <w:tcW w:w="720" w:type="dxa"/>
            <w:tcBorders>
              <w:bottom w:val="single" w:sz="4" w:space="0" w:color="943634"/>
            </w:tcBorders>
            <w:shd w:val="clear" w:color="auto" w:fill="FFFFFF"/>
            <w:vAlign w:val="center"/>
          </w:tcPr>
          <w:p w:rsidR="00BE6140" w:rsidRPr="00CB6CE9" w:rsidRDefault="00BE6140" w:rsidP="00DF2CBD">
            <w:pPr>
              <w:jc w:val="center"/>
              <w:rPr>
                <w:rFonts w:ascii="Century Gothic" w:hAnsi="Century Gothic" w:cs="Times New Roman"/>
                <w:bCs/>
                <w:sz w:val="18"/>
                <w:szCs w:val="18"/>
              </w:rPr>
            </w:pPr>
          </w:p>
        </w:tc>
        <w:tc>
          <w:tcPr>
            <w:tcW w:w="665" w:type="dxa"/>
            <w:gridSpan w:val="2"/>
            <w:tcBorders>
              <w:bottom w:val="single" w:sz="4" w:space="0" w:color="943634"/>
            </w:tcBorders>
            <w:shd w:val="clear" w:color="auto" w:fill="D3DFEE"/>
            <w:vAlign w:val="center"/>
          </w:tcPr>
          <w:p w:rsidR="00BE6140" w:rsidRPr="00CB6CE9" w:rsidRDefault="00BE6140" w:rsidP="00DF2CBD">
            <w:pPr>
              <w:jc w:val="center"/>
              <w:rPr>
                <w:rFonts w:ascii="Century Gothic" w:hAnsi="Century Gothic" w:cs="Times New Roman"/>
                <w:bCs/>
                <w:sz w:val="18"/>
                <w:szCs w:val="18"/>
              </w:rPr>
            </w:pPr>
          </w:p>
        </w:tc>
        <w:tc>
          <w:tcPr>
            <w:tcW w:w="665" w:type="dxa"/>
            <w:tcBorders>
              <w:bottom w:val="single" w:sz="4" w:space="0" w:color="943634"/>
            </w:tcBorders>
            <w:shd w:val="clear" w:color="auto" w:fill="FFFFFF"/>
            <w:vAlign w:val="center"/>
          </w:tcPr>
          <w:p w:rsidR="00BE6140" w:rsidRPr="00CB6CE9" w:rsidRDefault="00BE6140" w:rsidP="00DF2CBD">
            <w:pPr>
              <w:jc w:val="center"/>
              <w:rPr>
                <w:rFonts w:ascii="Century Gothic" w:hAnsi="Century Gothic" w:cs="Times New Roman"/>
                <w:bCs/>
                <w:sz w:val="18"/>
                <w:szCs w:val="18"/>
              </w:rPr>
            </w:pPr>
          </w:p>
        </w:tc>
      </w:tr>
    </w:tbl>
    <w:p w:rsidR="00BE6140" w:rsidRDefault="00BE6140" w:rsidP="00582886">
      <w:pPr>
        <w:jc w:val="both"/>
        <w:rPr>
          <w:rFonts w:ascii="Century Gothic" w:hAnsi="Century Gothic" w:cs="Times New Roman"/>
          <w:sz w:val="18"/>
          <w:szCs w:val="18"/>
        </w:rPr>
      </w:pPr>
      <w:r w:rsidRPr="00CB6CE9">
        <w:rPr>
          <w:rFonts w:ascii="Century Gothic" w:hAnsi="Century Gothic" w:cs="Times New Roman"/>
          <w:b/>
          <w:bCs/>
          <w:sz w:val="18"/>
          <w:szCs w:val="18"/>
          <w:vertAlign w:val="superscript"/>
        </w:rPr>
        <w:t xml:space="preserve">1 </w:t>
      </w:r>
      <w:r w:rsidRPr="00CB6CE9">
        <w:rPr>
          <w:rFonts w:ascii="Century Gothic" w:hAnsi="Century Gothic" w:cs="Times New Roman"/>
          <w:sz w:val="18"/>
          <w:szCs w:val="18"/>
        </w:rPr>
        <w:t>Ο Δείκτης Οικονομικού Κλίματος είναι το σταθμισμένο άθροισμα των Δεικτών Επιχειρηματικών Προσδοκιών στη Βιομηχανία, τις Κατασκευές, το Λιανικό Εμπόριο, τις Υπηρεσίες και του Δείκτη Καταναλωτικής Εμπιστοσύνης.</w:t>
      </w:r>
    </w:p>
    <w:p w:rsidR="00BE6140" w:rsidRPr="00616866" w:rsidRDefault="00BE6140" w:rsidP="00582886">
      <w:pPr>
        <w:jc w:val="both"/>
        <w:rPr>
          <w:rFonts w:ascii="Century Gothic" w:hAnsi="Century Gothic" w:cs="Times New Roman"/>
          <w:sz w:val="18"/>
          <w:szCs w:val="18"/>
        </w:rPr>
      </w:pPr>
      <w:r>
        <w:rPr>
          <w:rFonts w:ascii="Century Gothic" w:hAnsi="Century Gothic" w:cs="Times New Roman"/>
          <w:sz w:val="18"/>
          <w:szCs w:val="18"/>
          <w:vertAlign w:val="superscript"/>
        </w:rPr>
        <w:t xml:space="preserve">2 </w:t>
      </w:r>
      <w:r>
        <w:rPr>
          <w:rFonts w:ascii="Century Gothic" w:hAnsi="Century Gothic" w:cs="Times New Roman"/>
          <w:sz w:val="18"/>
          <w:szCs w:val="18"/>
        </w:rPr>
        <w:t>Οι ακραίες τιμές αναφέρονται στην περίοδο 2001-2012, σε όλους τους πίνακες</w:t>
      </w:r>
    </w:p>
    <w:p w:rsidR="00BE6140" w:rsidRDefault="00BE6140" w:rsidP="00582886">
      <w:pPr>
        <w:jc w:val="both"/>
        <w:rPr>
          <w:rFonts w:ascii="Century Gothic" w:hAnsi="Century Gothic" w:cs="Times New Roman"/>
          <w:sz w:val="18"/>
          <w:szCs w:val="18"/>
        </w:rPr>
      </w:pPr>
      <w:r w:rsidRPr="00CB6CE9">
        <w:rPr>
          <w:rFonts w:ascii="Century Gothic" w:hAnsi="Century Gothic" w:cs="Times New Roman"/>
          <w:b/>
          <w:bCs/>
          <w:sz w:val="18"/>
          <w:szCs w:val="18"/>
        </w:rPr>
        <w:t>Πηγή:</w:t>
      </w:r>
      <w:r w:rsidRPr="00CB6CE9">
        <w:rPr>
          <w:rFonts w:ascii="Century Gothic" w:hAnsi="Century Gothic" w:cs="Times New Roman"/>
          <w:sz w:val="18"/>
          <w:szCs w:val="18"/>
        </w:rPr>
        <w:t xml:space="preserve"> Ευρωπαϊκή Επιτροπή, </w:t>
      </w:r>
      <w:r w:rsidRPr="00CB6CE9">
        <w:rPr>
          <w:rFonts w:ascii="Century Gothic" w:hAnsi="Century Gothic" w:cs="Times New Roman"/>
          <w:sz w:val="18"/>
          <w:szCs w:val="18"/>
          <w:lang w:val="en-US"/>
        </w:rPr>
        <w:t>DG</w:t>
      </w:r>
      <w:r w:rsidRPr="00CB6CE9">
        <w:rPr>
          <w:rFonts w:ascii="Century Gothic" w:hAnsi="Century Gothic" w:cs="Times New Roman"/>
          <w:sz w:val="18"/>
          <w:szCs w:val="18"/>
        </w:rPr>
        <w:t xml:space="preserve"> </w:t>
      </w:r>
      <w:r w:rsidRPr="00CB6CE9">
        <w:rPr>
          <w:rFonts w:ascii="Century Gothic" w:hAnsi="Century Gothic" w:cs="Times New Roman"/>
          <w:sz w:val="18"/>
          <w:szCs w:val="18"/>
          <w:lang w:val="en-US"/>
        </w:rPr>
        <w:t>Ecfin</w:t>
      </w:r>
    </w:p>
    <w:p w:rsidR="00BE6140" w:rsidRPr="00FE2526" w:rsidRDefault="00BE6140" w:rsidP="00582886">
      <w:pPr>
        <w:jc w:val="both"/>
        <w:rPr>
          <w:rFonts w:ascii="Century Gothic" w:hAnsi="Century Gothic" w:cs="Times New Roman"/>
          <w:sz w:val="18"/>
          <w:szCs w:val="18"/>
        </w:rPr>
      </w:pPr>
    </w:p>
    <w:p w:rsidR="00BE6140" w:rsidRPr="00533FDE" w:rsidRDefault="00BE6140" w:rsidP="00582886">
      <w:pPr>
        <w:ind w:right="-428"/>
        <w:jc w:val="center"/>
        <w:rPr>
          <w:rFonts w:ascii="Century Gothic" w:hAnsi="Century Gothic" w:cs="Times New Roman"/>
          <w:sz w:val="18"/>
          <w:szCs w:val="18"/>
        </w:rPr>
      </w:pPr>
      <w:r w:rsidRPr="00533FDE">
        <w:rPr>
          <w:rFonts w:ascii="Century Gothic" w:hAnsi="Century Gothic" w:cs="Times New Roman"/>
          <w:b/>
          <w:bCs/>
          <w:sz w:val="18"/>
          <w:szCs w:val="18"/>
        </w:rPr>
        <w:t xml:space="preserve">Διάγραμμα 1: </w:t>
      </w:r>
      <w:r w:rsidRPr="00533FDE">
        <w:rPr>
          <w:rFonts w:ascii="Century Gothic" w:hAnsi="Century Gothic" w:cs="Times New Roman"/>
          <w:sz w:val="18"/>
          <w:szCs w:val="18"/>
        </w:rPr>
        <w:t>Δείκτες Οικονομικού Κλίματος Ε.Ε-27 και Ελλάδα</w:t>
      </w:r>
    </w:p>
    <w:p w:rsidR="00BE6140" w:rsidRDefault="00BE6140" w:rsidP="00582886">
      <w:pPr>
        <w:ind w:left="-284" w:right="-428"/>
        <w:jc w:val="center"/>
        <w:rPr>
          <w:rFonts w:ascii="Century Gothic" w:hAnsi="Century Gothic" w:cs="Times New Roman"/>
          <w:sz w:val="18"/>
          <w:szCs w:val="18"/>
        </w:rPr>
      </w:pPr>
      <w:r w:rsidRPr="00533FDE">
        <w:rPr>
          <w:rFonts w:ascii="Century Gothic" w:hAnsi="Century Gothic" w:cs="Times New Roman"/>
          <w:sz w:val="18"/>
          <w:szCs w:val="18"/>
        </w:rPr>
        <w:t>(1990-2012=100, εποχικά εξομαλυμένα στοιχεία)</w:t>
      </w:r>
    </w:p>
    <w:p w:rsidR="00BE6140" w:rsidRDefault="005C53FF" w:rsidP="00582886">
      <w:pPr>
        <w:ind w:left="-284" w:right="-428"/>
        <w:jc w:val="center"/>
        <w:rPr>
          <w:rFonts w:ascii="Century Gothic" w:hAnsi="Century Gothic" w:cs="Times New Roman"/>
          <w:sz w:val="18"/>
          <w:szCs w:val="18"/>
        </w:rPr>
      </w:pPr>
      <w:r>
        <w:rPr>
          <w:noProof/>
          <w:szCs w:val="18"/>
        </w:rPr>
        <w:drawing>
          <wp:inline distT="0" distB="0" distL="0" distR="0">
            <wp:extent cx="5287645" cy="2917825"/>
            <wp:effectExtent l="19050" t="0" r="8255" b="0"/>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287645" cy="2917825"/>
                    </a:xfrm>
                    <a:prstGeom prst="rect">
                      <a:avLst/>
                    </a:prstGeom>
                    <a:noFill/>
                    <a:ln w="9525">
                      <a:noFill/>
                      <a:miter lim="800000"/>
                      <a:headEnd/>
                      <a:tailEnd/>
                    </a:ln>
                  </pic:spPr>
                </pic:pic>
              </a:graphicData>
            </a:graphic>
          </wp:inline>
        </w:drawing>
      </w:r>
    </w:p>
    <w:p w:rsidR="00BE6140" w:rsidRDefault="00BE6140" w:rsidP="00582886">
      <w:pPr>
        <w:jc w:val="both"/>
        <w:outlineLvl w:val="0"/>
        <w:rPr>
          <w:rFonts w:ascii="Century Gothic" w:hAnsi="Century Gothic" w:cs="Times New Roman"/>
          <w:sz w:val="18"/>
          <w:szCs w:val="18"/>
        </w:rPr>
      </w:pPr>
      <w:r w:rsidRPr="00CB6CE9">
        <w:rPr>
          <w:rFonts w:ascii="Century Gothic" w:hAnsi="Century Gothic" w:cs="Times New Roman"/>
          <w:b/>
          <w:bCs/>
          <w:sz w:val="18"/>
          <w:szCs w:val="18"/>
        </w:rPr>
        <w:t>Πηγή:</w:t>
      </w:r>
      <w:r w:rsidRPr="00CB6CE9">
        <w:rPr>
          <w:rFonts w:ascii="Century Gothic" w:hAnsi="Century Gothic" w:cs="Times New Roman"/>
          <w:sz w:val="18"/>
          <w:szCs w:val="18"/>
        </w:rPr>
        <w:t xml:space="preserve"> Ευρωπαϊκή Επιτροπή, </w:t>
      </w:r>
      <w:r w:rsidRPr="00CB6CE9">
        <w:rPr>
          <w:rFonts w:ascii="Century Gothic" w:hAnsi="Century Gothic" w:cs="Times New Roman"/>
          <w:sz w:val="18"/>
          <w:szCs w:val="18"/>
          <w:lang w:val="en-US"/>
        </w:rPr>
        <w:t>DG</w:t>
      </w:r>
      <w:r w:rsidRPr="00CB6CE9">
        <w:rPr>
          <w:rFonts w:ascii="Century Gothic" w:hAnsi="Century Gothic" w:cs="Times New Roman"/>
          <w:sz w:val="18"/>
          <w:szCs w:val="18"/>
        </w:rPr>
        <w:t xml:space="preserve"> </w:t>
      </w:r>
      <w:r w:rsidRPr="00CB6CE9">
        <w:rPr>
          <w:rFonts w:ascii="Century Gothic" w:hAnsi="Century Gothic" w:cs="Times New Roman"/>
          <w:sz w:val="18"/>
          <w:szCs w:val="18"/>
          <w:lang w:val="en-US"/>
        </w:rPr>
        <w:t>Ecfin</w:t>
      </w:r>
    </w:p>
    <w:p w:rsidR="00BE6140" w:rsidRPr="005B2B24" w:rsidRDefault="00BE6140" w:rsidP="00582886">
      <w:pPr>
        <w:jc w:val="both"/>
        <w:outlineLvl w:val="0"/>
        <w:rPr>
          <w:rFonts w:ascii="Century Gothic" w:hAnsi="Century Gothic" w:cs="Times New Roman"/>
          <w:sz w:val="18"/>
          <w:szCs w:val="18"/>
        </w:rPr>
      </w:pPr>
    </w:p>
    <w:p w:rsidR="00BE6140" w:rsidRPr="00B80C41" w:rsidRDefault="00BE6140" w:rsidP="00A80175">
      <w:pPr>
        <w:numPr>
          <w:ilvl w:val="0"/>
          <w:numId w:val="1"/>
        </w:numPr>
        <w:tabs>
          <w:tab w:val="clear" w:pos="720"/>
          <w:tab w:val="num" w:pos="375"/>
        </w:tabs>
        <w:spacing w:before="120" w:after="100" w:afterAutospacing="1" w:line="288" w:lineRule="auto"/>
        <w:ind w:left="357" w:right="-142" w:hanging="357"/>
        <w:jc w:val="both"/>
        <w:rPr>
          <w:rFonts w:ascii="Century Gothic" w:hAnsi="Century Gothic" w:cs="Times New Roman"/>
          <w:sz w:val="20"/>
          <w:szCs w:val="20"/>
        </w:rPr>
      </w:pPr>
      <w:r w:rsidRPr="00B80C41">
        <w:rPr>
          <w:rFonts w:ascii="Century Gothic" w:hAnsi="Century Gothic" w:cs="Times New Roman"/>
          <w:sz w:val="20"/>
          <w:szCs w:val="20"/>
        </w:rPr>
        <w:t xml:space="preserve">Ο </w:t>
      </w:r>
      <w:r w:rsidRPr="00B80C41">
        <w:rPr>
          <w:rFonts w:ascii="Century Gothic" w:hAnsi="Century Gothic" w:cs="Times New Roman"/>
          <w:b/>
          <w:sz w:val="20"/>
          <w:szCs w:val="20"/>
        </w:rPr>
        <w:t>Δείκτης Καταναλωτικής Εμπιστοσύνης</w:t>
      </w:r>
      <w:r w:rsidRPr="00B80C41">
        <w:rPr>
          <w:rFonts w:ascii="Century Gothic" w:hAnsi="Century Gothic" w:cs="Times New Roman"/>
          <w:sz w:val="20"/>
          <w:szCs w:val="20"/>
        </w:rPr>
        <w:t xml:space="preserve"> διαμορφώνεται στις -11,7 και -14,9 μονάδες στην ΕΕ και την Ευρωζώνη. Οι αρνητικές </w:t>
      </w:r>
      <w:r w:rsidRPr="00B80C41">
        <w:rPr>
          <w:rFonts w:ascii="Century Gothic" w:hAnsi="Century Gothic" w:cs="Times New Roman"/>
          <w:i/>
          <w:sz w:val="20"/>
          <w:szCs w:val="20"/>
        </w:rPr>
        <w:t>προβλέψεις των καταναλωτών</w:t>
      </w:r>
      <w:r w:rsidRPr="00B80C41">
        <w:rPr>
          <w:rFonts w:ascii="Century Gothic" w:hAnsi="Century Gothic" w:cs="Times New Roman"/>
          <w:i/>
          <w:iCs/>
          <w:sz w:val="20"/>
          <w:szCs w:val="20"/>
        </w:rPr>
        <w:t xml:space="preserve"> για την</w:t>
      </w:r>
      <w:r w:rsidRPr="00B80C41">
        <w:rPr>
          <w:rFonts w:ascii="Century Gothic" w:hAnsi="Century Gothic" w:cs="Times New Roman"/>
          <w:sz w:val="20"/>
          <w:szCs w:val="20"/>
        </w:rPr>
        <w:t xml:space="preserve"> </w:t>
      </w:r>
      <w:r w:rsidRPr="00B80C41">
        <w:rPr>
          <w:rFonts w:ascii="Century Gothic" w:hAnsi="Century Gothic" w:cs="Times New Roman"/>
          <w:i/>
          <w:iCs/>
          <w:sz w:val="20"/>
          <w:szCs w:val="20"/>
        </w:rPr>
        <w:t>οικονομική κατάσταση του νοικοκυριού τους</w:t>
      </w:r>
      <w:r w:rsidRPr="00B80C41">
        <w:rPr>
          <w:rFonts w:ascii="Century Gothic" w:hAnsi="Century Gothic" w:cs="Times New Roman"/>
          <w:sz w:val="20"/>
          <w:szCs w:val="20"/>
        </w:rPr>
        <w:t xml:space="preserve"> αμβλύνονται οριακά και στις δύο ζώνες, ενώ και οι </w:t>
      </w:r>
      <w:r w:rsidRPr="00B80C41">
        <w:rPr>
          <w:rFonts w:ascii="Century Gothic" w:hAnsi="Century Gothic" w:cs="Times New Roman"/>
          <w:i/>
          <w:sz w:val="20"/>
          <w:szCs w:val="20"/>
        </w:rPr>
        <w:t xml:space="preserve">προβλέψεις για την </w:t>
      </w:r>
      <w:r w:rsidRPr="00B80C41">
        <w:rPr>
          <w:rFonts w:ascii="Century Gothic" w:hAnsi="Century Gothic" w:cs="Times New Roman"/>
          <w:i/>
          <w:sz w:val="20"/>
          <w:szCs w:val="20"/>
        </w:rPr>
        <w:lastRenderedPageBreak/>
        <w:t xml:space="preserve">οικονομική κατάσταση της χώρας </w:t>
      </w:r>
      <w:r w:rsidRPr="00B80C41">
        <w:rPr>
          <w:rFonts w:ascii="Century Gothic" w:hAnsi="Century Gothic" w:cs="Times New Roman"/>
          <w:sz w:val="20"/>
          <w:szCs w:val="20"/>
        </w:rPr>
        <w:t xml:space="preserve">κερδίζουν έδαφος. Αντιθέτως, η </w:t>
      </w:r>
      <w:r w:rsidRPr="00B80C41">
        <w:rPr>
          <w:rFonts w:ascii="Century Gothic" w:hAnsi="Century Gothic" w:cs="Times New Roman"/>
          <w:i/>
          <w:sz w:val="20"/>
          <w:szCs w:val="20"/>
        </w:rPr>
        <w:t>πρόθεση για αποταμίευση</w:t>
      </w:r>
      <w:r w:rsidRPr="00B80C41">
        <w:rPr>
          <w:rFonts w:ascii="Century Gothic" w:hAnsi="Century Gothic" w:cs="Times New Roman"/>
          <w:sz w:val="20"/>
          <w:szCs w:val="20"/>
        </w:rPr>
        <w:t xml:space="preserve"> κάμπτεται ελαφρά στην ΕΕ και περισσότερο στην Ευρωζώνη. Σε ό</w:t>
      </w:r>
      <w:r w:rsidRPr="00821CD5">
        <w:rPr>
          <w:rFonts w:ascii="Century Gothic" w:hAnsi="Century Gothic" w:cs="Times New Roman"/>
          <w:sz w:val="20"/>
          <w:szCs w:val="20"/>
        </w:rPr>
        <w:t xml:space="preserve">, </w:t>
      </w:r>
      <w:r w:rsidRPr="00B80C41">
        <w:rPr>
          <w:rFonts w:ascii="Century Gothic" w:hAnsi="Century Gothic" w:cs="Times New Roman"/>
          <w:sz w:val="20"/>
          <w:szCs w:val="20"/>
        </w:rPr>
        <w:t xml:space="preserve">τι αφορά το </w:t>
      </w:r>
      <w:r w:rsidRPr="00B80C41">
        <w:rPr>
          <w:rFonts w:ascii="Century Gothic" w:hAnsi="Century Gothic" w:cs="Times New Roman"/>
          <w:i/>
          <w:sz w:val="20"/>
          <w:szCs w:val="20"/>
        </w:rPr>
        <w:t xml:space="preserve">δείκτη προβλέψεων για την εξέλιξη της ανεργίας, </w:t>
      </w:r>
      <w:r>
        <w:rPr>
          <w:rFonts w:ascii="Century Gothic" w:hAnsi="Century Gothic" w:cs="Times New Roman"/>
          <w:sz w:val="20"/>
          <w:szCs w:val="20"/>
        </w:rPr>
        <w:t xml:space="preserve">αυτός </w:t>
      </w:r>
      <w:r w:rsidRPr="00B80C41">
        <w:rPr>
          <w:rFonts w:ascii="Century Gothic" w:hAnsi="Century Gothic" w:cs="Times New Roman"/>
          <w:sz w:val="20"/>
          <w:szCs w:val="20"/>
        </w:rPr>
        <w:t>παρουσιάζει αποκλιμάκωση, τόσο στην ΕΕ, όσο και στην Ευρωζώνη.</w:t>
      </w:r>
    </w:p>
    <w:p w:rsidR="00BE6140" w:rsidRPr="00B80C41" w:rsidRDefault="00BE6140" w:rsidP="00A80175">
      <w:pPr>
        <w:numPr>
          <w:ilvl w:val="0"/>
          <w:numId w:val="1"/>
        </w:numPr>
        <w:tabs>
          <w:tab w:val="clear" w:pos="720"/>
          <w:tab w:val="num" w:pos="375"/>
        </w:tabs>
        <w:spacing w:before="120" w:after="100" w:afterAutospacing="1" w:line="288" w:lineRule="auto"/>
        <w:ind w:left="357" w:right="-142" w:hanging="357"/>
        <w:jc w:val="both"/>
        <w:rPr>
          <w:rFonts w:ascii="Century Gothic" w:hAnsi="Century Gothic" w:cs="Times New Roman"/>
          <w:sz w:val="20"/>
          <w:szCs w:val="20"/>
        </w:rPr>
      </w:pPr>
      <w:r w:rsidRPr="00B80C41">
        <w:rPr>
          <w:rFonts w:ascii="Century Gothic" w:hAnsi="Century Gothic" w:cs="Times New Roman"/>
          <w:sz w:val="20"/>
          <w:szCs w:val="20"/>
        </w:rPr>
        <w:t xml:space="preserve">Τέλος, ο δείκτης επιχειρηματικών προσδοκιών στις </w:t>
      </w:r>
      <w:r w:rsidRPr="00B80C41">
        <w:rPr>
          <w:rFonts w:ascii="Century Gothic" w:hAnsi="Century Gothic" w:cs="Times New Roman"/>
          <w:b/>
          <w:sz w:val="20"/>
          <w:szCs w:val="20"/>
        </w:rPr>
        <w:t>Χρηματοοικονομικές Υπηρεσίες</w:t>
      </w:r>
      <w:r w:rsidRPr="00B80C41">
        <w:rPr>
          <w:rFonts w:ascii="Century Gothic" w:hAnsi="Century Gothic" w:cs="Times New Roman"/>
          <w:sz w:val="20"/>
          <w:szCs w:val="20"/>
        </w:rPr>
        <w:t xml:space="preserve"> (δεν περιλαμβάνεται στο δείκτη οικονομικού κλίματος) βελτιώνεται σημαντικά στην ΕΕ (+14,2 από +8,7 μον.) και την Ευρωζώνη (+11,3 από +5,2 μον.). Από τα επιμέρους στοιχεία, οι </w:t>
      </w:r>
      <w:r w:rsidRPr="00B80C41">
        <w:rPr>
          <w:rFonts w:ascii="Century Gothic" w:hAnsi="Century Gothic" w:cs="Times New Roman"/>
          <w:i/>
          <w:iCs/>
          <w:sz w:val="20"/>
          <w:szCs w:val="20"/>
        </w:rPr>
        <w:t>εκτιμήσεις</w:t>
      </w:r>
      <w:r w:rsidRPr="00B80C41">
        <w:rPr>
          <w:rFonts w:ascii="Century Gothic" w:hAnsi="Century Gothic" w:cs="Times New Roman"/>
          <w:sz w:val="20"/>
          <w:szCs w:val="20"/>
        </w:rPr>
        <w:t xml:space="preserve"> </w:t>
      </w:r>
      <w:r w:rsidRPr="00B80C41">
        <w:rPr>
          <w:rFonts w:ascii="Century Gothic" w:hAnsi="Century Gothic" w:cs="Times New Roman"/>
          <w:i/>
          <w:iCs/>
          <w:sz w:val="20"/>
          <w:szCs w:val="20"/>
        </w:rPr>
        <w:t>για</w:t>
      </w:r>
      <w:r w:rsidRPr="00B80C41">
        <w:rPr>
          <w:rFonts w:ascii="Century Gothic" w:hAnsi="Century Gothic" w:cs="Times New Roman"/>
          <w:sz w:val="20"/>
          <w:szCs w:val="20"/>
        </w:rPr>
        <w:t xml:space="preserve"> </w:t>
      </w:r>
      <w:r w:rsidRPr="00B80C41">
        <w:rPr>
          <w:rFonts w:ascii="Century Gothic" w:hAnsi="Century Gothic" w:cs="Times New Roman"/>
          <w:i/>
          <w:iCs/>
          <w:sz w:val="20"/>
          <w:szCs w:val="20"/>
        </w:rPr>
        <w:t>την τρέχουσα κατάσταση των επιχειρήσεων</w:t>
      </w:r>
      <w:r w:rsidRPr="00B80C41">
        <w:rPr>
          <w:rFonts w:ascii="Century Gothic" w:hAnsi="Century Gothic" w:cs="Times New Roman"/>
          <w:sz w:val="20"/>
          <w:szCs w:val="20"/>
        </w:rPr>
        <w:t xml:space="preserve"> ενισχύονται κατά 4 περίπου μονάδες και στις δύο ζώνες, ενώ ελαφρώς ηπιότερη είναι η άνοδος του δείκτη στις </w:t>
      </w:r>
      <w:r w:rsidRPr="00B80C41">
        <w:rPr>
          <w:rFonts w:ascii="Century Gothic" w:hAnsi="Century Gothic" w:cs="Times New Roman"/>
          <w:i/>
          <w:iCs/>
          <w:sz w:val="20"/>
          <w:szCs w:val="20"/>
        </w:rPr>
        <w:t>εκτιμήσεις</w:t>
      </w:r>
      <w:r w:rsidRPr="00B80C41">
        <w:rPr>
          <w:rFonts w:ascii="Century Gothic" w:hAnsi="Century Gothic" w:cs="Times New Roman"/>
          <w:sz w:val="20"/>
          <w:szCs w:val="20"/>
        </w:rPr>
        <w:t xml:space="preserve"> </w:t>
      </w:r>
      <w:r w:rsidRPr="00B80C41">
        <w:rPr>
          <w:rFonts w:ascii="Century Gothic" w:hAnsi="Century Gothic" w:cs="Times New Roman"/>
          <w:i/>
          <w:iCs/>
          <w:sz w:val="20"/>
          <w:szCs w:val="20"/>
        </w:rPr>
        <w:t>για την τρέχουσα πορεία της ζήτησης</w:t>
      </w:r>
      <w:r w:rsidRPr="00B80C41">
        <w:rPr>
          <w:rFonts w:ascii="Century Gothic" w:hAnsi="Century Gothic" w:cs="Times New Roman"/>
          <w:iCs/>
          <w:sz w:val="20"/>
          <w:szCs w:val="20"/>
        </w:rPr>
        <w:t xml:space="preserve">. Τέλος, ο </w:t>
      </w:r>
      <w:r w:rsidRPr="00B80C41">
        <w:rPr>
          <w:rFonts w:ascii="Century Gothic" w:hAnsi="Century Gothic" w:cs="Times New Roman"/>
          <w:sz w:val="20"/>
          <w:szCs w:val="20"/>
        </w:rPr>
        <w:t xml:space="preserve">αρνητικός δείκτης για τις </w:t>
      </w:r>
      <w:r w:rsidRPr="00B80C41">
        <w:rPr>
          <w:rFonts w:ascii="Century Gothic" w:hAnsi="Century Gothic" w:cs="Times New Roman"/>
          <w:i/>
          <w:iCs/>
          <w:sz w:val="20"/>
          <w:szCs w:val="20"/>
        </w:rPr>
        <w:t>προβλέψεις της</w:t>
      </w:r>
      <w:r w:rsidRPr="00B80C41">
        <w:rPr>
          <w:rFonts w:ascii="Century Gothic" w:hAnsi="Century Gothic" w:cs="Times New Roman"/>
          <w:sz w:val="20"/>
          <w:szCs w:val="20"/>
        </w:rPr>
        <w:t xml:space="preserve"> </w:t>
      </w:r>
      <w:r w:rsidRPr="00B80C41">
        <w:rPr>
          <w:rFonts w:ascii="Century Gothic" w:hAnsi="Century Gothic" w:cs="Times New Roman"/>
          <w:i/>
          <w:iCs/>
          <w:sz w:val="20"/>
          <w:szCs w:val="20"/>
        </w:rPr>
        <w:t>ζήτησης στο επόμενο τρίμηνο</w:t>
      </w:r>
      <w:r w:rsidRPr="00B80C41">
        <w:rPr>
          <w:rFonts w:ascii="Century Gothic" w:hAnsi="Century Gothic" w:cs="Times New Roman"/>
          <w:sz w:val="20"/>
          <w:szCs w:val="20"/>
        </w:rPr>
        <w:t xml:space="preserve"> κερδίζει 8 και 12 μονάδες σε ΕΕ και Ευρωζώνη αντίστοιχα. </w:t>
      </w:r>
    </w:p>
    <w:p w:rsidR="00BE6140" w:rsidRDefault="00BE6140">
      <w:pPr>
        <w:rPr>
          <w:rFonts w:ascii="Century Gothic" w:hAnsi="Century Gothic" w:cs="Times New Roman"/>
          <w:sz w:val="20"/>
          <w:szCs w:val="20"/>
        </w:rPr>
      </w:pPr>
      <w:r>
        <w:rPr>
          <w:rFonts w:ascii="Century Gothic" w:hAnsi="Century Gothic" w:cs="Times New Roman"/>
          <w:sz w:val="20"/>
          <w:szCs w:val="20"/>
        </w:rPr>
        <w:br w:type="page"/>
      </w:r>
    </w:p>
    <w:p w:rsidR="00BE6140" w:rsidRPr="00B77CDC" w:rsidRDefault="00BE6140" w:rsidP="00C7401D">
      <w:pPr>
        <w:shd w:val="clear" w:color="auto" w:fill="DBE5F1"/>
        <w:spacing w:before="100" w:beforeAutospacing="1" w:after="100" w:afterAutospacing="1" w:line="288" w:lineRule="auto"/>
        <w:ind w:right="-142"/>
        <w:jc w:val="both"/>
        <w:outlineLvl w:val="0"/>
        <w:rPr>
          <w:rFonts w:ascii="Century Gothic" w:hAnsi="Century Gothic" w:cs="Times New Roman"/>
          <w:b/>
          <w:bCs/>
          <w:sz w:val="22"/>
          <w:szCs w:val="22"/>
        </w:rPr>
      </w:pPr>
      <w:r w:rsidRPr="00B77CDC">
        <w:rPr>
          <w:rFonts w:ascii="Century Gothic" w:hAnsi="Century Gothic" w:cs="Times New Roman"/>
          <w:b/>
          <w:bCs/>
          <w:sz w:val="22"/>
          <w:szCs w:val="22"/>
          <w:u w:val="single"/>
        </w:rPr>
        <w:t>ΕΛΛΑΔΑ</w:t>
      </w:r>
      <w:r w:rsidRPr="00B77CDC">
        <w:rPr>
          <w:rFonts w:ascii="Century Gothic" w:hAnsi="Century Gothic" w:cs="Times New Roman"/>
          <w:b/>
          <w:bCs/>
          <w:sz w:val="22"/>
          <w:szCs w:val="22"/>
        </w:rPr>
        <w:t xml:space="preserve">: </w:t>
      </w:r>
      <w:r>
        <w:rPr>
          <w:rFonts w:ascii="Century Gothic" w:hAnsi="Century Gothic" w:cs="Times New Roman"/>
          <w:b/>
          <w:bCs/>
          <w:sz w:val="22"/>
          <w:szCs w:val="22"/>
        </w:rPr>
        <w:t>Βελτίωση του οικονομικού κλίματος</w:t>
      </w:r>
      <w:r w:rsidRPr="00B77CDC">
        <w:rPr>
          <w:rFonts w:ascii="Century Gothic" w:hAnsi="Century Gothic" w:cs="Times New Roman"/>
          <w:b/>
          <w:bCs/>
          <w:sz w:val="22"/>
          <w:szCs w:val="22"/>
        </w:rPr>
        <w:t xml:space="preserve">, </w:t>
      </w:r>
      <w:r>
        <w:rPr>
          <w:rFonts w:ascii="Century Gothic" w:hAnsi="Century Gothic" w:cs="Times New Roman"/>
          <w:b/>
          <w:bCs/>
          <w:sz w:val="22"/>
          <w:szCs w:val="22"/>
        </w:rPr>
        <w:t xml:space="preserve">επιδείνωση καταναλωτικής εμπιστοσύνης </w:t>
      </w:r>
    </w:p>
    <w:p w:rsidR="00BE6140" w:rsidRPr="00351CA3" w:rsidRDefault="00BE6140" w:rsidP="00C7401D">
      <w:pPr>
        <w:spacing w:before="100" w:beforeAutospacing="1" w:after="100" w:afterAutospacing="1" w:line="288" w:lineRule="auto"/>
        <w:jc w:val="both"/>
        <w:rPr>
          <w:rFonts w:ascii="Tahoma" w:eastAsia="MS Mincho" w:hAnsi="Tahoma" w:cs="Tahoma"/>
          <w:b/>
          <w:sz w:val="20"/>
          <w:szCs w:val="20"/>
          <w:lang w:eastAsia="ja-JP"/>
        </w:rPr>
      </w:pPr>
      <w:r w:rsidRPr="004B46F5">
        <w:rPr>
          <w:rFonts w:ascii="Century Gothic" w:hAnsi="Century Gothic" w:cs="Times New Roman"/>
          <w:sz w:val="20"/>
          <w:szCs w:val="20"/>
        </w:rPr>
        <w:t xml:space="preserve">Ο Δείκτης Οικονομικού Κλίματος στην Ελλάδα τον Σεπτέμβριο επανήλθε σε ανοδική πορεία μετά από ένα δίμηνο διόρθωσης και διαμορφώθηκε στις 93,1 μονάδες από </w:t>
      </w:r>
      <w:r w:rsidRPr="004B46F5">
        <w:rPr>
          <w:rFonts w:ascii="Century Gothic" w:hAnsi="Century Gothic" w:cs="Times New Roman"/>
          <w:color w:val="000000"/>
          <w:sz w:val="20"/>
          <w:szCs w:val="20"/>
        </w:rPr>
        <w:t xml:space="preserve">91,7 τον Ιούλιο και 89,2 τον Αύγουστο. </w:t>
      </w:r>
      <w:r>
        <w:rPr>
          <w:rFonts w:ascii="Century Gothic" w:hAnsi="Century Gothic" w:cs="Times New Roman"/>
          <w:b/>
          <w:color w:val="000000"/>
          <w:sz w:val="20"/>
          <w:szCs w:val="20"/>
        </w:rPr>
        <w:t xml:space="preserve">Η </w:t>
      </w:r>
      <w:r w:rsidRPr="004B46F5">
        <w:rPr>
          <w:rFonts w:ascii="Century Gothic" w:hAnsi="Century Gothic" w:cs="Times New Roman"/>
          <w:b/>
          <w:color w:val="000000"/>
          <w:sz w:val="20"/>
          <w:szCs w:val="20"/>
        </w:rPr>
        <w:t xml:space="preserve">έντονη βελτίωση του κλίματος στις Κατασκευές και τη Βιομηχανία, αντισταθμίζεται εν μέρει από την εξασθένηση των προσδοκιών στο Λιανικό Εμπόριο και την καταναλωτική εμπιστοσύνη, με το κλίμα στις Υπηρεσίες να παραμένει αμετάβλητο. Οι προσδοκίες των επιχειρήσεων φαίνεται να ανακάμπτουν λόγω της επιβράδυνσης της ύφεσης που καταγράφεται στα στοιχεία </w:t>
      </w:r>
      <w:r>
        <w:rPr>
          <w:rFonts w:ascii="Century Gothic" w:hAnsi="Century Gothic" w:cs="Times New Roman"/>
          <w:b/>
          <w:color w:val="000000"/>
          <w:sz w:val="20"/>
          <w:szCs w:val="20"/>
        </w:rPr>
        <w:t xml:space="preserve">της </w:t>
      </w:r>
      <w:r w:rsidRPr="004B46F5">
        <w:rPr>
          <w:rFonts w:ascii="Century Gothic" w:hAnsi="Century Gothic" w:cs="Times New Roman"/>
          <w:b/>
          <w:color w:val="000000"/>
          <w:sz w:val="20"/>
          <w:szCs w:val="20"/>
        </w:rPr>
        <w:t>ΕΛΣΤΑΤ. Αν και το σωρευτικό αποτέλεσμ</w:t>
      </w:r>
      <w:r>
        <w:rPr>
          <w:rFonts w:ascii="Century Gothic" w:hAnsi="Century Gothic" w:cs="Times New Roman"/>
          <w:b/>
          <w:color w:val="000000"/>
          <w:sz w:val="20"/>
          <w:szCs w:val="20"/>
        </w:rPr>
        <w:t xml:space="preserve">α </w:t>
      </w:r>
      <w:r w:rsidRPr="004B46F5">
        <w:rPr>
          <w:rFonts w:ascii="Century Gothic" w:hAnsi="Century Gothic" w:cs="Times New Roman"/>
          <w:b/>
          <w:color w:val="000000"/>
          <w:sz w:val="20"/>
          <w:szCs w:val="20"/>
        </w:rPr>
        <w:t xml:space="preserve">της </w:t>
      </w:r>
      <w:r>
        <w:rPr>
          <w:rFonts w:ascii="Century Gothic" w:hAnsi="Century Gothic" w:cs="Times New Roman"/>
          <w:b/>
          <w:color w:val="000000"/>
          <w:sz w:val="20"/>
          <w:szCs w:val="20"/>
        </w:rPr>
        <w:t xml:space="preserve">ύφεσης </w:t>
      </w:r>
      <w:r w:rsidRPr="004B46F5">
        <w:rPr>
          <w:rFonts w:ascii="Century Gothic" w:hAnsi="Century Gothic" w:cs="Times New Roman"/>
          <w:b/>
          <w:color w:val="000000"/>
          <w:sz w:val="20"/>
          <w:szCs w:val="20"/>
        </w:rPr>
        <w:t>αναμένεται να κορυφωθεί στο τελευταίο τρίμηνο του έτους και να αγγίξει συνολική συρρίκνωση του προϊόντος της τάξης του 25% του ΑΕΠ, αρκετοί κλάδοι της οικονομίας διατυπώνουν λιγότερο απαισιόδοξες προσδ</w:t>
      </w:r>
      <w:r>
        <w:rPr>
          <w:rFonts w:ascii="Century Gothic" w:hAnsi="Century Gothic" w:cs="Times New Roman"/>
          <w:b/>
          <w:color w:val="000000"/>
          <w:sz w:val="20"/>
          <w:szCs w:val="20"/>
        </w:rPr>
        <w:t xml:space="preserve">οκίες για το επόμενο διάστημα. </w:t>
      </w:r>
      <w:r w:rsidRPr="004B46F5">
        <w:rPr>
          <w:rFonts w:ascii="Century Gothic" w:hAnsi="Century Gothic" w:cs="Times New Roman"/>
          <w:b/>
          <w:color w:val="000000"/>
          <w:sz w:val="20"/>
          <w:szCs w:val="20"/>
        </w:rPr>
        <w:t>Φαίνεται δηλαδή όλο και περισσότεροι να συμφωνούν ότι είτε λόγω εξωγενών παραμέτρων και διάθεσης των πιστωτών για ηπιότερη δημοσιονομική προσαρμογή, είτε λόγω περαιτέρω άμβλυνσης των διάφορων μορφών αβεβαιότητας που κυριαρχούσαν στην ελληνική οικονομία, η έξοδος από τον υφεσιακό κύκλο πλησιάζει. Η έκταση όμως και ο βαθμός στον οποίο η εκτιμώμε</w:t>
      </w:r>
      <w:r>
        <w:rPr>
          <w:rFonts w:ascii="Century Gothic" w:hAnsi="Century Gothic" w:cs="Times New Roman"/>
          <w:b/>
          <w:color w:val="000000"/>
          <w:sz w:val="20"/>
          <w:szCs w:val="20"/>
        </w:rPr>
        <w:t>νη σταθεροποίηση της οικονομίας</w:t>
      </w:r>
      <w:r w:rsidRPr="004B46F5">
        <w:rPr>
          <w:rFonts w:ascii="Century Gothic" w:hAnsi="Century Gothic" w:cs="Times New Roman"/>
          <w:b/>
          <w:color w:val="000000"/>
          <w:sz w:val="20"/>
          <w:szCs w:val="20"/>
        </w:rPr>
        <w:t xml:space="preserve"> θα οδηγήσει και σε βιώσιμη μεγέθυνση, παραμένει κομβικό ζήτημα που σχετίζεται με πλήθος παραμέτρων: από την προσέλκυση παραγωγικών επενδύσεων στη χώρα που δημιουργούν θέσεις εργασίας, έως την αξιόπιστη και απρόσκοπτη χρηματοδότηση της ελληνικής οικονομίας</w:t>
      </w:r>
      <w:r>
        <w:rPr>
          <w:rFonts w:ascii="Century Gothic" w:hAnsi="Century Gothic" w:cs="Times New Roman"/>
          <w:b/>
          <w:color w:val="000000"/>
          <w:sz w:val="20"/>
          <w:szCs w:val="20"/>
        </w:rPr>
        <w:t>.</w:t>
      </w:r>
      <w:r>
        <w:rPr>
          <w:rFonts w:ascii="Century Gothic" w:hAnsi="Century Gothic" w:cs="Times New Roman"/>
          <w:b/>
          <w:sz w:val="20"/>
          <w:szCs w:val="20"/>
        </w:rPr>
        <w:t xml:space="preserve"> </w:t>
      </w:r>
      <w:r>
        <w:rPr>
          <w:rFonts w:ascii="Century Gothic" w:hAnsi="Century Gothic" w:cs="Times New Roman"/>
          <w:sz w:val="20"/>
          <w:szCs w:val="20"/>
        </w:rPr>
        <w:t xml:space="preserve">Αναλυτικότερα: </w:t>
      </w:r>
    </w:p>
    <w:p w:rsidR="00BE6140" w:rsidRPr="00B77CDC" w:rsidRDefault="00BE6140" w:rsidP="00C7401D">
      <w:pPr>
        <w:numPr>
          <w:ilvl w:val="0"/>
          <w:numId w:val="3"/>
        </w:numPr>
        <w:tabs>
          <w:tab w:val="clear" w:pos="720"/>
          <w:tab w:val="num" w:pos="363"/>
        </w:tabs>
        <w:spacing w:before="120" w:after="100" w:afterAutospacing="1" w:line="288" w:lineRule="auto"/>
        <w:ind w:left="360" w:hanging="357"/>
        <w:jc w:val="both"/>
        <w:rPr>
          <w:rFonts w:ascii="Century Gothic" w:hAnsi="Century Gothic" w:cs="Times New Roman"/>
          <w:sz w:val="20"/>
          <w:szCs w:val="20"/>
        </w:rPr>
      </w:pPr>
      <w:r w:rsidRPr="00B77CDC">
        <w:rPr>
          <w:rFonts w:ascii="Century Gothic" w:hAnsi="Century Gothic" w:cs="Times New Roman"/>
          <w:sz w:val="20"/>
          <w:szCs w:val="20"/>
        </w:rPr>
        <w:t xml:space="preserve">στη </w:t>
      </w:r>
      <w:r w:rsidRPr="00B77CDC">
        <w:rPr>
          <w:rFonts w:ascii="Century Gothic" w:hAnsi="Century Gothic" w:cs="Times New Roman"/>
          <w:b/>
          <w:bCs/>
          <w:sz w:val="20"/>
          <w:szCs w:val="20"/>
        </w:rPr>
        <w:t>Βιομηχανία</w:t>
      </w:r>
      <w:r w:rsidRPr="00B77CDC">
        <w:rPr>
          <w:rFonts w:ascii="Century Gothic" w:hAnsi="Century Gothic" w:cs="Times New Roman"/>
          <w:sz w:val="20"/>
          <w:szCs w:val="20"/>
        </w:rPr>
        <w:t xml:space="preserve">, οι </w:t>
      </w:r>
      <w:r>
        <w:rPr>
          <w:rFonts w:ascii="Century Gothic" w:hAnsi="Century Gothic" w:cs="Times New Roman"/>
          <w:sz w:val="20"/>
          <w:szCs w:val="20"/>
        </w:rPr>
        <w:t xml:space="preserve">θετικές </w:t>
      </w:r>
      <w:r w:rsidRPr="00B77CDC">
        <w:rPr>
          <w:rFonts w:ascii="Century Gothic" w:hAnsi="Century Gothic" w:cs="Times New Roman"/>
          <w:i/>
          <w:iCs/>
          <w:sz w:val="20"/>
          <w:szCs w:val="20"/>
        </w:rPr>
        <w:t>προβλέψεις για τη βραχυπρόθεσμη εξέλιξη της παραγωγής</w:t>
      </w:r>
      <w:r w:rsidRPr="00B77CDC">
        <w:rPr>
          <w:rFonts w:ascii="Century Gothic" w:hAnsi="Century Gothic" w:cs="Times New Roman"/>
          <w:sz w:val="20"/>
          <w:szCs w:val="20"/>
        </w:rPr>
        <w:t xml:space="preserve"> </w:t>
      </w:r>
      <w:r>
        <w:rPr>
          <w:rFonts w:ascii="Century Gothic" w:hAnsi="Century Gothic" w:cs="Times New Roman"/>
          <w:sz w:val="20"/>
          <w:szCs w:val="20"/>
        </w:rPr>
        <w:t>εντείνονται σημαντικά, με τις</w:t>
      </w:r>
      <w:r w:rsidRPr="00B77CDC">
        <w:rPr>
          <w:rFonts w:ascii="Century Gothic" w:hAnsi="Century Gothic" w:cs="Times New Roman"/>
          <w:sz w:val="20"/>
          <w:szCs w:val="20"/>
        </w:rPr>
        <w:t xml:space="preserve"> </w:t>
      </w:r>
      <w:r w:rsidRPr="00B77CDC">
        <w:rPr>
          <w:rFonts w:ascii="Century Gothic" w:hAnsi="Century Gothic" w:cs="Times New Roman"/>
          <w:i/>
          <w:sz w:val="20"/>
          <w:szCs w:val="20"/>
        </w:rPr>
        <w:t xml:space="preserve">εκτιμήσεις για τα </w:t>
      </w:r>
      <w:r w:rsidRPr="00B77CDC">
        <w:rPr>
          <w:rFonts w:ascii="Century Gothic" w:hAnsi="Century Gothic" w:cs="Times New Roman"/>
          <w:i/>
          <w:iCs/>
          <w:sz w:val="20"/>
          <w:szCs w:val="20"/>
        </w:rPr>
        <w:t>αποθέματα</w:t>
      </w:r>
      <w:r>
        <w:rPr>
          <w:rFonts w:ascii="Century Gothic" w:hAnsi="Century Gothic" w:cs="Times New Roman"/>
          <w:sz w:val="20"/>
          <w:szCs w:val="20"/>
        </w:rPr>
        <w:t xml:space="preserve"> να αμβλύνονται και εκείνες </w:t>
      </w:r>
      <w:r w:rsidRPr="00B77CDC">
        <w:rPr>
          <w:rFonts w:ascii="Century Gothic" w:hAnsi="Century Gothic" w:cs="Times New Roman"/>
          <w:i/>
          <w:iCs/>
          <w:sz w:val="20"/>
          <w:szCs w:val="20"/>
        </w:rPr>
        <w:t>για το τρέχον επίπεδο παραγγελιών και ζήτησης</w:t>
      </w:r>
      <w:r w:rsidRPr="00B77CDC">
        <w:rPr>
          <w:rFonts w:ascii="Century Gothic" w:hAnsi="Century Gothic" w:cs="Times New Roman"/>
          <w:iCs/>
          <w:sz w:val="20"/>
          <w:szCs w:val="20"/>
        </w:rPr>
        <w:t xml:space="preserve"> </w:t>
      </w:r>
      <w:r>
        <w:rPr>
          <w:rFonts w:ascii="Century Gothic" w:hAnsi="Century Gothic" w:cs="Times New Roman"/>
          <w:sz w:val="20"/>
          <w:szCs w:val="20"/>
        </w:rPr>
        <w:t>να κερδίζουν έδαφος</w:t>
      </w:r>
      <w:r w:rsidRPr="00B77CDC">
        <w:rPr>
          <w:rFonts w:ascii="Century Gothic" w:hAnsi="Century Gothic" w:cs="Times New Roman"/>
          <w:sz w:val="20"/>
          <w:szCs w:val="20"/>
        </w:rPr>
        <w:t>.</w:t>
      </w:r>
    </w:p>
    <w:p w:rsidR="00BE6140" w:rsidRPr="00B77CDC" w:rsidRDefault="00BE6140" w:rsidP="00C7401D">
      <w:pPr>
        <w:numPr>
          <w:ilvl w:val="0"/>
          <w:numId w:val="3"/>
        </w:numPr>
        <w:tabs>
          <w:tab w:val="clear" w:pos="720"/>
          <w:tab w:val="num" w:pos="363"/>
        </w:tabs>
        <w:spacing w:before="120" w:after="100" w:afterAutospacing="1" w:line="288" w:lineRule="auto"/>
        <w:ind w:left="363"/>
        <w:jc w:val="both"/>
        <w:rPr>
          <w:rFonts w:ascii="Century Gothic" w:hAnsi="Century Gothic" w:cs="Times New Roman"/>
          <w:sz w:val="20"/>
          <w:szCs w:val="20"/>
        </w:rPr>
      </w:pPr>
      <w:r w:rsidRPr="00B77CDC">
        <w:rPr>
          <w:rFonts w:ascii="Century Gothic" w:hAnsi="Century Gothic" w:cs="Times New Roman"/>
          <w:sz w:val="20"/>
          <w:szCs w:val="20"/>
        </w:rPr>
        <w:t xml:space="preserve">στις </w:t>
      </w:r>
      <w:r w:rsidRPr="00B77CDC">
        <w:rPr>
          <w:rFonts w:ascii="Century Gothic" w:hAnsi="Century Gothic" w:cs="Times New Roman"/>
          <w:b/>
          <w:bCs/>
          <w:sz w:val="20"/>
          <w:szCs w:val="20"/>
        </w:rPr>
        <w:t>Υπηρεσίες</w:t>
      </w:r>
      <w:r w:rsidRPr="00B77CDC">
        <w:rPr>
          <w:rFonts w:ascii="Century Gothic" w:hAnsi="Century Gothic" w:cs="Times New Roman"/>
          <w:sz w:val="20"/>
          <w:szCs w:val="20"/>
        </w:rPr>
        <w:t xml:space="preserve">, οι </w:t>
      </w:r>
      <w:r w:rsidRPr="00B77CDC">
        <w:rPr>
          <w:rFonts w:ascii="Century Gothic" w:hAnsi="Century Gothic" w:cs="Times New Roman"/>
          <w:i/>
          <w:iCs/>
          <w:sz w:val="20"/>
          <w:szCs w:val="20"/>
        </w:rPr>
        <w:t>εκτιμήσεις των επιχειρήσεων για την τρέχουσα δραστηριότητά τους</w:t>
      </w:r>
      <w:r w:rsidRPr="00B77CDC">
        <w:rPr>
          <w:rFonts w:ascii="Century Gothic" w:hAnsi="Century Gothic" w:cs="Times New Roman"/>
          <w:iCs/>
          <w:sz w:val="20"/>
          <w:szCs w:val="20"/>
        </w:rPr>
        <w:t xml:space="preserve"> </w:t>
      </w:r>
      <w:r>
        <w:rPr>
          <w:rFonts w:ascii="Century Gothic" w:hAnsi="Century Gothic" w:cs="Times New Roman"/>
          <w:iCs/>
          <w:sz w:val="20"/>
          <w:szCs w:val="20"/>
        </w:rPr>
        <w:t xml:space="preserve">υποχωρούν ελαφρά, αντισταθμιζόμενες από την ήπια άνοδο στις </w:t>
      </w:r>
      <w:r w:rsidRPr="00B77CDC">
        <w:rPr>
          <w:rFonts w:ascii="Century Gothic" w:hAnsi="Century Gothic" w:cs="Times New Roman"/>
          <w:i/>
          <w:iCs/>
          <w:sz w:val="20"/>
          <w:szCs w:val="20"/>
        </w:rPr>
        <w:t>εκτιμήσεις</w:t>
      </w:r>
      <w:r w:rsidRPr="00B77CDC">
        <w:rPr>
          <w:rFonts w:ascii="Century Gothic" w:hAnsi="Century Gothic" w:cs="Times New Roman"/>
          <w:iCs/>
          <w:sz w:val="20"/>
          <w:szCs w:val="20"/>
        </w:rPr>
        <w:t xml:space="preserve"> </w:t>
      </w:r>
      <w:r w:rsidRPr="00B77CDC">
        <w:rPr>
          <w:rFonts w:ascii="Century Gothic" w:hAnsi="Century Gothic" w:cs="Times New Roman"/>
          <w:i/>
          <w:sz w:val="20"/>
          <w:szCs w:val="20"/>
        </w:rPr>
        <w:t>για</w:t>
      </w:r>
      <w:r w:rsidRPr="00B77CDC">
        <w:rPr>
          <w:rFonts w:ascii="Century Gothic" w:hAnsi="Century Gothic" w:cs="Times New Roman"/>
          <w:sz w:val="20"/>
          <w:szCs w:val="20"/>
        </w:rPr>
        <w:t xml:space="preserve"> την </w:t>
      </w:r>
      <w:r w:rsidRPr="00B77CDC">
        <w:rPr>
          <w:rFonts w:ascii="Century Gothic" w:hAnsi="Century Gothic" w:cs="Times New Roman"/>
          <w:i/>
          <w:iCs/>
          <w:sz w:val="20"/>
          <w:szCs w:val="20"/>
        </w:rPr>
        <w:t>τρέχουσα ζήτηση των πωλήσεων</w:t>
      </w:r>
      <w:r>
        <w:rPr>
          <w:rFonts w:ascii="Century Gothic" w:hAnsi="Century Gothic" w:cs="Times New Roman"/>
          <w:iCs/>
          <w:sz w:val="20"/>
          <w:szCs w:val="20"/>
        </w:rPr>
        <w:t xml:space="preserve">, με τις </w:t>
      </w:r>
      <w:r w:rsidRPr="00B77CDC">
        <w:rPr>
          <w:rFonts w:ascii="Century Gothic" w:hAnsi="Century Gothic" w:cs="Times New Roman"/>
          <w:iCs/>
          <w:sz w:val="20"/>
          <w:szCs w:val="20"/>
        </w:rPr>
        <w:t xml:space="preserve">αρνητικές </w:t>
      </w:r>
      <w:r w:rsidRPr="00B77CDC">
        <w:rPr>
          <w:rFonts w:ascii="Century Gothic" w:hAnsi="Century Gothic" w:cs="Times New Roman"/>
          <w:i/>
          <w:iCs/>
          <w:sz w:val="20"/>
          <w:szCs w:val="20"/>
        </w:rPr>
        <w:t>προβλέψεις</w:t>
      </w:r>
      <w:r w:rsidRPr="00B77CDC">
        <w:rPr>
          <w:rFonts w:ascii="Century Gothic" w:hAnsi="Century Gothic" w:cs="Times New Roman"/>
          <w:sz w:val="20"/>
          <w:szCs w:val="20"/>
        </w:rPr>
        <w:t xml:space="preserve"> </w:t>
      </w:r>
      <w:r w:rsidRPr="00B77CDC">
        <w:rPr>
          <w:rFonts w:ascii="Century Gothic" w:hAnsi="Century Gothic" w:cs="Times New Roman"/>
          <w:i/>
          <w:iCs/>
          <w:sz w:val="20"/>
          <w:szCs w:val="20"/>
        </w:rPr>
        <w:t>για τη βραχυπρόθεσμη εξέλιξ</w:t>
      </w:r>
      <w:r>
        <w:rPr>
          <w:rFonts w:ascii="Century Gothic" w:hAnsi="Century Gothic" w:cs="Times New Roman"/>
          <w:i/>
          <w:iCs/>
          <w:sz w:val="20"/>
          <w:szCs w:val="20"/>
        </w:rPr>
        <w:t xml:space="preserve">ή τους να </w:t>
      </w:r>
      <w:r>
        <w:rPr>
          <w:rFonts w:ascii="Century Gothic" w:hAnsi="Century Gothic" w:cs="Times New Roman"/>
          <w:iCs/>
          <w:sz w:val="20"/>
          <w:szCs w:val="20"/>
        </w:rPr>
        <w:t>παραμένουν στα ίδια επίπεδα.</w:t>
      </w:r>
    </w:p>
    <w:p w:rsidR="00BE6140" w:rsidRPr="00B77CDC" w:rsidRDefault="00BE6140" w:rsidP="00C7401D">
      <w:pPr>
        <w:numPr>
          <w:ilvl w:val="0"/>
          <w:numId w:val="3"/>
        </w:numPr>
        <w:tabs>
          <w:tab w:val="clear" w:pos="720"/>
          <w:tab w:val="num" w:pos="363"/>
        </w:tabs>
        <w:spacing w:before="120" w:after="100" w:afterAutospacing="1" w:line="288" w:lineRule="auto"/>
        <w:ind w:left="363"/>
        <w:jc w:val="both"/>
        <w:rPr>
          <w:rFonts w:ascii="Century Gothic" w:hAnsi="Century Gothic" w:cs="Times New Roman"/>
          <w:sz w:val="20"/>
          <w:szCs w:val="20"/>
        </w:rPr>
      </w:pPr>
      <w:r w:rsidRPr="00B77CDC">
        <w:rPr>
          <w:rFonts w:ascii="Century Gothic" w:hAnsi="Century Gothic" w:cs="Times New Roman"/>
          <w:sz w:val="20"/>
          <w:szCs w:val="20"/>
        </w:rPr>
        <w:t xml:space="preserve">στο </w:t>
      </w:r>
      <w:r w:rsidRPr="00B77CDC">
        <w:rPr>
          <w:rFonts w:ascii="Century Gothic" w:hAnsi="Century Gothic" w:cs="Times New Roman"/>
          <w:b/>
          <w:bCs/>
          <w:sz w:val="20"/>
          <w:szCs w:val="20"/>
        </w:rPr>
        <w:t>Λιανικό Εμπόριο</w:t>
      </w:r>
      <w:r w:rsidRPr="00B77CDC">
        <w:rPr>
          <w:rFonts w:ascii="Century Gothic" w:hAnsi="Century Gothic" w:cs="Times New Roman"/>
          <w:sz w:val="20"/>
          <w:szCs w:val="20"/>
        </w:rPr>
        <w:t xml:space="preserve">, οι </w:t>
      </w:r>
      <w:r>
        <w:rPr>
          <w:rFonts w:ascii="Century Gothic" w:hAnsi="Century Gothic" w:cs="Times New Roman"/>
          <w:sz w:val="20"/>
          <w:szCs w:val="20"/>
        </w:rPr>
        <w:t xml:space="preserve">αρνητικές </w:t>
      </w:r>
      <w:r w:rsidRPr="00B77CDC">
        <w:rPr>
          <w:rFonts w:ascii="Century Gothic" w:hAnsi="Century Gothic" w:cs="Times New Roman"/>
          <w:i/>
          <w:iCs/>
          <w:sz w:val="20"/>
          <w:szCs w:val="20"/>
        </w:rPr>
        <w:t xml:space="preserve">εκτιμήσεις για τις τρέχουσες πωλήσεις </w:t>
      </w:r>
      <w:r>
        <w:rPr>
          <w:rFonts w:ascii="Century Gothic" w:hAnsi="Century Gothic" w:cs="Times New Roman"/>
          <w:iCs/>
          <w:sz w:val="20"/>
          <w:szCs w:val="20"/>
        </w:rPr>
        <w:t xml:space="preserve">αμβλύνονται αισθητά, με τις </w:t>
      </w:r>
      <w:r w:rsidRPr="00B77CDC">
        <w:rPr>
          <w:rFonts w:ascii="Century Gothic" w:hAnsi="Century Gothic" w:cs="Times New Roman"/>
          <w:i/>
          <w:iCs/>
          <w:sz w:val="20"/>
          <w:szCs w:val="20"/>
        </w:rPr>
        <w:t xml:space="preserve">προβλέψεις για τις βραχυπρόθεσμες προοπτικές </w:t>
      </w:r>
      <w:r>
        <w:rPr>
          <w:rFonts w:ascii="Century Gothic" w:hAnsi="Century Gothic" w:cs="Times New Roman"/>
          <w:i/>
          <w:iCs/>
          <w:sz w:val="20"/>
          <w:szCs w:val="20"/>
        </w:rPr>
        <w:t xml:space="preserve">τους </w:t>
      </w:r>
      <w:r>
        <w:rPr>
          <w:rFonts w:ascii="Century Gothic" w:hAnsi="Century Gothic" w:cs="Times New Roman"/>
          <w:iCs/>
          <w:sz w:val="20"/>
          <w:szCs w:val="20"/>
        </w:rPr>
        <w:t xml:space="preserve">αντίθετα να επιδεινώνονται και τις </w:t>
      </w:r>
      <w:r w:rsidRPr="00B77CDC">
        <w:rPr>
          <w:rFonts w:ascii="Century Gothic" w:hAnsi="Century Gothic" w:cs="Times New Roman"/>
          <w:sz w:val="20"/>
          <w:szCs w:val="20"/>
        </w:rPr>
        <w:t xml:space="preserve">αρνητικές </w:t>
      </w:r>
      <w:r w:rsidRPr="00B77CDC">
        <w:rPr>
          <w:rFonts w:ascii="Century Gothic" w:hAnsi="Century Gothic" w:cs="Times New Roman"/>
          <w:i/>
          <w:iCs/>
          <w:sz w:val="20"/>
          <w:szCs w:val="20"/>
        </w:rPr>
        <w:t>εκτιμήσεις για τα</w:t>
      </w:r>
      <w:r w:rsidRPr="00B77CDC">
        <w:rPr>
          <w:rFonts w:ascii="Century Gothic" w:hAnsi="Century Gothic" w:cs="Times New Roman"/>
          <w:sz w:val="20"/>
          <w:szCs w:val="20"/>
        </w:rPr>
        <w:t xml:space="preserve"> </w:t>
      </w:r>
      <w:r w:rsidRPr="00B77CDC">
        <w:rPr>
          <w:rFonts w:ascii="Century Gothic" w:hAnsi="Century Gothic" w:cs="Times New Roman"/>
          <w:i/>
          <w:iCs/>
          <w:sz w:val="20"/>
          <w:szCs w:val="20"/>
        </w:rPr>
        <w:t>αποθέματα</w:t>
      </w:r>
      <w:r w:rsidRPr="00B77CDC">
        <w:rPr>
          <w:rFonts w:ascii="Century Gothic" w:hAnsi="Century Gothic" w:cs="Times New Roman"/>
          <w:sz w:val="20"/>
          <w:szCs w:val="20"/>
        </w:rPr>
        <w:t xml:space="preserve"> </w:t>
      </w:r>
      <w:r>
        <w:rPr>
          <w:rFonts w:ascii="Century Gothic" w:hAnsi="Century Gothic" w:cs="Times New Roman"/>
          <w:sz w:val="20"/>
          <w:szCs w:val="20"/>
        </w:rPr>
        <w:t>να διευρύνονται ελαφρά.</w:t>
      </w:r>
    </w:p>
    <w:p w:rsidR="00BE6140" w:rsidRPr="00B77CDC" w:rsidRDefault="00BE6140" w:rsidP="00C7401D">
      <w:pPr>
        <w:numPr>
          <w:ilvl w:val="0"/>
          <w:numId w:val="3"/>
        </w:numPr>
        <w:tabs>
          <w:tab w:val="clear" w:pos="720"/>
          <w:tab w:val="num" w:pos="363"/>
        </w:tabs>
        <w:spacing w:before="120" w:after="100" w:afterAutospacing="1" w:line="288" w:lineRule="auto"/>
        <w:ind w:left="363"/>
        <w:jc w:val="both"/>
        <w:rPr>
          <w:rFonts w:ascii="Century Gothic" w:hAnsi="Century Gothic" w:cs="Times New Roman"/>
          <w:sz w:val="20"/>
          <w:szCs w:val="20"/>
        </w:rPr>
      </w:pPr>
      <w:r w:rsidRPr="00B77CDC">
        <w:rPr>
          <w:rFonts w:ascii="Century Gothic" w:hAnsi="Century Gothic" w:cs="Times New Roman"/>
          <w:sz w:val="20"/>
          <w:szCs w:val="20"/>
        </w:rPr>
        <w:t xml:space="preserve">στις </w:t>
      </w:r>
      <w:r w:rsidRPr="00B77CDC">
        <w:rPr>
          <w:rFonts w:ascii="Century Gothic" w:hAnsi="Century Gothic" w:cs="Times New Roman"/>
          <w:b/>
          <w:bCs/>
          <w:sz w:val="20"/>
          <w:szCs w:val="20"/>
        </w:rPr>
        <w:t>Κατασκευές</w:t>
      </w:r>
      <w:r w:rsidRPr="00B77CDC">
        <w:rPr>
          <w:rFonts w:ascii="Century Gothic" w:hAnsi="Century Gothic" w:cs="Times New Roman"/>
          <w:sz w:val="20"/>
          <w:szCs w:val="20"/>
        </w:rPr>
        <w:t xml:space="preserve">, οι δυσμενείς </w:t>
      </w:r>
      <w:r w:rsidRPr="00B77CDC">
        <w:rPr>
          <w:rFonts w:ascii="Century Gothic" w:hAnsi="Century Gothic" w:cs="Times New Roman"/>
          <w:i/>
          <w:iCs/>
          <w:sz w:val="20"/>
          <w:szCs w:val="20"/>
        </w:rPr>
        <w:t>προβλέψεις για το πρόγραμμα εργασιών</w:t>
      </w:r>
      <w:r w:rsidRPr="00B77CDC">
        <w:rPr>
          <w:rFonts w:ascii="Century Gothic" w:hAnsi="Century Gothic" w:cs="Times New Roman"/>
          <w:sz w:val="20"/>
          <w:szCs w:val="20"/>
        </w:rPr>
        <w:t xml:space="preserve"> </w:t>
      </w:r>
      <w:r w:rsidRPr="00B77CDC">
        <w:rPr>
          <w:rFonts w:ascii="Century Gothic" w:hAnsi="Century Gothic" w:cs="Times New Roman"/>
          <w:i/>
          <w:iCs/>
          <w:sz w:val="20"/>
          <w:szCs w:val="20"/>
        </w:rPr>
        <w:t>των επιχειρήσεων</w:t>
      </w:r>
      <w:r w:rsidRPr="00B77CDC">
        <w:rPr>
          <w:rFonts w:ascii="Century Gothic" w:hAnsi="Century Gothic" w:cs="Times New Roman"/>
          <w:sz w:val="20"/>
          <w:szCs w:val="20"/>
        </w:rPr>
        <w:t xml:space="preserve"> </w:t>
      </w:r>
      <w:r>
        <w:rPr>
          <w:rFonts w:ascii="Century Gothic" w:hAnsi="Century Gothic" w:cs="Times New Roman"/>
          <w:sz w:val="20"/>
          <w:szCs w:val="20"/>
        </w:rPr>
        <w:t>αμβλύνονται σημαντικά</w:t>
      </w:r>
      <w:r w:rsidRPr="00B77CDC">
        <w:rPr>
          <w:rFonts w:ascii="Century Gothic" w:hAnsi="Century Gothic" w:cs="Times New Roman"/>
          <w:sz w:val="20"/>
          <w:szCs w:val="20"/>
        </w:rPr>
        <w:t xml:space="preserve">, </w:t>
      </w:r>
      <w:r>
        <w:rPr>
          <w:rFonts w:ascii="Century Gothic" w:hAnsi="Century Gothic" w:cs="Times New Roman"/>
          <w:sz w:val="20"/>
          <w:szCs w:val="20"/>
        </w:rPr>
        <w:t xml:space="preserve">με ταυτόχρονη, μικρή πτώση του δείκτη της προβλεπόμενης </w:t>
      </w:r>
      <w:r w:rsidRPr="00B77CDC">
        <w:rPr>
          <w:rFonts w:ascii="Century Gothic" w:hAnsi="Century Gothic" w:cs="Times New Roman"/>
          <w:i/>
          <w:sz w:val="20"/>
          <w:szCs w:val="20"/>
        </w:rPr>
        <w:t>απασχόληση</w:t>
      </w:r>
      <w:r>
        <w:rPr>
          <w:rFonts w:ascii="Century Gothic" w:hAnsi="Century Gothic" w:cs="Times New Roman"/>
          <w:i/>
          <w:sz w:val="20"/>
          <w:szCs w:val="20"/>
        </w:rPr>
        <w:t>ς</w:t>
      </w:r>
      <w:r>
        <w:rPr>
          <w:rFonts w:ascii="Century Gothic" w:hAnsi="Century Gothic" w:cs="Times New Roman"/>
          <w:sz w:val="20"/>
          <w:szCs w:val="20"/>
        </w:rPr>
        <w:t>.</w:t>
      </w:r>
    </w:p>
    <w:p w:rsidR="00BE6140" w:rsidRPr="004F1C16" w:rsidRDefault="00BE6140" w:rsidP="00C7401D">
      <w:pPr>
        <w:numPr>
          <w:ilvl w:val="0"/>
          <w:numId w:val="3"/>
        </w:numPr>
        <w:tabs>
          <w:tab w:val="clear" w:pos="720"/>
          <w:tab w:val="num" w:pos="363"/>
        </w:tabs>
        <w:spacing w:before="120" w:after="100" w:afterAutospacing="1" w:line="288" w:lineRule="auto"/>
        <w:ind w:left="363"/>
        <w:jc w:val="both"/>
        <w:rPr>
          <w:rFonts w:ascii="Century Gothic" w:hAnsi="Century Gothic" w:cs="Times New Roman"/>
          <w:sz w:val="20"/>
          <w:szCs w:val="20"/>
        </w:rPr>
      </w:pPr>
      <w:r w:rsidRPr="00B77CDC">
        <w:rPr>
          <w:rFonts w:ascii="Century Gothic" w:hAnsi="Century Gothic" w:cs="Times New Roman"/>
          <w:sz w:val="20"/>
          <w:szCs w:val="20"/>
        </w:rPr>
        <w:t xml:space="preserve">στην </w:t>
      </w:r>
      <w:r w:rsidRPr="00B77CDC">
        <w:rPr>
          <w:rFonts w:ascii="Century Gothic" w:hAnsi="Century Gothic" w:cs="Times New Roman"/>
          <w:b/>
          <w:bCs/>
          <w:sz w:val="20"/>
          <w:szCs w:val="20"/>
        </w:rPr>
        <w:t>Καταναλωτική Εμπιστοσύνη</w:t>
      </w:r>
      <w:r>
        <w:rPr>
          <w:rFonts w:ascii="Century Gothic" w:hAnsi="Century Gothic" w:cs="Times New Roman"/>
          <w:sz w:val="20"/>
          <w:szCs w:val="20"/>
        </w:rPr>
        <w:t>,</w:t>
      </w:r>
      <w:r w:rsidRPr="00B77CDC">
        <w:rPr>
          <w:rFonts w:ascii="Century Gothic" w:hAnsi="Century Gothic" w:cs="Times New Roman"/>
          <w:sz w:val="20"/>
          <w:szCs w:val="20"/>
        </w:rPr>
        <w:t xml:space="preserve"> οι προβλέψεις για την </w:t>
      </w:r>
      <w:r w:rsidRPr="00B77CDC">
        <w:rPr>
          <w:rFonts w:ascii="Century Gothic" w:hAnsi="Century Gothic" w:cs="Times New Roman"/>
          <w:i/>
          <w:iCs/>
          <w:sz w:val="20"/>
          <w:szCs w:val="20"/>
        </w:rPr>
        <w:t>οικονομική κατάσταση του νοικοκυριού</w:t>
      </w:r>
      <w:r>
        <w:rPr>
          <w:rFonts w:ascii="Century Gothic" w:hAnsi="Century Gothic" w:cs="Times New Roman"/>
          <w:sz w:val="20"/>
          <w:szCs w:val="20"/>
        </w:rPr>
        <w:t xml:space="preserve"> επιδεινώνονται ελαφρά, ενώ </w:t>
      </w:r>
      <w:r w:rsidRPr="00B77CDC">
        <w:rPr>
          <w:rFonts w:ascii="Century Gothic" w:hAnsi="Century Gothic" w:cs="Times New Roman"/>
          <w:sz w:val="20"/>
          <w:szCs w:val="20"/>
        </w:rPr>
        <w:t xml:space="preserve">οι αντίστοιχες για την </w:t>
      </w:r>
      <w:r w:rsidRPr="00B77CDC">
        <w:rPr>
          <w:rFonts w:ascii="Century Gothic" w:hAnsi="Century Gothic" w:cs="Times New Roman"/>
          <w:i/>
          <w:iCs/>
          <w:sz w:val="20"/>
          <w:szCs w:val="20"/>
        </w:rPr>
        <w:t>οικονομική κατάσταση της χώρας</w:t>
      </w:r>
      <w:r w:rsidRPr="003F7FF6">
        <w:rPr>
          <w:rFonts w:ascii="Century Gothic" w:hAnsi="Century Gothic" w:cs="Times New Roman"/>
          <w:sz w:val="20"/>
          <w:szCs w:val="20"/>
        </w:rPr>
        <w:t xml:space="preserve"> </w:t>
      </w:r>
      <w:r>
        <w:rPr>
          <w:rFonts w:ascii="Century Gothic" w:hAnsi="Century Gothic" w:cs="Times New Roman"/>
          <w:sz w:val="20"/>
          <w:szCs w:val="20"/>
        </w:rPr>
        <w:t>δεν μεταβάλλονται</w:t>
      </w:r>
      <w:r w:rsidRPr="00B77CDC">
        <w:rPr>
          <w:rFonts w:ascii="Century Gothic" w:hAnsi="Century Gothic" w:cs="Times New Roman"/>
          <w:sz w:val="20"/>
          <w:szCs w:val="20"/>
        </w:rPr>
        <w:t xml:space="preserve">, </w:t>
      </w:r>
      <w:r>
        <w:rPr>
          <w:rFonts w:ascii="Century Gothic" w:hAnsi="Century Gothic" w:cs="Times New Roman"/>
          <w:sz w:val="20"/>
          <w:szCs w:val="20"/>
        </w:rPr>
        <w:t xml:space="preserve">με τις </w:t>
      </w:r>
      <w:r w:rsidRPr="00B77CDC">
        <w:rPr>
          <w:rFonts w:ascii="Century Gothic" w:hAnsi="Century Gothic" w:cs="Times New Roman"/>
          <w:i/>
          <w:iCs/>
          <w:sz w:val="20"/>
          <w:szCs w:val="20"/>
        </w:rPr>
        <w:t>προθέσεις για αποταμίευση</w:t>
      </w:r>
      <w:r w:rsidRPr="00B77CDC">
        <w:rPr>
          <w:rFonts w:ascii="Century Gothic" w:hAnsi="Century Gothic" w:cs="Times New Roman"/>
          <w:sz w:val="20"/>
          <w:szCs w:val="20"/>
        </w:rPr>
        <w:t xml:space="preserve"> το επόμενο 12μηνο </w:t>
      </w:r>
      <w:r>
        <w:rPr>
          <w:rFonts w:ascii="Century Gothic" w:hAnsi="Century Gothic" w:cs="Times New Roman"/>
          <w:sz w:val="20"/>
          <w:szCs w:val="20"/>
        </w:rPr>
        <w:t>να κινούνται πλησίον ιστορικά χαμηλών επιπέδων και τις</w:t>
      </w:r>
      <w:r w:rsidRPr="00B77CDC">
        <w:rPr>
          <w:rFonts w:ascii="Century Gothic" w:hAnsi="Century Gothic" w:cs="Times New Roman"/>
          <w:sz w:val="20"/>
          <w:szCs w:val="20"/>
        </w:rPr>
        <w:t xml:space="preserve"> δυσμενείς </w:t>
      </w:r>
      <w:r w:rsidRPr="00B77CDC">
        <w:rPr>
          <w:rFonts w:ascii="Century Gothic" w:hAnsi="Century Gothic" w:cs="Times New Roman"/>
          <w:i/>
          <w:iCs/>
          <w:sz w:val="20"/>
          <w:szCs w:val="20"/>
        </w:rPr>
        <w:t>προβλέψεις για την εξέλιξη της ανεργίας</w:t>
      </w:r>
      <w:r>
        <w:rPr>
          <w:rFonts w:ascii="Century Gothic" w:hAnsi="Century Gothic" w:cs="Times New Roman"/>
          <w:sz w:val="20"/>
          <w:szCs w:val="20"/>
        </w:rPr>
        <w:t xml:space="preserve"> να εξομαλύνονται</w:t>
      </w:r>
      <w:r w:rsidRPr="00B77CDC">
        <w:rPr>
          <w:rFonts w:ascii="Century Gothic" w:hAnsi="Century Gothic" w:cs="Times New Roman"/>
          <w:sz w:val="20"/>
          <w:szCs w:val="20"/>
        </w:rPr>
        <w:t>.</w:t>
      </w:r>
    </w:p>
    <w:p w:rsidR="00BE6140" w:rsidRDefault="00BE6140" w:rsidP="00DE206F">
      <w:pPr>
        <w:jc w:val="both"/>
        <w:outlineLvl w:val="0"/>
        <w:rPr>
          <w:rFonts w:ascii="Century Gothic" w:hAnsi="Century Gothic" w:cs="Times New Roman"/>
          <w:sz w:val="18"/>
          <w:szCs w:val="18"/>
        </w:rPr>
      </w:pPr>
    </w:p>
    <w:p w:rsidR="00BE6140" w:rsidRDefault="00BE6140">
      <w:pPr>
        <w:rPr>
          <w:rFonts w:ascii="Century Gothic" w:hAnsi="Century Gothic" w:cs="Times New Roman"/>
          <w:b/>
          <w:bCs/>
          <w:sz w:val="22"/>
          <w:szCs w:val="22"/>
          <w:u w:val="single"/>
        </w:rPr>
      </w:pPr>
      <w:r>
        <w:rPr>
          <w:rFonts w:ascii="Century Gothic" w:hAnsi="Century Gothic" w:cs="Times New Roman"/>
          <w:b/>
          <w:bCs/>
          <w:sz w:val="22"/>
          <w:szCs w:val="22"/>
          <w:u w:val="single"/>
        </w:rPr>
        <w:br w:type="page"/>
      </w:r>
    </w:p>
    <w:p w:rsidR="00BE6140" w:rsidRPr="00CB6CE9" w:rsidRDefault="00BE6140" w:rsidP="00A067D8">
      <w:pPr>
        <w:shd w:val="clear" w:color="auto" w:fill="DBE5F1"/>
        <w:spacing w:before="100" w:beforeAutospacing="1" w:after="100" w:afterAutospacing="1" w:line="288" w:lineRule="auto"/>
        <w:ind w:right="-142"/>
        <w:jc w:val="both"/>
        <w:rPr>
          <w:rFonts w:ascii="Century Gothic" w:hAnsi="Century Gothic" w:cs="Times New Roman"/>
          <w:b/>
          <w:bCs/>
          <w:sz w:val="22"/>
          <w:szCs w:val="22"/>
        </w:rPr>
      </w:pPr>
      <w:r w:rsidRPr="00CB6CE9">
        <w:rPr>
          <w:rFonts w:ascii="Century Gothic" w:hAnsi="Century Gothic" w:cs="Times New Roman"/>
          <w:b/>
          <w:bCs/>
          <w:sz w:val="22"/>
          <w:szCs w:val="22"/>
          <w:u w:val="single"/>
        </w:rPr>
        <w:t>ΒΙΟΜΗΧΑΝΙΑ</w:t>
      </w:r>
      <w:r w:rsidRPr="00CB6CE9">
        <w:rPr>
          <w:rFonts w:ascii="Century Gothic" w:hAnsi="Century Gothic" w:cs="Times New Roman"/>
          <w:b/>
          <w:bCs/>
          <w:sz w:val="22"/>
          <w:szCs w:val="22"/>
        </w:rPr>
        <w:t xml:space="preserve">: </w:t>
      </w:r>
      <w:r>
        <w:rPr>
          <w:rFonts w:ascii="Century Gothic" w:hAnsi="Century Gothic" w:cs="Times New Roman"/>
          <w:b/>
          <w:bCs/>
          <w:sz w:val="22"/>
          <w:szCs w:val="22"/>
        </w:rPr>
        <w:t>Η βελτίωση των προβλέψεων για την</w:t>
      </w:r>
      <w:r w:rsidRPr="00B80C41">
        <w:rPr>
          <w:rFonts w:ascii="Century Gothic" w:hAnsi="Century Gothic" w:cs="Times New Roman"/>
          <w:b/>
          <w:bCs/>
          <w:sz w:val="22"/>
          <w:szCs w:val="22"/>
        </w:rPr>
        <w:t xml:space="preserve"> παραγωγή</w:t>
      </w:r>
      <w:r>
        <w:rPr>
          <w:rFonts w:ascii="Century Gothic" w:hAnsi="Century Gothic" w:cs="Times New Roman"/>
          <w:b/>
          <w:bCs/>
          <w:sz w:val="22"/>
          <w:szCs w:val="22"/>
        </w:rPr>
        <w:t xml:space="preserve"> ενισχύει σημαντικά τις προσδοκίες </w:t>
      </w:r>
    </w:p>
    <w:p w:rsidR="00BE6140" w:rsidRPr="00B80C41" w:rsidRDefault="00BE6140" w:rsidP="00D40AC1">
      <w:pPr>
        <w:spacing w:before="100" w:beforeAutospacing="1" w:after="100" w:afterAutospacing="1" w:line="276" w:lineRule="auto"/>
        <w:jc w:val="both"/>
        <w:rPr>
          <w:rFonts w:ascii="Century Gothic" w:hAnsi="Century Gothic" w:cs="Times New Roman"/>
          <w:sz w:val="20"/>
          <w:szCs w:val="20"/>
        </w:rPr>
      </w:pPr>
      <w:r w:rsidRPr="00B80C41">
        <w:rPr>
          <w:rFonts w:ascii="Century Gothic" w:hAnsi="Century Gothic" w:cs="Times New Roman"/>
          <w:sz w:val="20"/>
          <w:szCs w:val="20"/>
        </w:rPr>
        <w:t xml:space="preserve">Ύστερα από ένα δίμηνο υποχώρησης, ο Δείκτης Επιχειρηματικών Προσδοκιών στη </w:t>
      </w:r>
      <w:r w:rsidRPr="00B80C41">
        <w:rPr>
          <w:rFonts w:ascii="Century Gothic" w:hAnsi="Century Gothic" w:cs="Times New Roman"/>
          <w:bCs/>
          <w:sz w:val="20"/>
          <w:szCs w:val="20"/>
        </w:rPr>
        <w:t>Βιομηχανία</w:t>
      </w:r>
      <w:r w:rsidRPr="00B80C41">
        <w:rPr>
          <w:rFonts w:ascii="Century Gothic" w:hAnsi="Century Gothic" w:cs="Times New Roman"/>
          <w:sz w:val="20"/>
          <w:szCs w:val="20"/>
        </w:rPr>
        <w:t xml:space="preserve"> ανακάμπτει</w:t>
      </w:r>
      <w:r>
        <w:rPr>
          <w:rFonts w:ascii="Century Gothic" w:hAnsi="Century Gothic" w:cs="Times New Roman"/>
          <w:sz w:val="20"/>
          <w:szCs w:val="20"/>
        </w:rPr>
        <w:t xml:space="preserve"> σημαντικά </w:t>
      </w:r>
      <w:r w:rsidRPr="00B80C41">
        <w:rPr>
          <w:rFonts w:ascii="Century Gothic" w:hAnsi="Century Gothic" w:cs="Times New Roman"/>
          <w:sz w:val="20"/>
          <w:szCs w:val="20"/>
        </w:rPr>
        <w:t xml:space="preserve">τον Σεπτέμβριο, φθάνοντας στις 96,1 μονάδες, αισθητά ανώτερα και έναντι της αντίστοιχης περσινής του επίδοσης (80,9). </w:t>
      </w:r>
      <w:r w:rsidRPr="00B80C41">
        <w:rPr>
          <w:rFonts w:ascii="Century Gothic" w:hAnsi="Century Gothic" w:cs="Times New Roman"/>
          <w:b/>
          <w:sz w:val="20"/>
          <w:szCs w:val="20"/>
        </w:rPr>
        <w:t>Σε ό</w:t>
      </w:r>
      <w:r w:rsidRPr="00B80C41">
        <w:rPr>
          <w:rFonts w:ascii="Century Gothic" w:hAnsi="Century Gothic" w:cs="Times New Roman"/>
          <w:b/>
          <w:bCs/>
          <w:sz w:val="20"/>
          <w:szCs w:val="20"/>
        </w:rPr>
        <w:t xml:space="preserve">λες τις βασικές μεταβλητές του δείκτη καταγράφεται βελτίωση, κυρίως στις προβλέψεις για την παραγωγή της επόμενης περιόδου και στις εκτιμήσεις για τις τρέχουσες παραγγελίες και τη ζήτηση. </w:t>
      </w:r>
      <w:r w:rsidRPr="00B80C41">
        <w:rPr>
          <w:rFonts w:ascii="Century Gothic" w:hAnsi="Century Gothic" w:cs="Times New Roman"/>
          <w:sz w:val="20"/>
          <w:szCs w:val="20"/>
        </w:rPr>
        <w:t>Αναλυτικότερα:</w:t>
      </w:r>
    </w:p>
    <w:p w:rsidR="00BE6140" w:rsidRPr="00B80C41" w:rsidRDefault="00BE6140" w:rsidP="00D40AC1">
      <w:pPr>
        <w:spacing w:before="100" w:beforeAutospacing="1" w:after="100" w:afterAutospacing="1" w:line="276" w:lineRule="auto"/>
        <w:jc w:val="both"/>
        <w:rPr>
          <w:rFonts w:ascii="Century Gothic" w:hAnsi="Century Gothic" w:cs="Times New Roman"/>
          <w:sz w:val="20"/>
          <w:szCs w:val="20"/>
        </w:rPr>
      </w:pPr>
      <w:r w:rsidRPr="00B80C41">
        <w:rPr>
          <w:rFonts w:ascii="Century Gothic" w:hAnsi="Century Gothic" w:cs="Times New Roman"/>
          <w:sz w:val="20"/>
          <w:szCs w:val="20"/>
        </w:rPr>
        <w:t xml:space="preserve">α) Σε </w:t>
      </w:r>
      <w:r w:rsidRPr="00B80C41">
        <w:rPr>
          <w:rFonts w:ascii="Century Gothic" w:hAnsi="Century Gothic" w:cs="Times New Roman"/>
          <w:b/>
          <w:bCs/>
          <w:sz w:val="20"/>
          <w:szCs w:val="20"/>
        </w:rPr>
        <w:t>επίπεδο παραγγελιών και ζήτησης</w:t>
      </w:r>
      <w:r w:rsidRPr="00B80C41">
        <w:rPr>
          <w:rFonts w:ascii="Century Gothic" w:hAnsi="Century Gothic" w:cs="Times New Roman"/>
          <w:sz w:val="20"/>
          <w:szCs w:val="20"/>
        </w:rPr>
        <w:t xml:space="preserve">, ο σχετικός δείκτης διαμορφώνεται 14 μονάδες υψηλότερα, στις -22 μονάδες, που είναι η λιγότερο αρνητική επίδοση του έτους. Το 30% (από 38%) των επιχειρήσεων δηλώνει χαμηλές για την εποχή παραγγελίες και το 8% (από 2%) δηλώνει το αντίθετο. </w:t>
      </w:r>
    </w:p>
    <w:p w:rsidR="00BE6140" w:rsidRPr="00B80C41" w:rsidRDefault="00BE6140" w:rsidP="00D40AC1">
      <w:pPr>
        <w:spacing w:before="100" w:beforeAutospacing="1" w:after="100" w:afterAutospacing="1" w:line="276" w:lineRule="auto"/>
        <w:jc w:val="both"/>
        <w:rPr>
          <w:rFonts w:ascii="Century Gothic" w:hAnsi="Century Gothic" w:cs="Times New Roman"/>
          <w:sz w:val="20"/>
          <w:szCs w:val="20"/>
        </w:rPr>
      </w:pPr>
      <w:r w:rsidRPr="00B80C41">
        <w:rPr>
          <w:rFonts w:ascii="Century Gothic" w:hAnsi="Century Gothic" w:cs="Times New Roman"/>
          <w:sz w:val="20"/>
          <w:szCs w:val="20"/>
        </w:rPr>
        <w:t xml:space="preserve">β) Στις </w:t>
      </w:r>
      <w:r w:rsidRPr="00B80C41">
        <w:rPr>
          <w:rFonts w:ascii="Century Gothic" w:hAnsi="Century Gothic" w:cs="Times New Roman"/>
          <w:b/>
          <w:bCs/>
          <w:sz w:val="20"/>
          <w:szCs w:val="20"/>
        </w:rPr>
        <w:t>προβλέψεις για την εξέλιξη της παραγωγής τους προσεχείς 3-4 μήνες</w:t>
      </w:r>
      <w:r w:rsidRPr="00B80C41">
        <w:rPr>
          <w:rFonts w:ascii="Century Gothic" w:hAnsi="Century Gothic" w:cs="Times New Roman"/>
          <w:sz w:val="20"/>
          <w:szCs w:val="20"/>
        </w:rPr>
        <w:t>, ο σχετικός δείκτης διαμορφώνεται στις +15 μονάδες (από ισοσκελισμένος), με το</w:t>
      </w:r>
      <w:r>
        <w:rPr>
          <w:rFonts w:ascii="Century Gothic" w:hAnsi="Century Gothic" w:cs="Times New Roman"/>
          <w:sz w:val="20"/>
          <w:szCs w:val="20"/>
        </w:rPr>
        <w:t xml:space="preserve"> 1/4 </w:t>
      </w:r>
      <w:r w:rsidRPr="00B80C41">
        <w:rPr>
          <w:rFonts w:ascii="Century Gothic" w:hAnsi="Century Gothic" w:cs="Times New Roman"/>
          <w:sz w:val="20"/>
          <w:szCs w:val="20"/>
        </w:rPr>
        <w:t>των επιχειρήσεων να προβλέπει άνοδο της παραγωγής στο επόμενο τρίμηνο και το 1/10 πτώση (από 23%).</w:t>
      </w:r>
    </w:p>
    <w:p w:rsidR="00BE6140" w:rsidRPr="00B80C41" w:rsidRDefault="00BE6140" w:rsidP="00D40AC1">
      <w:pPr>
        <w:spacing w:before="100" w:beforeAutospacing="1" w:after="100" w:afterAutospacing="1" w:line="288" w:lineRule="auto"/>
        <w:jc w:val="both"/>
        <w:rPr>
          <w:rFonts w:ascii="Century Gothic" w:hAnsi="Century Gothic" w:cs="Times New Roman"/>
          <w:sz w:val="20"/>
          <w:szCs w:val="20"/>
        </w:rPr>
      </w:pPr>
      <w:r w:rsidRPr="00B80C41">
        <w:rPr>
          <w:rFonts w:ascii="Century Gothic" w:hAnsi="Century Gothic" w:cs="Times New Roman"/>
          <w:sz w:val="20"/>
          <w:szCs w:val="20"/>
        </w:rPr>
        <w:t xml:space="preserve">γ) Οριακή αποκλιμάκωση καταγράφουν οι εκτιμήσεις για τα </w:t>
      </w:r>
      <w:r w:rsidRPr="00B80C41">
        <w:rPr>
          <w:rFonts w:ascii="Century Gothic" w:hAnsi="Century Gothic" w:cs="Times New Roman"/>
          <w:b/>
          <w:bCs/>
          <w:sz w:val="20"/>
          <w:szCs w:val="20"/>
        </w:rPr>
        <w:t>αποθέματα έτοιμων προϊόντων</w:t>
      </w:r>
      <w:r w:rsidRPr="00B80C41">
        <w:rPr>
          <w:rFonts w:ascii="Century Gothic" w:hAnsi="Century Gothic" w:cs="Times New Roman"/>
          <w:bCs/>
          <w:sz w:val="20"/>
          <w:szCs w:val="20"/>
        </w:rPr>
        <w:t>,</w:t>
      </w:r>
      <w:r w:rsidRPr="00B80C41">
        <w:rPr>
          <w:rFonts w:ascii="Century Gothic" w:hAnsi="Century Gothic" w:cs="Times New Roman"/>
          <w:sz w:val="20"/>
          <w:szCs w:val="20"/>
        </w:rPr>
        <w:t xml:space="preserve"> με το σχετικό ισοζύγιο να διαμορφώνεται στη -1 μονάδα (από +1) και το 16% των επιχειρήσεων να αναφέρει υψηλά για την εποχή αποθέματα.</w:t>
      </w:r>
    </w:p>
    <w:p w:rsidR="00BE6140" w:rsidRPr="00B80C41" w:rsidRDefault="00BE6140" w:rsidP="00D40AC1">
      <w:pPr>
        <w:spacing w:before="100" w:beforeAutospacing="1" w:after="100" w:afterAutospacing="1" w:line="276" w:lineRule="auto"/>
        <w:jc w:val="both"/>
        <w:rPr>
          <w:rFonts w:ascii="Century Gothic" w:hAnsi="Century Gothic" w:cs="Times New Roman"/>
          <w:sz w:val="20"/>
          <w:szCs w:val="20"/>
        </w:rPr>
      </w:pPr>
      <w:r w:rsidRPr="00B80C41">
        <w:rPr>
          <w:rFonts w:ascii="Century Gothic" w:hAnsi="Century Gothic" w:cs="Times New Roman"/>
          <w:sz w:val="20"/>
          <w:szCs w:val="20"/>
        </w:rPr>
        <w:t xml:space="preserve">δ) Οι δείκτες που συνδέονται με την </w:t>
      </w:r>
      <w:r w:rsidRPr="00B80C41">
        <w:rPr>
          <w:rFonts w:ascii="Century Gothic" w:hAnsi="Century Gothic" w:cs="Times New Roman"/>
          <w:i/>
          <w:iCs/>
          <w:sz w:val="20"/>
          <w:szCs w:val="20"/>
        </w:rPr>
        <w:t>εξαγωγική δραστηριότητα των επιχειρήσεων</w:t>
      </w:r>
      <w:r w:rsidRPr="00B80C41">
        <w:rPr>
          <w:rFonts w:ascii="Century Gothic" w:hAnsi="Century Gothic" w:cs="Times New Roman"/>
          <w:sz w:val="20"/>
          <w:szCs w:val="20"/>
        </w:rPr>
        <w:t xml:space="preserve"> αποτυπώνουν όλοι θετικές τάσεις: οι </w:t>
      </w:r>
      <w:r w:rsidRPr="00B80C41">
        <w:rPr>
          <w:rFonts w:ascii="Century Gothic" w:hAnsi="Century Gothic" w:cs="Times New Roman"/>
          <w:b/>
          <w:bCs/>
          <w:sz w:val="20"/>
          <w:szCs w:val="20"/>
        </w:rPr>
        <w:t xml:space="preserve">εκτιμήσεις για τις εξαγωγές το τελευταίο τρίμηνο </w:t>
      </w:r>
      <w:r w:rsidRPr="00B80C41">
        <w:rPr>
          <w:rFonts w:ascii="Century Gothic" w:hAnsi="Century Gothic" w:cs="Times New Roman"/>
          <w:bCs/>
          <w:sz w:val="20"/>
          <w:szCs w:val="20"/>
        </w:rPr>
        <w:t>κινούνται</w:t>
      </w:r>
      <w:r w:rsidRPr="00B80C41">
        <w:rPr>
          <w:rFonts w:ascii="Century Gothic" w:hAnsi="Century Gothic" w:cs="Times New Roman"/>
          <w:b/>
          <w:bCs/>
          <w:sz w:val="20"/>
          <w:szCs w:val="20"/>
        </w:rPr>
        <w:t xml:space="preserve"> </w:t>
      </w:r>
      <w:r w:rsidRPr="00B80C41">
        <w:rPr>
          <w:rFonts w:ascii="Century Gothic" w:hAnsi="Century Gothic" w:cs="Times New Roman"/>
          <w:bCs/>
          <w:sz w:val="20"/>
          <w:szCs w:val="20"/>
        </w:rPr>
        <w:t>ελαφρώς</w:t>
      </w:r>
      <w:r w:rsidRPr="00B80C41">
        <w:rPr>
          <w:rFonts w:ascii="Century Gothic" w:hAnsi="Century Gothic" w:cs="Times New Roman"/>
          <w:b/>
          <w:bCs/>
          <w:sz w:val="20"/>
          <w:szCs w:val="20"/>
        </w:rPr>
        <w:t xml:space="preserve"> </w:t>
      </w:r>
      <w:r w:rsidRPr="00B80C41">
        <w:rPr>
          <w:rFonts w:ascii="Century Gothic" w:hAnsi="Century Gothic" w:cs="Times New Roman"/>
          <w:bCs/>
          <w:sz w:val="20"/>
          <w:szCs w:val="20"/>
        </w:rPr>
        <w:t xml:space="preserve">ανοδικά (+10 από +7 μονάδες το σχετικό ισοζύγιο), όπως και οι αρνητικές </w:t>
      </w:r>
      <w:r w:rsidRPr="00B80C41">
        <w:rPr>
          <w:rFonts w:ascii="Century Gothic" w:hAnsi="Century Gothic" w:cs="Times New Roman"/>
          <w:b/>
          <w:bCs/>
          <w:sz w:val="20"/>
          <w:szCs w:val="20"/>
        </w:rPr>
        <w:t>εκτιμήσεις</w:t>
      </w:r>
      <w:r w:rsidRPr="00B80C41">
        <w:rPr>
          <w:rFonts w:ascii="Century Gothic" w:hAnsi="Century Gothic" w:cs="Times New Roman"/>
          <w:bCs/>
          <w:sz w:val="20"/>
          <w:szCs w:val="20"/>
        </w:rPr>
        <w:t xml:space="preserve"> </w:t>
      </w:r>
      <w:r w:rsidRPr="00B80C41">
        <w:rPr>
          <w:rFonts w:ascii="Century Gothic" w:hAnsi="Century Gothic" w:cs="Times New Roman"/>
          <w:b/>
          <w:bCs/>
          <w:sz w:val="20"/>
          <w:szCs w:val="20"/>
        </w:rPr>
        <w:t>για τις παραγγελίες και τη ζήτηση εξωτερικού</w:t>
      </w:r>
      <w:r w:rsidRPr="00B80C41">
        <w:rPr>
          <w:rFonts w:ascii="Century Gothic" w:hAnsi="Century Gothic" w:cs="Times New Roman"/>
          <w:sz w:val="20"/>
          <w:szCs w:val="20"/>
        </w:rPr>
        <w:t xml:space="preserve"> (-9 από -22 μον.), αλλά και </w:t>
      </w:r>
      <w:r w:rsidRPr="00B80C41">
        <w:rPr>
          <w:rFonts w:ascii="Century Gothic" w:hAnsi="Century Gothic" w:cs="Times New Roman"/>
          <w:bCs/>
          <w:sz w:val="20"/>
          <w:szCs w:val="20"/>
        </w:rPr>
        <w:t>οι</w:t>
      </w:r>
      <w:r w:rsidRPr="00B80C41">
        <w:rPr>
          <w:rFonts w:ascii="Century Gothic" w:hAnsi="Century Gothic" w:cs="Times New Roman"/>
          <w:b/>
          <w:bCs/>
          <w:sz w:val="20"/>
          <w:szCs w:val="20"/>
        </w:rPr>
        <w:t xml:space="preserve"> προβλέψεις για τις εξαγωγές τους προσεχείς μήνες</w:t>
      </w:r>
      <w:r w:rsidRPr="00B80C41">
        <w:rPr>
          <w:rFonts w:ascii="Century Gothic" w:hAnsi="Century Gothic" w:cs="Times New Roman"/>
          <w:sz w:val="20"/>
          <w:szCs w:val="20"/>
        </w:rPr>
        <w:t xml:space="preserve"> (+12 από +4 μον. ο δείκτης). </w:t>
      </w:r>
    </w:p>
    <w:p w:rsidR="00BE6140" w:rsidRPr="00B80C41" w:rsidRDefault="00BE6140" w:rsidP="00D40AC1">
      <w:pPr>
        <w:spacing w:before="100" w:beforeAutospacing="1" w:after="100" w:afterAutospacing="1" w:line="276" w:lineRule="auto"/>
        <w:jc w:val="both"/>
        <w:rPr>
          <w:rFonts w:ascii="Century Gothic" w:hAnsi="Century Gothic" w:cs="Times New Roman"/>
          <w:sz w:val="20"/>
          <w:szCs w:val="20"/>
        </w:rPr>
      </w:pPr>
      <w:r w:rsidRPr="00B80C41">
        <w:rPr>
          <w:rFonts w:ascii="Century Gothic" w:hAnsi="Century Gothic" w:cs="Times New Roman"/>
          <w:sz w:val="20"/>
          <w:szCs w:val="20"/>
        </w:rPr>
        <w:t xml:space="preserve">ε) Οι θετικές </w:t>
      </w:r>
      <w:r w:rsidRPr="00B80C41">
        <w:rPr>
          <w:rFonts w:ascii="Century Gothic" w:hAnsi="Century Gothic" w:cs="Times New Roman"/>
          <w:b/>
          <w:bCs/>
          <w:sz w:val="20"/>
          <w:szCs w:val="20"/>
        </w:rPr>
        <w:t>προβλέψεις για τις πωλήσεις τους προσεχείς μήνες</w:t>
      </w:r>
      <w:r w:rsidRPr="00B80C41">
        <w:rPr>
          <w:rFonts w:ascii="Century Gothic" w:hAnsi="Century Gothic" w:cs="Times New Roman"/>
          <w:bCs/>
          <w:sz w:val="20"/>
          <w:szCs w:val="20"/>
        </w:rPr>
        <w:t xml:space="preserve"> ισχυροποιούνται, με το σχετικό δείκτη να διαμορφώνεται στις 17 μονάδες (από μηδέ</w:t>
      </w:r>
      <w:r>
        <w:rPr>
          <w:rFonts w:ascii="Century Gothic" w:hAnsi="Century Gothic" w:cs="Times New Roman"/>
          <w:bCs/>
          <w:sz w:val="20"/>
          <w:szCs w:val="20"/>
        </w:rPr>
        <w:t>ν</w:t>
      </w:r>
      <w:r w:rsidRPr="00B80C41">
        <w:rPr>
          <w:rFonts w:ascii="Century Gothic" w:hAnsi="Century Gothic" w:cs="Times New Roman"/>
          <w:bCs/>
          <w:sz w:val="20"/>
          <w:szCs w:val="20"/>
        </w:rPr>
        <w:t>) και το 30</w:t>
      </w:r>
      <w:r w:rsidRPr="00B80C41">
        <w:rPr>
          <w:rFonts w:ascii="Century Gothic" w:hAnsi="Century Gothic" w:cs="Times New Roman"/>
          <w:sz w:val="20"/>
          <w:szCs w:val="20"/>
        </w:rPr>
        <w:t xml:space="preserve">% των επιχειρήσεων να αναμένει άνοδο πωλήσεων (από 22%) στο επόμενο διάστημα. Οι </w:t>
      </w:r>
      <w:r w:rsidRPr="00B80C41">
        <w:rPr>
          <w:rFonts w:ascii="Century Gothic" w:hAnsi="Century Gothic" w:cs="Times New Roman"/>
          <w:b/>
          <w:bCs/>
          <w:sz w:val="20"/>
          <w:szCs w:val="20"/>
        </w:rPr>
        <w:t xml:space="preserve">εκτιμήσεις για τις τρέχουσες πωλήσεις </w:t>
      </w:r>
      <w:r w:rsidRPr="00B80C41">
        <w:rPr>
          <w:rFonts w:ascii="Century Gothic" w:hAnsi="Century Gothic" w:cs="Times New Roman"/>
          <w:bCs/>
          <w:sz w:val="20"/>
          <w:szCs w:val="20"/>
        </w:rPr>
        <w:t xml:space="preserve">κινούνται επίσης ανοδικά, με το σχετικό ισοζύγιο να διαμορφώνεται </w:t>
      </w:r>
      <w:r w:rsidRPr="00B80C41">
        <w:rPr>
          <w:rFonts w:ascii="Century Gothic" w:hAnsi="Century Gothic" w:cs="Times New Roman"/>
          <w:sz w:val="20"/>
          <w:szCs w:val="20"/>
        </w:rPr>
        <w:t>στις +10 μονάδες (από +3).</w:t>
      </w:r>
    </w:p>
    <w:p w:rsidR="00BE6140" w:rsidRPr="00B80C41" w:rsidRDefault="00BE6140" w:rsidP="00D40AC1">
      <w:pPr>
        <w:spacing w:before="100" w:beforeAutospacing="1" w:after="100" w:afterAutospacing="1" w:line="276" w:lineRule="auto"/>
        <w:jc w:val="both"/>
        <w:rPr>
          <w:rFonts w:ascii="Century Gothic" w:hAnsi="Century Gothic" w:cs="Times New Roman"/>
          <w:sz w:val="20"/>
          <w:szCs w:val="20"/>
        </w:rPr>
      </w:pPr>
      <w:r w:rsidRPr="00B80C41">
        <w:rPr>
          <w:rFonts w:ascii="Century Gothic" w:hAnsi="Century Gothic" w:cs="Times New Roman"/>
          <w:sz w:val="20"/>
          <w:szCs w:val="20"/>
        </w:rPr>
        <w:t xml:space="preserve">στ) Οι </w:t>
      </w:r>
      <w:r w:rsidRPr="00B80C41">
        <w:rPr>
          <w:rFonts w:ascii="Century Gothic" w:hAnsi="Century Gothic" w:cs="Times New Roman"/>
          <w:b/>
          <w:bCs/>
          <w:sz w:val="20"/>
          <w:szCs w:val="20"/>
        </w:rPr>
        <w:t>μήνες εξασφαλισμένης παραγωγής</w:t>
      </w:r>
      <w:r w:rsidRPr="00B80C41">
        <w:rPr>
          <w:rFonts w:ascii="Century Gothic" w:hAnsi="Century Gothic" w:cs="Times New Roman"/>
          <w:sz w:val="20"/>
          <w:szCs w:val="20"/>
        </w:rPr>
        <w:t xml:space="preserve"> παραμένουν σχεδόν στα ίδια επίπεδα, διευρυνόμενοι οριακά στους 3,7 μήνες (από 3,5), με το </w:t>
      </w:r>
      <w:r w:rsidRPr="00B80C41">
        <w:rPr>
          <w:rFonts w:ascii="Century Gothic" w:hAnsi="Century Gothic" w:cs="Times New Roman"/>
          <w:b/>
          <w:bCs/>
          <w:sz w:val="20"/>
          <w:szCs w:val="20"/>
        </w:rPr>
        <w:t>ποσοστό</w:t>
      </w:r>
      <w:r w:rsidRPr="00B80C41">
        <w:rPr>
          <w:rFonts w:ascii="Century Gothic" w:hAnsi="Century Gothic" w:cs="Times New Roman"/>
          <w:sz w:val="20"/>
          <w:szCs w:val="20"/>
        </w:rPr>
        <w:t xml:space="preserve"> </w:t>
      </w:r>
      <w:r w:rsidRPr="00B80C41">
        <w:rPr>
          <w:rFonts w:ascii="Century Gothic" w:hAnsi="Century Gothic" w:cs="Times New Roman"/>
          <w:b/>
          <w:bCs/>
          <w:sz w:val="20"/>
          <w:szCs w:val="20"/>
        </w:rPr>
        <w:t>χρησιμοποίησης εργοστασιακού δυναμικού</w:t>
      </w:r>
      <w:r w:rsidRPr="00B80C41">
        <w:rPr>
          <w:rFonts w:ascii="Century Gothic" w:hAnsi="Century Gothic" w:cs="Times New Roman"/>
          <w:sz w:val="20"/>
          <w:szCs w:val="20"/>
        </w:rPr>
        <w:t xml:space="preserve"> να ενισχύεται αισθητά, στο 68,9% από 64,5%, που είναι και η υψηλότερη επίδοση φέτος. </w:t>
      </w:r>
    </w:p>
    <w:p w:rsidR="00BE6140" w:rsidRPr="00B80C41" w:rsidRDefault="00BE6140" w:rsidP="00D40AC1">
      <w:pPr>
        <w:spacing w:before="100" w:beforeAutospacing="1" w:after="100" w:afterAutospacing="1" w:line="276" w:lineRule="auto"/>
        <w:jc w:val="both"/>
        <w:rPr>
          <w:rFonts w:ascii="Century Gothic" w:hAnsi="Century Gothic" w:cs="Times New Roman"/>
          <w:sz w:val="20"/>
          <w:szCs w:val="20"/>
        </w:rPr>
      </w:pPr>
      <w:r w:rsidRPr="00B80C41">
        <w:rPr>
          <w:rFonts w:ascii="Century Gothic" w:hAnsi="Century Gothic" w:cs="Times New Roman"/>
          <w:sz w:val="20"/>
          <w:szCs w:val="20"/>
        </w:rPr>
        <w:t xml:space="preserve">ζ) Ο δείκτης </w:t>
      </w:r>
      <w:r w:rsidRPr="00B80C41">
        <w:rPr>
          <w:rFonts w:ascii="Century Gothic" w:hAnsi="Century Gothic" w:cs="Times New Roman"/>
          <w:b/>
          <w:bCs/>
          <w:sz w:val="20"/>
          <w:szCs w:val="20"/>
        </w:rPr>
        <w:t>προβλέψεων για την απασχόληση</w:t>
      </w:r>
      <w:r w:rsidRPr="00B80C41">
        <w:rPr>
          <w:rFonts w:ascii="Century Gothic" w:hAnsi="Century Gothic" w:cs="Times New Roman"/>
          <w:sz w:val="20"/>
          <w:szCs w:val="20"/>
        </w:rPr>
        <w:t xml:space="preserve"> βελτιώνεται και επίσης διαμορφώνεται στην καλύτερη φετινή τιμή του, στη -1 μονάδα (από -8 μον.), με το 1/10 των επιχειρήσεων να προβλέπει άνοδο της απασχόλησης, ένα ίδιο ποσοστό τους πτώση της και τα 4/5 να αναμένουν σταθερότητα. </w:t>
      </w:r>
    </w:p>
    <w:p w:rsidR="00BE6140" w:rsidRPr="00B80C41" w:rsidRDefault="00BE6140" w:rsidP="00D40AC1">
      <w:pPr>
        <w:spacing w:before="100" w:beforeAutospacing="1" w:after="100" w:afterAutospacing="1" w:line="276" w:lineRule="auto"/>
        <w:jc w:val="both"/>
        <w:rPr>
          <w:rFonts w:ascii="Century Gothic" w:hAnsi="Century Gothic" w:cs="Times New Roman"/>
          <w:sz w:val="20"/>
          <w:szCs w:val="20"/>
        </w:rPr>
      </w:pPr>
      <w:r w:rsidRPr="00B80C41">
        <w:rPr>
          <w:rFonts w:ascii="Century Gothic" w:hAnsi="Century Gothic" w:cs="Times New Roman"/>
          <w:sz w:val="20"/>
          <w:szCs w:val="20"/>
        </w:rPr>
        <w:t xml:space="preserve">η) Στις </w:t>
      </w:r>
      <w:r w:rsidRPr="00B80C41">
        <w:rPr>
          <w:rFonts w:ascii="Century Gothic" w:hAnsi="Century Gothic" w:cs="Times New Roman"/>
          <w:b/>
          <w:bCs/>
          <w:sz w:val="20"/>
          <w:szCs w:val="20"/>
        </w:rPr>
        <w:t>προβλέψεις για τις μεταβολές των</w:t>
      </w:r>
      <w:r w:rsidRPr="00B80C41">
        <w:rPr>
          <w:rFonts w:ascii="Century Gothic" w:hAnsi="Century Gothic" w:cs="Times New Roman"/>
          <w:sz w:val="20"/>
          <w:szCs w:val="20"/>
        </w:rPr>
        <w:t xml:space="preserve"> </w:t>
      </w:r>
      <w:r w:rsidRPr="00B80C41">
        <w:rPr>
          <w:rFonts w:ascii="Century Gothic" w:hAnsi="Century Gothic" w:cs="Times New Roman"/>
          <w:b/>
          <w:bCs/>
          <w:sz w:val="20"/>
          <w:szCs w:val="20"/>
        </w:rPr>
        <w:t xml:space="preserve">τιμών, </w:t>
      </w:r>
      <w:r w:rsidRPr="00B80C41">
        <w:rPr>
          <w:rFonts w:ascii="Century Gothic" w:hAnsi="Century Gothic" w:cs="Times New Roman"/>
          <w:bCs/>
          <w:sz w:val="20"/>
          <w:szCs w:val="20"/>
        </w:rPr>
        <w:t>ο σχετικός δείκτης</w:t>
      </w:r>
      <w:r w:rsidRPr="00B80C41">
        <w:rPr>
          <w:rFonts w:ascii="Century Gothic" w:hAnsi="Century Gothic" w:cs="Times New Roman"/>
          <w:sz w:val="20"/>
          <w:szCs w:val="20"/>
        </w:rPr>
        <w:t xml:space="preserve"> παραμένει στα ίδια επίπεδα, στις -11 μονάδες, καθώς η συντριπτική πλειονότητα των επιχειρήσεων (80%) προβλέπει σταθερότητα τιμών το επόμενο τρίμηνο και το 16% μείωσή τους (από 12%). </w:t>
      </w:r>
    </w:p>
    <w:p w:rsidR="00BE6140" w:rsidRPr="00B80C41" w:rsidRDefault="00BE6140" w:rsidP="00D40AC1">
      <w:pPr>
        <w:spacing w:before="100" w:beforeAutospacing="1" w:after="100" w:afterAutospacing="1" w:line="276" w:lineRule="auto"/>
        <w:jc w:val="both"/>
        <w:rPr>
          <w:rFonts w:ascii="Century Gothic" w:hAnsi="Century Gothic" w:cs="Times New Roman"/>
          <w:sz w:val="20"/>
          <w:szCs w:val="20"/>
        </w:rPr>
      </w:pPr>
      <w:r w:rsidRPr="00B80C41">
        <w:rPr>
          <w:rFonts w:ascii="Century Gothic" w:hAnsi="Century Gothic" w:cs="Tahoma"/>
          <w:sz w:val="20"/>
          <w:szCs w:val="20"/>
        </w:rPr>
        <w:lastRenderedPageBreak/>
        <w:t xml:space="preserve">θ) Τέλος, στο τριμηνιαίο ερώτημα σχετικά με την </w:t>
      </w:r>
      <w:r w:rsidRPr="00B80C41">
        <w:rPr>
          <w:rFonts w:ascii="Century Gothic" w:hAnsi="Century Gothic" w:cs="Tahoma"/>
          <w:b/>
          <w:sz w:val="20"/>
          <w:szCs w:val="20"/>
        </w:rPr>
        <w:t>ανταγωνιστική θέση των επιχειρήσεων</w:t>
      </w:r>
      <w:r w:rsidRPr="00B80C41">
        <w:rPr>
          <w:rFonts w:ascii="Century Gothic" w:hAnsi="Century Gothic" w:cs="Tahoma"/>
          <w:sz w:val="20"/>
          <w:szCs w:val="20"/>
        </w:rPr>
        <w:t xml:space="preserve"> στις αγορές στις οποίες δραστηριοποιούνται, οι εκτιμήσεις βελτιώνονται ελαφρώς σε σχέση με τη μέτρηση Ιουνίου ως προς την εγχώρια αγορά (+16 από +12 μον. το ισοζύγιο), ενώ περιορίζονται σε μικρό βαθμό και παραμένουν στα ίδια σχεδόν επίπεδα προς την ΕΕ και τον υπόλοιπο κόσμο αντίστοιχα (+2 και +6 μον. τα ισοζύγια).</w:t>
      </w:r>
    </w:p>
    <w:p w:rsidR="00BE6140" w:rsidRPr="00B80C41" w:rsidRDefault="00BE6140" w:rsidP="00D40AC1">
      <w:pPr>
        <w:spacing w:before="100" w:beforeAutospacing="1" w:after="100" w:afterAutospacing="1" w:line="276" w:lineRule="auto"/>
        <w:jc w:val="both"/>
        <w:rPr>
          <w:rFonts w:ascii="Century Gothic" w:hAnsi="Century Gothic" w:cs="Times New Roman"/>
          <w:sz w:val="20"/>
          <w:szCs w:val="20"/>
        </w:rPr>
      </w:pPr>
      <w:r w:rsidRPr="00B80C41">
        <w:rPr>
          <w:rFonts w:ascii="Century Gothic" w:hAnsi="Century Gothic" w:cs="Times New Roman"/>
          <w:sz w:val="20"/>
          <w:szCs w:val="20"/>
        </w:rPr>
        <w:t xml:space="preserve">Σε επίπεδο βασικών τομέων, οι επιχειρηματικές προσδοκίες </w:t>
      </w:r>
      <w:r w:rsidRPr="00B80C41">
        <w:rPr>
          <w:rFonts w:ascii="Century Gothic" w:hAnsi="Century Gothic"/>
          <w:bCs/>
          <w:sz w:val="20"/>
          <w:szCs w:val="20"/>
        </w:rPr>
        <w:t xml:space="preserve">βελτιώνονται </w:t>
      </w:r>
      <w:r w:rsidRPr="00B80C41">
        <w:rPr>
          <w:rFonts w:ascii="Century Gothic" w:hAnsi="Century Gothic" w:cs="Times New Roman"/>
          <w:sz w:val="20"/>
          <w:szCs w:val="20"/>
        </w:rPr>
        <w:t>τον Σεπτέμβριο σε όλες τις κατηγορίες αγαθών</w:t>
      </w:r>
      <w:r w:rsidRPr="00B80C41">
        <w:rPr>
          <w:rFonts w:ascii="Century Gothic" w:hAnsi="Century Gothic"/>
          <w:bCs/>
          <w:sz w:val="20"/>
          <w:szCs w:val="20"/>
        </w:rPr>
        <w:t>.</w:t>
      </w:r>
      <w:r w:rsidRPr="00B80C41">
        <w:rPr>
          <w:rFonts w:ascii="Century Gothic" w:hAnsi="Century Gothic" w:cs="Times New Roman"/>
          <w:sz w:val="20"/>
          <w:szCs w:val="20"/>
        </w:rPr>
        <w:t xml:space="preserve"> Αναλυτικότερα:</w:t>
      </w:r>
    </w:p>
    <w:p w:rsidR="00BE6140" w:rsidRPr="00B80C41" w:rsidRDefault="00BE6140" w:rsidP="00D40AC1">
      <w:pPr>
        <w:pStyle w:val="a7"/>
        <w:spacing w:before="100" w:beforeAutospacing="1" w:after="100" w:afterAutospacing="1" w:line="288" w:lineRule="auto"/>
        <w:rPr>
          <w:rFonts w:ascii="Century Gothic" w:hAnsi="Century Gothic"/>
          <w:sz w:val="20"/>
          <w:szCs w:val="20"/>
          <w:u w:val="none"/>
        </w:rPr>
      </w:pPr>
      <w:r w:rsidRPr="00B80C41">
        <w:rPr>
          <w:rFonts w:ascii="Century Gothic" w:hAnsi="Century Gothic"/>
          <w:sz w:val="20"/>
          <w:szCs w:val="20"/>
          <w:u w:val="none"/>
        </w:rPr>
        <w:t xml:space="preserve">Ο Δείκτης Επιχειρηματικών Προσδοκιών στα </w:t>
      </w:r>
      <w:r w:rsidRPr="00B80C41">
        <w:rPr>
          <w:rFonts w:ascii="Century Gothic" w:hAnsi="Century Gothic"/>
          <w:b/>
          <w:bCs/>
          <w:sz w:val="20"/>
          <w:szCs w:val="20"/>
          <w:u w:val="none"/>
        </w:rPr>
        <w:t>Καταναλωτικά Αγαθά</w:t>
      </w:r>
      <w:r w:rsidRPr="00B80C41">
        <w:rPr>
          <w:rFonts w:ascii="Century Gothic" w:hAnsi="Century Gothic"/>
          <w:sz w:val="20"/>
          <w:szCs w:val="20"/>
          <w:u w:val="none"/>
        </w:rPr>
        <w:t xml:space="preserve"> κινείται ανοδικά τον Σεπτέμβριο, στις 100,9 μονάδες (από 93,8), ενώ από τις βασικές μεταβλητές του, η άμβλυνση του αρνητικού ισοζυγίου παραγγελιών και εγχώριας ζήτησης (-7 από -16 μον.) συνοδεύεται από την ενίσχυση του δείκτη στις προβλέψεις για την παραγωγή τους προσεχείς μήνες (+16 από +7 μον.) και την πτώση στο ισοζύγιο των εκτιμηθέντων αποθεμάτων (-4 μον. από ισοσκελισμένο δείκτη). Ως προς τις εξαγωγές, ήπια πτώση παρουσιάζουν οι εκτιμήσεις για τις τρέχουσες εξαγωγές, αλλά ανοδικά κινούνται οι αντίστοιχες για τις παραγγελίες και ζήτηση εξωτερικού, με τις προβλέψεις εξαγωγών για το επόμενο τρίμηνο να παραμένουν αμετάβλητες (+12 μον. ο δείκτης). Οι προβλέψεις για την απασχόληση βελτιώνονται (+8 από +1 μον. ο δείκτης), ενώ στις τιμές, ο σχετικός δείκτης υποχωρεί στις -10 μονάδες (από -7), με τα 4/5 των επιχειρήσεων να μην αναμένουν μεταβολές τους.</w:t>
      </w:r>
      <w:r w:rsidRPr="00B80C41">
        <w:rPr>
          <w:rFonts w:ascii="Century Gothic" w:hAnsi="Century Gothic" w:cs="Tahoma"/>
          <w:sz w:val="20"/>
          <w:szCs w:val="20"/>
          <w:u w:val="none"/>
        </w:rPr>
        <w:t xml:space="preserve"> Τέλος, στο τριμηνιαίο ερώτημα για την ανταγωνιστική θέση των επιχειρήσεων σημειώνεται ελαφρά κάμψη του σχετικού θετικού ισοζυγίου σε σχέση με την προηγούμενη μέτρηση στις εκτιμήσεις για τις αγορές της ΕΕ και τις υπόλοιπες διεθνείς αγορές και άνοδος στην εγχώρια αγορά.</w:t>
      </w:r>
    </w:p>
    <w:p w:rsidR="00BE6140" w:rsidRPr="00B80C41" w:rsidRDefault="00BE6140" w:rsidP="00D40AC1">
      <w:pPr>
        <w:pStyle w:val="a7"/>
        <w:spacing w:before="100" w:beforeAutospacing="1" w:after="100" w:afterAutospacing="1" w:line="288" w:lineRule="auto"/>
        <w:rPr>
          <w:rFonts w:ascii="Century Gothic" w:hAnsi="Century Gothic"/>
          <w:sz w:val="20"/>
          <w:szCs w:val="20"/>
          <w:u w:val="none"/>
        </w:rPr>
      </w:pPr>
      <w:r w:rsidRPr="00B80C41">
        <w:rPr>
          <w:rFonts w:ascii="Century Gothic" w:hAnsi="Century Gothic"/>
          <w:sz w:val="20"/>
          <w:szCs w:val="20"/>
          <w:u w:val="none"/>
        </w:rPr>
        <w:t xml:space="preserve">Ο δείκτης επιχειρηματικών προσδοκιών στα </w:t>
      </w:r>
      <w:r w:rsidRPr="00B80C41">
        <w:rPr>
          <w:rFonts w:ascii="Century Gothic" w:hAnsi="Century Gothic"/>
          <w:b/>
          <w:bCs/>
          <w:sz w:val="20"/>
          <w:szCs w:val="20"/>
          <w:u w:val="none"/>
        </w:rPr>
        <w:t>Κεφαλαιουχικά Αγαθά</w:t>
      </w:r>
      <w:r w:rsidRPr="00B80C41">
        <w:rPr>
          <w:rFonts w:ascii="Century Gothic" w:hAnsi="Century Gothic"/>
          <w:sz w:val="20"/>
          <w:szCs w:val="20"/>
          <w:u w:val="none"/>
        </w:rPr>
        <w:t xml:space="preserve"> επίσης κινείται ανοδικά τον Σεπτέμβριο, στις 85,9 μονάδες (από 71,2). Όλες οι βασικές συνιστώσες του δείκτη κερδίζουν έδαφος: το ισοζύγιο των προβλέψεων για την παραγωγή διαμορφώνεται στη +1 μονάδα (από -23), ενώ και ο έντονα αρνητικός δείκτης στις εκτιμήσεις για τις παραγγελίες και τη ζήτηση εξομαλύνεται (-41 από -59). Το ισοζύγιο των αποθεμάτων κινείται ελαφρώς καθοδικά (-2 από +2 μον.), ενώ από τους εξαγωγικούς δείκτες, θετικές μεταβολές καταγράφονται στις εκτιμήσεις για τις τρέχουσες εξαγωγές και τις προβλέψεις του επόμενου τριμήνου, με τις παραγγελίες και ζήτηση εξωτερικού όμως να εξασθενούν σημαντικά (-32 από -29 μον. το ισοζύγιο). Οι προβλέψεις για την απασχόληση του κλάδου βελτιώνονται αισθητά (-3 από -41 μον. το σχετικό ισοζύγιο), ενώ ως προς τις τιμές, ομόφωνα οι επιχειρήσεις του τομέα αναμένουν σταθερότητα. </w:t>
      </w:r>
      <w:r w:rsidRPr="00B80C41">
        <w:rPr>
          <w:rFonts w:ascii="Century Gothic" w:hAnsi="Century Gothic" w:cs="Tahoma"/>
          <w:sz w:val="20"/>
          <w:szCs w:val="20"/>
          <w:u w:val="none"/>
        </w:rPr>
        <w:t xml:space="preserve">Τέλος, στο τριμηνιαίο ερώτημα για την ανταγωνιστική θέση των επιχειρήσεων καταγράφεται σημαντική βελτίωση στην εγχώρια αγορά, αλλά εξασθένησή της προς όλους τους υπόλοιπους προορισμούς. </w:t>
      </w:r>
    </w:p>
    <w:p w:rsidR="00BE6140" w:rsidRPr="00290E2F" w:rsidRDefault="00BE6140" w:rsidP="00D40AC1">
      <w:pPr>
        <w:spacing w:before="100" w:beforeAutospacing="1" w:after="100" w:afterAutospacing="1" w:line="288" w:lineRule="auto"/>
        <w:jc w:val="both"/>
        <w:rPr>
          <w:rFonts w:ascii="Century Gothic" w:hAnsi="Century Gothic" w:cs="Times New Roman"/>
          <w:sz w:val="20"/>
          <w:szCs w:val="20"/>
        </w:rPr>
      </w:pPr>
      <w:r w:rsidRPr="00B80C41">
        <w:rPr>
          <w:rFonts w:ascii="Century Gothic" w:hAnsi="Century Gothic" w:cs="Times New Roman"/>
          <w:sz w:val="20"/>
          <w:szCs w:val="20"/>
        </w:rPr>
        <w:t xml:space="preserve">Ανοδικά κινούνται οι επιχειρηματικές προσδοκίες και στα </w:t>
      </w:r>
      <w:r w:rsidRPr="00B80C41">
        <w:rPr>
          <w:rFonts w:ascii="Century Gothic" w:hAnsi="Century Gothic" w:cs="Times New Roman"/>
          <w:b/>
          <w:bCs/>
          <w:sz w:val="20"/>
          <w:szCs w:val="20"/>
        </w:rPr>
        <w:t>Ενδιάμεσα Αγαθά</w:t>
      </w:r>
      <w:r w:rsidRPr="00B80C41">
        <w:rPr>
          <w:rFonts w:ascii="Century Gothic" w:hAnsi="Century Gothic" w:cs="Times New Roman"/>
          <w:sz w:val="20"/>
          <w:szCs w:val="20"/>
        </w:rPr>
        <w:t>, με το σχετικό δείκτη να διαμορφώνεται στις 94,5 μονάδες (από 83,8). Η άνοδος στις προβλέψεις για τη βραχυπρόθεσμη εξέλιξη της παραγωγής (+18 μον. από 0), η οριακή αποκλιμάκωση στο δείκτη των εκτιμώμενων αποθεμάτων (-1 από +1 μον.) και το εξομαλυμένο αρνητικό ισοζύγιο των εκτιμήσεων για τις τρέχουσες παραγγελίες και τη ζήτηση (-35 από -46 μον.) συμβάλλουν στη βελτίωση του συνολικού δείκτη. Από τα υπόλοιπα στοιχεία δραστηριότητας, όλοι οι εξαγωγικοί δείκτες μεταβάλλονται θετικά. Αντιθέτως η τάση στην προβλεπόμενη απασχόληση είναι πτωτική (-19 από -10 μον. το σχετικό ισοζύγιο), με το</w:t>
      </w:r>
      <w:r>
        <w:rPr>
          <w:rFonts w:ascii="Century Gothic" w:hAnsi="Century Gothic" w:cs="Times New Roman"/>
          <w:sz w:val="20"/>
          <w:szCs w:val="20"/>
        </w:rPr>
        <w:t xml:space="preserve"> 1/4</w:t>
      </w:r>
      <w:r w:rsidRPr="00B80C41">
        <w:rPr>
          <w:rFonts w:ascii="Century Gothic" w:hAnsi="Century Gothic" w:cs="Times New Roman"/>
          <w:sz w:val="20"/>
          <w:szCs w:val="20"/>
        </w:rPr>
        <w:t xml:space="preserve"> των επιχειρήσεων (από 14%) να αναμένει νέες απώλειες θέσεων εργασίας. Στις τιμές, ο σχετικός δείκτης διαμορφώνεται στις -15 μονάδες (από -12), ενώ τέλος, </w:t>
      </w:r>
      <w:r w:rsidRPr="00B80C41">
        <w:rPr>
          <w:rFonts w:ascii="Century Gothic" w:hAnsi="Century Gothic" w:cs="Tahoma"/>
          <w:sz w:val="20"/>
          <w:szCs w:val="20"/>
        </w:rPr>
        <w:t xml:space="preserve">οι εκτιμήσεις των επιχειρήσεων για την ανταγωνιστική τους θέση στην ευρωπαϊκή </w:t>
      </w:r>
      <w:r w:rsidRPr="00B80C41">
        <w:rPr>
          <w:rFonts w:ascii="Century Gothic" w:hAnsi="Century Gothic" w:cs="Tahoma"/>
          <w:sz w:val="20"/>
          <w:szCs w:val="20"/>
        </w:rPr>
        <w:lastRenderedPageBreak/>
        <w:t xml:space="preserve">αγορά βελτιώνονται σε σχέση με την προηγούμενη μέτρηση του Ιουνίου,, αλλά επιδεινώνονται κυρίως στην </w:t>
      </w:r>
      <w:r w:rsidRPr="00290E2F">
        <w:rPr>
          <w:rFonts w:ascii="Century Gothic" w:hAnsi="Century Gothic" w:cs="Tahoma"/>
          <w:sz w:val="20"/>
          <w:szCs w:val="20"/>
        </w:rPr>
        <w:t>εγχώρια και λιγότερο προς τις υπόλοιπες αγορές.</w:t>
      </w:r>
    </w:p>
    <w:p w:rsidR="00BE6140" w:rsidRPr="00CB6CE9" w:rsidRDefault="00BE6140" w:rsidP="0089042D">
      <w:pPr>
        <w:spacing w:line="288" w:lineRule="auto"/>
        <w:ind w:left="-284" w:right="-428"/>
        <w:jc w:val="center"/>
        <w:outlineLvl w:val="0"/>
        <w:rPr>
          <w:rFonts w:ascii="Century Gothic" w:hAnsi="Century Gothic" w:cs="Times New Roman"/>
          <w:sz w:val="18"/>
          <w:szCs w:val="18"/>
        </w:rPr>
      </w:pPr>
      <w:r w:rsidRPr="00056C5E">
        <w:rPr>
          <w:rFonts w:ascii="Century Gothic" w:hAnsi="Century Gothic" w:cs="Times New Roman"/>
          <w:b/>
          <w:bCs/>
          <w:sz w:val="18"/>
          <w:szCs w:val="18"/>
        </w:rPr>
        <w:t xml:space="preserve">Πίνακας 2: </w:t>
      </w:r>
      <w:r w:rsidRPr="00056C5E">
        <w:rPr>
          <w:rFonts w:ascii="Century Gothic" w:hAnsi="Century Gothic" w:cs="Times New Roman"/>
          <w:sz w:val="18"/>
          <w:szCs w:val="18"/>
        </w:rPr>
        <w:t>Δείκτης Επιχειρηματικών Προσδοκιών στη Βιομηχανία</w:t>
      </w:r>
    </w:p>
    <w:tbl>
      <w:tblPr>
        <w:tblW w:w="8700" w:type="dxa"/>
        <w:jc w:val="center"/>
        <w:tblBorders>
          <w:top w:val="single" w:sz="4" w:space="0" w:color="943634"/>
          <w:left w:val="single" w:sz="4" w:space="0" w:color="943634"/>
          <w:bottom w:val="single" w:sz="4" w:space="0" w:color="943634"/>
          <w:right w:val="single" w:sz="4" w:space="0" w:color="943634"/>
          <w:insideH w:val="single" w:sz="4" w:space="0" w:color="FFFFFF"/>
          <w:insideV w:val="single" w:sz="4" w:space="0" w:color="FFFFFF"/>
        </w:tblBorders>
        <w:tblLook w:val="01E0"/>
      </w:tblPr>
      <w:tblGrid>
        <w:gridCol w:w="716"/>
        <w:gridCol w:w="720"/>
        <w:gridCol w:w="359"/>
        <w:gridCol w:w="457"/>
        <w:gridCol w:w="404"/>
        <w:gridCol w:w="330"/>
        <w:gridCol w:w="591"/>
        <w:gridCol w:w="50"/>
        <w:gridCol w:w="1157"/>
        <w:gridCol w:w="709"/>
        <w:gridCol w:w="290"/>
        <w:gridCol w:w="566"/>
        <w:gridCol w:w="50"/>
        <w:gridCol w:w="517"/>
        <w:gridCol w:w="211"/>
        <w:gridCol w:w="356"/>
        <w:gridCol w:w="372"/>
        <w:gridCol w:w="195"/>
        <w:gridCol w:w="624"/>
        <w:gridCol w:w="26"/>
      </w:tblGrid>
      <w:tr w:rsidR="00BE6140" w:rsidRPr="00CB6CE9" w:rsidTr="00616866">
        <w:trPr>
          <w:gridAfter w:val="1"/>
          <w:wAfter w:w="26" w:type="dxa"/>
          <w:jc w:val="center"/>
        </w:trPr>
        <w:tc>
          <w:tcPr>
            <w:tcW w:w="1795" w:type="dxa"/>
            <w:gridSpan w:val="3"/>
            <w:tcBorders>
              <w:top w:val="single" w:sz="4" w:space="0" w:color="943634"/>
            </w:tcBorders>
            <w:shd w:val="clear" w:color="auto" w:fill="9E3A38"/>
            <w:vAlign w:val="center"/>
          </w:tcPr>
          <w:p w:rsidR="00BE6140" w:rsidRPr="00CB6CE9" w:rsidRDefault="00BE6140" w:rsidP="00951945">
            <w:pPr>
              <w:jc w:val="center"/>
              <w:rPr>
                <w:rFonts w:ascii="Century Gothic" w:hAnsi="Century Gothic" w:cs="Times New Roman"/>
                <w:b/>
                <w:bCs/>
                <w:color w:val="FFFFFF"/>
                <w:sz w:val="18"/>
                <w:szCs w:val="18"/>
              </w:rPr>
            </w:pPr>
            <w:r w:rsidRPr="00CB6CE9">
              <w:rPr>
                <w:rFonts w:ascii="Century Gothic" w:hAnsi="Century Gothic" w:cs="Times New Roman"/>
                <w:b/>
                <w:bCs/>
                <w:color w:val="FFFFFF"/>
                <w:sz w:val="18"/>
                <w:szCs w:val="18"/>
              </w:rPr>
              <w:t>Τομέας</w:t>
            </w:r>
          </w:p>
        </w:tc>
        <w:tc>
          <w:tcPr>
            <w:tcW w:w="1782" w:type="dxa"/>
            <w:gridSpan w:val="4"/>
            <w:tcBorders>
              <w:top w:val="single" w:sz="4" w:space="0" w:color="943634"/>
            </w:tcBorders>
            <w:shd w:val="clear" w:color="auto" w:fill="9E3A38"/>
            <w:vAlign w:val="center"/>
          </w:tcPr>
          <w:p w:rsidR="00BE6140" w:rsidRPr="00CB6CE9" w:rsidRDefault="00BE6140" w:rsidP="00616866">
            <w:pPr>
              <w:jc w:val="center"/>
              <w:rPr>
                <w:rFonts w:ascii="Century Gothic" w:hAnsi="Century Gothic" w:cs="Times New Roman"/>
                <w:b/>
                <w:bCs/>
                <w:color w:val="FFFFFF"/>
                <w:sz w:val="18"/>
                <w:szCs w:val="18"/>
              </w:rPr>
            </w:pPr>
            <w:r w:rsidRPr="00CB6CE9">
              <w:rPr>
                <w:rFonts w:ascii="Century Gothic" w:hAnsi="Century Gothic" w:cs="Times New Roman"/>
                <w:b/>
                <w:bCs/>
                <w:color w:val="FFFFFF"/>
                <w:sz w:val="18"/>
                <w:szCs w:val="18"/>
              </w:rPr>
              <w:t>Ακραίες τιμές</w:t>
            </w:r>
            <w:r>
              <w:rPr>
                <w:rFonts w:ascii="Century Gothic" w:hAnsi="Century Gothic" w:cs="Times New Roman"/>
                <w:b/>
                <w:bCs/>
                <w:color w:val="FFFFFF"/>
                <w:sz w:val="18"/>
                <w:szCs w:val="18"/>
              </w:rPr>
              <w:t xml:space="preserve"> </w:t>
            </w:r>
          </w:p>
        </w:tc>
        <w:tc>
          <w:tcPr>
            <w:tcW w:w="5097" w:type="dxa"/>
            <w:gridSpan w:val="12"/>
            <w:tcBorders>
              <w:top w:val="single" w:sz="4" w:space="0" w:color="943634"/>
            </w:tcBorders>
            <w:shd w:val="clear" w:color="auto" w:fill="9E3A38"/>
            <w:vAlign w:val="center"/>
          </w:tcPr>
          <w:p w:rsidR="00BE6140" w:rsidRPr="00CB6CE9" w:rsidRDefault="00BE6140" w:rsidP="00951945">
            <w:pPr>
              <w:jc w:val="center"/>
              <w:rPr>
                <w:rFonts w:ascii="Century Gothic" w:hAnsi="Century Gothic" w:cs="Times New Roman"/>
                <w:b/>
                <w:bCs/>
                <w:color w:val="FFFFFF"/>
                <w:sz w:val="18"/>
                <w:szCs w:val="18"/>
              </w:rPr>
            </w:pPr>
            <w:r w:rsidRPr="00CB6CE9">
              <w:rPr>
                <w:rFonts w:ascii="Century Gothic" w:hAnsi="Century Gothic" w:cs="Times New Roman"/>
                <w:b/>
                <w:bCs/>
                <w:color w:val="FFFFFF"/>
                <w:sz w:val="18"/>
                <w:szCs w:val="18"/>
              </w:rPr>
              <w:t>Μέσος όρος</w:t>
            </w:r>
          </w:p>
        </w:tc>
      </w:tr>
      <w:tr w:rsidR="00BE6140" w:rsidRPr="00CB6CE9" w:rsidTr="00616866">
        <w:trPr>
          <w:gridAfter w:val="1"/>
          <w:wAfter w:w="26" w:type="dxa"/>
          <w:jc w:val="center"/>
        </w:trPr>
        <w:tc>
          <w:tcPr>
            <w:tcW w:w="1795" w:type="dxa"/>
            <w:gridSpan w:val="3"/>
            <w:vMerge w:val="restart"/>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Βιομηχανία</w:t>
            </w:r>
          </w:p>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(1996-2006=100)</w:t>
            </w:r>
          </w:p>
        </w:tc>
        <w:tc>
          <w:tcPr>
            <w:tcW w:w="861" w:type="dxa"/>
            <w:gridSpan w:val="2"/>
            <w:shd w:val="clear" w:color="auto" w:fill="D3DFEE"/>
            <w:vAlign w:val="center"/>
          </w:tcPr>
          <w:p w:rsidR="00BE6140" w:rsidRPr="00CB6CE9" w:rsidRDefault="00BE6140" w:rsidP="00951945">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Min</w:t>
            </w:r>
          </w:p>
        </w:tc>
        <w:tc>
          <w:tcPr>
            <w:tcW w:w="921" w:type="dxa"/>
            <w:gridSpan w:val="2"/>
            <w:shd w:val="clear" w:color="auto" w:fill="DBE5F1"/>
            <w:vAlign w:val="center"/>
          </w:tcPr>
          <w:p w:rsidR="00BE6140" w:rsidRPr="00CB6CE9" w:rsidRDefault="00BE6140" w:rsidP="00951945">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Max</w:t>
            </w:r>
          </w:p>
        </w:tc>
        <w:tc>
          <w:tcPr>
            <w:tcW w:w="1207" w:type="dxa"/>
            <w:gridSpan w:val="2"/>
            <w:shd w:val="clear" w:color="auto" w:fill="D3DFEE"/>
            <w:vAlign w:val="center"/>
          </w:tcPr>
          <w:p w:rsidR="00BE6140" w:rsidRPr="00CB6CE9" w:rsidRDefault="00BE6140" w:rsidP="00951945">
            <w:pPr>
              <w:jc w:val="center"/>
              <w:rPr>
                <w:rFonts w:ascii="Century Gothic" w:hAnsi="Century Gothic" w:cs="Times New Roman"/>
                <w:b/>
                <w:bCs/>
                <w:color w:val="000000"/>
                <w:sz w:val="18"/>
                <w:szCs w:val="18"/>
              </w:rPr>
            </w:pPr>
            <w:r w:rsidRPr="00CB6CE9">
              <w:rPr>
                <w:rFonts w:ascii="Century Gothic" w:hAnsi="Century Gothic" w:cs="Times New Roman"/>
                <w:b/>
                <w:bCs/>
                <w:color w:val="000000"/>
                <w:sz w:val="18"/>
                <w:szCs w:val="18"/>
                <w:lang w:val="en-US"/>
              </w:rPr>
              <w:t>2001-20</w:t>
            </w:r>
            <w:r w:rsidRPr="00CB6CE9">
              <w:rPr>
                <w:rFonts w:ascii="Century Gothic" w:hAnsi="Century Gothic" w:cs="Times New Roman"/>
                <w:b/>
                <w:bCs/>
                <w:color w:val="000000"/>
                <w:sz w:val="18"/>
                <w:szCs w:val="18"/>
              </w:rPr>
              <w:t>12</w:t>
            </w:r>
          </w:p>
        </w:tc>
        <w:tc>
          <w:tcPr>
            <w:tcW w:w="709" w:type="dxa"/>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2008</w:t>
            </w:r>
          </w:p>
        </w:tc>
        <w:tc>
          <w:tcPr>
            <w:tcW w:w="906" w:type="dxa"/>
            <w:gridSpan w:val="3"/>
            <w:shd w:val="clear" w:color="auto" w:fill="D3DFEE"/>
            <w:vAlign w:val="center"/>
          </w:tcPr>
          <w:p w:rsidR="00BE6140" w:rsidRPr="00CB6CE9" w:rsidRDefault="00BE6140" w:rsidP="00951945">
            <w:pPr>
              <w:pStyle w:val="2"/>
              <w:rPr>
                <w:rFonts w:ascii="Century Gothic" w:hAnsi="Century Gothic"/>
                <w:i w:val="0"/>
                <w:iCs w:val="0"/>
                <w:color w:val="000000"/>
                <w:lang w:val="en-GB"/>
              </w:rPr>
            </w:pPr>
            <w:r w:rsidRPr="00CB6CE9">
              <w:rPr>
                <w:rFonts w:ascii="Century Gothic" w:hAnsi="Century Gothic"/>
                <w:i w:val="0"/>
                <w:iCs w:val="0"/>
                <w:color w:val="000000"/>
                <w:lang w:val="en-GB"/>
              </w:rPr>
              <w:t>2009</w:t>
            </w:r>
          </w:p>
        </w:tc>
        <w:tc>
          <w:tcPr>
            <w:tcW w:w="728"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2010</w:t>
            </w:r>
          </w:p>
        </w:tc>
        <w:tc>
          <w:tcPr>
            <w:tcW w:w="728"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2011</w:t>
            </w:r>
          </w:p>
        </w:tc>
        <w:tc>
          <w:tcPr>
            <w:tcW w:w="819"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2012</w:t>
            </w:r>
          </w:p>
        </w:tc>
      </w:tr>
      <w:tr w:rsidR="00BE6140" w:rsidRPr="00CB6CE9" w:rsidTr="00616866">
        <w:trPr>
          <w:gridAfter w:val="1"/>
          <w:wAfter w:w="26" w:type="dxa"/>
          <w:trHeight w:val="488"/>
          <w:jc w:val="center"/>
        </w:trPr>
        <w:tc>
          <w:tcPr>
            <w:tcW w:w="1795" w:type="dxa"/>
            <w:gridSpan w:val="3"/>
            <w:vMerge/>
            <w:shd w:val="clear" w:color="auto" w:fill="EDF2F8"/>
            <w:vAlign w:val="center"/>
          </w:tcPr>
          <w:p w:rsidR="00BE6140" w:rsidRPr="003447E4" w:rsidRDefault="00BE6140" w:rsidP="00951945">
            <w:pPr>
              <w:pStyle w:val="1"/>
              <w:jc w:val="center"/>
              <w:rPr>
                <w:rFonts w:ascii="Century Gothic" w:hAnsi="Century Gothic"/>
                <w:b w:val="0"/>
                <w:bCs w:val="0"/>
                <w:color w:val="000000"/>
                <w:sz w:val="18"/>
                <w:szCs w:val="18"/>
              </w:rPr>
            </w:pPr>
          </w:p>
        </w:tc>
        <w:tc>
          <w:tcPr>
            <w:tcW w:w="861" w:type="dxa"/>
            <w:gridSpan w:val="2"/>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62,8</w:t>
            </w:r>
          </w:p>
          <w:p w:rsidR="00BE6140" w:rsidRPr="00CB6CE9" w:rsidRDefault="00BE6140" w:rsidP="00951945">
            <w:pPr>
              <w:spacing w:line="288" w:lineRule="auto"/>
              <w:jc w:val="center"/>
              <w:rPr>
                <w:rFonts w:ascii="Century Gothic" w:hAnsi="Century Gothic" w:cs="Times New Roman"/>
                <w:color w:val="000000"/>
                <w:sz w:val="18"/>
                <w:szCs w:val="18"/>
              </w:rPr>
            </w:pPr>
            <w:r w:rsidRPr="00CB6CE9">
              <w:rPr>
                <w:rFonts w:ascii="Century Gothic" w:hAnsi="Century Gothic" w:cs="Times New Roman"/>
                <w:i/>
                <w:iCs/>
                <w:color w:val="000000"/>
                <w:sz w:val="18"/>
                <w:szCs w:val="18"/>
              </w:rPr>
              <w:t>Φεβ-09</w:t>
            </w:r>
          </w:p>
        </w:tc>
        <w:tc>
          <w:tcPr>
            <w:tcW w:w="921" w:type="dxa"/>
            <w:gridSpan w:val="2"/>
            <w:shd w:val="clear" w:color="auto" w:fill="EDF2F8"/>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109,5</w:t>
            </w:r>
          </w:p>
          <w:p w:rsidR="00BE6140" w:rsidRPr="00CB6CE9" w:rsidRDefault="00BE6140" w:rsidP="00951945">
            <w:pPr>
              <w:spacing w:line="288" w:lineRule="auto"/>
              <w:jc w:val="center"/>
              <w:rPr>
                <w:rFonts w:ascii="Century Gothic" w:hAnsi="Century Gothic" w:cs="Times New Roman"/>
                <w:color w:val="000000"/>
                <w:sz w:val="18"/>
                <w:szCs w:val="18"/>
              </w:rPr>
            </w:pPr>
            <w:r w:rsidRPr="00CB6CE9">
              <w:rPr>
                <w:rFonts w:ascii="Century Gothic" w:hAnsi="Century Gothic" w:cs="Times New Roman"/>
                <w:i/>
                <w:iCs/>
                <w:color w:val="000000"/>
                <w:sz w:val="18"/>
                <w:szCs w:val="18"/>
              </w:rPr>
              <w:t>Απρ-0</w:t>
            </w:r>
            <w:r w:rsidRPr="00CB6CE9">
              <w:rPr>
                <w:rFonts w:ascii="Century Gothic" w:hAnsi="Century Gothic" w:cs="Times New Roman"/>
                <w:i/>
                <w:iCs/>
                <w:color w:val="000000"/>
                <w:sz w:val="18"/>
                <w:szCs w:val="18"/>
                <w:lang w:val="en-US"/>
              </w:rPr>
              <w:t>7</w:t>
            </w:r>
          </w:p>
        </w:tc>
        <w:tc>
          <w:tcPr>
            <w:tcW w:w="1207" w:type="dxa"/>
            <w:gridSpan w:val="2"/>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90,9</w:t>
            </w:r>
          </w:p>
        </w:tc>
        <w:tc>
          <w:tcPr>
            <w:tcW w:w="709" w:type="dxa"/>
            <w:shd w:val="clear" w:color="auto" w:fill="EDF2F8"/>
            <w:vAlign w:val="center"/>
          </w:tcPr>
          <w:p w:rsidR="00BE6140" w:rsidRPr="00CB6CE9" w:rsidRDefault="00BE6140" w:rsidP="00951945">
            <w:pPr>
              <w:spacing w:line="288" w:lineRule="auto"/>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91,9</w:t>
            </w:r>
          </w:p>
        </w:tc>
        <w:tc>
          <w:tcPr>
            <w:tcW w:w="906" w:type="dxa"/>
            <w:gridSpan w:val="3"/>
            <w:shd w:val="clear" w:color="auto" w:fill="D3DFEE"/>
            <w:vAlign w:val="center"/>
          </w:tcPr>
          <w:p w:rsidR="00BE6140" w:rsidRPr="00CB6CE9" w:rsidRDefault="00BE6140" w:rsidP="00951945">
            <w:pPr>
              <w:spacing w:line="288" w:lineRule="auto"/>
              <w:jc w:val="center"/>
              <w:rPr>
                <w:rFonts w:ascii="Century Gothic" w:hAnsi="Century Gothic" w:cs="Times New Roman"/>
                <w:color w:val="000000"/>
                <w:sz w:val="18"/>
                <w:szCs w:val="18"/>
                <w:lang w:val="en-GB"/>
              </w:rPr>
            </w:pPr>
            <w:r w:rsidRPr="00CB6CE9">
              <w:rPr>
                <w:rFonts w:ascii="Century Gothic" w:hAnsi="Century Gothic" w:cs="Times New Roman"/>
                <w:color w:val="000000"/>
                <w:sz w:val="18"/>
                <w:szCs w:val="18"/>
                <w:lang w:val="en-GB"/>
              </w:rPr>
              <w:t>72,1</w:t>
            </w:r>
          </w:p>
        </w:tc>
        <w:tc>
          <w:tcPr>
            <w:tcW w:w="728" w:type="dxa"/>
            <w:gridSpan w:val="2"/>
            <w:shd w:val="clear" w:color="auto" w:fill="EDF2F8"/>
            <w:vAlign w:val="center"/>
          </w:tcPr>
          <w:p w:rsidR="00BE6140" w:rsidRPr="00CB6CE9" w:rsidRDefault="00BE6140" w:rsidP="00951945">
            <w:pPr>
              <w:spacing w:line="288" w:lineRule="auto"/>
              <w:jc w:val="center"/>
              <w:rPr>
                <w:rFonts w:ascii="Century Gothic" w:hAnsi="Century Gothic" w:cs="Times New Roman"/>
                <w:color w:val="000000"/>
                <w:sz w:val="18"/>
                <w:szCs w:val="18"/>
                <w:lang w:val="en-GB"/>
              </w:rPr>
            </w:pPr>
            <w:r w:rsidRPr="00CB6CE9">
              <w:rPr>
                <w:rFonts w:ascii="Century Gothic" w:hAnsi="Century Gothic" w:cs="Times New Roman"/>
                <w:color w:val="000000"/>
                <w:sz w:val="18"/>
                <w:szCs w:val="18"/>
                <w:lang w:val="en-GB"/>
              </w:rPr>
              <w:t>75,8</w:t>
            </w:r>
          </w:p>
        </w:tc>
        <w:tc>
          <w:tcPr>
            <w:tcW w:w="728" w:type="dxa"/>
            <w:gridSpan w:val="2"/>
            <w:shd w:val="clear" w:color="auto" w:fill="D3DFEE"/>
            <w:vAlign w:val="center"/>
          </w:tcPr>
          <w:p w:rsidR="00BE6140" w:rsidRPr="00CB6CE9" w:rsidRDefault="00BE6140" w:rsidP="00951945">
            <w:pPr>
              <w:spacing w:line="288" w:lineRule="auto"/>
              <w:jc w:val="center"/>
              <w:rPr>
                <w:rFonts w:ascii="Century Gothic" w:hAnsi="Century Gothic" w:cs="Times New Roman"/>
                <w:color w:val="000000"/>
                <w:sz w:val="18"/>
                <w:szCs w:val="18"/>
                <w:lang w:val="en-GB"/>
              </w:rPr>
            </w:pPr>
            <w:r w:rsidRPr="00CB6CE9">
              <w:rPr>
                <w:rFonts w:ascii="Century Gothic" w:hAnsi="Century Gothic" w:cs="Times New Roman"/>
                <w:color w:val="000000"/>
                <w:sz w:val="18"/>
                <w:szCs w:val="18"/>
                <w:lang w:val="en-GB"/>
              </w:rPr>
              <w:t>76,9</w:t>
            </w:r>
          </w:p>
        </w:tc>
        <w:tc>
          <w:tcPr>
            <w:tcW w:w="819" w:type="dxa"/>
            <w:gridSpan w:val="2"/>
            <w:shd w:val="clear" w:color="auto" w:fill="EDF2F8"/>
            <w:vAlign w:val="center"/>
          </w:tcPr>
          <w:p w:rsidR="00BE6140" w:rsidRPr="00CB6CE9" w:rsidRDefault="00BE6140" w:rsidP="00951945">
            <w:pPr>
              <w:spacing w:line="288" w:lineRule="auto"/>
              <w:jc w:val="center"/>
              <w:rPr>
                <w:rFonts w:ascii="Century Gothic" w:hAnsi="Century Gothic" w:cs="Times New Roman"/>
                <w:bCs/>
                <w:color w:val="000000"/>
                <w:sz w:val="18"/>
                <w:szCs w:val="18"/>
              </w:rPr>
            </w:pPr>
            <w:r w:rsidRPr="00CB6CE9">
              <w:rPr>
                <w:rFonts w:ascii="Century Gothic" w:hAnsi="Century Gothic" w:cs="Times New Roman"/>
                <w:bCs/>
                <w:color w:val="000000"/>
                <w:sz w:val="18"/>
                <w:szCs w:val="18"/>
              </w:rPr>
              <w:t>77,2</w:t>
            </w:r>
          </w:p>
        </w:tc>
      </w:tr>
      <w:tr w:rsidR="00BE6140" w:rsidRPr="00CB6CE9" w:rsidTr="00616866">
        <w:trPr>
          <w:gridAfter w:val="1"/>
          <w:wAfter w:w="26" w:type="dxa"/>
          <w:jc w:val="center"/>
        </w:trPr>
        <w:tc>
          <w:tcPr>
            <w:tcW w:w="8674" w:type="dxa"/>
            <w:gridSpan w:val="19"/>
            <w:shd w:val="clear" w:color="auto" w:fill="943634"/>
            <w:vAlign w:val="center"/>
          </w:tcPr>
          <w:p w:rsidR="00BE6140" w:rsidRPr="00CB6CE9" w:rsidRDefault="00BE6140" w:rsidP="00951945">
            <w:pPr>
              <w:pStyle w:val="7"/>
              <w:jc w:val="center"/>
              <w:rPr>
                <w:rFonts w:ascii="Century Gothic" w:hAnsi="Century Gothic"/>
                <w:color w:val="FFFFFF"/>
              </w:rPr>
            </w:pPr>
            <w:r w:rsidRPr="00CB6CE9">
              <w:rPr>
                <w:rFonts w:ascii="Century Gothic" w:hAnsi="Century Gothic"/>
                <w:color w:val="FFFFFF"/>
                <w:lang w:val="en-US"/>
              </w:rPr>
              <w:t>20</w:t>
            </w:r>
            <w:r w:rsidRPr="00CB6CE9">
              <w:rPr>
                <w:rFonts w:ascii="Century Gothic" w:hAnsi="Century Gothic"/>
                <w:color w:val="FFFFFF"/>
              </w:rPr>
              <w:t>12</w:t>
            </w:r>
          </w:p>
        </w:tc>
      </w:tr>
      <w:tr w:rsidR="00BE6140" w:rsidRPr="00CB6CE9" w:rsidTr="00616866">
        <w:trPr>
          <w:jc w:val="center"/>
        </w:trPr>
        <w:tc>
          <w:tcPr>
            <w:tcW w:w="716" w:type="dxa"/>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Ι</w:t>
            </w:r>
          </w:p>
        </w:tc>
        <w:tc>
          <w:tcPr>
            <w:tcW w:w="720" w:type="dxa"/>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Φ</w:t>
            </w:r>
          </w:p>
        </w:tc>
        <w:tc>
          <w:tcPr>
            <w:tcW w:w="816"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Μ</w:t>
            </w:r>
          </w:p>
        </w:tc>
        <w:tc>
          <w:tcPr>
            <w:tcW w:w="734"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Α</w:t>
            </w:r>
          </w:p>
        </w:tc>
        <w:tc>
          <w:tcPr>
            <w:tcW w:w="641"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Μ</w:t>
            </w:r>
          </w:p>
        </w:tc>
        <w:tc>
          <w:tcPr>
            <w:tcW w:w="1157" w:type="dxa"/>
            <w:shd w:val="clear" w:color="auto" w:fill="D3DFEE"/>
            <w:vAlign w:val="center"/>
          </w:tcPr>
          <w:p w:rsidR="00BE6140" w:rsidRPr="00CB6CE9" w:rsidRDefault="00BE6140" w:rsidP="00951945">
            <w:pPr>
              <w:jc w:val="center"/>
              <w:rPr>
                <w:rFonts w:ascii="Century Gothic" w:hAnsi="Century Gothic" w:cs="Times New Roman"/>
                <w:b/>
                <w:bCs/>
                <w:color w:val="000000"/>
                <w:sz w:val="18"/>
                <w:szCs w:val="18"/>
              </w:rPr>
            </w:pPr>
            <w:r w:rsidRPr="00CB6CE9">
              <w:rPr>
                <w:rFonts w:ascii="Century Gothic" w:hAnsi="Century Gothic" w:cs="Times New Roman"/>
                <w:b/>
                <w:bCs/>
                <w:color w:val="000000"/>
                <w:sz w:val="18"/>
                <w:szCs w:val="18"/>
              </w:rPr>
              <w:t>Ι</w:t>
            </w:r>
          </w:p>
        </w:tc>
        <w:tc>
          <w:tcPr>
            <w:tcW w:w="999"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Ι</w:t>
            </w:r>
          </w:p>
        </w:tc>
        <w:tc>
          <w:tcPr>
            <w:tcW w:w="566" w:type="dxa"/>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Α</w:t>
            </w:r>
          </w:p>
        </w:tc>
        <w:tc>
          <w:tcPr>
            <w:tcW w:w="567"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Σ</w:t>
            </w:r>
          </w:p>
        </w:tc>
        <w:tc>
          <w:tcPr>
            <w:tcW w:w="567"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Ο</w:t>
            </w:r>
          </w:p>
        </w:tc>
        <w:tc>
          <w:tcPr>
            <w:tcW w:w="567"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Ν</w:t>
            </w:r>
          </w:p>
        </w:tc>
        <w:tc>
          <w:tcPr>
            <w:tcW w:w="650"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Δ</w:t>
            </w:r>
          </w:p>
        </w:tc>
      </w:tr>
      <w:tr w:rsidR="00BE6140" w:rsidRPr="00CB6CE9" w:rsidTr="00616866">
        <w:trPr>
          <w:trHeight w:val="77"/>
          <w:jc w:val="center"/>
        </w:trPr>
        <w:tc>
          <w:tcPr>
            <w:tcW w:w="716" w:type="dxa"/>
            <w:shd w:val="clear" w:color="auto" w:fill="DBE5F1"/>
            <w:vAlign w:val="center"/>
          </w:tcPr>
          <w:p w:rsidR="00BE6140" w:rsidRPr="00CB6CE9" w:rsidRDefault="00BE6140" w:rsidP="00951945">
            <w:pPr>
              <w:jc w:val="center"/>
              <w:rPr>
                <w:rFonts w:ascii="Century Gothic" w:hAnsi="Century Gothic" w:cs="Times New Roman"/>
                <w:bCs/>
                <w:color w:val="000000"/>
                <w:sz w:val="18"/>
                <w:szCs w:val="18"/>
              </w:rPr>
            </w:pPr>
            <w:r w:rsidRPr="00CB6CE9">
              <w:rPr>
                <w:rFonts w:ascii="Century Gothic" w:hAnsi="Century Gothic" w:cs="Times New Roman"/>
                <w:bCs/>
                <w:color w:val="000000"/>
                <w:sz w:val="18"/>
                <w:szCs w:val="18"/>
              </w:rPr>
              <w:t>71,4</w:t>
            </w:r>
          </w:p>
        </w:tc>
        <w:tc>
          <w:tcPr>
            <w:tcW w:w="720" w:type="dxa"/>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71,6</w:t>
            </w:r>
          </w:p>
        </w:tc>
        <w:tc>
          <w:tcPr>
            <w:tcW w:w="816" w:type="dxa"/>
            <w:gridSpan w:val="2"/>
            <w:shd w:val="clear" w:color="auto" w:fill="DBE5F1"/>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75,7</w:t>
            </w:r>
          </w:p>
        </w:tc>
        <w:tc>
          <w:tcPr>
            <w:tcW w:w="734" w:type="dxa"/>
            <w:gridSpan w:val="2"/>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81,6</w:t>
            </w:r>
          </w:p>
        </w:tc>
        <w:tc>
          <w:tcPr>
            <w:tcW w:w="641" w:type="dxa"/>
            <w:gridSpan w:val="2"/>
            <w:shd w:val="clear" w:color="auto" w:fill="DBE5F1"/>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77,1</w:t>
            </w:r>
          </w:p>
        </w:tc>
        <w:tc>
          <w:tcPr>
            <w:tcW w:w="1157" w:type="dxa"/>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74,1</w:t>
            </w:r>
          </w:p>
        </w:tc>
        <w:tc>
          <w:tcPr>
            <w:tcW w:w="999" w:type="dxa"/>
            <w:gridSpan w:val="2"/>
            <w:shd w:val="clear" w:color="auto" w:fill="DBE5F1"/>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73,5</w:t>
            </w:r>
          </w:p>
        </w:tc>
        <w:tc>
          <w:tcPr>
            <w:tcW w:w="566" w:type="dxa"/>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75,8</w:t>
            </w:r>
          </w:p>
        </w:tc>
        <w:tc>
          <w:tcPr>
            <w:tcW w:w="567" w:type="dxa"/>
            <w:gridSpan w:val="2"/>
            <w:shd w:val="clear" w:color="auto" w:fill="DBE5F1"/>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80,9</w:t>
            </w:r>
          </w:p>
        </w:tc>
        <w:tc>
          <w:tcPr>
            <w:tcW w:w="567" w:type="dxa"/>
            <w:gridSpan w:val="2"/>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81,0</w:t>
            </w:r>
          </w:p>
        </w:tc>
        <w:tc>
          <w:tcPr>
            <w:tcW w:w="567" w:type="dxa"/>
            <w:gridSpan w:val="2"/>
            <w:shd w:val="clear" w:color="auto" w:fill="DBE5F1"/>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80,4</w:t>
            </w:r>
          </w:p>
        </w:tc>
        <w:tc>
          <w:tcPr>
            <w:tcW w:w="650" w:type="dxa"/>
            <w:gridSpan w:val="2"/>
            <w:shd w:val="clear" w:color="auto" w:fill="DBE5F1"/>
            <w:vAlign w:val="center"/>
          </w:tcPr>
          <w:p w:rsidR="00BE6140" w:rsidRPr="00CB6CE9" w:rsidRDefault="00BE6140" w:rsidP="00951945">
            <w:pPr>
              <w:jc w:val="center"/>
              <w:rPr>
                <w:rFonts w:ascii="Century Gothic" w:hAnsi="Century Gothic" w:cs="Times New Roman"/>
                <w:bCs/>
                <w:color w:val="000000"/>
                <w:sz w:val="18"/>
                <w:szCs w:val="18"/>
              </w:rPr>
            </w:pPr>
            <w:r w:rsidRPr="00CB6CE9">
              <w:rPr>
                <w:rFonts w:ascii="Century Gothic" w:hAnsi="Century Gothic" w:cs="Times New Roman"/>
                <w:bCs/>
                <w:color w:val="000000"/>
                <w:sz w:val="18"/>
                <w:szCs w:val="18"/>
              </w:rPr>
              <w:t>83,6</w:t>
            </w:r>
          </w:p>
        </w:tc>
      </w:tr>
      <w:tr w:rsidR="00BE6140" w:rsidRPr="00CB6CE9" w:rsidTr="00616866">
        <w:trPr>
          <w:gridAfter w:val="1"/>
          <w:wAfter w:w="26" w:type="dxa"/>
          <w:trHeight w:val="77"/>
          <w:jc w:val="center"/>
        </w:trPr>
        <w:tc>
          <w:tcPr>
            <w:tcW w:w="8674" w:type="dxa"/>
            <w:gridSpan w:val="19"/>
            <w:shd w:val="clear" w:color="auto" w:fill="943634"/>
            <w:vAlign w:val="center"/>
          </w:tcPr>
          <w:p w:rsidR="00BE6140" w:rsidRPr="00CB6CE9" w:rsidRDefault="00BE6140" w:rsidP="00951945">
            <w:pPr>
              <w:pStyle w:val="7"/>
              <w:jc w:val="center"/>
              <w:rPr>
                <w:rFonts w:ascii="Century Gothic" w:hAnsi="Century Gothic"/>
                <w:color w:val="FFFFFF"/>
              </w:rPr>
            </w:pPr>
            <w:r w:rsidRPr="00CB6CE9">
              <w:rPr>
                <w:rFonts w:ascii="Century Gothic" w:hAnsi="Century Gothic"/>
                <w:color w:val="FFFFFF"/>
              </w:rPr>
              <w:t>2013</w:t>
            </w:r>
          </w:p>
        </w:tc>
      </w:tr>
      <w:tr w:rsidR="00BE6140" w:rsidRPr="00CB6CE9" w:rsidTr="00616866">
        <w:trPr>
          <w:trHeight w:val="77"/>
          <w:jc w:val="center"/>
        </w:trPr>
        <w:tc>
          <w:tcPr>
            <w:tcW w:w="716" w:type="dxa"/>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Ι</w:t>
            </w:r>
          </w:p>
        </w:tc>
        <w:tc>
          <w:tcPr>
            <w:tcW w:w="720" w:type="dxa"/>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Φ</w:t>
            </w:r>
          </w:p>
        </w:tc>
        <w:tc>
          <w:tcPr>
            <w:tcW w:w="816"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Μ</w:t>
            </w:r>
          </w:p>
        </w:tc>
        <w:tc>
          <w:tcPr>
            <w:tcW w:w="734"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Α</w:t>
            </w:r>
          </w:p>
        </w:tc>
        <w:tc>
          <w:tcPr>
            <w:tcW w:w="641"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Μ</w:t>
            </w:r>
          </w:p>
        </w:tc>
        <w:tc>
          <w:tcPr>
            <w:tcW w:w="1157" w:type="dxa"/>
            <w:shd w:val="clear" w:color="auto" w:fill="D3DFEE"/>
            <w:vAlign w:val="center"/>
          </w:tcPr>
          <w:p w:rsidR="00BE6140" w:rsidRPr="00CB6CE9" w:rsidRDefault="00BE6140" w:rsidP="00951945">
            <w:pPr>
              <w:jc w:val="center"/>
              <w:rPr>
                <w:rFonts w:ascii="Century Gothic" w:hAnsi="Century Gothic" w:cs="Times New Roman"/>
                <w:b/>
                <w:bCs/>
                <w:color w:val="000000"/>
                <w:sz w:val="18"/>
                <w:szCs w:val="18"/>
              </w:rPr>
            </w:pPr>
            <w:r w:rsidRPr="00CB6CE9">
              <w:rPr>
                <w:rFonts w:ascii="Century Gothic" w:hAnsi="Century Gothic" w:cs="Times New Roman"/>
                <w:b/>
                <w:bCs/>
                <w:color w:val="000000"/>
                <w:sz w:val="18"/>
                <w:szCs w:val="18"/>
              </w:rPr>
              <w:t>Ι</w:t>
            </w:r>
          </w:p>
        </w:tc>
        <w:tc>
          <w:tcPr>
            <w:tcW w:w="999"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Ι</w:t>
            </w:r>
          </w:p>
        </w:tc>
        <w:tc>
          <w:tcPr>
            <w:tcW w:w="566" w:type="dxa"/>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Α</w:t>
            </w:r>
          </w:p>
        </w:tc>
        <w:tc>
          <w:tcPr>
            <w:tcW w:w="567"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Σ</w:t>
            </w:r>
          </w:p>
        </w:tc>
        <w:tc>
          <w:tcPr>
            <w:tcW w:w="567"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Ο</w:t>
            </w:r>
          </w:p>
        </w:tc>
        <w:tc>
          <w:tcPr>
            <w:tcW w:w="567"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Ν</w:t>
            </w:r>
          </w:p>
        </w:tc>
        <w:tc>
          <w:tcPr>
            <w:tcW w:w="650"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Δ</w:t>
            </w:r>
          </w:p>
        </w:tc>
      </w:tr>
      <w:tr w:rsidR="00BE6140" w:rsidRPr="00CB6CE9" w:rsidTr="00616866">
        <w:trPr>
          <w:trHeight w:val="77"/>
          <w:jc w:val="center"/>
        </w:trPr>
        <w:tc>
          <w:tcPr>
            <w:tcW w:w="716" w:type="dxa"/>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83,7</w:t>
            </w:r>
          </w:p>
        </w:tc>
        <w:tc>
          <w:tcPr>
            <w:tcW w:w="720" w:type="dxa"/>
            <w:tcBorders>
              <w:bottom w:val="single" w:sz="4" w:space="0" w:color="943634"/>
            </w:tcBorders>
            <w:shd w:val="clear" w:color="auto" w:fill="D3DFEE"/>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84,4</w:t>
            </w:r>
          </w:p>
        </w:tc>
        <w:tc>
          <w:tcPr>
            <w:tcW w:w="816"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87,1</w:t>
            </w:r>
          </w:p>
        </w:tc>
        <w:tc>
          <w:tcPr>
            <w:tcW w:w="734" w:type="dxa"/>
            <w:gridSpan w:val="2"/>
            <w:tcBorders>
              <w:bottom w:val="single" w:sz="4" w:space="0" w:color="943634"/>
            </w:tcBorders>
            <w:shd w:val="clear" w:color="auto" w:fill="D3DFEE"/>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90,3</w:t>
            </w:r>
          </w:p>
        </w:tc>
        <w:tc>
          <w:tcPr>
            <w:tcW w:w="641"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92,6</w:t>
            </w:r>
          </w:p>
        </w:tc>
        <w:tc>
          <w:tcPr>
            <w:tcW w:w="1157" w:type="dxa"/>
            <w:tcBorders>
              <w:bottom w:val="single" w:sz="4" w:space="0" w:color="943634"/>
            </w:tcBorders>
            <w:shd w:val="clear" w:color="auto" w:fill="D3DFEE"/>
            <w:vAlign w:val="center"/>
          </w:tcPr>
          <w:p w:rsidR="00BE6140" w:rsidRPr="00CB6CE9" w:rsidRDefault="00BE6140" w:rsidP="00951945">
            <w:pPr>
              <w:jc w:val="center"/>
              <w:rPr>
                <w:rFonts w:ascii="Century Gothic" w:hAnsi="Century Gothic" w:cs="Times New Roman"/>
                <w:bCs/>
                <w:color w:val="000000"/>
                <w:sz w:val="18"/>
                <w:szCs w:val="18"/>
              </w:rPr>
            </w:pPr>
            <w:r>
              <w:rPr>
                <w:rFonts w:ascii="Century Gothic" w:hAnsi="Century Gothic" w:cs="Times New Roman"/>
                <w:bCs/>
                <w:color w:val="000000"/>
                <w:sz w:val="18"/>
                <w:szCs w:val="18"/>
              </w:rPr>
              <w:t>88,8</w:t>
            </w:r>
          </w:p>
        </w:tc>
        <w:tc>
          <w:tcPr>
            <w:tcW w:w="999"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Pr>
                <w:rFonts w:ascii="Century Gothic" w:hAnsi="Century Gothic"/>
                <w:b w:val="0"/>
                <w:i w:val="0"/>
                <w:iCs w:val="0"/>
                <w:color w:val="000000"/>
              </w:rPr>
              <w:t>86,2</w:t>
            </w:r>
          </w:p>
        </w:tc>
        <w:tc>
          <w:tcPr>
            <w:tcW w:w="566" w:type="dxa"/>
            <w:tcBorders>
              <w:bottom w:val="single" w:sz="4" w:space="0" w:color="943634"/>
            </w:tcBorders>
            <w:shd w:val="clear" w:color="auto" w:fill="D3DFEE"/>
            <w:vAlign w:val="center"/>
          </w:tcPr>
          <w:p w:rsidR="00BE6140" w:rsidRPr="00CB6CE9" w:rsidRDefault="00BE6140" w:rsidP="00951945">
            <w:pPr>
              <w:pStyle w:val="2"/>
              <w:rPr>
                <w:rFonts w:ascii="Century Gothic" w:hAnsi="Century Gothic"/>
                <w:b w:val="0"/>
                <w:i w:val="0"/>
                <w:iCs w:val="0"/>
                <w:color w:val="000000"/>
              </w:rPr>
            </w:pPr>
            <w:r>
              <w:rPr>
                <w:rFonts w:ascii="Century Gothic" w:hAnsi="Century Gothic"/>
                <w:b w:val="0"/>
                <w:i w:val="0"/>
                <w:iCs w:val="0"/>
                <w:color w:val="000000"/>
              </w:rPr>
              <w:t>88,0</w:t>
            </w:r>
          </w:p>
        </w:tc>
        <w:tc>
          <w:tcPr>
            <w:tcW w:w="567"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Pr>
                <w:rFonts w:ascii="Century Gothic" w:hAnsi="Century Gothic"/>
                <w:b w:val="0"/>
                <w:i w:val="0"/>
                <w:iCs w:val="0"/>
                <w:color w:val="000000"/>
              </w:rPr>
              <w:t>96,1</w:t>
            </w:r>
          </w:p>
        </w:tc>
        <w:tc>
          <w:tcPr>
            <w:tcW w:w="567" w:type="dxa"/>
            <w:gridSpan w:val="2"/>
            <w:tcBorders>
              <w:bottom w:val="single" w:sz="4" w:space="0" w:color="943634"/>
            </w:tcBorders>
            <w:shd w:val="clear" w:color="auto" w:fill="D3DFEE"/>
            <w:vAlign w:val="center"/>
          </w:tcPr>
          <w:p w:rsidR="00BE6140" w:rsidRPr="00CB6CE9" w:rsidRDefault="00BE6140" w:rsidP="00951945">
            <w:pPr>
              <w:pStyle w:val="2"/>
              <w:rPr>
                <w:rFonts w:ascii="Century Gothic" w:hAnsi="Century Gothic"/>
                <w:b w:val="0"/>
                <w:i w:val="0"/>
                <w:iCs w:val="0"/>
                <w:color w:val="000000"/>
              </w:rPr>
            </w:pPr>
          </w:p>
        </w:tc>
        <w:tc>
          <w:tcPr>
            <w:tcW w:w="567"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p>
        </w:tc>
        <w:tc>
          <w:tcPr>
            <w:tcW w:w="650" w:type="dxa"/>
            <w:gridSpan w:val="2"/>
            <w:tcBorders>
              <w:bottom w:val="single" w:sz="4" w:space="0" w:color="943634"/>
            </w:tcBorders>
            <w:shd w:val="clear" w:color="auto" w:fill="DBE5F1"/>
            <w:vAlign w:val="center"/>
          </w:tcPr>
          <w:p w:rsidR="00BE6140" w:rsidRPr="00CB6CE9" w:rsidRDefault="00BE6140" w:rsidP="00951945">
            <w:pPr>
              <w:pStyle w:val="2"/>
              <w:rPr>
                <w:rFonts w:ascii="Century Gothic" w:hAnsi="Century Gothic"/>
                <w:b w:val="0"/>
                <w:i w:val="0"/>
                <w:iCs w:val="0"/>
                <w:color w:val="000000"/>
              </w:rPr>
            </w:pPr>
          </w:p>
        </w:tc>
      </w:tr>
    </w:tbl>
    <w:p w:rsidR="00BE6140" w:rsidRPr="00CB6CE9" w:rsidRDefault="00BE6140" w:rsidP="0089042D">
      <w:pPr>
        <w:jc w:val="both"/>
        <w:rPr>
          <w:rFonts w:ascii="Century Gothic" w:hAnsi="Century Gothic" w:cs="Times New Roman"/>
          <w:b/>
          <w:bCs/>
          <w:i/>
          <w:iCs/>
          <w:sz w:val="18"/>
          <w:szCs w:val="18"/>
        </w:rPr>
      </w:pPr>
      <w:r w:rsidRPr="00CB6CE9">
        <w:rPr>
          <w:rFonts w:ascii="Century Gothic" w:hAnsi="Century Gothic" w:cs="Times New Roman"/>
          <w:b/>
          <w:bCs/>
          <w:sz w:val="18"/>
          <w:szCs w:val="18"/>
        </w:rPr>
        <w:t>Σημείωση:</w:t>
      </w:r>
      <w:r w:rsidRPr="00CB6CE9">
        <w:rPr>
          <w:rFonts w:ascii="Century Gothic" w:hAnsi="Century Gothic" w:cs="Times New Roman"/>
          <w:sz w:val="18"/>
          <w:szCs w:val="18"/>
        </w:rPr>
        <w:t xml:space="preserve"> Ο δείκτης επιχειρηματικών προσδοκιών υπολογίζεται με βάση τις προβλέψεις παραγωγής, τις εκτιμήσεις για το ύψος των αποθεμάτων και τις εκτιμήσεις για τις παραγγελίες και τη ζήτηση. </w:t>
      </w:r>
    </w:p>
    <w:p w:rsidR="00BE6140" w:rsidRPr="00CB6CE9" w:rsidRDefault="00BE6140" w:rsidP="0089042D">
      <w:pPr>
        <w:spacing w:line="288" w:lineRule="auto"/>
        <w:jc w:val="both"/>
        <w:outlineLvl w:val="0"/>
        <w:rPr>
          <w:rFonts w:ascii="Century Gothic" w:hAnsi="Century Gothic" w:cs="Times New Roman"/>
          <w:sz w:val="18"/>
          <w:szCs w:val="18"/>
        </w:rPr>
      </w:pPr>
      <w:r w:rsidRPr="00CB6CE9">
        <w:rPr>
          <w:rFonts w:ascii="Century Gothic" w:hAnsi="Century Gothic" w:cs="Times New Roman"/>
          <w:b/>
          <w:bCs/>
          <w:sz w:val="18"/>
          <w:szCs w:val="18"/>
        </w:rPr>
        <w:t>Πηγή:</w:t>
      </w:r>
      <w:r w:rsidRPr="00CB6CE9">
        <w:rPr>
          <w:rFonts w:ascii="Century Gothic" w:hAnsi="Century Gothic" w:cs="Times New Roman"/>
          <w:sz w:val="18"/>
          <w:szCs w:val="18"/>
        </w:rPr>
        <w:t xml:space="preserve"> </w:t>
      </w:r>
      <w:r w:rsidRPr="00CB6CE9">
        <w:rPr>
          <w:rFonts w:ascii="Century Gothic" w:hAnsi="Century Gothic" w:cs="Times New Roman"/>
          <w:sz w:val="18"/>
          <w:szCs w:val="18"/>
          <w:lang w:val="en-US"/>
        </w:rPr>
        <w:t>IOBE</w:t>
      </w:r>
    </w:p>
    <w:p w:rsidR="00BE6140" w:rsidRPr="00CB6CE9" w:rsidRDefault="00BE6140" w:rsidP="0089042D">
      <w:pPr>
        <w:spacing w:line="288" w:lineRule="auto"/>
        <w:jc w:val="both"/>
        <w:rPr>
          <w:rFonts w:ascii="Century Gothic" w:hAnsi="Century Gothic" w:cs="Times New Roman"/>
          <w:sz w:val="18"/>
          <w:szCs w:val="18"/>
        </w:rPr>
      </w:pPr>
    </w:p>
    <w:p w:rsidR="00BE6140" w:rsidRPr="00CB6CE9" w:rsidRDefault="00BE6140" w:rsidP="0089042D">
      <w:pPr>
        <w:spacing w:line="288" w:lineRule="auto"/>
        <w:ind w:left="-284" w:right="-428"/>
        <w:jc w:val="center"/>
        <w:rPr>
          <w:rFonts w:ascii="Century Gothic" w:hAnsi="Century Gothic" w:cs="Times New Roman"/>
          <w:sz w:val="18"/>
          <w:szCs w:val="18"/>
        </w:rPr>
      </w:pPr>
      <w:r w:rsidRPr="00464B3E">
        <w:rPr>
          <w:rFonts w:ascii="Century Gothic" w:hAnsi="Century Gothic" w:cs="Times New Roman"/>
          <w:b/>
          <w:bCs/>
          <w:sz w:val="18"/>
          <w:szCs w:val="18"/>
        </w:rPr>
        <w:t>Διάγραμμα 2</w:t>
      </w:r>
      <w:r w:rsidRPr="00464B3E">
        <w:rPr>
          <w:rFonts w:ascii="Century Gothic" w:hAnsi="Century Gothic" w:cs="Times New Roman"/>
          <w:sz w:val="18"/>
          <w:szCs w:val="18"/>
        </w:rPr>
        <w:t>: Δείκτης Επιχειρηματικών Προσδοκιών στη Βιομηχανία (1996-2006=100)</w:t>
      </w:r>
    </w:p>
    <w:p w:rsidR="00BE6140" w:rsidRPr="00CB6CE9" w:rsidRDefault="005C53FF" w:rsidP="0089042D">
      <w:pPr>
        <w:ind w:left="-284" w:right="-428"/>
        <w:jc w:val="center"/>
        <w:rPr>
          <w:rFonts w:ascii="Century Gothic" w:hAnsi="Century Gothic" w:cs="Times New Roman"/>
          <w:noProof/>
          <w:sz w:val="18"/>
          <w:szCs w:val="18"/>
        </w:rPr>
      </w:pPr>
      <w:r>
        <w:rPr>
          <w:noProof/>
          <w:szCs w:val="18"/>
        </w:rPr>
        <w:drawing>
          <wp:inline distT="0" distB="0" distL="0" distR="0">
            <wp:extent cx="5287645" cy="2926080"/>
            <wp:effectExtent l="19050" t="0" r="8255" b="0"/>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287645" cy="2926080"/>
                    </a:xfrm>
                    <a:prstGeom prst="rect">
                      <a:avLst/>
                    </a:prstGeom>
                    <a:noFill/>
                    <a:ln w="9525">
                      <a:noFill/>
                      <a:miter lim="800000"/>
                      <a:headEnd/>
                      <a:tailEnd/>
                    </a:ln>
                  </pic:spPr>
                </pic:pic>
              </a:graphicData>
            </a:graphic>
          </wp:inline>
        </w:drawing>
      </w:r>
    </w:p>
    <w:p w:rsidR="00BE6140" w:rsidRPr="00CB6CE9" w:rsidRDefault="00BE6140" w:rsidP="0089042D">
      <w:pPr>
        <w:pStyle w:val="a7"/>
        <w:spacing w:line="288" w:lineRule="auto"/>
        <w:outlineLvl w:val="0"/>
        <w:rPr>
          <w:rFonts w:ascii="Century Gothic" w:hAnsi="Century Gothic"/>
          <w:sz w:val="18"/>
          <w:szCs w:val="18"/>
          <w:u w:val="none"/>
        </w:rPr>
      </w:pPr>
      <w:r w:rsidRPr="00CB6CE9">
        <w:rPr>
          <w:rFonts w:ascii="Century Gothic" w:hAnsi="Century Gothic"/>
          <w:b/>
          <w:bCs/>
          <w:sz w:val="18"/>
          <w:szCs w:val="18"/>
          <w:u w:val="none"/>
        </w:rPr>
        <w:t>Πηγή:</w:t>
      </w:r>
      <w:r w:rsidRPr="00CB6CE9">
        <w:rPr>
          <w:rFonts w:ascii="Century Gothic" w:hAnsi="Century Gothic"/>
          <w:sz w:val="18"/>
          <w:szCs w:val="18"/>
          <w:u w:val="none"/>
        </w:rPr>
        <w:t xml:space="preserve"> </w:t>
      </w:r>
      <w:r w:rsidRPr="00CB6CE9">
        <w:rPr>
          <w:rFonts w:ascii="Century Gothic" w:hAnsi="Century Gothic"/>
          <w:sz w:val="18"/>
          <w:szCs w:val="18"/>
          <w:u w:val="none"/>
          <w:lang w:val="en-US"/>
        </w:rPr>
        <w:t>IOBE</w:t>
      </w:r>
    </w:p>
    <w:p w:rsidR="00BE6140" w:rsidRDefault="00BE6140" w:rsidP="0089042D"/>
    <w:p w:rsidR="00BE6140" w:rsidRPr="00CB6CE9" w:rsidRDefault="00BE6140" w:rsidP="00A067D8">
      <w:pPr>
        <w:shd w:val="clear" w:color="auto" w:fill="DBE5F1"/>
        <w:spacing w:before="100" w:beforeAutospacing="1" w:after="100" w:afterAutospacing="1" w:line="288" w:lineRule="auto"/>
        <w:ind w:right="-142"/>
        <w:jc w:val="both"/>
        <w:rPr>
          <w:rFonts w:ascii="Century Gothic" w:hAnsi="Century Gothic" w:cs="Times New Roman"/>
          <w:b/>
          <w:bCs/>
          <w:sz w:val="22"/>
          <w:szCs w:val="22"/>
        </w:rPr>
      </w:pPr>
      <w:r>
        <w:rPr>
          <w:rFonts w:ascii="Century Gothic" w:hAnsi="Century Gothic" w:cs="Times New Roman"/>
          <w:b/>
          <w:bCs/>
          <w:sz w:val="22"/>
          <w:szCs w:val="22"/>
          <w:u w:val="single"/>
        </w:rPr>
        <w:t>Κ</w:t>
      </w:r>
      <w:r w:rsidRPr="00CB6CE9">
        <w:rPr>
          <w:rFonts w:ascii="Century Gothic" w:hAnsi="Century Gothic" w:cs="Times New Roman"/>
          <w:b/>
          <w:bCs/>
          <w:sz w:val="22"/>
          <w:szCs w:val="22"/>
          <w:u w:val="single"/>
        </w:rPr>
        <w:t>ΑΤΑΣΚΕΥΕΣ</w:t>
      </w:r>
      <w:r w:rsidRPr="00CB6CE9">
        <w:rPr>
          <w:rFonts w:ascii="Century Gothic" w:hAnsi="Century Gothic" w:cs="Times New Roman"/>
          <w:b/>
          <w:bCs/>
          <w:sz w:val="22"/>
          <w:szCs w:val="22"/>
        </w:rPr>
        <w:t xml:space="preserve">: </w:t>
      </w:r>
      <w:r w:rsidRPr="00CB6CE9">
        <w:rPr>
          <w:rFonts w:ascii="Century Gothic" w:hAnsi="Century Gothic" w:cs="Times New Roman"/>
          <w:b/>
          <w:bCs/>
          <w:sz w:val="22"/>
          <w:szCs w:val="22"/>
        </w:rPr>
        <w:tab/>
      </w:r>
      <w:r>
        <w:rPr>
          <w:rFonts w:ascii="Century Gothic" w:hAnsi="Century Gothic" w:cs="Times New Roman"/>
          <w:b/>
          <w:bCs/>
          <w:sz w:val="22"/>
          <w:szCs w:val="22"/>
        </w:rPr>
        <w:t>Βελτίωση των προσδοκιών, κυρίως στα Δημόσια Έργα</w:t>
      </w:r>
    </w:p>
    <w:p w:rsidR="00BE6140" w:rsidRDefault="00BE6140" w:rsidP="00A067D8">
      <w:pPr>
        <w:tabs>
          <w:tab w:val="left" w:pos="-142"/>
          <w:tab w:val="left" w:pos="1985"/>
        </w:tabs>
        <w:spacing w:before="100" w:beforeAutospacing="1" w:after="100" w:afterAutospacing="1" w:line="276" w:lineRule="auto"/>
        <w:jc w:val="both"/>
        <w:rPr>
          <w:rFonts w:ascii="Century Gothic" w:hAnsi="Century Gothic" w:cs="Times New Roman"/>
          <w:sz w:val="20"/>
          <w:szCs w:val="20"/>
        </w:rPr>
      </w:pPr>
      <w:r w:rsidRPr="00CB6CE9">
        <w:rPr>
          <w:rFonts w:ascii="Century Gothic" w:hAnsi="Century Gothic" w:cs="Times New Roman"/>
          <w:sz w:val="20"/>
          <w:szCs w:val="20"/>
        </w:rPr>
        <w:t xml:space="preserve">Ο Δείκτης Επιχειρηματικών Προσδοκιών στις Κατασκευές ανακάμπτει </w:t>
      </w:r>
      <w:r>
        <w:rPr>
          <w:rFonts w:ascii="Century Gothic" w:hAnsi="Century Gothic" w:cs="Times New Roman"/>
          <w:sz w:val="20"/>
          <w:szCs w:val="20"/>
        </w:rPr>
        <w:t xml:space="preserve">για έκτο κατά σειρά μήνα </w:t>
      </w:r>
      <w:r w:rsidRPr="00CB6CE9">
        <w:rPr>
          <w:rFonts w:ascii="Century Gothic" w:hAnsi="Century Gothic" w:cs="Times New Roman"/>
          <w:sz w:val="20"/>
          <w:szCs w:val="20"/>
        </w:rPr>
        <w:t xml:space="preserve">και διαμορφώνεται τον </w:t>
      </w:r>
      <w:r>
        <w:rPr>
          <w:rFonts w:ascii="Century Gothic" w:hAnsi="Century Gothic" w:cs="Times New Roman"/>
          <w:sz w:val="20"/>
          <w:szCs w:val="20"/>
        </w:rPr>
        <w:t xml:space="preserve">Σεπτέμβριο στις 89,7 μονάδες (από 72,3 τον Ιούλιο), στην υψηλότερη </w:t>
      </w:r>
      <w:r w:rsidRPr="00CB6CE9">
        <w:rPr>
          <w:rFonts w:ascii="Century Gothic" w:hAnsi="Century Gothic" w:cs="Times New Roman"/>
          <w:sz w:val="20"/>
          <w:szCs w:val="20"/>
        </w:rPr>
        <w:t>επίδοσ</w:t>
      </w:r>
      <w:r>
        <w:rPr>
          <w:rFonts w:ascii="Century Gothic" w:hAnsi="Century Gothic" w:cs="Times New Roman"/>
          <w:sz w:val="20"/>
          <w:szCs w:val="20"/>
        </w:rPr>
        <w:t>ή του</w:t>
      </w:r>
      <w:r w:rsidRPr="00CB6CE9">
        <w:rPr>
          <w:rFonts w:ascii="Century Gothic" w:hAnsi="Century Gothic" w:cs="Times New Roman"/>
          <w:sz w:val="20"/>
          <w:szCs w:val="20"/>
        </w:rPr>
        <w:t xml:space="preserve"> </w:t>
      </w:r>
      <w:r>
        <w:rPr>
          <w:rFonts w:ascii="Century Gothic" w:hAnsi="Century Gothic" w:cs="Times New Roman"/>
          <w:sz w:val="20"/>
          <w:szCs w:val="20"/>
        </w:rPr>
        <w:t>από τον Οκτώβριο του 2008</w:t>
      </w:r>
      <w:r w:rsidRPr="00CB6CE9">
        <w:rPr>
          <w:rFonts w:ascii="Century Gothic" w:hAnsi="Century Gothic" w:cs="Times New Roman"/>
          <w:sz w:val="20"/>
          <w:szCs w:val="20"/>
        </w:rPr>
        <w:t xml:space="preserve">. </w:t>
      </w:r>
      <w:r>
        <w:rPr>
          <w:rFonts w:ascii="Century Gothic" w:hAnsi="Century Gothic" w:cs="Times New Roman"/>
          <w:b/>
          <w:sz w:val="20"/>
          <w:szCs w:val="20"/>
        </w:rPr>
        <w:t xml:space="preserve">Το επίπεδο των </w:t>
      </w:r>
      <w:r>
        <w:rPr>
          <w:rFonts w:ascii="Century Gothic" w:hAnsi="Century Gothic" w:cs="Times New Roman"/>
          <w:b/>
          <w:bCs/>
          <w:sz w:val="20"/>
          <w:szCs w:val="20"/>
        </w:rPr>
        <w:t xml:space="preserve">προγραμματισμένων εργασιών κερδίζει αισθητά έδαφος, όμως παραμένει σε δυσμενή επίπεδα, ενώ </w:t>
      </w:r>
      <w:r w:rsidRPr="00CB6CE9">
        <w:rPr>
          <w:rFonts w:ascii="Century Gothic" w:hAnsi="Century Gothic" w:cs="Times New Roman"/>
          <w:b/>
          <w:bCs/>
          <w:sz w:val="20"/>
          <w:szCs w:val="20"/>
        </w:rPr>
        <w:t>οι</w:t>
      </w:r>
      <w:r>
        <w:rPr>
          <w:rFonts w:ascii="Century Gothic" w:hAnsi="Century Gothic" w:cs="Times New Roman"/>
          <w:b/>
          <w:bCs/>
          <w:sz w:val="20"/>
          <w:szCs w:val="20"/>
        </w:rPr>
        <w:t xml:space="preserve"> </w:t>
      </w:r>
      <w:r w:rsidRPr="00CB6CE9">
        <w:rPr>
          <w:rFonts w:ascii="Century Gothic" w:hAnsi="Century Gothic" w:cs="Times New Roman"/>
          <w:b/>
          <w:bCs/>
          <w:sz w:val="20"/>
          <w:szCs w:val="20"/>
        </w:rPr>
        <w:t xml:space="preserve">προβλέψεις για την απασχόληση </w:t>
      </w:r>
      <w:r>
        <w:rPr>
          <w:rFonts w:ascii="Century Gothic" w:hAnsi="Century Gothic" w:cs="Times New Roman"/>
          <w:b/>
          <w:bCs/>
          <w:sz w:val="20"/>
          <w:szCs w:val="20"/>
        </w:rPr>
        <w:t>μεταβάλλονται ελαφρώς αρνητικά</w:t>
      </w:r>
      <w:r w:rsidRPr="00CB6CE9">
        <w:rPr>
          <w:rFonts w:ascii="Century Gothic" w:hAnsi="Century Gothic" w:cs="Times New Roman"/>
          <w:b/>
          <w:bCs/>
          <w:sz w:val="20"/>
          <w:szCs w:val="20"/>
        </w:rPr>
        <w:t xml:space="preserve">. </w:t>
      </w:r>
      <w:r w:rsidRPr="00CB6CE9">
        <w:rPr>
          <w:rFonts w:ascii="Century Gothic" w:hAnsi="Century Gothic" w:cs="Times New Roman"/>
          <w:sz w:val="20"/>
          <w:szCs w:val="20"/>
        </w:rPr>
        <w:t xml:space="preserve">Αναλυτικότερα, ο </w:t>
      </w:r>
      <w:r>
        <w:rPr>
          <w:rFonts w:ascii="Century Gothic" w:hAnsi="Century Gothic" w:cs="Times New Roman"/>
          <w:sz w:val="20"/>
          <w:szCs w:val="20"/>
        </w:rPr>
        <w:t xml:space="preserve">αρνητικός </w:t>
      </w:r>
      <w:r w:rsidRPr="00CB6CE9">
        <w:rPr>
          <w:rFonts w:ascii="Century Gothic" w:hAnsi="Century Gothic" w:cs="Times New Roman"/>
          <w:sz w:val="20"/>
          <w:szCs w:val="20"/>
        </w:rPr>
        <w:t xml:space="preserve">δείκτης </w:t>
      </w:r>
      <w:r>
        <w:rPr>
          <w:rFonts w:ascii="Century Gothic" w:hAnsi="Century Gothic" w:cs="Times New Roman"/>
          <w:sz w:val="20"/>
          <w:szCs w:val="20"/>
        </w:rPr>
        <w:t>που αναφέρεται στο</w:t>
      </w:r>
      <w:r w:rsidRPr="00CB6CE9">
        <w:rPr>
          <w:rFonts w:ascii="Century Gothic" w:hAnsi="Century Gothic" w:cs="Times New Roman"/>
          <w:i/>
          <w:iCs/>
          <w:sz w:val="20"/>
          <w:szCs w:val="20"/>
        </w:rPr>
        <w:t xml:space="preserve"> πρ</w:t>
      </w:r>
      <w:r>
        <w:rPr>
          <w:rFonts w:ascii="Century Gothic" w:hAnsi="Century Gothic" w:cs="Times New Roman"/>
          <w:i/>
          <w:iCs/>
          <w:sz w:val="20"/>
          <w:szCs w:val="20"/>
        </w:rPr>
        <w:t>ό</w:t>
      </w:r>
      <w:r w:rsidRPr="00CB6CE9">
        <w:rPr>
          <w:rFonts w:ascii="Century Gothic" w:hAnsi="Century Gothic" w:cs="Times New Roman"/>
          <w:i/>
          <w:iCs/>
          <w:sz w:val="20"/>
          <w:szCs w:val="20"/>
        </w:rPr>
        <w:t>γρ</w:t>
      </w:r>
      <w:r>
        <w:rPr>
          <w:rFonts w:ascii="Century Gothic" w:hAnsi="Century Gothic" w:cs="Times New Roman"/>
          <w:i/>
          <w:iCs/>
          <w:sz w:val="20"/>
          <w:szCs w:val="20"/>
        </w:rPr>
        <w:t>α</w:t>
      </w:r>
      <w:r w:rsidRPr="00CB6CE9">
        <w:rPr>
          <w:rFonts w:ascii="Century Gothic" w:hAnsi="Century Gothic" w:cs="Times New Roman"/>
          <w:i/>
          <w:iCs/>
          <w:sz w:val="20"/>
          <w:szCs w:val="20"/>
        </w:rPr>
        <w:t xml:space="preserve">μμα εργασιών των επιχειρήσεων </w:t>
      </w:r>
      <w:r w:rsidRPr="008D0029">
        <w:rPr>
          <w:rFonts w:ascii="Century Gothic" w:hAnsi="Century Gothic" w:cs="Times New Roman"/>
          <w:iCs/>
          <w:sz w:val="20"/>
          <w:szCs w:val="20"/>
        </w:rPr>
        <w:t>αμβλύνεται</w:t>
      </w:r>
      <w:r>
        <w:rPr>
          <w:rFonts w:ascii="Century Gothic" w:hAnsi="Century Gothic" w:cs="Times New Roman"/>
          <w:i/>
          <w:iCs/>
          <w:sz w:val="20"/>
          <w:szCs w:val="20"/>
        </w:rPr>
        <w:t xml:space="preserve"> </w:t>
      </w:r>
      <w:r>
        <w:rPr>
          <w:rFonts w:ascii="Century Gothic" w:hAnsi="Century Gothic" w:cs="Times New Roman"/>
          <w:iCs/>
          <w:sz w:val="20"/>
          <w:szCs w:val="20"/>
        </w:rPr>
        <w:t xml:space="preserve">εντυπωσιακά </w:t>
      </w:r>
      <w:r w:rsidRPr="00CB6CE9">
        <w:rPr>
          <w:rFonts w:ascii="Century Gothic" w:hAnsi="Century Gothic" w:cs="Times New Roman"/>
          <w:iCs/>
          <w:sz w:val="20"/>
          <w:szCs w:val="20"/>
        </w:rPr>
        <w:t xml:space="preserve">και διαμορφώνεται </w:t>
      </w:r>
      <w:r w:rsidRPr="00CB6CE9">
        <w:rPr>
          <w:rFonts w:ascii="Century Gothic" w:hAnsi="Century Gothic" w:cs="Times New Roman"/>
          <w:sz w:val="20"/>
          <w:szCs w:val="20"/>
        </w:rPr>
        <w:t xml:space="preserve">στις </w:t>
      </w:r>
      <w:r>
        <w:rPr>
          <w:rFonts w:ascii="Century Gothic" w:hAnsi="Century Gothic" w:cs="Times New Roman"/>
          <w:sz w:val="20"/>
          <w:szCs w:val="20"/>
        </w:rPr>
        <w:t xml:space="preserve">-25 μονάδες. Αν και ακόμα πάνω από τις μισές επιχειρήσεις διατυπώνουν </w:t>
      </w:r>
      <w:r w:rsidRPr="00CB6CE9">
        <w:rPr>
          <w:rFonts w:ascii="Century Gothic" w:hAnsi="Century Gothic" w:cs="Times New Roman"/>
          <w:sz w:val="20"/>
          <w:szCs w:val="20"/>
        </w:rPr>
        <w:t>απαισιόδοξες προβλέψεις για τ</w:t>
      </w:r>
      <w:r>
        <w:rPr>
          <w:rFonts w:ascii="Century Gothic" w:hAnsi="Century Gothic" w:cs="Times New Roman"/>
          <w:sz w:val="20"/>
          <w:szCs w:val="20"/>
        </w:rPr>
        <w:t>ο</w:t>
      </w:r>
      <w:r w:rsidRPr="00CB6CE9">
        <w:rPr>
          <w:rFonts w:ascii="Century Gothic" w:hAnsi="Century Gothic" w:cs="Times New Roman"/>
          <w:sz w:val="20"/>
          <w:szCs w:val="20"/>
        </w:rPr>
        <w:t xml:space="preserve"> επίπεδ</w:t>
      </w:r>
      <w:r>
        <w:rPr>
          <w:rFonts w:ascii="Century Gothic" w:hAnsi="Century Gothic" w:cs="Times New Roman"/>
          <w:sz w:val="20"/>
          <w:szCs w:val="20"/>
        </w:rPr>
        <w:t>ο</w:t>
      </w:r>
      <w:r w:rsidRPr="00CB6CE9">
        <w:rPr>
          <w:rFonts w:ascii="Century Gothic" w:hAnsi="Century Gothic" w:cs="Times New Roman"/>
          <w:sz w:val="20"/>
          <w:szCs w:val="20"/>
        </w:rPr>
        <w:t xml:space="preserve"> των εργασιών του</w:t>
      </w:r>
      <w:r>
        <w:rPr>
          <w:rFonts w:ascii="Century Gothic" w:hAnsi="Century Gothic" w:cs="Times New Roman"/>
          <w:sz w:val="20"/>
          <w:szCs w:val="20"/>
        </w:rPr>
        <w:t>ς</w:t>
      </w:r>
      <w:r w:rsidRPr="00CB6CE9">
        <w:rPr>
          <w:rFonts w:ascii="Century Gothic" w:hAnsi="Century Gothic" w:cs="Times New Roman"/>
          <w:sz w:val="20"/>
          <w:szCs w:val="20"/>
        </w:rPr>
        <w:t xml:space="preserve"> το επόμενο τρίμηνο</w:t>
      </w:r>
      <w:r>
        <w:rPr>
          <w:rFonts w:ascii="Century Gothic" w:hAnsi="Century Gothic" w:cs="Times New Roman"/>
          <w:sz w:val="20"/>
          <w:szCs w:val="20"/>
        </w:rPr>
        <w:t xml:space="preserve">, διευρύνεται </w:t>
      </w:r>
      <w:r w:rsidRPr="00CB6CE9">
        <w:rPr>
          <w:rFonts w:ascii="Century Gothic" w:hAnsi="Century Gothic" w:cs="Times New Roman"/>
          <w:sz w:val="20"/>
          <w:szCs w:val="20"/>
        </w:rPr>
        <w:t>και το ποσοστό εκείνων που αναμένουν βελτίωση στο</w:t>
      </w:r>
      <w:r>
        <w:rPr>
          <w:rFonts w:ascii="Century Gothic" w:hAnsi="Century Gothic" w:cs="Times New Roman"/>
          <w:sz w:val="20"/>
          <w:szCs w:val="20"/>
        </w:rPr>
        <w:t xml:space="preserve"> 27% (από 7%). Σε όρους </w:t>
      </w:r>
      <w:r w:rsidRPr="00CB6CE9">
        <w:rPr>
          <w:rFonts w:ascii="Century Gothic" w:hAnsi="Century Gothic" w:cs="Times New Roman"/>
          <w:i/>
          <w:sz w:val="20"/>
          <w:szCs w:val="20"/>
        </w:rPr>
        <w:t>απασχόληση</w:t>
      </w:r>
      <w:r>
        <w:rPr>
          <w:rFonts w:ascii="Century Gothic" w:hAnsi="Century Gothic" w:cs="Times New Roman"/>
          <w:i/>
          <w:sz w:val="20"/>
          <w:szCs w:val="20"/>
        </w:rPr>
        <w:t>ς</w:t>
      </w:r>
      <w:r>
        <w:rPr>
          <w:rFonts w:ascii="Century Gothic" w:hAnsi="Century Gothic" w:cs="Times New Roman"/>
          <w:sz w:val="20"/>
          <w:szCs w:val="20"/>
        </w:rPr>
        <w:t xml:space="preserve">, καταγράφεται ήπια πτώση στο σχετικό ισοζύγιο προβλέψεων, το οποίο και χάνει το θετικό πρόσημο του Ιουλίου (-4 από +3 μον.). </w:t>
      </w:r>
      <w:r w:rsidRPr="00CB6CE9">
        <w:rPr>
          <w:rFonts w:ascii="Century Gothic" w:hAnsi="Century Gothic" w:cs="Times New Roman"/>
          <w:sz w:val="20"/>
          <w:szCs w:val="20"/>
        </w:rPr>
        <w:t xml:space="preserve">Από τα υπόλοιπα στοιχεία δραστηριότητας, οι εκτιμήσεις </w:t>
      </w:r>
      <w:r w:rsidRPr="00CB6CE9">
        <w:rPr>
          <w:rFonts w:ascii="Century Gothic" w:hAnsi="Century Gothic" w:cs="Times New Roman"/>
          <w:sz w:val="20"/>
          <w:szCs w:val="20"/>
        </w:rPr>
        <w:lastRenderedPageBreak/>
        <w:t xml:space="preserve">για την </w:t>
      </w:r>
      <w:r w:rsidRPr="00CB6CE9">
        <w:rPr>
          <w:rFonts w:ascii="Century Gothic" w:hAnsi="Century Gothic" w:cs="Times New Roman"/>
          <w:iCs/>
          <w:sz w:val="20"/>
          <w:szCs w:val="20"/>
        </w:rPr>
        <w:t>τρέχουσα πορεία των εργασιών</w:t>
      </w:r>
      <w:r w:rsidRPr="00CB6CE9">
        <w:rPr>
          <w:rFonts w:ascii="Century Gothic" w:hAnsi="Century Gothic" w:cs="Times New Roman"/>
          <w:sz w:val="20"/>
          <w:szCs w:val="20"/>
        </w:rPr>
        <w:t xml:space="preserve"> </w:t>
      </w:r>
      <w:r>
        <w:rPr>
          <w:rFonts w:ascii="Century Gothic" w:hAnsi="Century Gothic" w:cs="Times New Roman"/>
          <w:sz w:val="20"/>
          <w:szCs w:val="20"/>
        </w:rPr>
        <w:t>κερδίζουν επίσης έδαφος</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κατ’ αναλογία με τις προγραμματισμένες εργασίες, </w:t>
      </w:r>
      <w:r w:rsidRPr="00CB6CE9">
        <w:rPr>
          <w:rFonts w:ascii="Century Gothic" w:hAnsi="Century Gothic" w:cs="Times New Roman"/>
          <w:sz w:val="20"/>
          <w:szCs w:val="20"/>
        </w:rPr>
        <w:t xml:space="preserve">με το σχετικό αρνητικό δείκτη να </w:t>
      </w:r>
      <w:r>
        <w:rPr>
          <w:rFonts w:ascii="Century Gothic" w:hAnsi="Century Gothic" w:cs="Times New Roman"/>
          <w:sz w:val="20"/>
          <w:szCs w:val="20"/>
        </w:rPr>
        <w:t>φθάνει στις +23 (από -22) μονάδες. Ο</w:t>
      </w:r>
      <w:r w:rsidRPr="00CB6CE9">
        <w:rPr>
          <w:rFonts w:ascii="Century Gothic" w:hAnsi="Century Gothic" w:cs="Times New Roman"/>
          <w:sz w:val="20"/>
          <w:szCs w:val="20"/>
        </w:rPr>
        <w:t xml:space="preserve">ι μήνες εξασφαλισμένης δραστηριότητας </w:t>
      </w:r>
      <w:r>
        <w:rPr>
          <w:rFonts w:ascii="Century Gothic" w:hAnsi="Century Gothic" w:cs="Times New Roman"/>
          <w:sz w:val="20"/>
          <w:szCs w:val="20"/>
        </w:rPr>
        <w:t>παρόλα αυτά μειώνονται ελαφρά</w:t>
      </w:r>
      <w:r w:rsidRPr="00CB6CE9">
        <w:rPr>
          <w:rFonts w:ascii="Century Gothic" w:hAnsi="Century Gothic" w:cs="Times New Roman"/>
          <w:sz w:val="20"/>
          <w:szCs w:val="20"/>
        </w:rPr>
        <w:t xml:space="preserve"> </w:t>
      </w:r>
      <w:r>
        <w:rPr>
          <w:rFonts w:ascii="Century Gothic" w:hAnsi="Century Gothic" w:cs="Times New Roman"/>
          <w:sz w:val="20"/>
          <w:szCs w:val="20"/>
        </w:rPr>
        <w:t>στους 9,7 (από 11,7), ενώ σ</w:t>
      </w:r>
      <w:r w:rsidRPr="00CB6CE9">
        <w:rPr>
          <w:rFonts w:ascii="Century Gothic" w:hAnsi="Century Gothic" w:cs="Times New Roman"/>
          <w:sz w:val="20"/>
          <w:szCs w:val="20"/>
        </w:rPr>
        <w:t xml:space="preserve">ε επίπεδο τιμών, το σχετικό </w:t>
      </w:r>
      <w:r>
        <w:rPr>
          <w:rFonts w:ascii="Century Gothic" w:hAnsi="Century Gothic" w:cs="Times New Roman"/>
          <w:sz w:val="20"/>
          <w:szCs w:val="20"/>
        </w:rPr>
        <w:t xml:space="preserve">αρνητικό ισοζύγιο διευρύνεται στις -42 (από -35) </w:t>
      </w:r>
      <w:r w:rsidRPr="00CB6CE9">
        <w:rPr>
          <w:rFonts w:ascii="Century Gothic" w:hAnsi="Century Gothic" w:cs="Times New Roman"/>
          <w:sz w:val="20"/>
          <w:szCs w:val="20"/>
        </w:rPr>
        <w:t>μονάδες</w:t>
      </w:r>
      <w:r>
        <w:rPr>
          <w:rFonts w:ascii="Century Gothic" w:hAnsi="Century Gothic" w:cs="Times New Roman"/>
          <w:sz w:val="20"/>
          <w:szCs w:val="20"/>
        </w:rPr>
        <w:t>. Τ</w:t>
      </w:r>
      <w:r w:rsidRPr="00CB6CE9">
        <w:rPr>
          <w:rFonts w:ascii="Century Gothic" w:hAnsi="Century Gothic" w:cs="Times New Roman"/>
          <w:sz w:val="20"/>
          <w:szCs w:val="20"/>
        </w:rPr>
        <w:t xml:space="preserve">έλος, ένα </w:t>
      </w:r>
      <w:r>
        <w:rPr>
          <w:rFonts w:ascii="Century Gothic" w:hAnsi="Century Gothic" w:cs="Times New Roman"/>
          <w:sz w:val="20"/>
          <w:szCs w:val="20"/>
        </w:rPr>
        <w:t>7% (από 12</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των επιχειρήσεων του τομέα </w:t>
      </w:r>
      <w:r w:rsidRPr="00CB6CE9">
        <w:rPr>
          <w:rFonts w:ascii="Century Gothic" w:hAnsi="Century Gothic" w:cs="Times New Roman"/>
          <w:sz w:val="20"/>
          <w:szCs w:val="20"/>
        </w:rPr>
        <w:t>αναφέρει απρόσκ</w:t>
      </w:r>
      <w:r>
        <w:rPr>
          <w:rFonts w:ascii="Century Gothic" w:hAnsi="Century Gothic" w:cs="Times New Roman"/>
          <w:sz w:val="20"/>
          <w:szCs w:val="20"/>
        </w:rPr>
        <w:t>οπτη επιχειρηματική λειτουργία, ενώ α</w:t>
      </w:r>
      <w:r w:rsidRPr="00CB6CE9">
        <w:rPr>
          <w:rFonts w:ascii="Century Gothic" w:hAnsi="Century Gothic" w:cs="Times New Roman"/>
          <w:sz w:val="20"/>
          <w:szCs w:val="20"/>
        </w:rPr>
        <w:t>πό τις υπόλοιπες</w:t>
      </w:r>
      <w:r>
        <w:rPr>
          <w:rFonts w:ascii="Century Gothic" w:hAnsi="Century Gothic" w:cs="Times New Roman"/>
          <w:sz w:val="20"/>
          <w:szCs w:val="20"/>
        </w:rPr>
        <w:t xml:space="preserve"> επιχειρήσεις</w:t>
      </w:r>
      <w:r w:rsidRPr="00CB6CE9">
        <w:rPr>
          <w:rFonts w:ascii="Century Gothic" w:hAnsi="Century Gothic" w:cs="Times New Roman"/>
          <w:sz w:val="20"/>
          <w:szCs w:val="20"/>
        </w:rPr>
        <w:t xml:space="preserve">, το </w:t>
      </w:r>
      <w:r>
        <w:rPr>
          <w:rFonts w:ascii="Century Gothic" w:hAnsi="Century Gothic" w:cs="Times New Roman"/>
          <w:sz w:val="20"/>
          <w:szCs w:val="20"/>
        </w:rPr>
        <w:t>40</w:t>
      </w:r>
      <w:r w:rsidRPr="00CB6CE9">
        <w:rPr>
          <w:rFonts w:ascii="Century Gothic" w:hAnsi="Century Gothic" w:cs="Times New Roman"/>
          <w:sz w:val="20"/>
          <w:szCs w:val="20"/>
        </w:rPr>
        <w:t xml:space="preserve">% επισημαίνει τη χαμηλή ζήτηση, </w:t>
      </w:r>
      <w:r>
        <w:rPr>
          <w:rFonts w:ascii="Century Gothic" w:hAnsi="Century Gothic" w:cs="Times New Roman"/>
          <w:sz w:val="20"/>
          <w:szCs w:val="20"/>
        </w:rPr>
        <w:t xml:space="preserve">το 26% </w:t>
      </w:r>
      <w:r w:rsidRPr="00CB6CE9">
        <w:rPr>
          <w:rFonts w:ascii="Century Gothic" w:hAnsi="Century Gothic" w:cs="Times New Roman"/>
          <w:sz w:val="20"/>
          <w:szCs w:val="20"/>
        </w:rPr>
        <w:t xml:space="preserve">την ανεπαρκή χρηματοδότηση και </w:t>
      </w:r>
      <w:r>
        <w:rPr>
          <w:rFonts w:ascii="Century Gothic" w:hAnsi="Century Gothic" w:cs="Times New Roman"/>
          <w:sz w:val="20"/>
          <w:szCs w:val="20"/>
        </w:rPr>
        <w:t>ένα</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27% τη γραφειοκρατία, την οικονομική </w:t>
      </w:r>
      <w:r w:rsidRPr="00CB6CE9">
        <w:rPr>
          <w:rFonts w:ascii="Century Gothic" w:hAnsi="Century Gothic" w:cs="Times New Roman"/>
          <w:sz w:val="20"/>
          <w:szCs w:val="20"/>
        </w:rPr>
        <w:t xml:space="preserve">ύφεση, </w:t>
      </w:r>
      <w:r>
        <w:rPr>
          <w:rFonts w:ascii="Century Gothic" w:hAnsi="Century Gothic" w:cs="Times New Roman"/>
          <w:sz w:val="20"/>
          <w:szCs w:val="20"/>
        </w:rPr>
        <w:t>την υψηλή φορολογία, τον έντονο ανταγωνισμό, τις μεγάλες εκπτώσεις, τ</w:t>
      </w:r>
      <w:r w:rsidRPr="00CB6CE9">
        <w:rPr>
          <w:rFonts w:ascii="Century Gothic" w:hAnsi="Century Gothic" w:cs="Times New Roman"/>
          <w:sz w:val="20"/>
          <w:szCs w:val="20"/>
        </w:rPr>
        <w:t>ην έλλειψη μελετών και μεγάλων έργων κ.α.</w:t>
      </w:r>
      <w:r>
        <w:rPr>
          <w:rFonts w:ascii="Century Gothic" w:hAnsi="Century Gothic" w:cs="Times New Roman"/>
          <w:sz w:val="20"/>
          <w:szCs w:val="20"/>
        </w:rPr>
        <w:t>,</w:t>
      </w:r>
      <w:r w:rsidRPr="00CB6CE9">
        <w:rPr>
          <w:rFonts w:ascii="Century Gothic" w:hAnsi="Century Gothic" w:cs="Times New Roman"/>
          <w:sz w:val="20"/>
          <w:szCs w:val="20"/>
        </w:rPr>
        <w:t xml:space="preserve"> ως τα κυριότερα λειτουργικά </w:t>
      </w:r>
      <w:r>
        <w:rPr>
          <w:rFonts w:ascii="Century Gothic" w:hAnsi="Century Gothic" w:cs="Times New Roman"/>
          <w:sz w:val="20"/>
          <w:szCs w:val="20"/>
        </w:rPr>
        <w:t xml:space="preserve">του </w:t>
      </w:r>
      <w:r w:rsidRPr="00CB6CE9">
        <w:rPr>
          <w:rFonts w:ascii="Century Gothic" w:hAnsi="Century Gothic" w:cs="Times New Roman"/>
          <w:sz w:val="20"/>
          <w:szCs w:val="20"/>
        </w:rPr>
        <w:t>κωλύματα.</w:t>
      </w:r>
      <w:r>
        <w:rPr>
          <w:rFonts w:ascii="Century Gothic" w:hAnsi="Century Gothic" w:cs="Times New Roman"/>
          <w:sz w:val="20"/>
          <w:szCs w:val="20"/>
        </w:rPr>
        <w:t xml:space="preserve"> </w:t>
      </w:r>
    </w:p>
    <w:p w:rsidR="00BE6140" w:rsidRPr="007308BC" w:rsidRDefault="00BE6140" w:rsidP="00A067D8">
      <w:pPr>
        <w:tabs>
          <w:tab w:val="left" w:pos="-142"/>
          <w:tab w:val="left" w:pos="1985"/>
        </w:tabs>
        <w:spacing w:before="100" w:beforeAutospacing="1" w:after="100" w:afterAutospacing="1" w:line="276" w:lineRule="auto"/>
        <w:jc w:val="both"/>
        <w:rPr>
          <w:rFonts w:ascii="Century Gothic" w:hAnsi="Century Gothic" w:cs="Times New Roman"/>
          <w:sz w:val="20"/>
          <w:szCs w:val="20"/>
        </w:rPr>
      </w:pPr>
      <w:r>
        <w:rPr>
          <w:rFonts w:ascii="Century Gothic" w:hAnsi="Century Gothic" w:cs="Times New Roman"/>
          <w:sz w:val="20"/>
          <w:szCs w:val="20"/>
        </w:rPr>
        <w:t>Σ</w:t>
      </w:r>
      <w:r w:rsidRPr="00CB6CE9">
        <w:rPr>
          <w:rFonts w:ascii="Century Gothic" w:hAnsi="Century Gothic" w:cs="Times New Roman"/>
          <w:sz w:val="20"/>
          <w:szCs w:val="20"/>
        </w:rPr>
        <w:t>τους επιμέρους κλάδους</w:t>
      </w:r>
      <w:r>
        <w:rPr>
          <w:rFonts w:ascii="Century Gothic" w:hAnsi="Century Gothic" w:cs="Times New Roman"/>
          <w:sz w:val="20"/>
          <w:szCs w:val="20"/>
        </w:rPr>
        <w:t xml:space="preserve">, η βελτίωση του συνολικού δείκτη εκπορεύεται κυρίως από την αισθητή άνοδο των προσδοκιών στις </w:t>
      </w:r>
      <w:r w:rsidRPr="007308BC">
        <w:rPr>
          <w:rFonts w:ascii="Century Gothic" w:hAnsi="Century Gothic" w:cs="Times New Roman"/>
          <w:sz w:val="20"/>
          <w:szCs w:val="20"/>
        </w:rPr>
        <w:t>Κατασκευές Δημοσίων Έργων</w:t>
      </w:r>
      <w:r>
        <w:rPr>
          <w:rFonts w:ascii="Century Gothic" w:hAnsi="Century Gothic" w:cs="Times New Roman"/>
          <w:sz w:val="20"/>
          <w:szCs w:val="20"/>
        </w:rPr>
        <w:t>. Αναλυτικότερα</w:t>
      </w:r>
      <w:r w:rsidRPr="00CB6CE9">
        <w:rPr>
          <w:rFonts w:ascii="Century Gothic" w:hAnsi="Century Gothic" w:cs="Times New Roman"/>
          <w:sz w:val="20"/>
          <w:szCs w:val="20"/>
        </w:rPr>
        <w:t>:</w:t>
      </w:r>
    </w:p>
    <w:p w:rsidR="00BE6140" w:rsidRPr="00CB6CE9" w:rsidRDefault="00BE6140" w:rsidP="00E00BE9">
      <w:pPr>
        <w:ind w:left="-284" w:right="-425"/>
        <w:jc w:val="center"/>
        <w:outlineLvl w:val="0"/>
        <w:rPr>
          <w:rFonts w:ascii="Century Gothic" w:hAnsi="Century Gothic" w:cs="Times New Roman"/>
          <w:sz w:val="18"/>
          <w:szCs w:val="18"/>
        </w:rPr>
      </w:pPr>
      <w:r w:rsidRPr="00CB6CE9">
        <w:rPr>
          <w:rFonts w:ascii="Century Gothic" w:hAnsi="Century Gothic" w:cs="Times New Roman"/>
          <w:b/>
          <w:bCs/>
          <w:sz w:val="18"/>
          <w:szCs w:val="18"/>
        </w:rPr>
        <w:t xml:space="preserve">Πίνακας 3: </w:t>
      </w:r>
      <w:r w:rsidRPr="00CB6CE9">
        <w:rPr>
          <w:rFonts w:ascii="Century Gothic" w:hAnsi="Century Gothic" w:cs="Times New Roman"/>
          <w:sz w:val="18"/>
          <w:szCs w:val="18"/>
        </w:rPr>
        <w:t>Δείκτης Επιχειρηματικών Προσδοκιών στις Κατασκευές</w:t>
      </w:r>
    </w:p>
    <w:tbl>
      <w:tblPr>
        <w:tblW w:w="8701" w:type="dxa"/>
        <w:jc w:val="center"/>
        <w:tblBorders>
          <w:top w:val="single" w:sz="4" w:space="0" w:color="943634"/>
          <w:left w:val="single" w:sz="4" w:space="0" w:color="943634"/>
          <w:bottom w:val="single" w:sz="4" w:space="0" w:color="943634"/>
          <w:right w:val="single" w:sz="4" w:space="0" w:color="943634"/>
          <w:insideH w:val="single" w:sz="4" w:space="0" w:color="FFFFFF"/>
          <w:insideV w:val="single" w:sz="4" w:space="0" w:color="FFFFFF"/>
        </w:tblBorders>
        <w:tblLook w:val="01E0"/>
      </w:tblPr>
      <w:tblGrid>
        <w:gridCol w:w="743"/>
        <w:gridCol w:w="745"/>
        <w:gridCol w:w="376"/>
        <w:gridCol w:w="477"/>
        <w:gridCol w:w="410"/>
        <w:gridCol w:w="358"/>
        <w:gridCol w:w="499"/>
        <w:gridCol w:w="188"/>
        <w:gridCol w:w="948"/>
        <w:gridCol w:w="620"/>
        <w:gridCol w:w="184"/>
        <w:gridCol w:w="603"/>
        <w:gridCol w:w="70"/>
        <w:gridCol w:w="681"/>
        <w:gridCol w:w="56"/>
        <w:gridCol w:w="510"/>
        <w:gridCol w:w="400"/>
        <w:gridCol w:w="167"/>
        <w:gridCol w:w="666"/>
      </w:tblGrid>
      <w:tr w:rsidR="00BE6140" w:rsidRPr="00CB6CE9" w:rsidTr="00FD6D95">
        <w:trPr>
          <w:jc w:val="center"/>
        </w:trPr>
        <w:tc>
          <w:tcPr>
            <w:tcW w:w="1939" w:type="dxa"/>
            <w:gridSpan w:val="3"/>
            <w:tcBorders>
              <w:top w:val="single" w:sz="4" w:space="0" w:color="943634"/>
            </w:tcBorders>
            <w:shd w:val="clear" w:color="auto" w:fill="9E3A38"/>
            <w:vAlign w:val="center"/>
          </w:tcPr>
          <w:p w:rsidR="00BE6140" w:rsidRPr="00CB6CE9" w:rsidRDefault="00BE6140" w:rsidP="00951945">
            <w:pPr>
              <w:jc w:val="center"/>
              <w:rPr>
                <w:rFonts w:ascii="Century Gothic" w:hAnsi="Century Gothic" w:cs="Times New Roman"/>
                <w:b/>
                <w:bCs/>
                <w:color w:val="FFFFFF"/>
                <w:sz w:val="18"/>
                <w:szCs w:val="18"/>
              </w:rPr>
            </w:pPr>
            <w:r w:rsidRPr="00CB6CE9">
              <w:rPr>
                <w:rFonts w:ascii="Century Gothic" w:hAnsi="Century Gothic" w:cs="Times New Roman"/>
                <w:b/>
                <w:bCs/>
                <w:color w:val="FFFFFF"/>
                <w:sz w:val="18"/>
                <w:szCs w:val="18"/>
              </w:rPr>
              <w:t>Τομέας</w:t>
            </w:r>
          </w:p>
        </w:tc>
        <w:tc>
          <w:tcPr>
            <w:tcW w:w="1765" w:type="dxa"/>
            <w:gridSpan w:val="4"/>
            <w:tcBorders>
              <w:top w:val="single" w:sz="4" w:space="0" w:color="943634"/>
            </w:tcBorders>
            <w:shd w:val="clear" w:color="auto" w:fill="9E3A38"/>
            <w:vAlign w:val="center"/>
          </w:tcPr>
          <w:p w:rsidR="00BE6140" w:rsidRPr="00CB6CE9" w:rsidRDefault="00BE6140" w:rsidP="00C25B17">
            <w:pPr>
              <w:jc w:val="center"/>
              <w:rPr>
                <w:rFonts w:ascii="Century Gothic" w:hAnsi="Century Gothic" w:cs="Times New Roman"/>
                <w:b/>
                <w:bCs/>
                <w:color w:val="FFFFFF"/>
                <w:sz w:val="18"/>
                <w:szCs w:val="18"/>
              </w:rPr>
            </w:pPr>
            <w:r w:rsidRPr="00CB6CE9">
              <w:rPr>
                <w:rFonts w:ascii="Century Gothic" w:hAnsi="Century Gothic" w:cs="Times New Roman"/>
                <w:b/>
                <w:bCs/>
                <w:color w:val="FFFFFF"/>
                <w:sz w:val="18"/>
                <w:szCs w:val="18"/>
              </w:rPr>
              <w:t>Ακραίες τιμές</w:t>
            </w:r>
            <w:r>
              <w:rPr>
                <w:rFonts w:ascii="Century Gothic" w:hAnsi="Century Gothic" w:cs="Times New Roman"/>
                <w:b/>
                <w:bCs/>
                <w:color w:val="FFFFFF"/>
                <w:sz w:val="18"/>
                <w:szCs w:val="18"/>
              </w:rPr>
              <w:t xml:space="preserve"> </w:t>
            </w:r>
          </w:p>
        </w:tc>
        <w:tc>
          <w:tcPr>
            <w:tcW w:w="4997" w:type="dxa"/>
            <w:gridSpan w:val="12"/>
            <w:tcBorders>
              <w:top w:val="single" w:sz="4" w:space="0" w:color="943634"/>
            </w:tcBorders>
            <w:shd w:val="clear" w:color="auto" w:fill="9E3A38"/>
            <w:vAlign w:val="center"/>
          </w:tcPr>
          <w:p w:rsidR="00BE6140" w:rsidRPr="00CB6CE9" w:rsidRDefault="00BE6140" w:rsidP="00951945">
            <w:pPr>
              <w:jc w:val="center"/>
              <w:rPr>
                <w:rFonts w:ascii="Century Gothic" w:hAnsi="Century Gothic" w:cs="Times New Roman"/>
                <w:b/>
                <w:bCs/>
                <w:color w:val="FFFFFF"/>
                <w:sz w:val="18"/>
                <w:szCs w:val="18"/>
              </w:rPr>
            </w:pPr>
            <w:r w:rsidRPr="00CB6CE9">
              <w:rPr>
                <w:rFonts w:ascii="Century Gothic" w:hAnsi="Century Gothic" w:cs="Times New Roman"/>
                <w:b/>
                <w:bCs/>
                <w:color w:val="FFFFFF"/>
                <w:sz w:val="18"/>
                <w:szCs w:val="18"/>
              </w:rPr>
              <w:t>Μέσος όρος</w:t>
            </w:r>
          </w:p>
        </w:tc>
      </w:tr>
      <w:tr w:rsidR="00BE6140" w:rsidRPr="00CB6CE9" w:rsidTr="00FD6D95">
        <w:trPr>
          <w:jc w:val="center"/>
        </w:trPr>
        <w:tc>
          <w:tcPr>
            <w:tcW w:w="1939" w:type="dxa"/>
            <w:gridSpan w:val="3"/>
            <w:vMerge w:val="restart"/>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Κατασκευές</w:t>
            </w:r>
          </w:p>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(1996-2006=100)</w:t>
            </w:r>
          </w:p>
        </w:tc>
        <w:tc>
          <w:tcPr>
            <w:tcW w:w="907" w:type="dxa"/>
            <w:gridSpan w:val="2"/>
            <w:shd w:val="clear" w:color="auto" w:fill="D3DFEE"/>
            <w:vAlign w:val="center"/>
          </w:tcPr>
          <w:p w:rsidR="00BE6140" w:rsidRPr="00CB6CE9" w:rsidRDefault="00BE6140" w:rsidP="00951945">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Min</w:t>
            </w:r>
          </w:p>
        </w:tc>
        <w:tc>
          <w:tcPr>
            <w:tcW w:w="858" w:type="dxa"/>
            <w:gridSpan w:val="2"/>
            <w:shd w:val="clear" w:color="auto" w:fill="DBE5F1"/>
            <w:vAlign w:val="center"/>
          </w:tcPr>
          <w:p w:rsidR="00BE6140" w:rsidRPr="00CB6CE9" w:rsidRDefault="00BE6140" w:rsidP="00951945">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Max</w:t>
            </w:r>
          </w:p>
        </w:tc>
        <w:tc>
          <w:tcPr>
            <w:tcW w:w="1191" w:type="dxa"/>
            <w:gridSpan w:val="2"/>
            <w:shd w:val="clear" w:color="auto" w:fill="D3DFEE"/>
            <w:vAlign w:val="center"/>
          </w:tcPr>
          <w:p w:rsidR="00BE6140" w:rsidRPr="00CB6CE9" w:rsidRDefault="00BE6140" w:rsidP="00951945">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2001-20</w:t>
            </w:r>
            <w:r w:rsidRPr="00CB6CE9">
              <w:rPr>
                <w:rFonts w:ascii="Century Gothic" w:hAnsi="Century Gothic" w:cs="Times New Roman"/>
                <w:b/>
                <w:bCs/>
                <w:color w:val="000000"/>
                <w:sz w:val="18"/>
                <w:szCs w:val="18"/>
              </w:rPr>
              <w:t>1</w:t>
            </w:r>
            <w:r w:rsidRPr="00CB6CE9">
              <w:rPr>
                <w:rFonts w:ascii="Century Gothic" w:hAnsi="Century Gothic" w:cs="Times New Roman"/>
                <w:b/>
                <w:bCs/>
                <w:color w:val="000000"/>
                <w:sz w:val="18"/>
                <w:szCs w:val="18"/>
                <w:lang w:val="en-US"/>
              </w:rPr>
              <w:t>2</w:t>
            </w:r>
          </w:p>
        </w:tc>
        <w:tc>
          <w:tcPr>
            <w:tcW w:w="620" w:type="dxa"/>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2008</w:t>
            </w:r>
          </w:p>
        </w:tc>
        <w:tc>
          <w:tcPr>
            <w:tcW w:w="889" w:type="dxa"/>
            <w:gridSpan w:val="3"/>
            <w:shd w:val="clear" w:color="auto" w:fill="D3DFEE"/>
            <w:vAlign w:val="center"/>
          </w:tcPr>
          <w:p w:rsidR="00BE6140" w:rsidRPr="00CB6CE9" w:rsidRDefault="00BE6140" w:rsidP="00951945">
            <w:pPr>
              <w:pStyle w:val="2"/>
              <w:rPr>
                <w:rFonts w:ascii="Century Gothic" w:hAnsi="Century Gothic"/>
                <w:i w:val="0"/>
                <w:iCs w:val="0"/>
                <w:color w:val="000000"/>
                <w:lang w:val="en-GB"/>
              </w:rPr>
            </w:pPr>
            <w:r w:rsidRPr="00CB6CE9">
              <w:rPr>
                <w:rFonts w:ascii="Century Gothic" w:hAnsi="Century Gothic"/>
                <w:i w:val="0"/>
                <w:iCs w:val="0"/>
                <w:color w:val="000000"/>
                <w:lang w:val="en-GB"/>
              </w:rPr>
              <w:t>2009</w:t>
            </w:r>
          </w:p>
        </w:tc>
        <w:tc>
          <w:tcPr>
            <w:tcW w:w="728"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2010</w:t>
            </w:r>
          </w:p>
        </w:tc>
        <w:tc>
          <w:tcPr>
            <w:tcW w:w="728"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2011</w:t>
            </w:r>
          </w:p>
        </w:tc>
        <w:tc>
          <w:tcPr>
            <w:tcW w:w="841" w:type="dxa"/>
            <w:gridSpan w:val="2"/>
            <w:shd w:val="clear" w:color="auto" w:fill="DBE5F1"/>
            <w:vAlign w:val="center"/>
          </w:tcPr>
          <w:p w:rsidR="00BE6140" w:rsidRPr="00CB6CE9" w:rsidRDefault="00BE6140" w:rsidP="00951945">
            <w:pPr>
              <w:pStyle w:val="2"/>
              <w:rPr>
                <w:rFonts w:ascii="Century Gothic" w:hAnsi="Century Gothic"/>
                <w:i w:val="0"/>
                <w:iCs w:val="0"/>
                <w:color w:val="000000"/>
                <w:lang w:val="en-US"/>
              </w:rPr>
            </w:pPr>
            <w:r w:rsidRPr="00CB6CE9">
              <w:rPr>
                <w:rFonts w:ascii="Century Gothic" w:hAnsi="Century Gothic"/>
                <w:i w:val="0"/>
                <w:iCs w:val="0"/>
                <w:color w:val="000000"/>
                <w:lang w:val="en-US"/>
              </w:rPr>
              <w:t>2012</w:t>
            </w:r>
          </w:p>
        </w:tc>
      </w:tr>
      <w:tr w:rsidR="00BE6140" w:rsidRPr="00CB6CE9" w:rsidTr="00FD6D95">
        <w:trPr>
          <w:trHeight w:val="488"/>
          <w:jc w:val="center"/>
        </w:trPr>
        <w:tc>
          <w:tcPr>
            <w:tcW w:w="1939" w:type="dxa"/>
            <w:gridSpan w:val="3"/>
            <w:vMerge/>
            <w:shd w:val="clear" w:color="auto" w:fill="EDF2F8"/>
            <w:vAlign w:val="center"/>
          </w:tcPr>
          <w:p w:rsidR="00BE6140" w:rsidRPr="00A250B5" w:rsidRDefault="00BE6140" w:rsidP="00951945">
            <w:pPr>
              <w:pStyle w:val="1"/>
              <w:jc w:val="center"/>
              <w:rPr>
                <w:rFonts w:ascii="Century Gothic" w:hAnsi="Century Gothic"/>
                <w:b w:val="0"/>
                <w:bCs w:val="0"/>
                <w:color w:val="000000"/>
                <w:sz w:val="18"/>
                <w:szCs w:val="18"/>
              </w:rPr>
            </w:pPr>
          </w:p>
        </w:tc>
        <w:tc>
          <w:tcPr>
            <w:tcW w:w="907" w:type="dxa"/>
            <w:gridSpan w:val="2"/>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26,3</w:t>
            </w:r>
          </w:p>
          <w:p w:rsidR="00BE6140" w:rsidRPr="00CB6CE9" w:rsidRDefault="00BE6140" w:rsidP="00951945">
            <w:pPr>
              <w:spacing w:line="288" w:lineRule="auto"/>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Μαρ-11</w:t>
            </w:r>
          </w:p>
        </w:tc>
        <w:tc>
          <w:tcPr>
            <w:tcW w:w="858" w:type="dxa"/>
            <w:gridSpan w:val="2"/>
            <w:shd w:val="clear" w:color="auto" w:fill="EDF2F8"/>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123,8</w:t>
            </w:r>
          </w:p>
          <w:p w:rsidR="00BE6140" w:rsidRPr="00CB6CE9" w:rsidRDefault="00BE6140" w:rsidP="00951945">
            <w:pPr>
              <w:spacing w:line="288" w:lineRule="auto"/>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Σεπ-03</w:t>
            </w:r>
          </w:p>
        </w:tc>
        <w:tc>
          <w:tcPr>
            <w:tcW w:w="1191" w:type="dxa"/>
            <w:gridSpan w:val="2"/>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79,7</w:t>
            </w:r>
          </w:p>
        </w:tc>
        <w:tc>
          <w:tcPr>
            <w:tcW w:w="620" w:type="dxa"/>
            <w:shd w:val="clear" w:color="auto" w:fill="EDF2F8"/>
            <w:vAlign w:val="center"/>
          </w:tcPr>
          <w:p w:rsidR="00BE6140" w:rsidRPr="00CB6CE9" w:rsidRDefault="00BE6140" w:rsidP="00951945">
            <w:pPr>
              <w:spacing w:line="288" w:lineRule="auto"/>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95,3</w:t>
            </w:r>
          </w:p>
        </w:tc>
        <w:tc>
          <w:tcPr>
            <w:tcW w:w="889" w:type="dxa"/>
            <w:gridSpan w:val="3"/>
            <w:shd w:val="clear" w:color="auto" w:fill="D3DFEE"/>
            <w:vAlign w:val="center"/>
          </w:tcPr>
          <w:p w:rsidR="00BE6140" w:rsidRPr="00CB6CE9" w:rsidRDefault="00BE6140" w:rsidP="00951945">
            <w:pPr>
              <w:spacing w:line="288" w:lineRule="auto"/>
              <w:jc w:val="center"/>
              <w:rPr>
                <w:rFonts w:ascii="Century Gothic" w:hAnsi="Century Gothic" w:cs="Times New Roman"/>
                <w:color w:val="000000"/>
                <w:sz w:val="18"/>
                <w:szCs w:val="18"/>
                <w:lang w:val="en-GB"/>
              </w:rPr>
            </w:pPr>
            <w:r w:rsidRPr="00CB6CE9">
              <w:rPr>
                <w:rFonts w:ascii="Century Gothic" w:hAnsi="Century Gothic" w:cs="Times New Roman"/>
                <w:color w:val="000000"/>
                <w:sz w:val="18"/>
                <w:szCs w:val="18"/>
                <w:lang w:val="en-GB"/>
              </w:rPr>
              <w:t>65,5</w:t>
            </w:r>
          </w:p>
        </w:tc>
        <w:tc>
          <w:tcPr>
            <w:tcW w:w="728" w:type="dxa"/>
            <w:gridSpan w:val="2"/>
            <w:shd w:val="clear" w:color="auto" w:fill="EDF2F8"/>
            <w:vAlign w:val="center"/>
          </w:tcPr>
          <w:p w:rsidR="00BE6140" w:rsidRPr="00CB6CE9" w:rsidRDefault="00BE6140" w:rsidP="00951945">
            <w:pPr>
              <w:spacing w:line="288" w:lineRule="auto"/>
              <w:jc w:val="center"/>
              <w:rPr>
                <w:rFonts w:ascii="Century Gothic" w:hAnsi="Century Gothic" w:cs="Times New Roman"/>
                <w:color w:val="000000"/>
                <w:sz w:val="18"/>
                <w:szCs w:val="18"/>
                <w:lang w:val="en-GB"/>
              </w:rPr>
            </w:pPr>
            <w:r w:rsidRPr="00CB6CE9">
              <w:rPr>
                <w:rFonts w:ascii="Century Gothic" w:hAnsi="Century Gothic" w:cs="Times New Roman"/>
                <w:color w:val="000000"/>
                <w:sz w:val="18"/>
                <w:szCs w:val="18"/>
                <w:lang w:val="en-GB"/>
              </w:rPr>
              <w:t>47,4</w:t>
            </w:r>
          </w:p>
        </w:tc>
        <w:tc>
          <w:tcPr>
            <w:tcW w:w="728" w:type="dxa"/>
            <w:gridSpan w:val="2"/>
            <w:shd w:val="clear" w:color="auto" w:fill="D3DFEE"/>
            <w:vAlign w:val="center"/>
          </w:tcPr>
          <w:p w:rsidR="00BE6140" w:rsidRPr="00CB6CE9" w:rsidRDefault="00BE6140" w:rsidP="00951945">
            <w:pPr>
              <w:spacing w:line="288" w:lineRule="auto"/>
              <w:jc w:val="center"/>
              <w:rPr>
                <w:rFonts w:ascii="Century Gothic" w:hAnsi="Century Gothic" w:cs="Times New Roman"/>
                <w:color w:val="000000"/>
                <w:sz w:val="18"/>
                <w:szCs w:val="18"/>
                <w:lang w:val="en-GB"/>
              </w:rPr>
            </w:pPr>
            <w:r w:rsidRPr="00CB6CE9">
              <w:rPr>
                <w:rFonts w:ascii="Century Gothic" w:hAnsi="Century Gothic" w:cs="Times New Roman"/>
                <w:color w:val="000000"/>
                <w:sz w:val="18"/>
                <w:szCs w:val="18"/>
                <w:lang w:val="en-GB"/>
              </w:rPr>
              <w:t>34,2</w:t>
            </w:r>
          </w:p>
        </w:tc>
        <w:tc>
          <w:tcPr>
            <w:tcW w:w="841" w:type="dxa"/>
            <w:gridSpan w:val="2"/>
            <w:shd w:val="clear" w:color="auto" w:fill="EDF2F8"/>
            <w:vAlign w:val="center"/>
          </w:tcPr>
          <w:p w:rsidR="00BE6140" w:rsidRPr="00CB6CE9" w:rsidRDefault="00BE6140" w:rsidP="00951945">
            <w:pPr>
              <w:spacing w:line="288" w:lineRule="auto"/>
              <w:jc w:val="center"/>
              <w:rPr>
                <w:rFonts w:ascii="Century Gothic" w:hAnsi="Century Gothic" w:cs="Times New Roman"/>
                <w:bCs/>
                <w:color w:val="000000"/>
                <w:sz w:val="18"/>
                <w:szCs w:val="18"/>
              </w:rPr>
            </w:pPr>
            <w:r w:rsidRPr="00CB6CE9">
              <w:rPr>
                <w:rFonts w:ascii="Century Gothic" w:hAnsi="Century Gothic" w:cs="Times New Roman"/>
                <w:bCs/>
                <w:color w:val="000000"/>
                <w:sz w:val="18"/>
                <w:szCs w:val="18"/>
              </w:rPr>
              <w:t>43,2</w:t>
            </w:r>
          </w:p>
        </w:tc>
      </w:tr>
      <w:tr w:rsidR="00BE6140" w:rsidRPr="00CB6CE9" w:rsidTr="00C25B17">
        <w:trPr>
          <w:jc w:val="center"/>
        </w:trPr>
        <w:tc>
          <w:tcPr>
            <w:tcW w:w="8701" w:type="dxa"/>
            <w:gridSpan w:val="19"/>
            <w:shd w:val="clear" w:color="auto" w:fill="943634"/>
            <w:vAlign w:val="center"/>
          </w:tcPr>
          <w:p w:rsidR="00BE6140" w:rsidRPr="00CB6CE9" w:rsidRDefault="00BE6140" w:rsidP="00951945">
            <w:pPr>
              <w:pStyle w:val="7"/>
              <w:jc w:val="center"/>
              <w:rPr>
                <w:rFonts w:ascii="Century Gothic" w:hAnsi="Century Gothic"/>
                <w:color w:val="FFFFFF"/>
              </w:rPr>
            </w:pPr>
            <w:r w:rsidRPr="00CB6CE9">
              <w:rPr>
                <w:rFonts w:ascii="Century Gothic" w:hAnsi="Century Gothic"/>
                <w:color w:val="FFFFFF"/>
                <w:lang w:val="en-US"/>
              </w:rPr>
              <w:t>20</w:t>
            </w:r>
            <w:r w:rsidRPr="00CB6CE9">
              <w:rPr>
                <w:rFonts w:ascii="Century Gothic" w:hAnsi="Century Gothic"/>
                <w:color w:val="FFFFFF"/>
              </w:rPr>
              <w:t>12</w:t>
            </w:r>
          </w:p>
        </w:tc>
      </w:tr>
      <w:tr w:rsidR="00BE6140" w:rsidRPr="00CB6CE9" w:rsidTr="00FD6D95">
        <w:trPr>
          <w:jc w:val="center"/>
        </w:trPr>
        <w:tc>
          <w:tcPr>
            <w:tcW w:w="761" w:type="dxa"/>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Ι</w:t>
            </w:r>
          </w:p>
        </w:tc>
        <w:tc>
          <w:tcPr>
            <w:tcW w:w="765" w:type="dxa"/>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Φ</w:t>
            </w:r>
          </w:p>
        </w:tc>
        <w:tc>
          <w:tcPr>
            <w:tcW w:w="892"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Μ</w:t>
            </w:r>
          </w:p>
        </w:tc>
        <w:tc>
          <w:tcPr>
            <w:tcW w:w="787"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Α</w:t>
            </w:r>
          </w:p>
        </w:tc>
        <w:tc>
          <w:tcPr>
            <w:tcW w:w="704"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Μ</w:t>
            </w:r>
          </w:p>
        </w:tc>
        <w:tc>
          <w:tcPr>
            <w:tcW w:w="986" w:type="dxa"/>
            <w:shd w:val="clear" w:color="auto" w:fill="D3DFEE"/>
            <w:vAlign w:val="center"/>
          </w:tcPr>
          <w:p w:rsidR="00BE6140" w:rsidRPr="00CB6CE9" w:rsidRDefault="00BE6140" w:rsidP="00951945">
            <w:pPr>
              <w:jc w:val="center"/>
              <w:rPr>
                <w:rFonts w:ascii="Century Gothic" w:hAnsi="Century Gothic" w:cs="Times New Roman"/>
                <w:b/>
                <w:bCs/>
                <w:color w:val="000000"/>
                <w:sz w:val="18"/>
                <w:szCs w:val="18"/>
              </w:rPr>
            </w:pPr>
            <w:r w:rsidRPr="00CB6CE9">
              <w:rPr>
                <w:rFonts w:ascii="Century Gothic" w:hAnsi="Century Gothic" w:cs="Times New Roman"/>
                <w:b/>
                <w:bCs/>
                <w:color w:val="000000"/>
                <w:sz w:val="18"/>
                <w:szCs w:val="18"/>
              </w:rPr>
              <w:t>Ι</w:t>
            </w:r>
          </w:p>
        </w:tc>
        <w:tc>
          <w:tcPr>
            <w:tcW w:w="827"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Ι</w:t>
            </w:r>
          </w:p>
        </w:tc>
        <w:tc>
          <w:tcPr>
            <w:tcW w:w="604" w:type="dxa"/>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Α</w:t>
            </w:r>
          </w:p>
        </w:tc>
        <w:tc>
          <w:tcPr>
            <w:tcW w:w="770"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Σ</w:t>
            </w:r>
          </w:p>
        </w:tc>
        <w:tc>
          <w:tcPr>
            <w:tcW w:w="364"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Ο</w:t>
            </w:r>
          </w:p>
        </w:tc>
        <w:tc>
          <w:tcPr>
            <w:tcW w:w="567"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Ν</w:t>
            </w:r>
          </w:p>
        </w:tc>
        <w:tc>
          <w:tcPr>
            <w:tcW w:w="674" w:type="dxa"/>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Δ</w:t>
            </w:r>
          </w:p>
        </w:tc>
      </w:tr>
      <w:tr w:rsidR="00BE6140" w:rsidRPr="00CB6CE9" w:rsidTr="00FD6D95">
        <w:trPr>
          <w:trHeight w:val="77"/>
          <w:jc w:val="center"/>
        </w:trPr>
        <w:tc>
          <w:tcPr>
            <w:tcW w:w="761" w:type="dxa"/>
            <w:shd w:val="clear" w:color="auto" w:fill="DBE5F1"/>
            <w:vAlign w:val="center"/>
          </w:tcPr>
          <w:p w:rsidR="00BE6140" w:rsidRPr="00CB6CE9" w:rsidRDefault="00BE6140" w:rsidP="00951945">
            <w:pPr>
              <w:jc w:val="center"/>
              <w:rPr>
                <w:rFonts w:ascii="Century Gothic" w:hAnsi="Century Gothic" w:cs="Times New Roman"/>
                <w:bCs/>
                <w:color w:val="000000"/>
                <w:sz w:val="18"/>
                <w:szCs w:val="18"/>
              </w:rPr>
            </w:pPr>
            <w:r w:rsidRPr="00CB6CE9">
              <w:rPr>
                <w:rFonts w:ascii="Century Gothic" w:hAnsi="Century Gothic" w:cs="Times New Roman"/>
                <w:bCs/>
                <w:color w:val="000000"/>
                <w:sz w:val="18"/>
                <w:szCs w:val="18"/>
              </w:rPr>
              <w:t>36,4</w:t>
            </w:r>
          </w:p>
        </w:tc>
        <w:tc>
          <w:tcPr>
            <w:tcW w:w="765" w:type="dxa"/>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43,4</w:t>
            </w:r>
          </w:p>
        </w:tc>
        <w:tc>
          <w:tcPr>
            <w:tcW w:w="892" w:type="dxa"/>
            <w:gridSpan w:val="2"/>
            <w:shd w:val="clear" w:color="auto" w:fill="DBE5F1"/>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33,2</w:t>
            </w:r>
          </w:p>
        </w:tc>
        <w:tc>
          <w:tcPr>
            <w:tcW w:w="787" w:type="dxa"/>
            <w:gridSpan w:val="2"/>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40,8</w:t>
            </w:r>
          </w:p>
        </w:tc>
        <w:tc>
          <w:tcPr>
            <w:tcW w:w="704" w:type="dxa"/>
            <w:gridSpan w:val="2"/>
            <w:shd w:val="clear" w:color="auto" w:fill="DBE5F1"/>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36,5</w:t>
            </w:r>
          </w:p>
        </w:tc>
        <w:tc>
          <w:tcPr>
            <w:tcW w:w="986" w:type="dxa"/>
            <w:shd w:val="clear" w:color="auto" w:fill="D3DFEE"/>
            <w:vAlign w:val="center"/>
          </w:tcPr>
          <w:p w:rsidR="00BE6140" w:rsidRPr="00CB6CE9" w:rsidRDefault="00BE6140" w:rsidP="00951945">
            <w:pPr>
              <w:jc w:val="center"/>
              <w:rPr>
                <w:rFonts w:ascii="Century Gothic" w:hAnsi="Century Gothic" w:cs="Times New Roman"/>
                <w:color w:val="000000"/>
                <w:sz w:val="18"/>
                <w:szCs w:val="18"/>
                <w:lang w:val="en-US"/>
              </w:rPr>
            </w:pPr>
            <w:r w:rsidRPr="00CB6CE9">
              <w:rPr>
                <w:rFonts w:ascii="Century Gothic" w:hAnsi="Century Gothic" w:cs="Times New Roman"/>
                <w:color w:val="000000"/>
                <w:sz w:val="18"/>
                <w:szCs w:val="18"/>
                <w:lang w:val="en-US"/>
              </w:rPr>
              <w:t>40</w:t>
            </w:r>
            <w:r w:rsidRPr="00CB6CE9">
              <w:rPr>
                <w:rFonts w:ascii="Century Gothic" w:hAnsi="Century Gothic" w:cs="Times New Roman"/>
                <w:color w:val="000000"/>
                <w:sz w:val="18"/>
                <w:szCs w:val="18"/>
              </w:rPr>
              <w:t>,</w:t>
            </w:r>
            <w:r w:rsidRPr="00CB6CE9">
              <w:rPr>
                <w:rFonts w:ascii="Century Gothic" w:hAnsi="Century Gothic" w:cs="Times New Roman"/>
                <w:color w:val="000000"/>
                <w:sz w:val="18"/>
                <w:szCs w:val="18"/>
                <w:lang w:val="en-US"/>
              </w:rPr>
              <w:t>0</w:t>
            </w:r>
          </w:p>
        </w:tc>
        <w:tc>
          <w:tcPr>
            <w:tcW w:w="827" w:type="dxa"/>
            <w:gridSpan w:val="2"/>
            <w:shd w:val="clear" w:color="auto" w:fill="DBE5F1"/>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46,3</w:t>
            </w:r>
          </w:p>
        </w:tc>
        <w:tc>
          <w:tcPr>
            <w:tcW w:w="604" w:type="dxa"/>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52,0</w:t>
            </w:r>
          </w:p>
        </w:tc>
        <w:tc>
          <w:tcPr>
            <w:tcW w:w="770" w:type="dxa"/>
            <w:gridSpan w:val="2"/>
            <w:shd w:val="clear" w:color="auto" w:fill="DBE5F1"/>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44,4</w:t>
            </w:r>
          </w:p>
        </w:tc>
        <w:tc>
          <w:tcPr>
            <w:tcW w:w="364" w:type="dxa"/>
            <w:gridSpan w:val="2"/>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58,3</w:t>
            </w:r>
          </w:p>
        </w:tc>
        <w:tc>
          <w:tcPr>
            <w:tcW w:w="567" w:type="dxa"/>
            <w:gridSpan w:val="2"/>
            <w:shd w:val="clear" w:color="auto" w:fill="DBE5F1"/>
            <w:vAlign w:val="center"/>
          </w:tcPr>
          <w:p w:rsidR="00BE6140" w:rsidRPr="00CB6CE9" w:rsidRDefault="00BE6140" w:rsidP="00951945">
            <w:pPr>
              <w:jc w:val="center"/>
              <w:rPr>
                <w:rFonts w:ascii="Century Gothic" w:hAnsi="Century Gothic" w:cs="Times New Roman"/>
                <w:color w:val="000000"/>
                <w:sz w:val="18"/>
                <w:szCs w:val="18"/>
                <w:lang w:val="en-US"/>
              </w:rPr>
            </w:pPr>
            <w:r w:rsidRPr="00CB6CE9">
              <w:rPr>
                <w:rFonts w:ascii="Century Gothic" w:hAnsi="Century Gothic" w:cs="Times New Roman"/>
                <w:color w:val="000000"/>
                <w:sz w:val="18"/>
                <w:szCs w:val="18"/>
                <w:lang w:val="en-US"/>
              </w:rPr>
              <w:t>51</w:t>
            </w:r>
            <w:r w:rsidRPr="00CB6CE9">
              <w:rPr>
                <w:rFonts w:ascii="Century Gothic" w:hAnsi="Century Gothic" w:cs="Times New Roman"/>
                <w:color w:val="000000"/>
                <w:sz w:val="18"/>
                <w:szCs w:val="18"/>
              </w:rPr>
              <w:t>,</w:t>
            </w:r>
            <w:r w:rsidRPr="00CB6CE9">
              <w:rPr>
                <w:rFonts w:ascii="Century Gothic" w:hAnsi="Century Gothic" w:cs="Times New Roman"/>
                <w:color w:val="000000"/>
                <w:sz w:val="18"/>
                <w:szCs w:val="18"/>
                <w:lang w:val="en-US"/>
              </w:rPr>
              <w:t>1</w:t>
            </w:r>
          </w:p>
        </w:tc>
        <w:tc>
          <w:tcPr>
            <w:tcW w:w="674" w:type="dxa"/>
            <w:shd w:val="clear" w:color="auto" w:fill="DBE5F1"/>
            <w:vAlign w:val="center"/>
          </w:tcPr>
          <w:p w:rsidR="00BE6140" w:rsidRPr="00CB6CE9" w:rsidRDefault="00BE6140" w:rsidP="00951945">
            <w:pPr>
              <w:jc w:val="center"/>
              <w:rPr>
                <w:rFonts w:ascii="Century Gothic" w:hAnsi="Century Gothic" w:cs="Times New Roman"/>
                <w:bCs/>
                <w:color w:val="000000"/>
                <w:sz w:val="18"/>
                <w:szCs w:val="18"/>
              </w:rPr>
            </w:pPr>
            <w:r w:rsidRPr="00CB6CE9">
              <w:rPr>
                <w:rFonts w:ascii="Century Gothic" w:hAnsi="Century Gothic" w:cs="Times New Roman"/>
                <w:bCs/>
                <w:color w:val="000000"/>
                <w:sz w:val="18"/>
                <w:szCs w:val="18"/>
              </w:rPr>
              <w:t>3</w:t>
            </w:r>
            <w:r w:rsidRPr="00CB6CE9">
              <w:rPr>
                <w:rFonts w:ascii="Century Gothic" w:hAnsi="Century Gothic" w:cs="Times New Roman"/>
                <w:bCs/>
                <w:color w:val="000000"/>
                <w:sz w:val="18"/>
                <w:szCs w:val="18"/>
                <w:lang w:val="en-US"/>
              </w:rPr>
              <w:t>5</w:t>
            </w:r>
            <w:r w:rsidRPr="00CB6CE9">
              <w:rPr>
                <w:rFonts w:ascii="Century Gothic" w:hAnsi="Century Gothic" w:cs="Times New Roman"/>
                <w:bCs/>
                <w:color w:val="000000"/>
                <w:sz w:val="18"/>
                <w:szCs w:val="18"/>
              </w:rPr>
              <w:t>,6</w:t>
            </w:r>
          </w:p>
        </w:tc>
      </w:tr>
      <w:tr w:rsidR="00BE6140" w:rsidRPr="00CB6CE9" w:rsidTr="00C25B17">
        <w:trPr>
          <w:trHeight w:val="77"/>
          <w:jc w:val="center"/>
        </w:trPr>
        <w:tc>
          <w:tcPr>
            <w:tcW w:w="8701" w:type="dxa"/>
            <w:gridSpan w:val="19"/>
            <w:shd w:val="clear" w:color="auto" w:fill="943634"/>
            <w:vAlign w:val="center"/>
          </w:tcPr>
          <w:p w:rsidR="00BE6140" w:rsidRPr="00CB6CE9" w:rsidRDefault="00BE6140" w:rsidP="00951945">
            <w:pPr>
              <w:pStyle w:val="7"/>
              <w:jc w:val="center"/>
              <w:rPr>
                <w:rFonts w:ascii="Century Gothic" w:hAnsi="Century Gothic"/>
                <w:color w:val="FFFFFF"/>
              </w:rPr>
            </w:pPr>
            <w:r w:rsidRPr="00CB6CE9">
              <w:rPr>
                <w:rFonts w:ascii="Century Gothic" w:hAnsi="Century Gothic"/>
                <w:color w:val="FFFFFF"/>
              </w:rPr>
              <w:t>2013</w:t>
            </w:r>
          </w:p>
        </w:tc>
      </w:tr>
      <w:tr w:rsidR="00BE6140" w:rsidRPr="00CB6CE9" w:rsidTr="00FD6D95">
        <w:trPr>
          <w:trHeight w:val="77"/>
          <w:jc w:val="center"/>
        </w:trPr>
        <w:tc>
          <w:tcPr>
            <w:tcW w:w="761" w:type="dxa"/>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Ι</w:t>
            </w:r>
          </w:p>
        </w:tc>
        <w:tc>
          <w:tcPr>
            <w:tcW w:w="765" w:type="dxa"/>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Φ</w:t>
            </w:r>
          </w:p>
        </w:tc>
        <w:tc>
          <w:tcPr>
            <w:tcW w:w="892"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Μ</w:t>
            </w:r>
          </w:p>
        </w:tc>
        <w:tc>
          <w:tcPr>
            <w:tcW w:w="787"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Α</w:t>
            </w:r>
          </w:p>
        </w:tc>
        <w:tc>
          <w:tcPr>
            <w:tcW w:w="704"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Μ</w:t>
            </w:r>
          </w:p>
        </w:tc>
        <w:tc>
          <w:tcPr>
            <w:tcW w:w="986" w:type="dxa"/>
            <w:shd w:val="clear" w:color="auto" w:fill="D3DFEE"/>
            <w:vAlign w:val="center"/>
          </w:tcPr>
          <w:p w:rsidR="00BE6140" w:rsidRPr="00CB6CE9" w:rsidRDefault="00BE6140" w:rsidP="00951945">
            <w:pPr>
              <w:jc w:val="center"/>
              <w:rPr>
                <w:rFonts w:ascii="Century Gothic" w:hAnsi="Century Gothic" w:cs="Times New Roman"/>
                <w:b/>
                <w:bCs/>
                <w:color w:val="000000"/>
                <w:sz w:val="18"/>
                <w:szCs w:val="18"/>
              </w:rPr>
            </w:pPr>
            <w:r w:rsidRPr="00CB6CE9">
              <w:rPr>
                <w:rFonts w:ascii="Century Gothic" w:hAnsi="Century Gothic" w:cs="Times New Roman"/>
                <w:b/>
                <w:bCs/>
                <w:color w:val="000000"/>
                <w:sz w:val="18"/>
                <w:szCs w:val="18"/>
              </w:rPr>
              <w:t>Ι</w:t>
            </w:r>
          </w:p>
        </w:tc>
        <w:tc>
          <w:tcPr>
            <w:tcW w:w="827"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Ι</w:t>
            </w:r>
          </w:p>
        </w:tc>
        <w:tc>
          <w:tcPr>
            <w:tcW w:w="604" w:type="dxa"/>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Α</w:t>
            </w:r>
          </w:p>
        </w:tc>
        <w:tc>
          <w:tcPr>
            <w:tcW w:w="770"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Σ</w:t>
            </w:r>
          </w:p>
        </w:tc>
        <w:tc>
          <w:tcPr>
            <w:tcW w:w="364"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Ο</w:t>
            </w:r>
          </w:p>
        </w:tc>
        <w:tc>
          <w:tcPr>
            <w:tcW w:w="567"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Ν</w:t>
            </w:r>
          </w:p>
        </w:tc>
        <w:tc>
          <w:tcPr>
            <w:tcW w:w="674" w:type="dxa"/>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Δ</w:t>
            </w:r>
          </w:p>
        </w:tc>
      </w:tr>
      <w:tr w:rsidR="00BE6140" w:rsidRPr="00CB6CE9" w:rsidTr="00FD6D95">
        <w:trPr>
          <w:trHeight w:val="77"/>
          <w:jc w:val="center"/>
        </w:trPr>
        <w:tc>
          <w:tcPr>
            <w:tcW w:w="761" w:type="dxa"/>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38,5</w:t>
            </w:r>
          </w:p>
        </w:tc>
        <w:tc>
          <w:tcPr>
            <w:tcW w:w="765" w:type="dxa"/>
            <w:tcBorders>
              <w:bottom w:val="single" w:sz="4" w:space="0" w:color="943634"/>
            </w:tcBorders>
            <w:shd w:val="clear" w:color="auto" w:fill="D3DFEE"/>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55,0</w:t>
            </w:r>
          </w:p>
        </w:tc>
        <w:tc>
          <w:tcPr>
            <w:tcW w:w="892"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47,1</w:t>
            </w:r>
          </w:p>
        </w:tc>
        <w:tc>
          <w:tcPr>
            <w:tcW w:w="787" w:type="dxa"/>
            <w:gridSpan w:val="2"/>
            <w:tcBorders>
              <w:bottom w:val="single" w:sz="4" w:space="0" w:color="943634"/>
            </w:tcBorders>
            <w:shd w:val="clear" w:color="auto" w:fill="D3DFEE"/>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61,5</w:t>
            </w:r>
          </w:p>
        </w:tc>
        <w:tc>
          <w:tcPr>
            <w:tcW w:w="704"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65,7</w:t>
            </w:r>
          </w:p>
        </w:tc>
        <w:tc>
          <w:tcPr>
            <w:tcW w:w="986" w:type="dxa"/>
            <w:tcBorders>
              <w:bottom w:val="single" w:sz="4" w:space="0" w:color="943634"/>
            </w:tcBorders>
            <w:shd w:val="clear" w:color="auto" w:fill="D3DFEE"/>
            <w:vAlign w:val="center"/>
          </w:tcPr>
          <w:p w:rsidR="00BE6140" w:rsidRPr="006673E0" w:rsidRDefault="00BE6140" w:rsidP="00951945">
            <w:pPr>
              <w:jc w:val="center"/>
              <w:rPr>
                <w:rFonts w:ascii="Century Gothic" w:hAnsi="Century Gothic" w:cs="Times New Roman"/>
                <w:bCs/>
                <w:color w:val="000000"/>
                <w:sz w:val="18"/>
                <w:szCs w:val="18"/>
                <w:lang w:val="en-US"/>
              </w:rPr>
            </w:pPr>
            <w:r>
              <w:rPr>
                <w:rFonts w:ascii="Century Gothic" w:hAnsi="Century Gothic" w:cs="Times New Roman"/>
                <w:bCs/>
                <w:color w:val="000000"/>
                <w:sz w:val="18"/>
                <w:szCs w:val="18"/>
                <w:lang w:val="en-US"/>
              </w:rPr>
              <w:t>69.5</w:t>
            </w:r>
          </w:p>
        </w:tc>
        <w:tc>
          <w:tcPr>
            <w:tcW w:w="827"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Pr>
                <w:rFonts w:ascii="Century Gothic" w:hAnsi="Century Gothic"/>
                <w:b w:val="0"/>
                <w:i w:val="0"/>
                <w:iCs w:val="0"/>
                <w:color w:val="000000"/>
              </w:rPr>
              <w:t>72,3</w:t>
            </w:r>
          </w:p>
        </w:tc>
        <w:tc>
          <w:tcPr>
            <w:tcW w:w="604" w:type="dxa"/>
            <w:tcBorders>
              <w:bottom w:val="single" w:sz="4" w:space="0" w:color="943634"/>
            </w:tcBorders>
            <w:shd w:val="clear" w:color="auto" w:fill="D3DFEE"/>
            <w:vAlign w:val="bottom"/>
          </w:tcPr>
          <w:p w:rsidR="00BE6140" w:rsidRPr="0072584F" w:rsidRDefault="00BE6140" w:rsidP="0072584F">
            <w:pPr>
              <w:jc w:val="center"/>
              <w:rPr>
                <w:rFonts w:ascii="Century Gothic" w:hAnsi="Century Gothic" w:cs="Times New Roman"/>
                <w:bCs/>
                <w:color w:val="000000"/>
                <w:sz w:val="18"/>
                <w:szCs w:val="18"/>
                <w:lang w:val="en-US"/>
              </w:rPr>
            </w:pPr>
            <w:r w:rsidRPr="0072584F">
              <w:rPr>
                <w:rFonts w:ascii="Century Gothic" w:hAnsi="Century Gothic" w:cs="Times New Roman"/>
                <w:bCs/>
                <w:color w:val="000000"/>
                <w:sz w:val="18"/>
                <w:szCs w:val="18"/>
                <w:lang w:val="en-US"/>
              </w:rPr>
              <w:t>75,9</w:t>
            </w:r>
          </w:p>
        </w:tc>
        <w:tc>
          <w:tcPr>
            <w:tcW w:w="770" w:type="dxa"/>
            <w:gridSpan w:val="2"/>
            <w:tcBorders>
              <w:bottom w:val="single" w:sz="4" w:space="0" w:color="943634"/>
            </w:tcBorders>
            <w:shd w:val="clear" w:color="auto" w:fill="FFFFFF"/>
            <w:vAlign w:val="bottom"/>
          </w:tcPr>
          <w:p w:rsidR="00BE6140" w:rsidRPr="0072584F" w:rsidRDefault="00BE6140" w:rsidP="0072584F">
            <w:pPr>
              <w:jc w:val="center"/>
              <w:rPr>
                <w:rFonts w:ascii="Century Gothic" w:hAnsi="Century Gothic" w:cs="Times New Roman"/>
                <w:bCs/>
                <w:color w:val="000000"/>
                <w:sz w:val="18"/>
                <w:szCs w:val="18"/>
                <w:lang w:val="en-US"/>
              </w:rPr>
            </w:pPr>
            <w:r w:rsidRPr="0072584F">
              <w:rPr>
                <w:rFonts w:ascii="Century Gothic" w:hAnsi="Century Gothic" w:cs="Times New Roman"/>
                <w:bCs/>
                <w:color w:val="000000"/>
                <w:sz w:val="18"/>
                <w:szCs w:val="18"/>
                <w:lang w:val="en-US"/>
              </w:rPr>
              <w:t>89,7</w:t>
            </w:r>
          </w:p>
        </w:tc>
        <w:tc>
          <w:tcPr>
            <w:tcW w:w="364" w:type="dxa"/>
            <w:gridSpan w:val="2"/>
            <w:tcBorders>
              <w:bottom w:val="single" w:sz="4" w:space="0" w:color="943634"/>
            </w:tcBorders>
            <w:shd w:val="clear" w:color="auto" w:fill="D3DFEE"/>
            <w:vAlign w:val="center"/>
          </w:tcPr>
          <w:p w:rsidR="00BE6140" w:rsidRPr="00CB6CE9" w:rsidRDefault="00BE6140" w:rsidP="00951945">
            <w:pPr>
              <w:pStyle w:val="2"/>
              <w:rPr>
                <w:rFonts w:ascii="Century Gothic" w:hAnsi="Century Gothic"/>
                <w:b w:val="0"/>
                <w:i w:val="0"/>
                <w:iCs w:val="0"/>
                <w:color w:val="000000"/>
              </w:rPr>
            </w:pPr>
          </w:p>
        </w:tc>
        <w:tc>
          <w:tcPr>
            <w:tcW w:w="567"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p>
        </w:tc>
        <w:tc>
          <w:tcPr>
            <w:tcW w:w="674" w:type="dxa"/>
            <w:tcBorders>
              <w:bottom w:val="single" w:sz="4" w:space="0" w:color="943634"/>
            </w:tcBorders>
            <w:shd w:val="clear" w:color="auto" w:fill="DBE5F1"/>
            <w:vAlign w:val="center"/>
          </w:tcPr>
          <w:p w:rsidR="00BE6140" w:rsidRPr="00CB6CE9" w:rsidRDefault="00BE6140" w:rsidP="00951945">
            <w:pPr>
              <w:pStyle w:val="2"/>
              <w:rPr>
                <w:rFonts w:ascii="Century Gothic" w:hAnsi="Century Gothic"/>
                <w:b w:val="0"/>
                <w:i w:val="0"/>
                <w:iCs w:val="0"/>
                <w:color w:val="000000"/>
              </w:rPr>
            </w:pPr>
          </w:p>
        </w:tc>
      </w:tr>
    </w:tbl>
    <w:p w:rsidR="00BE6140" w:rsidRPr="00CB6CE9" w:rsidRDefault="00BE6140" w:rsidP="00E00BE9">
      <w:pPr>
        <w:pStyle w:val="BodyText26"/>
        <w:numPr>
          <w:ilvl w:val="12"/>
          <w:numId w:val="0"/>
        </w:numPr>
        <w:spacing w:after="0" w:line="240" w:lineRule="auto"/>
        <w:rPr>
          <w:rFonts w:ascii="Century Gothic" w:hAnsi="Century Gothic"/>
          <w:sz w:val="18"/>
          <w:szCs w:val="18"/>
        </w:rPr>
      </w:pPr>
      <w:r w:rsidRPr="00CB6CE9">
        <w:rPr>
          <w:rFonts w:ascii="Century Gothic" w:hAnsi="Century Gothic"/>
          <w:b/>
          <w:bCs/>
          <w:sz w:val="18"/>
          <w:szCs w:val="18"/>
        </w:rPr>
        <w:t>Σημείωση:</w:t>
      </w:r>
      <w:r w:rsidRPr="00CB6CE9">
        <w:rPr>
          <w:rFonts w:ascii="Century Gothic" w:hAnsi="Century Gothic"/>
          <w:sz w:val="18"/>
          <w:szCs w:val="18"/>
        </w:rPr>
        <w:t xml:space="preserve"> Ο δείκτης επιχειρηματικών προσδοκιών υπολογίζεται με βάση τις εκτιμήσεις για το πρόγραμμα των εργασιών και τις προβλέψεις για την απασχόληση. </w:t>
      </w:r>
    </w:p>
    <w:p w:rsidR="00BE6140" w:rsidRPr="00CB6CE9" w:rsidRDefault="00BE6140" w:rsidP="00E00BE9">
      <w:pPr>
        <w:jc w:val="both"/>
        <w:outlineLvl w:val="0"/>
        <w:rPr>
          <w:rFonts w:ascii="Century Gothic" w:hAnsi="Century Gothic" w:cs="Times New Roman"/>
          <w:sz w:val="18"/>
          <w:szCs w:val="18"/>
        </w:rPr>
      </w:pPr>
      <w:r w:rsidRPr="00CB6CE9">
        <w:rPr>
          <w:rFonts w:ascii="Century Gothic" w:hAnsi="Century Gothic" w:cs="Times New Roman"/>
          <w:b/>
          <w:bCs/>
          <w:sz w:val="18"/>
          <w:szCs w:val="18"/>
        </w:rPr>
        <w:t>Πηγή:</w:t>
      </w:r>
      <w:r w:rsidRPr="00CB6CE9">
        <w:rPr>
          <w:rFonts w:ascii="Century Gothic" w:hAnsi="Century Gothic" w:cs="Times New Roman"/>
          <w:sz w:val="18"/>
          <w:szCs w:val="18"/>
        </w:rPr>
        <w:t xml:space="preserve"> ΙΟΒΕ</w:t>
      </w:r>
    </w:p>
    <w:p w:rsidR="00BE6140" w:rsidRPr="00CB6CE9" w:rsidRDefault="00BE6140" w:rsidP="00E00BE9">
      <w:pPr>
        <w:ind w:left="-284" w:right="-428"/>
        <w:jc w:val="center"/>
        <w:rPr>
          <w:rFonts w:ascii="Century Gothic" w:hAnsi="Century Gothic" w:cs="Times New Roman"/>
          <w:b/>
          <w:bCs/>
          <w:sz w:val="18"/>
          <w:szCs w:val="18"/>
        </w:rPr>
      </w:pPr>
    </w:p>
    <w:p w:rsidR="00BE6140" w:rsidRPr="00CB6CE9" w:rsidRDefault="00BE6140" w:rsidP="00E00BE9">
      <w:pPr>
        <w:ind w:left="-284" w:right="-428"/>
        <w:jc w:val="center"/>
        <w:rPr>
          <w:rFonts w:ascii="Century Gothic" w:hAnsi="Century Gothic" w:cs="Times New Roman"/>
          <w:sz w:val="18"/>
          <w:szCs w:val="18"/>
        </w:rPr>
      </w:pPr>
      <w:r w:rsidRPr="00E00BE9">
        <w:rPr>
          <w:rFonts w:ascii="Century Gothic" w:hAnsi="Century Gothic" w:cs="Times New Roman"/>
          <w:b/>
          <w:bCs/>
          <w:sz w:val="18"/>
          <w:szCs w:val="18"/>
        </w:rPr>
        <w:t xml:space="preserve">Διάγραμμα 3: </w:t>
      </w:r>
      <w:r w:rsidRPr="00E00BE9">
        <w:rPr>
          <w:rFonts w:ascii="Century Gothic" w:hAnsi="Century Gothic" w:cs="Times New Roman"/>
          <w:sz w:val="18"/>
          <w:szCs w:val="18"/>
        </w:rPr>
        <w:t>Δείκτης Επιχειρηματικών Προσδοκιών στις Κατασκευές (1996-2006=100)</w:t>
      </w:r>
    </w:p>
    <w:p w:rsidR="00BE6140" w:rsidRPr="00CB6CE9" w:rsidRDefault="005C53FF" w:rsidP="00E00BE9">
      <w:pPr>
        <w:ind w:left="-284" w:right="-428"/>
        <w:jc w:val="center"/>
        <w:rPr>
          <w:rFonts w:ascii="Century Gothic" w:hAnsi="Century Gothic" w:cs="Times New Roman"/>
          <w:noProof/>
          <w:sz w:val="18"/>
          <w:szCs w:val="18"/>
        </w:rPr>
      </w:pPr>
      <w:r>
        <w:rPr>
          <w:noProof/>
          <w:szCs w:val="18"/>
        </w:rPr>
        <w:drawing>
          <wp:inline distT="0" distB="0" distL="0" distR="0">
            <wp:extent cx="5287645" cy="2926080"/>
            <wp:effectExtent l="19050" t="0" r="8255" b="0"/>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287645" cy="2926080"/>
                    </a:xfrm>
                    <a:prstGeom prst="rect">
                      <a:avLst/>
                    </a:prstGeom>
                    <a:noFill/>
                    <a:ln w="9525">
                      <a:noFill/>
                      <a:miter lim="800000"/>
                      <a:headEnd/>
                      <a:tailEnd/>
                    </a:ln>
                  </pic:spPr>
                </pic:pic>
              </a:graphicData>
            </a:graphic>
          </wp:inline>
        </w:drawing>
      </w:r>
    </w:p>
    <w:p w:rsidR="00BE6140" w:rsidRDefault="00BE6140" w:rsidP="00E00BE9">
      <w:pPr>
        <w:jc w:val="both"/>
        <w:outlineLvl w:val="0"/>
        <w:rPr>
          <w:rFonts w:ascii="Century Gothic" w:hAnsi="Century Gothic" w:cs="Times New Roman"/>
          <w:sz w:val="18"/>
          <w:szCs w:val="18"/>
        </w:rPr>
      </w:pPr>
      <w:r w:rsidRPr="00CB6CE9">
        <w:rPr>
          <w:rFonts w:ascii="Century Gothic" w:hAnsi="Century Gothic" w:cs="Times New Roman"/>
          <w:b/>
          <w:bCs/>
          <w:iCs/>
          <w:sz w:val="18"/>
          <w:szCs w:val="18"/>
        </w:rPr>
        <w:t>Πηγή</w:t>
      </w:r>
      <w:r w:rsidRPr="00CB6CE9">
        <w:rPr>
          <w:rFonts w:ascii="Century Gothic" w:hAnsi="Century Gothic" w:cs="Times New Roman"/>
          <w:b/>
          <w:bCs/>
          <w:i/>
          <w:iCs/>
          <w:sz w:val="18"/>
          <w:szCs w:val="18"/>
        </w:rPr>
        <w:t>:</w:t>
      </w:r>
      <w:r w:rsidRPr="00CB6CE9">
        <w:rPr>
          <w:rFonts w:ascii="Century Gothic" w:hAnsi="Century Gothic" w:cs="Times New Roman"/>
          <w:i/>
          <w:iCs/>
          <w:sz w:val="18"/>
          <w:szCs w:val="18"/>
        </w:rPr>
        <w:t xml:space="preserve"> </w:t>
      </w:r>
      <w:r w:rsidRPr="00CB6CE9">
        <w:rPr>
          <w:rFonts w:ascii="Century Gothic" w:hAnsi="Century Gothic" w:cs="Times New Roman"/>
          <w:sz w:val="18"/>
          <w:szCs w:val="18"/>
          <w:lang w:val="en-US"/>
        </w:rPr>
        <w:t>IOBE</w:t>
      </w:r>
    </w:p>
    <w:p w:rsidR="00BE6140" w:rsidRPr="00CB6CE9" w:rsidRDefault="00BE6140" w:rsidP="00A067D8">
      <w:pPr>
        <w:spacing w:before="100" w:beforeAutospacing="1" w:after="100" w:afterAutospacing="1" w:line="276" w:lineRule="auto"/>
        <w:jc w:val="both"/>
        <w:rPr>
          <w:rFonts w:ascii="Century Gothic" w:hAnsi="Century Gothic" w:cs="Times New Roman"/>
          <w:sz w:val="20"/>
          <w:szCs w:val="20"/>
        </w:rPr>
      </w:pPr>
      <w:r w:rsidRPr="00CB6CE9">
        <w:rPr>
          <w:rFonts w:ascii="Century Gothic" w:hAnsi="Century Gothic" w:cs="Times New Roman"/>
          <w:sz w:val="20"/>
          <w:szCs w:val="20"/>
        </w:rPr>
        <w:t xml:space="preserve">Ο δείκτης επιχειρηματικών προσδοκιών στις </w:t>
      </w:r>
      <w:r w:rsidRPr="00CB6CE9">
        <w:rPr>
          <w:rFonts w:ascii="Century Gothic" w:hAnsi="Century Gothic" w:cs="Times New Roman"/>
          <w:b/>
          <w:bCs/>
          <w:sz w:val="20"/>
          <w:szCs w:val="20"/>
        </w:rPr>
        <w:t>Ιδιωτικές Κατασκευές</w:t>
      </w:r>
      <w:r w:rsidRPr="00CB6CE9">
        <w:rPr>
          <w:rFonts w:ascii="Century Gothic" w:hAnsi="Century Gothic" w:cs="Times New Roman"/>
          <w:sz w:val="20"/>
          <w:szCs w:val="20"/>
        </w:rPr>
        <w:t xml:space="preserve"> </w:t>
      </w:r>
      <w:r>
        <w:rPr>
          <w:rFonts w:ascii="Century Gothic" w:hAnsi="Century Gothic" w:cs="Times New Roman"/>
          <w:sz w:val="20"/>
          <w:szCs w:val="20"/>
        </w:rPr>
        <w:t>κερδίζει</w:t>
      </w:r>
      <w:r w:rsidRPr="00CB6CE9">
        <w:rPr>
          <w:rFonts w:ascii="Century Gothic" w:hAnsi="Century Gothic" w:cs="Times New Roman"/>
          <w:sz w:val="20"/>
          <w:szCs w:val="20"/>
        </w:rPr>
        <w:t xml:space="preserve"> έδαφος</w:t>
      </w:r>
      <w:r>
        <w:rPr>
          <w:rFonts w:ascii="Century Gothic" w:hAnsi="Century Gothic" w:cs="Times New Roman"/>
          <w:sz w:val="20"/>
          <w:szCs w:val="20"/>
        </w:rPr>
        <w:t xml:space="preserve"> και</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τον Σεπτέμβριο </w:t>
      </w:r>
      <w:r w:rsidRPr="00CB6CE9">
        <w:rPr>
          <w:rFonts w:ascii="Century Gothic" w:hAnsi="Century Gothic" w:cs="Times New Roman"/>
          <w:sz w:val="20"/>
          <w:szCs w:val="20"/>
        </w:rPr>
        <w:t xml:space="preserve">και διαμορφώνεται στις </w:t>
      </w:r>
      <w:r>
        <w:rPr>
          <w:rFonts w:ascii="Century Gothic" w:hAnsi="Century Gothic" w:cs="Times New Roman"/>
          <w:sz w:val="20"/>
          <w:szCs w:val="20"/>
        </w:rPr>
        <w:t xml:space="preserve">45,6 μονάδες (από 40,1), ανώτερα </w:t>
      </w:r>
      <w:r w:rsidRPr="00CB6CE9">
        <w:rPr>
          <w:rFonts w:ascii="Century Gothic" w:hAnsi="Century Gothic" w:cs="Times New Roman"/>
          <w:sz w:val="20"/>
          <w:szCs w:val="20"/>
        </w:rPr>
        <w:t xml:space="preserve">σε σχέση με την αντίστοιχη περσινή </w:t>
      </w:r>
      <w:r>
        <w:rPr>
          <w:rFonts w:ascii="Century Gothic" w:hAnsi="Century Gothic" w:cs="Times New Roman"/>
          <w:sz w:val="20"/>
          <w:szCs w:val="20"/>
        </w:rPr>
        <w:t xml:space="preserve">τιμή του </w:t>
      </w:r>
      <w:r w:rsidRPr="00CB6CE9">
        <w:rPr>
          <w:rFonts w:ascii="Century Gothic" w:hAnsi="Century Gothic" w:cs="Times New Roman"/>
          <w:sz w:val="20"/>
          <w:szCs w:val="20"/>
        </w:rPr>
        <w:t>(</w:t>
      </w:r>
      <w:r>
        <w:rPr>
          <w:rFonts w:ascii="Century Gothic" w:hAnsi="Century Gothic" w:cs="Times New Roman"/>
          <w:sz w:val="20"/>
          <w:szCs w:val="20"/>
        </w:rPr>
        <w:t>32,6</w:t>
      </w:r>
      <w:r w:rsidRPr="00CB6CE9">
        <w:rPr>
          <w:rFonts w:ascii="Century Gothic" w:hAnsi="Century Gothic" w:cs="Times New Roman"/>
          <w:sz w:val="20"/>
          <w:szCs w:val="20"/>
        </w:rPr>
        <w:t xml:space="preserve"> μονάδες). Η </w:t>
      </w:r>
      <w:r>
        <w:rPr>
          <w:rFonts w:ascii="Century Gothic" w:hAnsi="Century Gothic" w:cs="Times New Roman"/>
          <w:sz w:val="20"/>
          <w:szCs w:val="20"/>
        </w:rPr>
        <w:t>ανάκαμψη</w:t>
      </w:r>
      <w:r w:rsidRPr="00CB6CE9">
        <w:rPr>
          <w:rFonts w:ascii="Century Gothic" w:hAnsi="Century Gothic" w:cs="Times New Roman"/>
          <w:sz w:val="20"/>
          <w:szCs w:val="20"/>
        </w:rPr>
        <w:t xml:space="preserve"> </w:t>
      </w:r>
      <w:r>
        <w:rPr>
          <w:rFonts w:ascii="Century Gothic" w:hAnsi="Century Gothic" w:cs="Times New Roman"/>
          <w:sz w:val="20"/>
          <w:szCs w:val="20"/>
        </w:rPr>
        <w:t>εκπορεύεται</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από τις λιγότερο δυσμενείς προβλέψεις για την απασχόληση (-33 από -37 μον. ο δείκτης), αλλά και από τη βελτίωση που καταγράφεται στις προγραμματισμένες εργασίες (-73 από -81 μον. ο δείκτης). Στο ίδιο μήκος </w:t>
      </w:r>
      <w:r>
        <w:rPr>
          <w:rFonts w:ascii="Century Gothic" w:hAnsi="Century Gothic" w:cs="Times New Roman"/>
          <w:sz w:val="20"/>
          <w:szCs w:val="20"/>
        </w:rPr>
        <w:lastRenderedPageBreak/>
        <w:t xml:space="preserve">κύματος, </w:t>
      </w:r>
      <w:r w:rsidRPr="00CB6CE9">
        <w:rPr>
          <w:rFonts w:ascii="Century Gothic" w:hAnsi="Century Gothic" w:cs="Times New Roman"/>
          <w:sz w:val="20"/>
          <w:szCs w:val="20"/>
        </w:rPr>
        <w:t xml:space="preserve">οι εκτιμήσεις για την τρέχουσα πορεία εργασιών των επιχειρήσεων </w:t>
      </w:r>
      <w:r>
        <w:rPr>
          <w:rFonts w:ascii="Century Gothic" w:hAnsi="Century Gothic" w:cs="Times New Roman"/>
          <w:sz w:val="20"/>
          <w:szCs w:val="20"/>
        </w:rPr>
        <w:t xml:space="preserve">βελτιώνονται, και μάλιστα αισθητά, με το σχετικό αρνητικό ισοζύγιο να κερδίζει περί τις 40 μονάδες (-11 μον.). Παρά τις θετικές αυτές μεταβολές, </w:t>
      </w:r>
      <w:r w:rsidRPr="00CB6CE9">
        <w:rPr>
          <w:rFonts w:ascii="Century Gothic" w:hAnsi="Century Gothic" w:cs="Times New Roman"/>
          <w:sz w:val="20"/>
          <w:szCs w:val="20"/>
        </w:rPr>
        <w:t xml:space="preserve">οι μήνες εξασφαλισμένης δραστηριότητας </w:t>
      </w:r>
      <w:r>
        <w:rPr>
          <w:rFonts w:ascii="Century Gothic" w:hAnsi="Century Gothic" w:cs="Times New Roman"/>
          <w:sz w:val="20"/>
          <w:szCs w:val="20"/>
        </w:rPr>
        <w:t>περιορίζονται στους 3,7 (από 5,2), ενώ σ</w:t>
      </w:r>
      <w:r w:rsidRPr="00CB6CE9">
        <w:rPr>
          <w:rFonts w:ascii="Century Gothic" w:hAnsi="Century Gothic" w:cs="Times New Roman"/>
          <w:sz w:val="20"/>
          <w:szCs w:val="20"/>
        </w:rPr>
        <w:t xml:space="preserve">τις τιμές, οι αποπληθωριστικές προσδοκίες </w:t>
      </w:r>
      <w:r>
        <w:rPr>
          <w:rFonts w:ascii="Century Gothic" w:hAnsi="Century Gothic" w:cs="Times New Roman"/>
          <w:sz w:val="20"/>
          <w:szCs w:val="20"/>
        </w:rPr>
        <w:t xml:space="preserve">εντείνονται </w:t>
      </w:r>
      <w:r w:rsidRPr="00CB6CE9">
        <w:rPr>
          <w:rFonts w:ascii="Century Gothic" w:hAnsi="Century Gothic" w:cs="Times New Roman"/>
          <w:sz w:val="20"/>
          <w:szCs w:val="20"/>
        </w:rPr>
        <w:t>(</w:t>
      </w:r>
      <w:r>
        <w:rPr>
          <w:rFonts w:ascii="Century Gothic" w:hAnsi="Century Gothic" w:cs="Times New Roman"/>
          <w:sz w:val="20"/>
          <w:szCs w:val="20"/>
        </w:rPr>
        <w:t xml:space="preserve">-43 από -28 </w:t>
      </w:r>
      <w:r w:rsidRPr="00CB6CE9">
        <w:rPr>
          <w:rFonts w:ascii="Century Gothic" w:hAnsi="Century Gothic" w:cs="Times New Roman"/>
          <w:sz w:val="20"/>
          <w:szCs w:val="20"/>
        </w:rPr>
        <w:t>μον</w:t>
      </w:r>
      <w:r>
        <w:rPr>
          <w:rFonts w:ascii="Century Gothic" w:hAnsi="Century Gothic" w:cs="Times New Roman"/>
          <w:sz w:val="20"/>
          <w:szCs w:val="20"/>
        </w:rPr>
        <w:t>.</w:t>
      </w:r>
      <w:r w:rsidRPr="00CB6CE9">
        <w:rPr>
          <w:rFonts w:ascii="Century Gothic" w:hAnsi="Century Gothic" w:cs="Times New Roman"/>
          <w:sz w:val="20"/>
          <w:szCs w:val="20"/>
        </w:rPr>
        <w:t xml:space="preserve"> το ι</w:t>
      </w:r>
      <w:r>
        <w:rPr>
          <w:rFonts w:ascii="Century Gothic" w:hAnsi="Century Gothic" w:cs="Times New Roman"/>
          <w:sz w:val="20"/>
          <w:szCs w:val="20"/>
        </w:rPr>
        <w:t>σοζύγιο). Τέλος, το 6</w:t>
      </w:r>
      <w:r w:rsidRPr="00CB6CE9">
        <w:rPr>
          <w:rFonts w:ascii="Century Gothic" w:hAnsi="Century Gothic" w:cs="Times New Roman"/>
          <w:sz w:val="20"/>
          <w:szCs w:val="20"/>
        </w:rPr>
        <w:t>%</w:t>
      </w:r>
      <w:r>
        <w:rPr>
          <w:rFonts w:ascii="Century Gothic" w:hAnsi="Century Gothic" w:cs="Times New Roman"/>
          <w:sz w:val="20"/>
          <w:szCs w:val="20"/>
        </w:rPr>
        <w:t xml:space="preserve"> (από 1%) των επιχειρήσεων</w:t>
      </w:r>
      <w:r w:rsidRPr="00CB6CE9">
        <w:rPr>
          <w:rFonts w:ascii="Century Gothic" w:hAnsi="Century Gothic" w:cs="Times New Roman"/>
          <w:sz w:val="20"/>
          <w:szCs w:val="20"/>
        </w:rPr>
        <w:t xml:space="preserve"> δεν αναφέρει λειτουργικά εμπόδια, </w:t>
      </w:r>
      <w:r>
        <w:rPr>
          <w:rFonts w:ascii="Century Gothic" w:hAnsi="Century Gothic" w:cs="Times New Roman"/>
          <w:sz w:val="20"/>
          <w:szCs w:val="20"/>
        </w:rPr>
        <w:t>ενώ από ένα</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37-38% </w:t>
      </w:r>
      <w:r w:rsidRPr="00CB6CE9">
        <w:rPr>
          <w:rFonts w:ascii="Century Gothic" w:hAnsi="Century Gothic" w:cs="Times New Roman"/>
          <w:sz w:val="20"/>
          <w:szCs w:val="20"/>
        </w:rPr>
        <w:t>δηλών</w:t>
      </w:r>
      <w:r>
        <w:rPr>
          <w:rFonts w:ascii="Century Gothic" w:hAnsi="Century Gothic" w:cs="Times New Roman"/>
          <w:sz w:val="20"/>
          <w:szCs w:val="20"/>
        </w:rPr>
        <w:t>ουν ως βασικότερα</w:t>
      </w:r>
      <w:r w:rsidRPr="00CB6CE9">
        <w:rPr>
          <w:rFonts w:ascii="Century Gothic" w:hAnsi="Century Gothic" w:cs="Times New Roman"/>
          <w:sz w:val="20"/>
          <w:szCs w:val="20"/>
        </w:rPr>
        <w:t xml:space="preserve"> </w:t>
      </w:r>
      <w:r>
        <w:rPr>
          <w:rFonts w:ascii="Century Gothic" w:hAnsi="Century Gothic" w:cs="Times New Roman"/>
          <w:sz w:val="20"/>
          <w:szCs w:val="20"/>
        </w:rPr>
        <w:t>προσκόμματα αμφότερα τη</w:t>
      </w:r>
      <w:r w:rsidRPr="00CB6CE9">
        <w:rPr>
          <w:rFonts w:ascii="Century Gothic" w:hAnsi="Century Gothic" w:cs="Times New Roman"/>
          <w:sz w:val="20"/>
          <w:szCs w:val="20"/>
        </w:rPr>
        <w:t xml:space="preserve"> </w:t>
      </w:r>
      <w:r>
        <w:rPr>
          <w:rFonts w:ascii="Century Gothic" w:hAnsi="Century Gothic" w:cs="Times New Roman"/>
          <w:sz w:val="20"/>
          <w:szCs w:val="20"/>
        </w:rPr>
        <w:t>χαμηλή ζήτηση</w:t>
      </w:r>
      <w:r w:rsidRPr="002011D3">
        <w:rPr>
          <w:rFonts w:ascii="Century Gothic" w:hAnsi="Century Gothic" w:cs="Times New Roman"/>
          <w:sz w:val="20"/>
          <w:szCs w:val="20"/>
        </w:rPr>
        <w:t xml:space="preserve"> </w:t>
      </w:r>
      <w:r>
        <w:rPr>
          <w:rFonts w:ascii="Century Gothic" w:hAnsi="Century Gothic" w:cs="Times New Roman"/>
          <w:sz w:val="20"/>
          <w:szCs w:val="20"/>
        </w:rPr>
        <w:t>και τους τρέχοντες παράγοντες που συνδέονται με την οικονομική ύφεση, με το 1/5 των επιχειρήσεων να δηλώνει την ανεπάρκεια χρηματοδότησης.</w:t>
      </w:r>
    </w:p>
    <w:p w:rsidR="00BE6140" w:rsidRDefault="00BE6140" w:rsidP="00A067D8">
      <w:pPr>
        <w:spacing w:before="100" w:beforeAutospacing="1" w:after="100" w:afterAutospacing="1" w:line="288" w:lineRule="auto"/>
        <w:jc w:val="both"/>
        <w:rPr>
          <w:rFonts w:ascii="Century Gothic" w:hAnsi="Century Gothic" w:cs="Times New Roman"/>
          <w:sz w:val="20"/>
          <w:szCs w:val="20"/>
        </w:rPr>
      </w:pPr>
      <w:r>
        <w:rPr>
          <w:rFonts w:ascii="Century Gothic" w:hAnsi="Century Gothic" w:cs="Times New Roman"/>
          <w:sz w:val="20"/>
          <w:szCs w:val="20"/>
        </w:rPr>
        <w:t>Αισθητή άνοδο, για έκτο κατά σειρά μήνα, σημειώνει ο δείκτης</w:t>
      </w:r>
      <w:r w:rsidRPr="00516320">
        <w:rPr>
          <w:rFonts w:ascii="Century Gothic" w:hAnsi="Century Gothic" w:cs="Times New Roman"/>
          <w:sz w:val="20"/>
          <w:szCs w:val="20"/>
        </w:rPr>
        <w:t xml:space="preserve"> </w:t>
      </w:r>
      <w:r w:rsidRPr="00CB6CE9">
        <w:rPr>
          <w:rFonts w:ascii="Century Gothic" w:hAnsi="Century Gothic" w:cs="Times New Roman"/>
          <w:sz w:val="20"/>
          <w:szCs w:val="20"/>
        </w:rPr>
        <w:t>επιχειρηματικών προσδοκιών</w:t>
      </w:r>
      <w:r>
        <w:rPr>
          <w:rFonts w:ascii="Century Gothic" w:hAnsi="Century Gothic" w:cs="Times New Roman"/>
          <w:sz w:val="20"/>
          <w:szCs w:val="20"/>
        </w:rPr>
        <w:t xml:space="preserve"> </w:t>
      </w:r>
      <w:r w:rsidRPr="00CB6CE9">
        <w:rPr>
          <w:rFonts w:ascii="Century Gothic" w:hAnsi="Century Gothic" w:cs="Times New Roman"/>
          <w:sz w:val="20"/>
          <w:szCs w:val="20"/>
        </w:rPr>
        <w:t xml:space="preserve">στις </w:t>
      </w:r>
      <w:r w:rsidRPr="00CB6CE9">
        <w:rPr>
          <w:rFonts w:ascii="Century Gothic" w:hAnsi="Century Gothic" w:cs="Times New Roman"/>
          <w:b/>
          <w:bCs/>
          <w:sz w:val="20"/>
          <w:szCs w:val="20"/>
        </w:rPr>
        <w:t>Κατασκευές Δημοσίων Έργων</w:t>
      </w:r>
      <w:r>
        <w:rPr>
          <w:rFonts w:ascii="Century Gothic" w:hAnsi="Century Gothic" w:cs="Times New Roman"/>
          <w:sz w:val="20"/>
          <w:szCs w:val="20"/>
        </w:rPr>
        <w:t xml:space="preserve">, </w:t>
      </w:r>
      <w:r w:rsidRPr="00CB6CE9">
        <w:rPr>
          <w:rFonts w:ascii="Century Gothic" w:hAnsi="Century Gothic" w:cs="Times New Roman"/>
          <w:sz w:val="20"/>
          <w:szCs w:val="20"/>
        </w:rPr>
        <w:t xml:space="preserve">φθάνοντας </w:t>
      </w:r>
      <w:r>
        <w:rPr>
          <w:rFonts w:ascii="Century Gothic" w:hAnsi="Century Gothic" w:cs="Times New Roman"/>
          <w:sz w:val="20"/>
          <w:szCs w:val="20"/>
        </w:rPr>
        <w:t xml:space="preserve">στις 111,7 μονάδες (από 89,3), </w:t>
      </w:r>
      <w:r w:rsidRPr="00CB6CE9">
        <w:rPr>
          <w:rFonts w:ascii="Century Gothic" w:hAnsi="Century Gothic" w:cs="Times New Roman"/>
          <w:sz w:val="20"/>
          <w:szCs w:val="20"/>
        </w:rPr>
        <w:t>στην υψηλότερη επίδοσ</w:t>
      </w:r>
      <w:r>
        <w:rPr>
          <w:rFonts w:ascii="Century Gothic" w:hAnsi="Century Gothic" w:cs="Times New Roman"/>
          <w:sz w:val="20"/>
          <w:szCs w:val="20"/>
        </w:rPr>
        <w:t>η</w:t>
      </w:r>
      <w:r w:rsidRPr="00CB6CE9">
        <w:rPr>
          <w:rFonts w:ascii="Century Gothic" w:hAnsi="Century Gothic" w:cs="Times New Roman"/>
          <w:sz w:val="20"/>
          <w:szCs w:val="20"/>
        </w:rPr>
        <w:t xml:space="preserve"> </w:t>
      </w:r>
      <w:r>
        <w:rPr>
          <w:rFonts w:ascii="Century Gothic" w:hAnsi="Century Gothic" w:cs="Times New Roman"/>
          <w:sz w:val="20"/>
          <w:szCs w:val="20"/>
        </w:rPr>
        <w:t>των τελευταίων πέντε ετών</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Η βελτίωση αυτή εκπορεύεται από τη σημαντική ανάκαμψη στις προβλέψεις για </w:t>
      </w:r>
      <w:r w:rsidRPr="00CB6CE9">
        <w:rPr>
          <w:rFonts w:ascii="Century Gothic" w:hAnsi="Century Gothic" w:cs="Times New Roman"/>
          <w:sz w:val="20"/>
          <w:szCs w:val="20"/>
        </w:rPr>
        <w:t>τις προγραμματισμένες εργασίες</w:t>
      </w:r>
      <w:r>
        <w:rPr>
          <w:rFonts w:ascii="Century Gothic" w:hAnsi="Century Gothic" w:cs="Times New Roman"/>
          <w:sz w:val="20"/>
          <w:szCs w:val="20"/>
        </w:rPr>
        <w:t>, όπου το σχετικό ισοζύγιο σκαρφάλωσε στις -4 μονάδες (από -58). Σε όρους προβλέψεων</w:t>
      </w:r>
      <w:r w:rsidRPr="00CB6CE9">
        <w:rPr>
          <w:rFonts w:ascii="Century Gothic" w:hAnsi="Century Gothic" w:cs="Times New Roman"/>
          <w:sz w:val="20"/>
          <w:szCs w:val="20"/>
        </w:rPr>
        <w:t xml:space="preserve"> για </w:t>
      </w:r>
      <w:r>
        <w:rPr>
          <w:rFonts w:ascii="Century Gothic" w:hAnsi="Century Gothic" w:cs="Times New Roman"/>
          <w:sz w:val="20"/>
          <w:szCs w:val="20"/>
        </w:rPr>
        <w:t>την απασχόληση σημειώνεται αντίθετα πτώση στο σχετικό δείκτη, ο οποίος όμως παραμένει θετικός (+10 μονάδες). Στους υπόλοιπους δείκτες</w:t>
      </w:r>
      <w:r w:rsidRPr="00CB6CE9">
        <w:rPr>
          <w:rFonts w:ascii="Century Gothic" w:hAnsi="Century Gothic" w:cs="Times New Roman"/>
          <w:sz w:val="20"/>
          <w:szCs w:val="20"/>
        </w:rPr>
        <w:t xml:space="preserve">, </w:t>
      </w:r>
      <w:r>
        <w:rPr>
          <w:rFonts w:ascii="Century Gothic" w:hAnsi="Century Gothic" w:cs="Times New Roman"/>
          <w:sz w:val="20"/>
          <w:szCs w:val="20"/>
        </w:rPr>
        <w:t>έντονη είναι η άνοδος και στις εκτιμήσεις</w:t>
      </w:r>
      <w:r w:rsidRPr="00CB6CE9">
        <w:rPr>
          <w:rFonts w:ascii="Century Gothic" w:hAnsi="Century Gothic" w:cs="Times New Roman"/>
          <w:sz w:val="20"/>
          <w:szCs w:val="20"/>
        </w:rPr>
        <w:t xml:space="preserve"> για τις τρέχουσες εργασίες των επιχειρήσεων</w:t>
      </w:r>
      <w:r>
        <w:rPr>
          <w:rFonts w:ascii="Century Gothic" w:hAnsi="Century Gothic" w:cs="Times New Roman"/>
          <w:sz w:val="20"/>
          <w:szCs w:val="20"/>
        </w:rPr>
        <w:t xml:space="preserve"> (+37 από -7 μον.</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ενώ στις </w:t>
      </w:r>
      <w:r w:rsidRPr="00CB6CE9">
        <w:rPr>
          <w:rFonts w:ascii="Century Gothic" w:hAnsi="Century Gothic" w:cs="Times New Roman"/>
          <w:sz w:val="20"/>
          <w:szCs w:val="20"/>
        </w:rPr>
        <w:t>τιμές</w:t>
      </w:r>
      <w:r>
        <w:rPr>
          <w:rFonts w:ascii="Century Gothic" w:hAnsi="Century Gothic" w:cs="Times New Roman"/>
          <w:sz w:val="20"/>
          <w:szCs w:val="20"/>
        </w:rPr>
        <w:t>, η αποπληθωριστική τάση εντείνεται ελαφρά (-42 από -38 μονάδες το ισοζύγιο). Τέλος, τ</w:t>
      </w:r>
      <w:r w:rsidRPr="00CB6CE9">
        <w:rPr>
          <w:rFonts w:ascii="Century Gothic" w:hAnsi="Century Gothic" w:cs="Times New Roman"/>
          <w:sz w:val="20"/>
          <w:szCs w:val="20"/>
        </w:rPr>
        <w:t>ο ποσοστό των ερωτηθέντων που δηλώνει απρόσκοπτη επιχειρηματική λειτουργία</w:t>
      </w:r>
      <w:r>
        <w:rPr>
          <w:rFonts w:ascii="Century Gothic" w:hAnsi="Century Gothic" w:cs="Times New Roman"/>
          <w:sz w:val="20"/>
          <w:szCs w:val="20"/>
        </w:rPr>
        <w:t xml:space="preserve"> περιορίζεται στο 8% (από 17%), </w:t>
      </w:r>
      <w:r w:rsidRPr="00CB6CE9">
        <w:rPr>
          <w:rFonts w:ascii="Century Gothic" w:hAnsi="Century Gothic" w:cs="Times New Roman"/>
          <w:sz w:val="20"/>
          <w:szCs w:val="20"/>
        </w:rPr>
        <w:t>με τις υπόλοιπες επιχειρήσεις να επισημαίνουν τη χαμηλή χρηματοδότηση (</w:t>
      </w:r>
      <w:r>
        <w:rPr>
          <w:rFonts w:ascii="Century Gothic" w:hAnsi="Century Gothic" w:cs="Times New Roman"/>
          <w:sz w:val="20"/>
          <w:szCs w:val="20"/>
        </w:rPr>
        <w:t>29%), τη χαμηλή ζήτηση (41</w:t>
      </w:r>
      <w:r w:rsidRPr="00CB6CE9">
        <w:rPr>
          <w:rFonts w:ascii="Century Gothic" w:hAnsi="Century Gothic" w:cs="Times New Roman"/>
          <w:sz w:val="20"/>
          <w:szCs w:val="20"/>
        </w:rPr>
        <w:t>%) και την τρέχουσα οικονομική κατάσταση (</w:t>
      </w:r>
      <w:r>
        <w:rPr>
          <w:rFonts w:ascii="Century Gothic" w:hAnsi="Century Gothic" w:cs="Times New Roman"/>
          <w:sz w:val="20"/>
          <w:szCs w:val="20"/>
        </w:rPr>
        <w:t>23</w:t>
      </w:r>
      <w:r w:rsidRPr="00CB6CE9">
        <w:rPr>
          <w:rFonts w:ascii="Century Gothic" w:hAnsi="Century Gothic" w:cs="Times New Roman"/>
          <w:sz w:val="20"/>
          <w:szCs w:val="20"/>
        </w:rPr>
        <w:t>%) ως τα βασικότερα επιχειρηματικά τους προσκόμματα.</w:t>
      </w:r>
    </w:p>
    <w:p w:rsidR="00BE6140" w:rsidRDefault="00BE6140" w:rsidP="00E00BE9">
      <w:pPr>
        <w:spacing w:before="100" w:beforeAutospacing="1" w:after="100" w:afterAutospacing="1" w:line="288" w:lineRule="auto"/>
        <w:jc w:val="both"/>
      </w:pPr>
    </w:p>
    <w:p w:rsidR="00BE6140" w:rsidRPr="00E55299" w:rsidRDefault="00BE6140" w:rsidP="00A067D8">
      <w:pPr>
        <w:shd w:val="clear" w:color="auto" w:fill="DBE5F1"/>
        <w:spacing w:before="100" w:beforeAutospacing="1" w:after="100" w:afterAutospacing="1" w:line="288" w:lineRule="auto"/>
        <w:ind w:right="-142"/>
        <w:jc w:val="both"/>
        <w:rPr>
          <w:rFonts w:ascii="Century Gothic" w:hAnsi="Century Gothic" w:cs="Times New Roman"/>
          <w:b/>
          <w:bCs/>
          <w:sz w:val="22"/>
          <w:szCs w:val="22"/>
        </w:rPr>
      </w:pPr>
      <w:r w:rsidRPr="00CB6CE9">
        <w:rPr>
          <w:rFonts w:ascii="Century Gothic" w:hAnsi="Century Gothic" w:cs="Times New Roman"/>
          <w:b/>
          <w:bCs/>
          <w:sz w:val="22"/>
          <w:szCs w:val="22"/>
          <w:u w:val="single"/>
        </w:rPr>
        <w:t>ΛΙΑΝΙΚΟ ΕΜΠΟΡΙΟ:</w:t>
      </w:r>
      <w:r w:rsidRPr="00CB6CE9">
        <w:rPr>
          <w:rFonts w:ascii="Century Gothic" w:hAnsi="Century Gothic" w:cs="Times New Roman"/>
          <w:b/>
          <w:bCs/>
          <w:sz w:val="22"/>
          <w:szCs w:val="22"/>
        </w:rPr>
        <w:t xml:space="preserve"> </w:t>
      </w:r>
      <w:r>
        <w:rPr>
          <w:rFonts w:ascii="Century Gothic" w:hAnsi="Century Gothic" w:cs="Times New Roman"/>
          <w:b/>
          <w:bCs/>
          <w:sz w:val="22"/>
          <w:szCs w:val="22"/>
        </w:rPr>
        <w:t>Εξασθένιση προσδοκιών, δυσμενείς προβλέψεις για τις πωλήσεις</w:t>
      </w:r>
    </w:p>
    <w:p w:rsidR="00BE6140" w:rsidRPr="00A40610" w:rsidRDefault="00BE6140" w:rsidP="00A067D8">
      <w:pPr>
        <w:spacing w:before="100" w:beforeAutospacing="1" w:after="100" w:afterAutospacing="1" w:line="276" w:lineRule="auto"/>
        <w:jc w:val="both"/>
        <w:rPr>
          <w:rFonts w:ascii="Century Gothic" w:hAnsi="Century Gothic" w:cs="Times New Roman"/>
          <w:sz w:val="20"/>
          <w:szCs w:val="20"/>
        </w:rPr>
      </w:pPr>
      <w:r w:rsidRPr="00CB6CE9">
        <w:rPr>
          <w:rFonts w:ascii="Century Gothic" w:hAnsi="Century Gothic" w:cs="Times New Roman"/>
          <w:sz w:val="20"/>
          <w:szCs w:val="20"/>
        </w:rPr>
        <w:t>Ο δείκτης επιχειρηματικών προσδοκιών στο</w:t>
      </w:r>
      <w:r w:rsidRPr="00CB6CE9">
        <w:rPr>
          <w:rFonts w:ascii="Century Gothic" w:hAnsi="Century Gothic" w:cs="Times New Roman"/>
          <w:b/>
          <w:bCs/>
          <w:sz w:val="20"/>
          <w:szCs w:val="20"/>
        </w:rPr>
        <w:t xml:space="preserve"> Λιανικό Εμπόριο</w:t>
      </w:r>
      <w:r>
        <w:rPr>
          <w:rFonts w:ascii="Century Gothic" w:hAnsi="Century Gothic" w:cs="Times New Roman"/>
          <w:bCs/>
          <w:sz w:val="20"/>
          <w:szCs w:val="20"/>
        </w:rPr>
        <w:t xml:space="preserve"> </w:t>
      </w:r>
      <w:r>
        <w:rPr>
          <w:rFonts w:ascii="Century Gothic" w:hAnsi="Century Gothic" w:cs="Times New Roman"/>
          <w:sz w:val="20"/>
          <w:szCs w:val="20"/>
        </w:rPr>
        <w:t xml:space="preserve">τον Σεπτέμβριο επιδεινώνεται ελαφρά και διαμορφώνεται </w:t>
      </w:r>
      <w:r w:rsidRPr="00CB6CE9">
        <w:rPr>
          <w:rFonts w:ascii="Century Gothic" w:hAnsi="Century Gothic" w:cs="Times New Roman"/>
          <w:sz w:val="20"/>
          <w:szCs w:val="20"/>
        </w:rPr>
        <w:t xml:space="preserve">στις </w:t>
      </w:r>
      <w:r>
        <w:rPr>
          <w:rFonts w:ascii="Century Gothic" w:hAnsi="Century Gothic" w:cs="Times New Roman"/>
          <w:sz w:val="20"/>
          <w:szCs w:val="20"/>
        </w:rPr>
        <w:t xml:space="preserve">69,4 (από 72,4 τον Ιούλιο) </w:t>
      </w:r>
      <w:r w:rsidRPr="00CB6CE9">
        <w:rPr>
          <w:rFonts w:ascii="Century Gothic" w:hAnsi="Century Gothic" w:cs="Times New Roman"/>
          <w:sz w:val="20"/>
          <w:szCs w:val="20"/>
        </w:rPr>
        <w:t>μονάδες</w:t>
      </w:r>
      <w:r>
        <w:rPr>
          <w:rFonts w:ascii="Century Gothic" w:hAnsi="Century Gothic" w:cs="Times New Roman"/>
          <w:sz w:val="20"/>
          <w:szCs w:val="20"/>
        </w:rPr>
        <w:t>, σε υψηλότερα πάντως επίπεδα από πέρυσι (58,4 μονάδες)</w:t>
      </w:r>
      <w:r w:rsidRPr="00CB6CE9">
        <w:rPr>
          <w:rFonts w:ascii="Century Gothic" w:hAnsi="Century Gothic" w:cs="Times New Roman"/>
          <w:sz w:val="20"/>
          <w:szCs w:val="20"/>
        </w:rPr>
        <w:t xml:space="preserve">. </w:t>
      </w:r>
      <w:r w:rsidRPr="00CB6CE9">
        <w:rPr>
          <w:rFonts w:ascii="Century Gothic" w:hAnsi="Century Gothic" w:cs="Times New Roman"/>
          <w:b/>
          <w:sz w:val="20"/>
          <w:szCs w:val="20"/>
        </w:rPr>
        <w:t xml:space="preserve">Οι αρνητικές εκτιμήσεις για τις τρέχουσες πωλήσεις </w:t>
      </w:r>
      <w:r>
        <w:rPr>
          <w:rFonts w:ascii="Century Gothic" w:hAnsi="Century Gothic" w:cs="Times New Roman"/>
          <w:b/>
          <w:sz w:val="20"/>
          <w:szCs w:val="20"/>
        </w:rPr>
        <w:t>εξομαλύνονται</w:t>
      </w:r>
      <w:r w:rsidRPr="00CB6CE9">
        <w:rPr>
          <w:rFonts w:ascii="Century Gothic" w:hAnsi="Century Gothic" w:cs="Times New Roman"/>
          <w:b/>
          <w:sz w:val="20"/>
          <w:szCs w:val="20"/>
        </w:rPr>
        <w:t xml:space="preserve">, </w:t>
      </w:r>
      <w:r>
        <w:rPr>
          <w:rFonts w:ascii="Century Gothic" w:hAnsi="Century Gothic" w:cs="Times New Roman"/>
          <w:b/>
          <w:sz w:val="20"/>
          <w:szCs w:val="20"/>
        </w:rPr>
        <w:t>όμως οι δυσμενείς προβλέψεις για τις</w:t>
      </w:r>
      <w:r w:rsidRPr="00CB6CE9">
        <w:rPr>
          <w:rFonts w:ascii="Century Gothic" w:hAnsi="Century Gothic" w:cs="Times New Roman"/>
          <w:b/>
          <w:sz w:val="20"/>
          <w:szCs w:val="20"/>
        </w:rPr>
        <w:t xml:space="preserve"> πωλήσεις το</w:t>
      </w:r>
      <w:r>
        <w:rPr>
          <w:rFonts w:ascii="Century Gothic" w:hAnsi="Century Gothic" w:cs="Times New Roman"/>
          <w:b/>
          <w:sz w:val="20"/>
          <w:szCs w:val="20"/>
        </w:rPr>
        <w:t>υ</w:t>
      </w:r>
      <w:r w:rsidRPr="00CB6CE9">
        <w:rPr>
          <w:rFonts w:ascii="Century Gothic" w:hAnsi="Century Gothic" w:cs="Times New Roman"/>
          <w:b/>
          <w:sz w:val="20"/>
          <w:szCs w:val="20"/>
        </w:rPr>
        <w:t xml:space="preserve"> επόμενο</w:t>
      </w:r>
      <w:r>
        <w:rPr>
          <w:rFonts w:ascii="Century Gothic" w:hAnsi="Century Gothic" w:cs="Times New Roman"/>
          <w:b/>
          <w:sz w:val="20"/>
          <w:szCs w:val="20"/>
        </w:rPr>
        <w:t>υ</w:t>
      </w:r>
      <w:r w:rsidRPr="00CB6CE9">
        <w:rPr>
          <w:rFonts w:ascii="Century Gothic" w:hAnsi="Century Gothic" w:cs="Times New Roman"/>
          <w:b/>
          <w:sz w:val="20"/>
          <w:szCs w:val="20"/>
        </w:rPr>
        <w:t xml:space="preserve"> τρ</w:t>
      </w:r>
      <w:r>
        <w:rPr>
          <w:rFonts w:ascii="Century Gothic" w:hAnsi="Century Gothic" w:cs="Times New Roman"/>
          <w:b/>
          <w:sz w:val="20"/>
          <w:szCs w:val="20"/>
        </w:rPr>
        <w:t xml:space="preserve">ιμήνου ενισχύονται σημαντικά. Στους εξεταζόμενους κλάδους καταγράφεται εν γένει ήπια άνοδος προσδοκιών, με έντονη όμως πτώση στα Οχήματα – Ανταλλακτικά, η οποία, μαζί με τη μείωση στους λοιπούς κλάδους του λιανεμπορίου, συμπαρασύρει το συνολικό δείκτη προς τα κάτω. </w:t>
      </w:r>
      <w:r w:rsidRPr="00CB6CE9">
        <w:rPr>
          <w:rFonts w:ascii="Century Gothic" w:hAnsi="Century Gothic" w:cs="Times New Roman"/>
          <w:sz w:val="20"/>
          <w:szCs w:val="20"/>
        </w:rPr>
        <w:t xml:space="preserve">Αναλυτικότερα, οι αρνητικές </w:t>
      </w:r>
      <w:r w:rsidRPr="00CB6CE9">
        <w:rPr>
          <w:rFonts w:ascii="Century Gothic" w:hAnsi="Century Gothic" w:cs="Times New Roman"/>
          <w:i/>
          <w:iCs/>
          <w:sz w:val="20"/>
          <w:szCs w:val="20"/>
        </w:rPr>
        <w:t>εκτιμήσεις των επιχειρήσεων για τις τρέχουσες πωλήσεις τους</w:t>
      </w:r>
      <w:r w:rsidRPr="00CB6CE9">
        <w:rPr>
          <w:rFonts w:ascii="Century Gothic" w:hAnsi="Century Gothic" w:cs="Times New Roman"/>
          <w:sz w:val="20"/>
          <w:szCs w:val="20"/>
        </w:rPr>
        <w:t xml:space="preserve"> </w:t>
      </w:r>
      <w:r>
        <w:rPr>
          <w:rFonts w:ascii="Century Gothic" w:hAnsi="Century Gothic" w:cs="Times New Roman"/>
          <w:sz w:val="20"/>
          <w:szCs w:val="20"/>
        </w:rPr>
        <w:t>περιορίζονται ελαφρά</w:t>
      </w:r>
      <w:r w:rsidRPr="00CB6CE9">
        <w:rPr>
          <w:rFonts w:ascii="Century Gothic" w:hAnsi="Century Gothic" w:cs="Times New Roman"/>
          <w:sz w:val="20"/>
          <w:szCs w:val="20"/>
        </w:rPr>
        <w:t xml:space="preserve">, με το σχετικό δείκτη να </w:t>
      </w:r>
      <w:r>
        <w:rPr>
          <w:rFonts w:ascii="Century Gothic" w:hAnsi="Century Gothic" w:cs="Times New Roman"/>
          <w:sz w:val="20"/>
          <w:szCs w:val="20"/>
        </w:rPr>
        <w:t>κινείται</w:t>
      </w:r>
      <w:r w:rsidRPr="00CB6CE9">
        <w:rPr>
          <w:rFonts w:ascii="Century Gothic" w:hAnsi="Century Gothic" w:cs="Times New Roman"/>
          <w:sz w:val="20"/>
          <w:szCs w:val="20"/>
        </w:rPr>
        <w:t xml:space="preserve"> </w:t>
      </w:r>
      <w:r>
        <w:rPr>
          <w:rFonts w:ascii="Century Gothic" w:hAnsi="Century Gothic" w:cs="Times New Roman"/>
          <w:sz w:val="20"/>
          <w:szCs w:val="20"/>
        </w:rPr>
        <w:t>στις -36 μονάδες (από -42) και το 56% των επιχειρήσεων (από 59%) να αναφέρει χαμηλές</w:t>
      </w:r>
      <w:r w:rsidRPr="00CB6CE9">
        <w:rPr>
          <w:rFonts w:ascii="Century Gothic" w:hAnsi="Century Gothic" w:cs="Times New Roman"/>
          <w:sz w:val="20"/>
          <w:szCs w:val="20"/>
        </w:rPr>
        <w:t xml:space="preserve"> πωλήσεις. </w:t>
      </w:r>
      <w:r>
        <w:rPr>
          <w:rFonts w:ascii="Century Gothic" w:hAnsi="Century Gothic" w:cs="Times New Roman"/>
          <w:sz w:val="20"/>
          <w:szCs w:val="20"/>
        </w:rPr>
        <w:t xml:space="preserve">Οι </w:t>
      </w:r>
      <w:r w:rsidRPr="00CB6CE9">
        <w:rPr>
          <w:rFonts w:ascii="Century Gothic" w:hAnsi="Century Gothic" w:cs="Times New Roman"/>
          <w:sz w:val="20"/>
          <w:szCs w:val="20"/>
        </w:rPr>
        <w:t xml:space="preserve">προβλέψεις για την </w:t>
      </w:r>
      <w:r w:rsidRPr="00CB6CE9">
        <w:rPr>
          <w:rFonts w:ascii="Century Gothic" w:hAnsi="Century Gothic" w:cs="Times New Roman"/>
          <w:i/>
          <w:iCs/>
          <w:sz w:val="20"/>
          <w:szCs w:val="20"/>
        </w:rPr>
        <w:t>εξέλιξη των πωλήσεων το επόμενο τρίμηνο</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χάνουν έδαφος, με το σχετικό ισοζύγιο να διαμορφώνεται στις -41 μονάδες (από </w:t>
      </w:r>
      <w:r w:rsidRPr="00CB6CE9">
        <w:rPr>
          <w:rFonts w:ascii="Century Gothic" w:hAnsi="Century Gothic" w:cs="Times New Roman"/>
          <w:sz w:val="20"/>
          <w:szCs w:val="20"/>
        </w:rPr>
        <w:t>-</w:t>
      </w:r>
      <w:r>
        <w:rPr>
          <w:rFonts w:ascii="Century Gothic" w:hAnsi="Century Gothic" w:cs="Times New Roman"/>
          <w:sz w:val="20"/>
          <w:szCs w:val="20"/>
        </w:rPr>
        <w:t xml:space="preserve">22) και το 55% των επιχειρήσεων (από 39%) να αναμένει μείωση πωλήσεων το επόμενο τρίμηνο. </w:t>
      </w:r>
      <w:r w:rsidRPr="00CB6CE9">
        <w:rPr>
          <w:rFonts w:ascii="Century Gothic" w:hAnsi="Century Gothic" w:cs="Times New Roman"/>
          <w:sz w:val="20"/>
          <w:szCs w:val="20"/>
        </w:rPr>
        <w:t>Οι</w:t>
      </w:r>
      <w:r>
        <w:rPr>
          <w:rFonts w:ascii="Century Gothic" w:hAnsi="Century Gothic" w:cs="Times New Roman"/>
          <w:sz w:val="20"/>
          <w:szCs w:val="20"/>
        </w:rPr>
        <w:t xml:space="preserve"> </w:t>
      </w:r>
      <w:r w:rsidRPr="00CB6CE9">
        <w:rPr>
          <w:rFonts w:ascii="Century Gothic" w:hAnsi="Century Gothic" w:cs="Times New Roman"/>
          <w:i/>
          <w:iCs/>
          <w:sz w:val="20"/>
          <w:szCs w:val="20"/>
        </w:rPr>
        <w:t>εκτιμήσεις για τα</w:t>
      </w:r>
      <w:r w:rsidRPr="00CB6CE9">
        <w:rPr>
          <w:rFonts w:ascii="Century Gothic" w:hAnsi="Century Gothic" w:cs="Times New Roman"/>
          <w:sz w:val="20"/>
          <w:szCs w:val="20"/>
        </w:rPr>
        <w:t xml:space="preserve"> </w:t>
      </w:r>
      <w:r w:rsidRPr="00CB6CE9">
        <w:rPr>
          <w:rFonts w:ascii="Century Gothic" w:hAnsi="Century Gothic" w:cs="Times New Roman"/>
          <w:i/>
          <w:iCs/>
          <w:sz w:val="20"/>
          <w:szCs w:val="20"/>
        </w:rPr>
        <w:t>αποθέματα</w:t>
      </w:r>
      <w:r>
        <w:rPr>
          <w:rFonts w:ascii="Century Gothic" w:hAnsi="Century Gothic" w:cs="Times New Roman"/>
          <w:sz w:val="20"/>
          <w:szCs w:val="20"/>
        </w:rPr>
        <w:t xml:space="preserve"> δεν μεταβάλλονται σημαντικά, με το </w:t>
      </w:r>
      <w:r w:rsidRPr="00CB6CE9">
        <w:rPr>
          <w:rFonts w:ascii="Century Gothic" w:hAnsi="Century Gothic" w:cs="Times New Roman"/>
          <w:sz w:val="20"/>
          <w:szCs w:val="20"/>
        </w:rPr>
        <w:t>σχετικό δείκτη</w:t>
      </w:r>
      <w:r>
        <w:rPr>
          <w:rFonts w:ascii="Century Gothic" w:hAnsi="Century Gothic" w:cs="Times New Roman"/>
          <w:sz w:val="20"/>
          <w:szCs w:val="20"/>
        </w:rPr>
        <w:t xml:space="preserve"> να υποδηλώνει χαμηλές ρευστοποιήσεις (-6 από -3 μονάδες). Από τις υπόλοιπες μεταβλητές, τ</w:t>
      </w:r>
      <w:r w:rsidRPr="00CB6CE9">
        <w:rPr>
          <w:rFonts w:ascii="Century Gothic" w:hAnsi="Century Gothic" w:cs="Times New Roman"/>
          <w:sz w:val="20"/>
          <w:szCs w:val="20"/>
        </w:rPr>
        <w:t>ο</w:t>
      </w:r>
      <w:r>
        <w:rPr>
          <w:rFonts w:ascii="Century Gothic" w:hAnsi="Century Gothic" w:cs="Times New Roman"/>
          <w:sz w:val="20"/>
          <w:szCs w:val="20"/>
        </w:rPr>
        <w:t xml:space="preserve"> </w:t>
      </w:r>
      <w:r w:rsidRPr="00CB6CE9">
        <w:rPr>
          <w:rFonts w:ascii="Century Gothic" w:hAnsi="Century Gothic" w:cs="Times New Roman"/>
          <w:sz w:val="20"/>
          <w:szCs w:val="20"/>
        </w:rPr>
        <w:t xml:space="preserve">ισοζύγιο στις παραγγελίες προς προμηθευτές </w:t>
      </w:r>
      <w:r>
        <w:rPr>
          <w:rFonts w:ascii="Century Gothic" w:hAnsi="Century Gothic" w:cs="Times New Roman"/>
          <w:sz w:val="20"/>
          <w:szCs w:val="20"/>
        </w:rPr>
        <w:t>διαμορφώνεται εκ νέου στις -30 μονάδες, ενώ</w:t>
      </w:r>
      <w:r w:rsidRPr="00CB6CE9">
        <w:rPr>
          <w:rFonts w:ascii="Century Gothic" w:hAnsi="Century Gothic" w:cs="Times New Roman"/>
          <w:sz w:val="20"/>
          <w:szCs w:val="20"/>
        </w:rPr>
        <w:t xml:space="preserve"> </w:t>
      </w:r>
      <w:r>
        <w:rPr>
          <w:rFonts w:ascii="Century Gothic" w:hAnsi="Century Gothic" w:cs="Times New Roman"/>
          <w:sz w:val="20"/>
          <w:szCs w:val="20"/>
        </w:rPr>
        <w:t>στις</w:t>
      </w:r>
      <w:r w:rsidRPr="00CB6CE9">
        <w:rPr>
          <w:rFonts w:ascii="Century Gothic" w:hAnsi="Century Gothic" w:cs="Times New Roman"/>
          <w:sz w:val="20"/>
          <w:szCs w:val="20"/>
        </w:rPr>
        <w:t xml:space="preserve"> προβλέψεις για την απασχόληση καταγράφεται </w:t>
      </w:r>
      <w:r>
        <w:rPr>
          <w:rFonts w:ascii="Century Gothic" w:hAnsi="Century Gothic" w:cs="Times New Roman"/>
          <w:sz w:val="20"/>
          <w:szCs w:val="20"/>
        </w:rPr>
        <w:t xml:space="preserve">άνοδος στο σχετικό δείκτη, ο οποίος κερδίζει 9 μονάδες και επανέρχεται στα θετικά επίπεδα του Ιουνίου (+15 μον.) </w:t>
      </w:r>
      <w:r w:rsidRPr="00CB6CE9">
        <w:rPr>
          <w:rFonts w:ascii="Century Gothic" w:hAnsi="Century Gothic" w:cs="Times New Roman"/>
          <w:sz w:val="20"/>
          <w:szCs w:val="20"/>
        </w:rPr>
        <w:t xml:space="preserve">Τέλος, στις τιμές, ο σχετικός </w:t>
      </w:r>
      <w:r>
        <w:rPr>
          <w:rFonts w:ascii="Century Gothic" w:hAnsi="Century Gothic" w:cs="Times New Roman"/>
          <w:sz w:val="20"/>
          <w:szCs w:val="20"/>
        </w:rPr>
        <w:t>αρνητικός δείκτη</w:t>
      </w:r>
      <w:r w:rsidRPr="00CB6CE9">
        <w:rPr>
          <w:rFonts w:ascii="Century Gothic" w:hAnsi="Century Gothic" w:cs="Times New Roman"/>
          <w:sz w:val="20"/>
          <w:szCs w:val="20"/>
        </w:rPr>
        <w:t xml:space="preserve">ς </w:t>
      </w:r>
      <w:r>
        <w:rPr>
          <w:rFonts w:ascii="Century Gothic" w:hAnsi="Century Gothic" w:cs="Times New Roman"/>
          <w:sz w:val="20"/>
          <w:szCs w:val="20"/>
        </w:rPr>
        <w:t>εξομαλύνεται ελαφρά (-18 από -25 μον.).</w:t>
      </w:r>
    </w:p>
    <w:p w:rsidR="00BE6140" w:rsidRPr="00CB6CE9" w:rsidRDefault="00BE6140" w:rsidP="00A067D8">
      <w:pPr>
        <w:spacing w:before="100" w:beforeAutospacing="1" w:after="100" w:afterAutospacing="1" w:line="288" w:lineRule="auto"/>
        <w:jc w:val="both"/>
        <w:rPr>
          <w:rFonts w:ascii="Century Gothic" w:hAnsi="Century Gothic" w:cs="Times New Roman"/>
          <w:sz w:val="20"/>
          <w:szCs w:val="20"/>
        </w:rPr>
      </w:pPr>
      <w:r w:rsidRPr="00CB6CE9">
        <w:rPr>
          <w:rFonts w:ascii="Century Gothic" w:hAnsi="Century Gothic" w:cs="Times New Roman"/>
          <w:sz w:val="20"/>
          <w:szCs w:val="20"/>
        </w:rPr>
        <w:t>Οι εξελίξεις σε επιμέρους κλάδους του Λιανικού εμπορίου είναι οι εξής:</w:t>
      </w:r>
    </w:p>
    <w:p w:rsidR="00BE6140" w:rsidRDefault="00BE6140" w:rsidP="00A067D8">
      <w:pPr>
        <w:spacing w:before="100" w:beforeAutospacing="1" w:after="100" w:afterAutospacing="1" w:line="276" w:lineRule="auto"/>
        <w:jc w:val="both"/>
        <w:rPr>
          <w:rFonts w:ascii="Century Gothic" w:hAnsi="Century Gothic" w:cs="Times New Roman"/>
          <w:sz w:val="20"/>
          <w:szCs w:val="20"/>
        </w:rPr>
      </w:pPr>
      <w:r w:rsidRPr="00CB6CE9">
        <w:rPr>
          <w:rFonts w:ascii="Century Gothic" w:hAnsi="Century Gothic" w:cs="Times New Roman"/>
          <w:sz w:val="20"/>
          <w:szCs w:val="20"/>
        </w:rPr>
        <w:lastRenderedPageBreak/>
        <w:t xml:space="preserve">Ο δείκτης επιχειρηματικών προσδοκιών στα </w:t>
      </w:r>
      <w:r w:rsidRPr="00CB6CE9">
        <w:rPr>
          <w:rFonts w:ascii="Century Gothic" w:hAnsi="Century Gothic" w:cs="Times New Roman"/>
          <w:b/>
          <w:bCs/>
          <w:sz w:val="20"/>
          <w:szCs w:val="20"/>
        </w:rPr>
        <w:t>Τρόφιμα – Ποτά – Καπνός</w:t>
      </w:r>
      <w:r w:rsidRPr="00CB6CE9">
        <w:rPr>
          <w:rFonts w:ascii="Century Gothic" w:hAnsi="Century Gothic" w:cs="Times New Roman"/>
          <w:bCs/>
          <w:sz w:val="20"/>
          <w:szCs w:val="20"/>
        </w:rPr>
        <w:t xml:space="preserve"> </w:t>
      </w:r>
      <w:r>
        <w:rPr>
          <w:rFonts w:ascii="Century Gothic" w:hAnsi="Century Gothic" w:cs="Times New Roman"/>
          <w:bCs/>
          <w:sz w:val="20"/>
          <w:szCs w:val="20"/>
        </w:rPr>
        <w:t xml:space="preserve">παραμένει στα ίδια σχεδόν επίπεδα του Ιουλίου, </w:t>
      </w:r>
      <w:r>
        <w:rPr>
          <w:rFonts w:ascii="Century Gothic" w:hAnsi="Century Gothic" w:cs="Times New Roman"/>
          <w:sz w:val="20"/>
          <w:szCs w:val="20"/>
        </w:rPr>
        <w:t>στις 69,2 μονάδες (από 68,5) ανώτερα</w:t>
      </w:r>
      <w:r w:rsidRPr="00CB6CE9">
        <w:rPr>
          <w:rFonts w:ascii="Century Gothic" w:hAnsi="Century Gothic" w:cs="Times New Roman"/>
          <w:sz w:val="20"/>
          <w:szCs w:val="20"/>
        </w:rPr>
        <w:t xml:space="preserve"> σε σχέση με την αντίστοιχη περυσινή περίοδο</w:t>
      </w:r>
      <w:r>
        <w:rPr>
          <w:rFonts w:ascii="Century Gothic" w:hAnsi="Century Gothic" w:cs="Times New Roman"/>
          <w:sz w:val="20"/>
          <w:szCs w:val="20"/>
        </w:rPr>
        <w:t xml:space="preserve"> (57,6 μονάδες)</w:t>
      </w:r>
      <w:r w:rsidRPr="00CB6CE9">
        <w:rPr>
          <w:rFonts w:ascii="Century Gothic" w:hAnsi="Century Gothic" w:cs="Times New Roman"/>
          <w:sz w:val="20"/>
          <w:szCs w:val="20"/>
        </w:rPr>
        <w:t xml:space="preserve">. </w:t>
      </w:r>
      <w:r>
        <w:rPr>
          <w:rFonts w:ascii="Century Gothic" w:hAnsi="Century Gothic" w:cs="Times New Roman"/>
          <w:sz w:val="20"/>
          <w:szCs w:val="20"/>
        </w:rPr>
        <w:t>Σ</w:t>
      </w:r>
      <w:r w:rsidRPr="00CB6CE9">
        <w:rPr>
          <w:rFonts w:ascii="Century Gothic" w:hAnsi="Century Gothic" w:cs="Times New Roman"/>
          <w:sz w:val="20"/>
          <w:szCs w:val="20"/>
        </w:rPr>
        <w:t xml:space="preserve">τις τρέχουσες πωλήσεις, </w:t>
      </w:r>
      <w:r>
        <w:rPr>
          <w:rFonts w:ascii="Century Gothic" w:hAnsi="Century Gothic" w:cs="Times New Roman"/>
          <w:sz w:val="20"/>
          <w:szCs w:val="20"/>
        </w:rPr>
        <w:t xml:space="preserve">ο σχετικός αρνητικός δείκτης κερδίζει σημαντικό έδαφος, φθάνοντας στις -11 μονάδες (από -50), εν αντιθέσει με τις εκτιμήσεις των αποθεμάτων που υποδηλώνουν διόγκωση </w:t>
      </w:r>
      <w:r w:rsidRPr="00CB6CE9">
        <w:rPr>
          <w:rFonts w:ascii="Century Gothic" w:hAnsi="Century Gothic" w:cs="Times New Roman"/>
          <w:sz w:val="20"/>
          <w:szCs w:val="20"/>
        </w:rPr>
        <w:t>(</w:t>
      </w:r>
      <w:r>
        <w:rPr>
          <w:rFonts w:ascii="Century Gothic" w:hAnsi="Century Gothic" w:cs="Times New Roman"/>
          <w:sz w:val="20"/>
          <w:szCs w:val="20"/>
        </w:rPr>
        <w:t xml:space="preserve">στις +13 από -12 </w:t>
      </w:r>
      <w:r w:rsidRPr="00CB6CE9">
        <w:rPr>
          <w:rFonts w:ascii="Century Gothic" w:hAnsi="Century Gothic" w:cs="Times New Roman"/>
          <w:sz w:val="20"/>
          <w:szCs w:val="20"/>
        </w:rPr>
        <w:t>μον</w:t>
      </w:r>
      <w:r>
        <w:rPr>
          <w:rFonts w:ascii="Century Gothic" w:hAnsi="Century Gothic" w:cs="Times New Roman"/>
          <w:sz w:val="20"/>
          <w:szCs w:val="20"/>
        </w:rPr>
        <w:t>.</w:t>
      </w:r>
      <w:r w:rsidRPr="00CB6CE9">
        <w:rPr>
          <w:rFonts w:ascii="Century Gothic" w:hAnsi="Century Gothic" w:cs="Times New Roman"/>
          <w:sz w:val="20"/>
          <w:szCs w:val="20"/>
        </w:rPr>
        <w:t xml:space="preserve"> ο δείκτης)</w:t>
      </w:r>
      <w:r>
        <w:rPr>
          <w:rFonts w:ascii="Century Gothic" w:hAnsi="Century Gothic" w:cs="Times New Roman"/>
          <w:sz w:val="20"/>
          <w:szCs w:val="20"/>
        </w:rPr>
        <w:t xml:space="preserve"> και τις προβλέψεις για τις πωλήσεις της επόμενης περιόδου, όπου το σχετικό αρνητικό ισοζύγιο διευρύνεται αισθητά (-30 από -19 μον.). Οι προβλέψεις </w:t>
      </w:r>
      <w:r w:rsidRPr="00CB6CE9">
        <w:rPr>
          <w:rFonts w:ascii="Century Gothic" w:hAnsi="Century Gothic" w:cs="Times New Roman"/>
          <w:sz w:val="20"/>
          <w:szCs w:val="20"/>
        </w:rPr>
        <w:t>πα</w:t>
      </w:r>
      <w:r>
        <w:rPr>
          <w:rFonts w:ascii="Century Gothic" w:hAnsi="Century Gothic" w:cs="Times New Roman"/>
          <w:sz w:val="20"/>
          <w:szCs w:val="20"/>
        </w:rPr>
        <w:t>ραγγελιών προς τους προμηθευτές</w:t>
      </w:r>
      <w:r w:rsidRPr="00CB6CE9">
        <w:rPr>
          <w:rFonts w:ascii="Century Gothic" w:hAnsi="Century Gothic" w:cs="Times New Roman"/>
          <w:sz w:val="20"/>
          <w:szCs w:val="20"/>
        </w:rPr>
        <w:t xml:space="preserve"> </w:t>
      </w:r>
      <w:r>
        <w:rPr>
          <w:rFonts w:ascii="Century Gothic" w:hAnsi="Century Gothic" w:cs="Times New Roman"/>
          <w:sz w:val="20"/>
          <w:szCs w:val="20"/>
        </w:rPr>
        <w:t>εξομαλύνονται (-4 από -19 μον. ο</w:t>
      </w:r>
      <w:r w:rsidRPr="00CB6CE9">
        <w:rPr>
          <w:rFonts w:ascii="Century Gothic" w:hAnsi="Century Gothic" w:cs="Times New Roman"/>
          <w:sz w:val="20"/>
          <w:szCs w:val="20"/>
        </w:rPr>
        <w:t xml:space="preserve"> δείκτης</w:t>
      </w:r>
      <w:r>
        <w:rPr>
          <w:rFonts w:ascii="Century Gothic" w:hAnsi="Century Gothic" w:cs="Times New Roman"/>
          <w:sz w:val="20"/>
          <w:szCs w:val="20"/>
        </w:rPr>
        <w:t>), ενώ σ</w:t>
      </w:r>
      <w:r w:rsidRPr="00CB6CE9">
        <w:rPr>
          <w:rFonts w:ascii="Century Gothic" w:hAnsi="Century Gothic" w:cs="Times New Roman"/>
          <w:sz w:val="20"/>
          <w:szCs w:val="20"/>
        </w:rPr>
        <w:t>τις προβλέψεις για την απασχόληση του κλάδου</w:t>
      </w:r>
      <w:r>
        <w:rPr>
          <w:rFonts w:ascii="Century Gothic" w:hAnsi="Century Gothic" w:cs="Times New Roman"/>
          <w:sz w:val="20"/>
          <w:szCs w:val="20"/>
        </w:rPr>
        <w:t xml:space="preserve">, ο σχετικός δείκτης καταγράφει άνοδο των 13 μονάδων (+17 μον.). Τέλος, το </w:t>
      </w:r>
      <w:r w:rsidRPr="00CB6CE9">
        <w:rPr>
          <w:rFonts w:ascii="Century Gothic" w:hAnsi="Century Gothic" w:cs="Times New Roman"/>
          <w:sz w:val="20"/>
          <w:szCs w:val="20"/>
        </w:rPr>
        <w:t>αρνητικό</w:t>
      </w:r>
      <w:r>
        <w:rPr>
          <w:rFonts w:ascii="Century Gothic" w:hAnsi="Century Gothic" w:cs="Times New Roman"/>
          <w:sz w:val="20"/>
          <w:szCs w:val="20"/>
        </w:rPr>
        <w:t xml:space="preserve"> ισοζύγιο στις τιμές περιορίζεται στις -27 μονάδες (από -40), με το 30% των επιχειρήσεων να αναμένει νέα μείωσή τους εντός του επόμενου τριμήνου.</w:t>
      </w:r>
    </w:p>
    <w:p w:rsidR="00BE6140" w:rsidRDefault="00BE6140" w:rsidP="00A067D8">
      <w:pPr>
        <w:spacing w:before="100" w:beforeAutospacing="1" w:after="100" w:afterAutospacing="1" w:line="276" w:lineRule="auto"/>
        <w:jc w:val="both"/>
        <w:rPr>
          <w:rFonts w:ascii="Century Gothic" w:hAnsi="Century Gothic" w:cs="Times New Roman"/>
          <w:sz w:val="20"/>
          <w:szCs w:val="20"/>
        </w:rPr>
      </w:pPr>
      <w:r>
        <w:rPr>
          <w:rFonts w:ascii="Century Gothic" w:hAnsi="Century Gothic" w:cs="Times New Roman"/>
          <w:sz w:val="20"/>
          <w:szCs w:val="20"/>
        </w:rPr>
        <w:t>Θετική μεταβολή καταγράφει ο δείκτης επιχειρηματικών προσδοκιών</w:t>
      </w:r>
      <w:r w:rsidRPr="00CB6CE9">
        <w:rPr>
          <w:rFonts w:ascii="Century Gothic" w:hAnsi="Century Gothic" w:cs="Times New Roman"/>
          <w:sz w:val="20"/>
          <w:szCs w:val="20"/>
        </w:rPr>
        <w:t xml:space="preserve"> στα </w:t>
      </w:r>
      <w:r w:rsidRPr="00CB6CE9">
        <w:rPr>
          <w:rFonts w:ascii="Century Gothic" w:hAnsi="Century Gothic" w:cs="Times New Roman"/>
          <w:b/>
          <w:bCs/>
          <w:sz w:val="20"/>
          <w:szCs w:val="20"/>
        </w:rPr>
        <w:t>Υφάσματα – Ένδυση – Υπόδηση</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κινούμενος τον Σεπτέμβριο στις 77,5 μονάδες (από </w:t>
      </w:r>
      <w:r w:rsidRPr="00CB6CE9">
        <w:rPr>
          <w:rFonts w:ascii="Century Gothic" w:hAnsi="Century Gothic" w:cs="Times New Roman"/>
          <w:sz w:val="20"/>
          <w:szCs w:val="20"/>
        </w:rPr>
        <w:t>7</w:t>
      </w:r>
      <w:r>
        <w:rPr>
          <w:rFonts w:ascii="Century Gothic" w:hAnsi="Century Gothic" w:cs="Times New Roman"/>
          <w:sz w:val="20"/>
          <w:szCs w:val="20"/>
        </w:rPr>
        <w:t>5,9 μονάδες τον Ιούλιο)</w:t>
      </w:r>
      <w:r w:rsidRPr="00CB6CE9">
        <w:rPr>
          <w:rFonts w:ascii="Century Gothic" w:hAnsi="Century Gothic" w:cs="Times New Roman"/>
          <w:sz w:val="20"/>
          <w:szCs w:val="20"/>
        </w:rPr>
        <w:t xml:space="preserve">, </w:t>
      </w:r>
      <w:r>
        <w:rPr>
          <w:rFonts w:ascii="Century Gothic" w:hAnsi="Century Gothic" w:cs="Times New Roman"/>
          <w:sz w:val="20"/>
          <w:szCs w:val="20"/>
        </w:rPr>
        <w:t>σε υψηλότερα σε σχέση με τα περυσινά επίπεδα (61,5 μον.)</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Οι </w:t>
      </w:r>
      <w:r w:rsidRPr="00CB6CE9">
        <w:rPr>
          <w:rFonts w:ascii="Century Gothic" w:hAnsi="Century Gothic" w:cs="Times New Roman"/>
          <w:sz w:val="20"/>
          <w:szCs w:val="20"/>
        </w:rPr>
        <w:t xml:space="preserve">αρνητικές εκτιμήσεις για τις </w:t>
      </w:r>
      <w:r>
        <w:rPr>
          <w:rFonts w:ascii="Century Gothic" w:hAnsi="Century Gothic" w:cs="Times New Roman"/>
          <w:sz w:val="20"/>
          <w:szCs w:val="20"/>
        </w:rPr>
        <w:t xml:space="preserve">τρέχουσες </w:t>
      </w:r>
      <w:r w:rsidRPr="00CB6CE9">
        <w:rPr>
          <w:rFonts w:ascii="Century Gothic" w:hAnsi="Century Gothic" w:cs="Times New Roman"/>
          <w:sz w:val="20"/>
          <w:szCs w:val="20"/>
        </w:rPr>
        <w:t xml:space="preserve">πωλήσεις </w:t>
      </w:r>
      <w:r>
        <w:rPr>
          <w:rFonts w:ascii="Century Gothic" w:hAnsi="Century Gothic" w:cs="Times New Roman"/>
          <w:sz w:val="20"/>
          <w:szCs w:val="20"/>
        </w:rPr>
        <w:t xml:space="preserve">εξομαλύνονται κατά 18 μονάδες, αλλά παραμένουν πολύ δυσμενείς </w:t>
      </w:r>
      <w:r w:rsidRPr="00CB6CE9">
        <w:rPr>
          <w:rFonts w:ascii="Century Gothic" w:hAnsi="Century Gothic" w:cs="Times New Roman"/>
          <w:sz w:val="20"/>
          <w:szCs w:val="20"/>
        </w:rPr>
        <w:t>(-</w:t>
      </w:r>
      <w:r>
        <w:rPr>
          <w:rFonts w:ascii="Century Gothic" w:hAnsi="Century Gothic" w:cs="Times New Roman"/>
          <w:sz w:val="20"/>
          <w:szCs w:val="20"/>
        </w:rPr>
        <w:t>33</w:t>
      </w:r>
      <w:r w:rsidRPr="00CB6CE9">
        <w:rPr>
          <w:rFonts w:ascii="Century Gothic" w:hAnsi="Century Gothic" w:cs="Times New Roman"/>
          <w:sz w:val="20"/>
          <w:szCs w:val="20"/>
        </w:rPr>
        <w:t xml:space="preserve"> μον</w:t>
      </w:r>
      <w:r>
        <w:rPr>
          <w:rFonts w:ascii="Century Gothic" w:hAnsi="Century Gothic" w:cs="Times New Roman"/>
          <w:sz w:val="20"/>
          <w:szCs w:val="20"/>
        </w:rPr>
        <w:t>.</w:t>
      </w:r>
      <w:r w:rsidRPr="00CB6CE9">
        <w:rPr>
          <w:rFonts w:ascii="Century Gothic" w:hAnsi="Century Gothic" w:cs="Times New Roman"/>
          <w:sz w:val="20"/>
          <w:szCs w:val="20"/>
        </w:rPr>
        <w:t xml:space="preserve"> ο δείκτης)</w:t>
      </w:r>
      <w:r>
        <w:rPr>
          <w:rFonts w:ascii="Century Gothic" w:hAnsi="Century Gothic" w:cs="Times New Roman"/>
          <w:sz w:val="20"/>
          <w:szCs w:val="20"/>
        </w:rPr>
        <w:t xml:space="preserve">. Αντίθετα, σημαντική πτώση καταγράφει </w:t>
      </w:r>
      <w:r w:rsidRPr="00CB6CE9">
        <w:rPr>
          <w:rFonts w:ascii="Century Gothic" w:hAnsi="Century Gothic" w:cs="Times New Roman"/>
          <w:sz w:val="20"/>
          <w:szCs w:val="20"/>
        </w:rPr>
        <w:t xml:space="preserve">ο δείκτης των </w:t>
      </w:r>
      <w:r>
        <w:rPr>
          <w:rFonts w:ascii="Century Gothic" w:hAnsi="Century Gothic" w:cs="Times New Roman"/>
          <w:sz w:val="20"/>
          <w:szCs w:val="20"/>
        </w:rPr>
        <w:t>προβλέψεων</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για τις πωλήσεις της επόμενης περιόδου, ο οποίος κινείται στις -17 μονάδες (από 0 μον.). Στα αποθέματα, ο σχετικός δείκτης διαμορφώνεται στις +15 μονάδες (από +19), </w:t>
      </w:r>
      <w:r w:rsidRPr="00A9509E">
        <w:rPr>
          <w:rFonts w:ascii="Century Gothic" w:hAnsi="Century Gothic" w:cs="Times New Roman"/>
          <w:sz w:val="20"/>
          <w:szCs w:val="20"/>
        </w:rPr>
        <w:t xml:space="preserve">υποδηλώνοντας </w:t>
      </w:r>
      <w:r>
        <w:rPr>
          <w:rFonts w:ascii="Century Gothic" w:hAnsi="Century Gothic" w:cs="Times New Roman"/>
          <w:sz w:val="20"/>
          <w:szCs w:val="20"/>
        </w:rPr>
        <w:t>υψηλότερα από τα κανονικά για την εποχή</w:t>
      </w:r>
      <w:r w:rsidRPr="00285279">
        <w:rPr>
          <w:rFonts w:ascii="Century Gothic" w:hAnsi="Century Gothic" w:cs="Times New Roman"/>
          <w:sz w:val="20"/>
          <w:szCs w:val="20"/>
        </w:rPr>
        <w:t xml:space="preserve"> </w:t>
      </w:r>
      <w:r w:rsidRPr="00A9509E">
        <w:rPr>
          <w:rFonts w:ascii="Century Gothic" w:hAnsi="Century Gothic" w:cs="Times New Roman"/>
          <w:sz w:val="20"/>
          <w:szCs w:val="20"/>
        </w:rPr>
        <w:t>αποθέματα</w:t>
      </w:r>
      <w:r>
        <w:rPr>
          <w:rFonts w:ascii="Century Gothic" w:hAnsi="Century Gothic" w:cs="Times New Roman"/>
          <w:sz w:val="20"/>
          <w:szCs w:val="20"/>
        </w:rPr>
        <w:t xml:space="preserve">, ενώ ως </w:t>
      </w:r>
      <w:r w:rsidRPr="00CB6CE9">
        <w:rPr>
          <w:rFonts w:ascii="Century Gothic" w:hAnsi="Century Gothic" w:cs="Times New Roman"/>
          <w:sz w:val="20"/>
          <w:szCs w:val="20"/>
        </w:rPr>
        <w:t xml:space="preserve">προς τις παραγγελίες προς προμηθευτές το επόμενο τρίμηνο, </w:t>
      </w:r>
      <w:r>
        <w:rPr>
          <w:rFonts w:ascii="Century Gothic" w:hAnsi="Century Gothic" w:cs="Times New Roman"/>
          <w:sz w:val="20"/>
          <w:szCs w:val="20"/>
        </w:rPr>
        <w:t>το έντονα αρνητικό ισοζύγιο</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εξομαλύνεται αισθητά (-16 από -42 μονάδες). Σε </w:t>
      </w:r>
      <w:r w:rsidRPr="00CB6CE9">
        <w:rPr>
          <w:rFonts w:ascii="Century Gothic" w:hAnsi="Century Gothic" w:cs="Times New Roman"/>
          <w:sz w:val="20"/>
          <w:szCs w:val="20"/>
        </w:rPr>
        <w:t xml:space="preserve">επίπεδο απασχόλησης, </w:t>
      </w:r>
      <w:r>
        <w:rPr>
          <w:rFonts w:ascii="Century Gothic" w:hAnsi="Century Gothic" w:cs="Times New Roman"/>
          <w:sz w:val="20"/>
          <w:szCs w:val="20"/>
        </w:rPr>
        <w:t>οι σχετικές προβλέψεις παραμένουν αρνητικές, αν και το σχετικό ισοζύγιο κερδίζει 20 μονάδες (-9 μον.), ενώ τ</w:t>
      </w:r>
      <w:r w:rsidRPr="00CB6CE9">
        <w:rPr>
          <w:rFonts w:ascii="Century Gothic" w:hAnsi="Century Gothic" w:cs="Times New Roman"/>
          <w:sz w:val="20"/>
          <w:szCs w:val="20"/>
        </w:rPr>
        <w:t xml:space="preserve">έλος, στις τιμές, </w:t>
      </w:r>
      <w:r>
        <w:rPr>
          <w:rFonts w:ascii="Century Gothic" w:hAnsi="Century Gothic" w:cs="Times New Roman"/>
          <w:sz w:val="20"/>
          <w:szCs w:val="20"/>
        </w:rPr>
        <w:t>το 30%</w:t>
      </w:r>
      <w:r w:rsidRPr="00CB6CE9">
        <w:rPr>
          <w:rFonts w:ascii="Century Gothic" w:hAnsi="Century Gothic" w:cs="Times New Roman"/>
          <w:sz w:val="20"/>
          <w:szCs w:val="20"/>
        </w:rPr>
        <w:t xml:space="preserve"> των </w:t>
      </w:r>
      <w:r>
        <w:rPr>
          <w:rFonts w:ascii="Century Gothic" w:hAnsi="Century Gothic" w:cs="Times New Roman"/>
          <w:sz w:val="20"/>
          <w:szCs w:val="20"/>
        </w:rPr>
        <w:t>επιχειρήσεων προβλέπει πτώση τους (από 7%), με τις πληθωριστικές προσδοκίες να παραμένουν μηδενικές καθόλη τη διάρκεια του τρέχοντος έτους.</w:t>
      </w:r>
    </w:p>
    <w:p w:rsidR="00BE6140" w:rsidRPr="00CB6CE9" w:rsidRDefault="00BE6140" w:rsidP="00A067D8">
      <w:pPr>
        <w:spacing w:before="100" w:beforeAutospacing="1" w:after="100" w:afterAutospacing="1" w:line="276" w:lineRule="auto"/>
        <w:jc w:val="both"/>
        <w:rPr>
          <w:rFonts w:ascii="Century Gothic" w:hAnsi="Century Gothic" w:cs="Times New Roman"/>
          <w:sz w:val="20"/>
          <w:szCs w:val="20"/>
        </w:rPr>
      </w:pPr>
      <w:r>
        <w:rPr>
          <w:rFonts w:ascii="Century Gothic" w:hAnsi="Century Gothic" w:cs="Times New Roman"/>
          <w:sz w:val="20"/>
          <w:szCs w:val="20"/>
        </w:rPr>
        <w:t>Δέκα μονάδες κερδίζει ο δείκτης των επιχειρηματικών προσδοκιών</w:t>
      </w:r>
      <w:r w:rsidRPr="00CB6CE9">
        <w:rPr>
          <w:rFonts w:ascii="Century Gothic" w:hAnsi="Century Gothic" w:cs="Times New Roman"/>
          <w:sz w:val="20"/>
          <w:szCs w:val="20"/>
        </w:rPr>
        <w:t xml:space="preserve"> στα </w:t>
      </w:r>
      <w:r w:rsidRPr="00CB6CE9">
        <w:rPr>
          <w:rFonts w:ascii="Century Gothic" w:hAnsi="Century Gothic" w:cs="Times New Roman"/>
          <w:b/>
          <w:bCs/>
          <w:sz w:val="20"/>
          <w:szCs w:val="20"/>
        </w:rPr>
        <w:t>Είδη Οικιακού Εξοπλισμού</w:t>
      </w:r>
      <w:r w:rsidRPr="00CB6CE9">
        <w:rPr>
          <w:rFonts w:ascii="Century Gothic" w:hAnsi="Century Gothic" w:cs="Times New Roman"/>
          <w:sz w:val="20"/>
          <w:szCs w:val="20"/>
        </w:rPr>
        <w:t xml:space="preserve"> τον</w:t>
      </w:r>
      <w:r>
        <w:rPr>
          <w:rFonts w:ascii="Century Gothic" w:hAnsi="Century Gothic" w:cs="Times New Roman"/>
          <w:sz w:val="20"/>
          <w:szCs w:val="20"/>
        </w:rPr>
        <w:t xml:space="preserve"> Σεπτέμβριο</w:t>
      </w:r>
      <w:r w:rsidRPr="00CB6CE9">
        <w:rPr>
          <w:rFonts w:ascii="Century Gothic" w:hAnsi="Century Gothic" w:cs="Times New Roman"/>
          <w:sz w:val="20"/>
          <w:szCs w:val="20"/>
        </w:rPr>
        <w:t xml:space="preserve"> </w:t>
      </w:r>
      <w:r>
        <w:rPr>
          <w:rFonts w:ascii="Century Gothic" w:hAnsi="Century Gothic" w:cs="Times New Roman"/>
          <w:sz w:val="20"/>
          <w:szCs w:val="20"/>
        </w:rPr>
        <w:t>σε σχέση με τον Ιούλιο</w:t>
      </w:r>
      <w:r w:rsidRPr="00CB6CE9">
        <w:rPr>
          <w:rFonts w:ascii="Century Gothic" w:hAnsi="Century Gothic" w:cs="Times New Roman"/>
          <w:sz w:val="20"/>
          <w:szCs w:val="20"/>
        </w:rPr>
        <w:t xml:space="preserve">, </w:t>
      </w:r>
      <w:r>
        <w:rPr>
          <w:rFonts w:ascii="Century Gothic" w:hAnsi="Century Gothic" w:cs="Times New Roman"/>
          <w:sz w:val="20"/>
          <w:szCs w:val="20"/>
        </w:rPr>
        <w:t>διαμορφούμενος</w:t>
      </w:r>
      <w:r w:rsidRPr="00CB6CE9">
        <w:rPr>
          <w:rFonts w:ascii="Century Gothic" w:hAnsi="Century Gothic" w:cs="Times New Roman"/>
          <w:sz w:val="20"/>
          <w:szCs w:val="20"/>
        </w:rPr>
        <w:t xml:space="preserve"> στις </w:t>
      </w:r>
      <w:r>
        <w:rPr>
          <w:rFonts w:ascii="Century Gothic" w:hAnsi="Century Gothic" w:cs="Times New Roman"/>
          <w:sz w:val="20"/>
          <w:szCs w:val="20"/>
        </w:rPr>
        <w:t>69,2 μονάδες, λίγο υψηλότερα</w:t>
      </w:r>
      <w:r w:rsidRPr="00CB6CE9">
        <w:rPr>
          <w:rFonts w:ascii="Century Gothic" w:hAnsi="Century Gothic" w:cs="Times New Roman"/>
          <w:sz w:val="20"/>
          <w:szCs w:val="20"/>
        </w:rPr>
        <w:t xml:space="preserve"> σε σχέση με τα αντίστοιχα περσινά</w:t>
      </w:r>
      <w:r>
        <w:rPr>
          <w:rFonts w:ascii="Century Gothic" w:hAnsi="Century Gothic" w:cs="Times New Roman"/>
          <w:sz w:val="20"/>
          <w:szCs w:val="20"/>
        </w:rPr>
        <w:t xml:space="preserve"> επίπεδα</w:t>
      </w:r>
      <w:r w:rsidRPr="00CB6CE9">
        <w:rPr>
          <w:rFonts w:ascii="Century Gothic" w:hAnsi="Century Gothic" w:cs="Times New Roman"/>
          <w:sz w:val="20"/>
          <w:szCs w:val="20"/>
        </w:rPr>
        <w:t xml:space="preserve">. </w:t>
      </w:r>
      <w:r>
        <w:rPr>
          <w:rFonts w:ascii="Century Gothic" w:hAnsi="Century Gothic" w:cs="Times New Roman"/>
          <w:sz w:val="20"/>
          <w:szCs w:val="20"/>
        </w:rPr>
        <w:t>Οι εκτιμήσεις</w:t>
      </w:r>
      <w:r w:rsidRPr="00CB6CE9">
        <w:rPr>
          <w:rFonts w:ascii="Century Gothic" w:hAnsi="Century Gothic" w:cs="Times New Roman"/>
          <w:sz w:val="20"/>
          <w:szCs w:val="20"/>
        </w:rPr>
        <w:t xml:space="preserve"> για τις τρέχουσες πωλήσεις </w:t>
      </w:r>
      <w:r>
        <w:rPr>
          <w:rFonts w:ascii="Century Gothic" w:hAnsi="Century Gothic" w:cs="Times New Roman"/>
          <w:sz w:val="20"/>
          <w:szCs w:val="20"/>
        </w:rPr>
        <w:t xml:space="preserve">παραμένουν σε έντονα αρνητικά επίπεδα (στις -37 από -45 μον. ο δείκτης), ενώ εντείνονται οι αρνητικές προβλέψεις για τις πωλήσεις της επόμενης περιόδου (-29 από -6 μον. ο δείκτης). Τα εξαιρετικά υψηλά για την εποχή </w:t>
      </w:r>
      <w:r w:rsidRPr="00CB6CE9">
        <w:rPr>
          <w:rFonts w:ascii="Century Gothic" w:hAnsi="Century Gothic" w:cs="Times New Roman"/>
          <w:sz w:val="20"/>
          <w:szCs w:val="20"/>
        </w:rPr>
        <w:t xml:space="preserve">αποθέματα </w:t>
      </w:r>
      <w:r>
        <w:rPr>
          <w:rFonts w:ascii="Century Gothic" w:hAnsi="Century Gothic" w:cs="Times New Roman"/>
          <w:sz w:val="20"/>
          <w:szCs w:val="20"/>
        </w:rPr>
        <w:t xml:space="preserve">υποδηλώνουν τάση ρευστοποίησης </w:t>
      </w:r>
      <w:r w:rsidRPr="00CB6CE9">
        <w:rPr>
          <w:rFonts w:ascii="Century Gothic" w:hAnsi="Century Gothic" w:cs="Times New Roman"/>
          <w:sz w:val="20"/>
          <w:szCs w:val="20"/>
        </w:rPr>
        <w:t>(</w:t>
      </w:r>
      <w:r>
        <w:rPr>
          <w:rFonts w:ascii="Century Gothic" w:hAnsi="Century Gothic" w:cs="Times New Roman"/>
          <w:sz w:val="20"/>
          <w:szCs w:val="20"/>
        </w:rPr>
        <w:t xml:space="preserve">+4 από +53 </w:t>
      </w:r>
      <w:r w:rsidRPr="00CB6CE9">
        <w:rPr>
          <w:rFonts w:ascii="Century Gothic" w:hAnsi="Century Gothic" w:cs="Times New Roman"/>
          <w:sz w:val="20"/>
          <w:szCs w:val="20"/>
        </w:rPr>
        <w:t>μον</w:t>
      </w:r>
      <w:r>
        <w:rPr>
          <w:rFonts w:ascii="Century Gothic" w:hAnsi="Century Gothic" w:cs="Times New Roman"/>
          <w:sz w:val="20"/>
          <w:szCs w:val="20"/>
        </w:rPr>
        <w:t>άδες το ισοζύγιο</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ενώ οι </w:t>
      </w:r>
      <w:r w:rsidRPr="00CB6CE9">
        <w:rPr>
          <w:rFonts w:ascii="Century Gothic" w:hAnsi="Century Gothic" w:cs="Times New Roman"/>
          <w:sz w:val="20"/>
          <w:szCs w:val="20"/>
        </w:rPr>
        <w:t>προβλέψεις των παραγγελιών προς</w:t>
      </w:r>
      <w:r>
        <w:rPr>
          <w:rFonts w:ascii="Century Gothic" w:hAnsi="Century Gothic" w:cs="Times New Roman"/>
          <w:sz w:val="20"/>
          <w:szCs w:val="20"/>
        </w:rPr>
        <w:t xml:space="preserve"> προμηθευτές το επόμενο τρίμηνο διατηρούνται σε πολύ χαμηλά επίπεδα (-45 μονάδες). Οι </w:t>
      </w:r>
      <w:r w:rsidRPr="00CB6CE9">
        <w:rPr>
          <w:rFonts w:ascii="Century Gothic" w:hAnsi="Century Gothic" w:cs="Times New Roman"/>
          <w:sz w:val="20"/>
          <w:szCs w:val="20"/>
        </w:rPr>
        <w:t xml:space="preserve">αρνητικές προβλέψεις για την απασχόληση </w:t>
      </w:r>
      <w:r>
        <w:rPr>
          <w:rFonts w:ascii="Century Gothic" w:hAnsi="Century Gothic" w:cs="Times New Roman"/>
          <w:sz w:val="20"/>
          <w:szCs w:val="20"/>
        </w:rPr>
        <w:t xml:space="preserve">κερδίζουν ελαφρά έδαφος, παραμένοντας όμως υποτονικές </w:t>
      </w:r>
      <w:r w:rsidRPr="00CB6CE9">
        <w:rPr>
          <w:rFonts w:ascii="Century Gothic" w:hAnsi="Century Gothic" w:cs="Times New Roman"/>
          <w:sz w:val="20"/>
          <w:szCs w:val="20"/>
        </w:rPr>
        <w:t>(</w:t>
      </w:r>
      <w:r>
        <w:rPr>
          <w:rFonts w:ascii="Century Gothic" w:hAnsi="Century Gothic" w:cs="Times New Roman"/>
          <w:sz w:val="20"/>
          <w:szCs w:val="20"/>
        </w:rPr>
        <w:t xml:space="preserve">-13 από -20 μον. </w:t>
      </w:r>
      <w:r w:rsidRPr="00CB6CE9">
        <w:rPr>
          <w:rFonts w:ascii="Century Gothic" w:hAnsi="Century Gothic" w:cs="Times New Roman"/>
          <w:sz w:val="20"/>
          <w:szCs w:val="20"/>
        </w:rPr>
        <w:t>ο δείκτης)</w:t>
      </w:r>
      <w:r>
        <w:rPr>
          <w:rFonts w:ascii="Century Gothic" w:hAnsi="Century Gothic" w:cs="Times New Roman"/>
          <w:sz w:val="20"/>
          <w:szCs w:val="20"/>
        </w:rPr>
        <w:t>, ενώ τ</w:t>
      </w:r>
      <w:r w:rsidRPr="00CB6CE9">
        <w:rPr>
          <w:rFonts w:ascii="Century Gothic" w:hAnsi="Century Gothic" w:cs="Times New Roman"/>
          <w:sz w:val="20"/>
          <w:szCs w:val="20"/>
        </w:rPr>
        <w:t xml:space="preserve">έλος, στις τιμές, οι αποπληθωριστικές προσδοκίες </w:t>
      </w:r>
      <w:r>
        <w:rPr>
          <w:rFonts w:ascii="Century Gothic" w:hAnsi="Century Gothic" w:cs="Times New Roman"/>
          <w:sz w:val="20"/>
          <w:szCs w:val="20"/>
        </w:rPr>
        <w:t>εξομαλύνονται (-4 από -18 μον. το ισοζύγιο)</w:t>
      </w:r>
      <w:r w:rsidRPr="00CB6CE9">
        <w:rPr>
          <w:rFonts w:ascii="Century Gothic" w:hAnsi="Century Gothic" w:cs="Times New Roman"/>
          <w:sz w:val="20"/>
          <w:szCs w:val="20"/>
        </w:rPr>
        <w:t xml:space="preserve">. </w:t>
      </w:r>
    </w:p>
    <w:p w:rsidR="00BE6140" w:rsidRPr="00CB6CE9" w:rsidRDefault="00BE6140" w:rsidP="00A067D8">
      <w:pPr>
        <w:spacing w:before="100" w:beforeAutospacing="1" w:after="100" w:afterAutospacing="1" w:line="288" w:lineRule="auto"/>
        <w:jc w:val="both"/>
        <w:rPr>
          <w:rFonts w:ascii="Century Gothic" w:hAnsi="Century Gothic" w:cs="Times New Roman"/>
          <w:sz w:val="20"/>
          <w:szCs w:val="20"/>
        </w:rPr>
      </w:pPr>
      <w:r w:rsidRPr="00CB6CE9">
        <w:rPr>
          <w:rFonts w:ascii="Century Gothic" w:hAnsi="Century Gothic" w:cs="Times New Roman"/>
          <w:sz w:val="20"/>
          <w:szCs w:val="20"/>
        </w:rPr>
        <w:t>Ο</w:t>
      </w:r>
      <w:r>
        <w:rPr>
          <w:rFonts w:ascii="Century Gothic" w:hAnsi="Century Gothic" w:cs="Times New Roman"/>
          <w:sz w:val="20"/>
          <w:szCs w:val="20"/>
        </w:rPr>
        <w:t xml:space="preserve"> </w:t>
      </w:r>
      <w:r w:rsidRPr="00CB6CE9">
        <w:rPr>
          <w:rFonts w:ascii="Century Gothic" w:hAnsi="Century Gothic" w:cs="Times New Roman"/>
          <w:sz w:val="20"/>
          <w:szCs w:val="20"/>
        </w:rPr>
        <w:t xml:space="preserve">δείκτης επιχειρηματικών προσδοκιών στα </w:t>
      </w:r>
      <w:r w:rsidRPr="00CB6CE9">
        <w:rPr>
          <w:rFonts w:ascii="Century Gothic" w:hAnsi="Century Gothic" w:cs="Times New Roman"/>
          <w:b/>
          <w:bCs/>
          <w:sz w:val="20"/>
          <w:szCs w:val="20"/>
        </w:rPr>
        <w:t>Οχήματα – Ανταλλακτικά</w:t>
      </w:r>
      <w:r>
        <w:rPr>
          <w:rFonts w:ascii="Century Gothic" w:hAnsi="Century Gothic" w:cs="Times New Roman"/>
          <w:bCs/>
          <w:sz w:val="20"/>
          <w:szCs w:val="20"/>
        </w:rPr>
        <w:t xml:space="preserve"> κατρακυλά τον Σεπτέμβριο σ</w:t>
      </w:r>
      <w:r>
        <w:rPr>
          <w:rFonts w:ascii="Century Gothic" w:hAnsi="Century Gothic" w:cs="Times New Roman"/>
          <w:sz w:val="20"/>
          <w:szCs w:val="20"/>
        </w:rPr>
        <w:t>τις 75,2 μονάδες (από 94,1 μον. τον Ιούλιο), ανώτερα σε σχέση με την αντίστοιχη περσινή του επίδοση (67,6 μον.)</w:t>
      </w:r>
      <w:r w:rsidRPr="00CB6CE9">
        <w:rPr>
          <w:rFonts w:ascii="Century Gothic" w:hAnsi="Century Gothic" w:cs="Times New Roman"/>
          <w:sz w:val="20"/>
          <w:szCs w:val="20"/>
        </w:rPr>
        <w:t xml:space="preserve">. Οι χαμηλές εκτιμήσεις για τις τρέχουσες πωλήσεις του κλάδου </w:t>
      </w:r>
      <w:r>
        <w:rPr>
          <w:rFonts w:ascii="Century Gothic" w:hAnsi="Century Gothic" w:cs="Times New Roman"/>
          <w:sz w:val="20"/>
          <w:szCs w:val="20"/>
        </w:rPr>
        <w:t xml:space="preserve">χάνουν έδαφος, </w:t>
      </w:r>
      <w:r w:rsidRPr="00CB6CE9">
        <w:rPr>
          <w:rFonts w:ascii="Century Gothic" w:hAnsi="Century Gothic" w:cs="Times New Roman"/>
          <w:sz w:val="20"/>
          <w:szCs w:val="20"/>
        </w:rPr>
        <w:t xml:space="preserve">με το σχετικό δείκτη να </w:t>
      </w:r>
      <w:r>
        <w:rPr>
          <w:rFonts w:ascii="Century Gothic" w:hAnsi="Century Gothic" w:cs="Times New Roman"/>
          <w:sz w:val="20"/>
          <w:szCs w:val="20"/>
        </w:rPr>
        <w:t>υποχωρεί</w:t>
      </w:r>
      <w:r w:rsidRPr="00CB6CE9">
        <w:rPr>
          <w:rFonts w:ascii="Century Gothic" w:hAnsi="Century Gothic" w:cs="Times New Roman"/>
          <w:sz w:val="20"/>
          <w:szCs w:val="20"/>
        </w:rPr>
        <w:t xml:space="preserve"> </w:t>
      </w:r>
      <w:r>
        <w:rPr>
          <w:rFonts w:ascii="Century Gothic" w:hAnsi="Century Gothic" w:cs="Times New Roman"/>
          <w:sz w:val="20"/>
          <w:szCs w:val="20"/>
        </w:rPr>
        <w:t>στις -46 μονάδες (από -21), ενώ σ</w:t>
      </w:r>
      <w:r w:rsidRPr="00CB6CE9">
        <w:rPr>
          <w:rFonts w:ascii="Century Gothic" w:hAnsi="Century Gothic" w:cs="Times New Roman"/>
          <w:sz w:val="20"/>
          <w:szCs w:val="20"/>
        </w:rPr>
        <w:t xml:space="preserve">τα αποθέματα καταγράφεται </w:t>
      </w:r>
      <w:r>
        <w:rPr>
          <w:rFonts w:ascii="Century Gothic" w:hAnsi="Century Gothic" w:cs="Times New Roman"/>
          <w:sz w:val="20"/>
          <w:szCs w:val="20"/>
        </w:rPr>
        <w:t>μικρή αποκλιμάκωση</w:t>
      </w:r>
      <w:r w:rsidRPr="00CB6CE9">
        <w:rPr>
          <w:rFonts w:ascii="Century Gothic" w:hAnsi="Century Gothic" w:cs="Times New Roman"/>
          <w:sz w:val="20"/>
          <w:szCs w:val="20"/>
        </w:rPr>
        <w:t xml:space="preserve">, με το ισοζύγιο να διαμορφώνεται </w:t>
      </w:r>
      <w:r>
        <w:rPr>
          <w:rFonts w:ascii="Century Gothic" w:hAnsi="Century Gothic" w:cs="Times New Roman"/>
          <w:sz w:val="20"/>
          <w:szCs w:val="20"/>
        </w:rPr>
        <w:t>στις -25 (από -19) μονάδες</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Σφοδρότερη όμως είναι η πτώση του δείκτη στις </w:t>
      </w:r>
      <w:r w:rsidRPr="00CB6CE9">
        <w:rPr>
          <w:rFonts w:ascii="Century Gothic" w:hAnsi="Century Gothic" w:cs="Times New Roman"/>
          <w:sz w:val="20"/>
          <w:szCs w:val="20"/>
        </w:rPr>
        <w:t>προβλεπόμενες πωλήσεις</w:t>
      </w:r>
      <w:r>
        <w:rPr>
          <w:rFonts w:ascii="Century Gothic" w:hAnsi="Century Gothic" w:cs="Times New Roman"/>
          <w:sz w:val="20"/>
          <w:szCs w:val="20"/>
        </w:rPr>
        <w:t>, ο οποίος χάνει 40 μονάδες</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(στις -46), ενώ </w:t>
      </w:r>
      <w:r w:rsidRPr="00CB6CE9">
        <w:rPr>
          <w:rFonts w:ascii="Century Gothic" w:hAnsi="Century Gothic" w:cs="Times New Roman"/>
          <w:sz w:val="20"/>
          <w:szCs w:val="20"/>
        </w:rPr>
        <w:t xml:space="preserve">στα υπόλοιπα στοιχεία, ο </w:t>
      </w:r>
      <w:r>
        <w:rPr>
          <w:rFonts w:ascii="Century Gothic" w:hAnsi="Century Gothic" w:cs="Times New Roman"/>
          <w:sz w:val="20"/>
          <w:szCs w:val="20"/>
        </w:rPr>
        <w:t xml:space="preserve">αρνητικός </w:t>
      </w:r>
      <w:r w:rsidRPr="00CB6CE9">
        <w:rPr>
          <w:rFonts w:ascii="Century Gothic" w:hAnsi="Century Gothic" w:cs="Times New Roman"/>
          <w:sz w:val="20"/>
          <w:szCs w:val="20"/>
        </w:rPr>
        <w:t xml:space="preserve">δείκτης για τις προβλέψεις απασχόλησης </w:t>
      </w:r>
      <w:r>
        <w:rPr>
          <w:rFonts w:ascii="Century Gothic" w:hAnsi="Century Gothic" w:cs="Times New Roman"/>
          <w:sz w:val="20"/>
          <w:szCs w:val="20"/>
        </w:rPr>
        <w:t xml:space="preserve">εντείνεται ελαφρά στις -18 (από -13) μονάδες, με το 18% (από 30%) των επιχειρήσεων να αναμένουν μείωση των θέσεων εργασίας στον κλάδο το επόμενο διάστημα και καμία επιχείρηση να μην προβλέπει άνοδο (από 17%). Πτωτικά κινείται και το ήδη αρνητικό </w:t>
      </w:r>
      <w:r>
        <w:rPr>
          <w:rFonts w:ascii="Century Gothic" w:hAnsi="Century Gothic" w:cs="Times New Roman"/>
          <w:sz w:val="20"/>
          <w:szCs w:val="20"/>
        </w:rPr>
        <w:lastRenderedPageBreak/>
        <w:t xml:space="preserve">ισοζύγιο </w:t>
      </w:r>
      <w:r w:rsidRPr="00CB6CE9">
        <w:rPr>
          <w:rFonts w:ascii="Century Gothic" w:hAnsi="Century Gothic" w:cs="Times New Roman"/>
          <w:sz w:val="20"/>
          <w:szCs w:val="20"/>
        </w:rPr>
        <w:t xml:space="preserve">παραγγελιών προς προμηθευτές </w:t>
      </w:r>
      <w:r>
        <w:rPr>
          <w:rFonts w:ascii="Century Gothic" w:hAnsi="Century Gothic" w:cs="Times New Roman"/>
          <w:sz w:val="20"/>
          <w:szCs w:val="20"/>
        </w:rPr>
        <w:t>(-34 από -12 μονάδες), ενώ τ</w:t>
      </w:r>
      <w:r w:rsidRPr="00CB6CE9">
        <w:rPr>
          <w:rFonts w:ascii="Century Gothic" w:hAnsi="Century Gothic" w:cs="Times New Roman"/>
          <w:sz w:val="20"/>
          <w:szCs w:val="20"/>
        </w:rPr>
        <w:t>έλος</w:t>
      </w:r>
      <w:r>
        <w:rPr>
          <w:rFonts w:ascii="Century Gothic" w:hAnsi="Century Gothic" w:cs="Times New Roman"/>
          <w:sz w:val="20"/>
          <w:szCs w:val="20"/>
        </w:rPr>
        <w:t xml:space="preserve"> </w:t>
      </w:r>
      <w:r w:rsidRPr="00CB6CE9">
        <w:rPr>
          <w:rFonts w:ascii="Century Gothic" w:hAnsi="Century Gothic" w:cs="Times New Roman"/>
          <w:sz w:val="20"/>
          <w:szCs w:val="20"/>
        </w:rPr>
        <w:t xml:space="preserve">στις τιμές, το σχετικό </w:t>
      </w:r>
      <w:r>
        <w:rPr>
          <w:rFonts w:ascii="Century Gothic" w:hAnsi="Century Gothic" w:cs="Times New Roman"/>
          <w:sz w:val="20"/>
          <w:szCs w:val="20"/>
        </w:rPr>
        <w:t xml:space="preserve">αρνητικό </w:t>
      </w:r>
      <w:r w:rsidRPr="00CB6CE9">
        <w:rPr>
          <w:rFonts w:ascii="Century Gothic" w:hAnsi="Century Gothic" w:cs="Times New Roman"/>
          <w:sz w:val="20"/>
          <w:szCs w:val="20"/>
        </w:rPr>
        <w:t xml:space="preserve">ισοζύγιο </w:t>
      </w:r>
      <w:r>
        <w:rPr>
          <w:rFonts w:ascii="Century Gothic" w:hAnsi="Century Gothic" w:cs="Times New Roman"/>
          <w:sz w:val="20"/>
          <w:szCs w:val="20"/>
        </w:rPr>
        <w:t xml:space="preserve">παραμένει στις -14 μονάδες. </w:t>
      </w:r>
    </w:p>
    <w:p w:rsidR="00BE6140" w:rsidRDefault="00BE6140" w:rsidP="00A067D8">
      <w:pPr>
        <w:spacing w:before="100" w:beforeAutospacing="1" w:after="100" w:afterAutospacing="1" w:line="288" w:lineRule="auto"/>
        <w:jc w:val="both"/>
        <w:rPr>
          <w:rFonts w:ascii="Century Gothic" w:hAnsi="Century Gothic" w:cs="Times New Roman"/>
          <w:sz w:val="20"/>
          <w:szCs w:val="20"/>
        </w:rPr>
      </w:pPr>
      <w:r>
        <w:rPr>
          <w:rFonts w:ascii="Century Gothic" w:hAnsi="Century Gothic" w:cs="Times New Roman"/>
          <w:sz w:val="20"/>
          <w:szCs w:val="20"/>
        </w:rPr>
        <w:t xml:space="preserve">Εντόνως ανοδικά κινούνται οι </w:t>
      </w:r>
      <w:r w:rsidRPr="00CB6CE9">
        <w:rPr>
          <w:rFonts w:ascii="Century Gothic" w:hAnsi="Century Gothic" w:cs="Times New Roman"/>
          <w:sz w:val="20"/>
          <w:szCs w:val="20"/>
        </w:rPr>
        <w:t xml:space="preserve">επιχειρηματικές προσδοκίες στα </w:t>
      </w:r>
      <w:r w:rsidRPr="00CB6CE9">
        <w:rPr>
          <w:rFonts w:ascii="Century Gothic" w:hAnsi="Century Gothic" w:cs="Times New Roman"/>
          <w:b/>
          <w:bCs/>
          <w:sz w:val="20"/>
          <w:szCs w:val="20"/>
        </w:rPr>
        <w:t>Πολυκαταστήματα</w:t>
      </w:r>
      <w:r>
        <w:rPr>
          <w:rFonts w:ascii="Century Gothic" w:hAnsi="Century Gothic" w:cs="Times New Roman"/>
          <w:sz w:val="20"/>
          <w:szCs w:val="20"/>
        </w:rPr>
        <w:t xml:space="preserve"> τον Σεπτέμβριο σε σχέση με τον Ιούλιο</w:t>
      </w:r>
      <w:r w:rsidRPr="00CB6CE9">
        <w:rPr>
          <w:rFonts w:ascii="Century Gothic" w:hAnsi="Century Gothic" w:cs="Times New Roman"/>
          <w:sz w:val="20"/>
          <w:szCs w:val="20"/>
        </w:rPr>
        <w:t xml:space="preserve">, </w:t>
      </w:r>
      <w:r>
        <w:rPr>
          <w:rFonts w:ascii="Century Gothic" w:hAnsi="Century Gothic" w:cs="Times New Roman"/>
          <w:sz w:val="20"/>
          <w:szCs w:val="20"/>
        </w:rPr>
        <w:t>με το</w:t>
      </w:r>
      <w:r w:rsidRPr="00CB6CE9">
        <w:rPr>
          <w:rFonts w:ascii="Century Gothic" w:hAnsi="Century Gothic" w:cs="Times New Roman"/>
          <w:sz w:val="20"/>
          <w:szCs w:val="20"/>
        </w:rPr>
        <w:t xml:space="preserve"> </w:t>
      </w:r>
      <w:r>
        <w:rPr>
          <w:rFonts w:ascii="Century Gothic" w:hAnsi="Century Gothic" w:cs="Times New Roman"/>
          <w:sz w:val="20"/>
          <w:szCs w:val="20"/>
        </w:rPr>
        <w:t>σχετικό δείκτη</w:t>
      </w:r>
      <w:r w:rsidRPr="00CB6CE9">
        <w:rPr>
          <w:rFonts w:ascii="Century Gothic" w:hAnsi="Century Gothic" w:cs="Times New Roman"/>
          <w:sz w:val="20"/>
          <w:szCs w:val="20"/>
        </w:rPr>
        <w:t xml:space="preserve"> </w:t>
      </w:r>
      <w:r>
        <w:rPr>
          <w:rFonts w:ascii="Century Gothic" w:hAnsi="Century Gothic" w:cs="Times New Roman"/>
          <w:sz w:val="20"/>
          <w:szCs w:val="20"/>
        </w:rPr>
        <w:t>να ανέρχεται στις 77,8 μονάδες (από 50,6), σε σημαντικά υψηλότερα επίπεδα συγκριτικά με την αντίστοιχη περσινή του επίδοση (45,6 μον.)</w:t>
      </w:r>
      <w:r w:rsidRPr="00CB6CE9">
        <w:rPr>
          <w:rFonts w:ascii="Century Gothic" w:hAnsi="Century Gothic" w:cs="Times New Roman"/>
          <w:sz w:val="20"/>
          <w:szCs w:val="20"/>
        </w:rPr>
        <w:t>. Από τις κύριες μεταβλητές</w:t>
      </w:r>
      <w:r>
        <w:rPr>
          <w:rFonts w:ascii="Century Gothic" w:hAnsi="Century Gothic" w:cs="Times New Roman"/>
          <w:sz w:val="20"/>
          <w:szCs w:val="20"/>
        </w:rPr>
        <w:t xml:space="preserve"> του δείκτη</w:t>
      </w:r>
      <w:r w:rsidRPr="00CB6CE9">
        <w:rPr>
          <w:rFonts w:ascii="Century Gothic" w:hAnsi="Century Gothic" w:cs="Times New Roman"/>
          <w:sz w:val="20"/>
          <w:szCs w:val="20"/>
        </w:rPr>
        <w:t xml:space="preserve">, οι </w:t>
      </w:r>
      <w:r>
        <w:rPr>
          <w:rFonts w:ascii="Century Gothic" w:hAnsi="Century Gothic" w:cs="Times New Roman"/>
          <w:sz w:val="20"/>
          <w:szCs w:val="20"/>
        </w:rPr>
        <w:t xml:space="preserve">σχεδόν καθολικά </w:t>
      </w:r>
      <w:r w:rsidRPr="00CB6CE9">
        <w:rPr>
          <w:rFonts w:ascii="Century Gothic" w:hAnsi="Century Gothic" w:cs="Times New Roman"/>
          <w:sz w:val="20"/>
          <w:szCs w:val="20"/>
        </w:rPr>
        <w:t xml:space="preserve">αρνητικές εκτιμήσεις των τρεχουσών πωλήσεων </w:t>
      </w:r>
      <w:r>
        <w:rPr>
          <w:rFonts w:ascii="Century Gothic" w:hAnsi="Century Gothic" w:cs="Times New Roman"/>
          <w:sz w:val="20"/>
          <w:szCs w:val="20"/>
        </w:rPr>
        <w:t xml:space="preserve">εξομαλύνονται (-50 μον. ο δείκτης), ενώ και οι προβλεπόμενες πωλήσεις σημειώνουν αισθητή άνοδο στο σχετικό αρνητικό ισοζύγιο (-31 από -67 μονάδες). Ο δείκτης του επιπέδου των αποθεμάτων συνεχίζει να μειώνεται (-47 από -34 μονάδες), ενώ οι </w:t>
      </w:r>
      <w:r w:rsidRPr="00CB6CE9">
        <w:rPr>
          <w:rFonts w:ascii="Century Gothic" w:hAnsi="Century Gothic" w:cs="Times New Roman"/>
          <w:sz w:val="20"/>
          <w:szCs w:val="20"/>
        </w:rPr>
        <w:t>παραγγελίες προς προμηθευτές</w:t>
      </w:r>
      <w:r>
        <w:rPr>
          <w:rFonts w:ascii="Century Gothic" w:hAnsi="Century Gothic" w:cs="Times New Roman"/>
          <w:sz w:val="20"/>
          <w:szCs w:val="20"/>
        </w:rPr>
        <w:t xml:space="preserve"> παραμένουν σε πολύ δυσμενή επίπεδα, παρά την άνοδο του σχετικού ισοζυγίου (-50 από -64 μον.).</w:t>
      </w:r>
      <w:r w:rsidRPr="00CB6CE9">
        <w:rPr>
          <w:rFonts w:ascii="Century Gothic" w:hAnsi="Century Gothic" w:cs="Times New Roman"/>
          <w:sz w:val="20"/>
          <w:szCs w:val="20"/>
        </w:rPr>
        <w:t xml:space="preserve"> </w:t>
      </w:r>
      <w:r>
        <w:rPr>
          <w:rFonts w:ascii="Century Gothic" w:hAnsi="Century Gothic" w:cs="Times New Roman"/>
          <w:sz w:val="20"/>
          <w:szCs w:val="20"/>
        </w:rPr>
        <w:t>Σ</w:t>
      </w:r>
      <w:r w:rsidRPr="00CB6CE9">
        <w:rPr>
          <w:rFonts w:ascii="Century Gothic" w:hAnsi="Century Gothic" w:cs="Times New Roman"/>
          <w:sz w:val="20"/>
          <w:szCs w:val="20"/>
        </w:rPr>
        <w:t>την απασχόλησ</w:t>
      </w:r>
      <w:r>
        <w:rPr>
          <w:rFonts w:ascii="Century Gothic" w:hAnsi="Century Gothic" w:cs="Times New Roman"/>
          <w:sz w:val="20"/>
          <w:szCs w:val="20"/>
        </w:rPr>
        <w:t>η του κλάδου το επόμενο τρίμηνο καταγράφεται θετική μεταβολή στο σχετικό δείκτη, ενώ τ</w:t>
      </w:r>
      <w:r w:rsidRPr="00CB6CE9">
        <w:rPr>
          <w:rFonts w:ascii="Century Gothic" w:hAnsi="Century Gothic" w:cs="Times New Roman"/>
          <w:sz w:val="20"/>
          <w:szCs w:val="20"/>
        </w:rPr>
        <w:t xml:space="preserve">έλος, στις τιμές, </w:t>
      </w:r>
      <w:r>
        <w:rPr>
          <w:rFonts w:ascii="Century Gothic" w:hAnsi="Century Gothic" w:cs="Times New Roman"/>
          <w:sz w:val="20"/>
          <w:szCs w:val="20"/>
        </w:rPr>
        <w:t>οι αποπληθωριστικές προσδοκίες</w:t>
      </w:r>
      <w:r w:rsidRPr="00CB6CE9">
        <w:rPr>
          <w:rFonts w:ascii="Century Gothic" w:hAnsi="Century Gothic" w:cs="Times New Roman"/>
          <w:sz w:val="20"/>
          <w:szCs w:val="20"/>
        </w:rPr>
        <w:t xml:space="preserve"> </w:t>
      </w:r>
      <w:r>
        <w:rPr>
          <w:rFonts w:ascii="Century Gothic" w:hAnsi="Century Gothic" w:cs="Times New Roman"/>
          <w:sz w:val="20"/>
          <w:szCs w:val="20"/>
        </w:rPr>
        <w:t>εξομαλύνονται, με το ¼ των επιχειρήσεων (από ½) να αναμένει μείωση τιμών το επόμενο τρίμηνο.</w:t>
      </w:r>
      <w:r w:rsidRPr="00CB6CE9">
        <w:rPr>
          <w:rFonts w:ascii="Century Gothic" w:hAnsi="Century Gothic" w:cs="Times New Roman"/>
          <w:sz w:val="20"/>
          <w:szCs w:val="20"/>
        </w:rPr>
        <w:t xml:space="preserve"> </w:t>
      </w:r>
    </w:p>
    <w:p w:rsidR="00BE6140" w:rsidRPr="00CB6CE9" w:rsidRDefault="00BE6140" w:rsidP="00E00BE9">
      <w:pPr>
        <w:ind w:left="-284" w:right="-428"/>
        <w:jc w:val="center"/>
        <w:outlineLvl w:val="0"/>
        <w:rPr>
          <w:rFonts w:ascii="Century Gothic" w:hAnsi="Century Gothic" w:cs="Times New Roman"/>
          <w:sz w:val="18"/>
          <w:szCs w:val="18"/>
        </w:rPr>
      </w:pPr>
      <w:r w:rsidRPr="00CB6CE9">
        <w:rPr>
          <w:rFonts w:ascii="Century Gothic" w:hAnsi="Century Gothic" w:cs="Times New Roman"/>
          <w:b/>
          <w:bCs/>
          <w:sz w:val="18"/>
          <w:szCs w:val="18"/>
        </w:rPr>
        <w:t xml:space="preserve">Πίνακας 4: </w:t>
      </w:r>
      <w:r w:rsidRPr="00CB6CE9">
        <w:rPr>
          <w:rFonts w:ascii="Century Gothic" w:hAnsi="Century Gothic" w:cs="Times New Roman"/>
          <w:sz w:val="18"/>
          <w:szCs w:val="18"/>
        </w:rPr>
        <w:t>Δείκτης Επιχειρηματικών Προσδοκιών στο Λιανικό Εμπόριο</w:t>
      </w:r>
    </w:p>
    <w:tbl>
      <w:tblPr>
        <w:tblW w:w="8738" w:type="dxa"/>
        <w:jc w:val="center"/>
        <w:tblBorders>
          <w:top w:val="single" w:sz="4" w:space="0" w:color="943634"/>
          <w:left w:val="single" w:sz="4" w:space="0" w:color="943634"/>
          <w:bottom w:val="single" w:sz="4" w:space="0" w:color="943634"/>
          <w:right w:val="single" w:sz="4" w:space="0" w:color="943634"/>
          <w:insideH w:val="single" w:sz="4" w:space="0" w:color="FFFFFF"/>
          <w:insideV w:val="single" w:sz="4" w:space="0" w:color="FFFFFF"/>
        </w:tblBorders>
        <w:tblLook w:val="01E0"/>
      </w:tblPr>
      <w:tblGrid>
        <w:gridCol w:w="768"/>
        <w:gridCol w:w="771"/>
        <w:gridCol w:w="422"/>
        <w:gridCol w:w="482"/>
        <w:gridCol w:w="432"/>
        <w:gridCol w:w="362"/>
        <w:gridCol w:w="538"/>
        <w:gridCol w:w="208"/>
        <w:gridCol w:w="999"/>
        <w:gridCol w:w="728"/>
        <w:gridCol w:w="45"/>
        <w:gridCol w:w="605"/>
        <w:gridCol w:w="78"/>
        <w:gridCol w:w="489"/>
        <w:gridCol w:w="239"/>
        <w:gridCol w:w="328"/>
        <w:gridCol w:w="400"/>
        <w:gridCol w:w="167"/>
        <w:gridCol w:w="677"/>
      </w:tblGrid>
      <w:tr w:rsidR="00BE6140" w:rsidRPr="00CB6CE9" w:rsidTr="00C25B17">
        <w:trPr>
          <w:jc w:val="center"/>
        </w:trPr>
        <w:tc>
          <w:tcPr>
            <w:tcW w:w="1961" w:type="dxa"/>
            <w:gridSpan w:val="3"/>
            <w:tcBorders>
              <w:top w:val="single" w:sz="4" w:space="0" w:color="943634"/>
            </w:tcBorders>
            <w:shd w:val="clear" w:color="auto" w:fill="9E3A38"/>
            <w:vAlign w:val="center"/>
          </w:tcPr>
          <w:p w:rsidR="00BE6140" w:rsidRPr="00CB6CE9" w:rsidRDefault="00BE6140" w:rsidP="00951945">
            <w:pPr>
              <w:jc w:val="center"/>
              <w:rPr>
                <w:rFonts w:ascii="Century Gothic" w:hAnsi="Century Gothic" w:cs="Times New Roman"/>
                <w:b/>
                <w:bCs/>
                <w:color w:val="FFFFFF"/>
                <w:sz w:val="18"/>
                <w:szCs w:val="18"/>
              </w:rPr>
            </w:pPr>
            <w:r w:rsidRPr="00CB6CE9">
              <w:rPr>
                <w:rFonts w:ascii="Century Gothic" w:hAnsi="Century Gothic" w:cs="Times New Roman"/>
                <w:b/>
                <w:bCs/>
                <w:color w:val="FFFFFF"/>
                <w:sz w:val="18"/>
                <w:szCs w:val="18"/>
              </w:rPr>
              <w:t>Τομέας</w:t>
            </w:r>
          </w:p>
        </w:tc>
        <w:tc>
          <w:tcPr>
            <w:tcW w:w="1814" w:type="dxa"/>
            <w:gridSpan w:val="4"/>
            <w:tcBorders>
              <w:top w:val="single" w:sz="4" w:space="0" w:color="943634"/>
            </w:tcBorders>
            <w:shd w:val="clear" w:color="auto" w:fill="9E3A38"/>
            <w:vAlign w:val="center"/>
          </w:tcPr>
          <w:p w:rsidR="00BE6140" w:rsidRPr="00CB6CE9" w:rsidRDefault="00BE6140" w:rsidP="00C25B17">
            <w:pPr>
              <w:jc w:val="center"/>
              <w:rPr>
                <w:rFonts w:ascii="Century Gothic" w:hAnsi="Century Gothic" w:cs="Times New Roman"/>
                <w:b/>
                <w:bCs/>
                <w:color w:val="FFFFFF"/>
                <w:sz w:val="18"/>
                <w:szCs w:val="18"/>
              </w:rPr>
            </w:pPr>
            <w:r w:rsidRPr="00CB6CE9">
              <w:rPr>
                <w:rFonts w:ascii="Century Gothic" w:hAnsi="Century Gothic" w:cs="Times New Roman"/>
                <w:b/>
                <w:bCs/>
                <w:color w:val="FFFFFF"/>
                <w:sz w:val="18"/>
                <w:szCs w:val="18"/>
              </w:rPr>
              <w:t>Ακραίες τιμές</w:t>
            </w:r>
          </w:p>
        </w:tc>
        <w:tc>
          <w:tcPr>
            <w:tcW w:w="4963" w:type="dxa"/>
            <w:gridSpan w:val="12"/>
            <w:tcBorders>
              <w:top w:val="single" w:sz="4" w:space="0" w:color="943634"/>
            </w:tcBorders>
            <w:shd w:val="clear" w:color="auto" w:fill="9E3A38"/>
            <w:vAlign w:val="center"/>
          </w:tcPr>
          <w:p w:rsidR="00BE6140" w:rsidRPr="00CB6CE9" w:rsidRDefault="00BE6140" w:rsidP="00951945">
            <w:pPr>
              <w:jc w:val="center"/>
              <w:rPr>
                <w:rFonts w:ascii="Century Gothic" w:hAnsi="Century Gothic" w:cs="Times New Roman"/>
                <w:b/>
                <w:bCs/>
                <w:color w:val="FFFFFF"/>
                <w:sz w:val="18"/>
                <w:szCs w:val="18"/>
              </w:rPr>
            </w:pPr>
            <w:r w:rsidRPr="00CB6CE9">
              <w:rPr>
                <w:rFonts w:ascii="Century Gothic" w:hAnsi="Century Gothic" w:cs="Times New Roman"/>
                <w:b/>
                <w:bCs/>
                <w:color w:val="FFFFFF"/>
                <w:sz w:val="18"/>
                <w:szCs w:val="18"/>
              </w:rPr>
              <w:t>Μέσος όρος</w:t>
            </w:r>
          </w:p>
        </w:tc>
      </w:tr>
      <w:tr w:rsidR="00BE6140" w:rsidRPr="00CB6CE9" w:rsidTr="00C25B17">
        <w:trPr>
          <w:jc w:val="center"/>
        </w:trPr>
        <w:tc>
          <w:tcPr>
            <w:tcW w:w="1961" w:type="dxa"/>
            <w:gridSpan w:val="3"/>
            <w:vMerge w:val="restart"/>
            <w:shd w:val="clear" w:color="auto" w:fill="DBE5F1"/>
            <w:vAlign w:val="center"/>
          </w:tcPr>
          <w:p w:rsidR="00BE6140" w:rsidRPr="00CB6CE9" w:rsidRDefault="00BE6140" w:rsidP="00951945">
            <w:pPr>
              <w:pStyle w:val="2"/>
              <w:rPr>
                <w:rFonts w:ascii="Century Gothic" w:hAnsi="Century Gothic"/>
                <w:color w:val="000000"/>
                <w:lang w:val="en-US"/>
              </w:rPr>
            </w:pPr>
            <w:r w:rsidRPr="00CB6CE9">
              <w:rPr>
                <w:rFonts w:ascii="Century Gothic" w:hAnsi="Century Gothic"/>
                <w:i w:val="0"/>
                <w:iCs w:val="0"/>
                <w:color w:val="000000"/>
              </w:rPr>
              <w:t>Λιανικό Εμπόριο</w:t>
            </w:r>
            <w:r w:rsidRPr="00CB6CE9">
              <w:rPr>
                <w:rFonts w:ascii="Century Gothic" w:hAnsi="Century Gothic"/>
                <w:i w:val="0"/>
                <w:iCs w:val="0"/>
                <w:color w:val="000000"/>
                <w:lang w:val="en-US"/>
              </w:rPr>
              <w:t xml:space="preserve"> </w:t>
            </w:r>
            <w:r w:rsidRPr="00CB6CE9">
              <w:rPr>
                <w:rFonts w:ascii="Century Gothic" w:hAnsi="Century Gothic"/>
                <w:b w:val="0"/>
                <w:i w:val="0"/>
                <w:iCs w:val="0"/>
                <w:color w:val="000000"/>
              </w:rPr>
              <w:t>(1996-2006=100)</w:t>
            </w:r>
          </w:p>
        </w:tc>
        <w:tc>
          <w:tcPr>
            <w:tcW w:w="914" w:type="dxa"/>
            <w:gridSpan w:val="2"/>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b/>
                <w:bCs/>
                <w:color w:val="000000"/>
                <w:sz w:val="18"/>
                <w:szCs w:val="18"/>
                <w:lang w:val="en-US"/>
              </w:rPr>
              <w:t>Min</w:t>
            </w:r>
          </w:p>
        </w:tc>
        <w:tc>
          <w:tcPr>
            <w:tcW w:w="900" w:type="dxa"/>
            <w:gridSpan w:val="2"/>
            <w:shd w:val="clear" w:color="auto" w:fill="DBE5F1"/>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b/>
                <w:bCs/>
                <w:color w:val="000000"/>
                <w:sz w:val="18"/>
                <w:szCs w:val="18"/>
                <w:lang w:val="en-US"/>
              </w:rPr>
              <w:t>Max</w:t>
            </w:r>
          </w:p>
        </w:tc>
        <w:tc>
          <w:tcPr>
            <w:tcW w:w="1207" w:type="dxa"/>
            <w:gridSpan w:val="2"/>
            <w:shd w:val="clear" w:color="auto" w:fill="D3DFEE"/>
            <w:vAlign w:val="center"/>
          </w:tcPr>
          <w:p w:rsidR="00BE6140" w:rsidRPr="00CB6CE9" w:rsidRDefault="00BE6140" w:rsidP="00951945">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2001-20</w:t>
            </w:r>
            <w:r w:rsidRPr="00CB6CE9">
              <w:rPr>
                <w:rFonts w:ascii="Century Gothic" w:hAnsi="Century Gothic" w:cs="Times New Roman"/>
                <w:b/>
                <w:bCs/>
                <w:color w:val="000000"/>
                <w:sz w:val="18"/>
                <w:szCs w:val="18"/>
              </w:rPr>
              <w:t>1</w:t>
            </w:r>
            <w:r w:rsidRPr="00CB6CE9">
              <w:rPr>
                <w:rFonts w:ascii="Century Gothic" w:hAnsi="Century Gothic" w:cs="Times New Roman"/>
                <w:b/>
                <w:bCs/>
                <w:color w:val="000000"/>
                <w:sz w:val="18"/>
                <w:szCs w:val="18"/>
                <w:lang w:val="en-US"/>
              </w:rPr>
              <w:t>2</w:t>
            </w:r>
          </w:p>
        </w:tc>
        <w:tc>
          <w:tcPr>
            <w:tcW w:w="728" w:type="dxa"/>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2008</w:t>
            </w:r>
          </w:p>
        </w:tc>
        <w:tc>
          <w:tcPr>
            <w:tcW w:w="728" w:type="dxa"/>
            <w:gridSpan w:val="3"/>
            <w:shd w:val="clear" w:color="auto" w:fill="D3DFEE"/>
            <w:vAlign w:val="center"/>
          </w:tcPr>
          <w:p w:rsidR="00BE6140" w:rsidRPr="00CB6CE9" w:rsidRDefault="00BE6140" w:rsidP="00951945">
            <w:pPr>
              <w:pStyle w:val="2"/>
              <w:rPr>
                <w:rFonts w:ascii="Century Gothic" w:hAnsi="Century Gothic"/>
                <w:i w:val="0"/>
                <w:iCs w:val="0"/>
                <w:color w:val="000000"/>
                <w:lang w:val="en-GB"/>
              </w:rPr>
            </w:pPr>
            <w:r w:rsidRPr="00CB6CE9">
              <w:rPr>
                <w:rFonts w:ascii="Century Gothic" w:hAnsi="Century Gothic"/>
                <w:i w:val="0"/>
                <w:iCs w:val="0"/>
                <w:color w:val="000000"/>
                <w:lang w:val="en-GB"/>
              </w:rPr>
              <w:t>2009</w:t>
            </w:r>
          </w:p>
        </w:tc>
        <w:tc>
          <w:tcPr>
            <w:tcW w:w="728"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2010</w:t>
            </w:r>
          </w:p>
        </w:tc>
        <w:tc>
          <w:tcPr>
            <w:tcW w:w="728"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2011</w:t>
            </w:r>
          </w:p>
        </w:tc>
        <w:tc>
          <w:tcPr>
            <w:tcW w:w="844" w:type="dxa"/>
            <w:gridSpan w:val="2"/>
            <w:shd w:val="clear" w:color="auto" w:fill="DBE5F1"/>
            <w:vAlign w:val="center"/>
          </w:tcPr>
          <w:p w:rsidR="00BE6140" w:rsidRPr="00CB6CE9" w:rsidRDefault="00BE6140" w:rsidP="00951945">
            <w:pPr>
              <w:pStyle w:val="2"/>
              <w:rPr>
                <w:rFonts w:ascii="Century Gothic" w:hAnsi="Century Gothic"/>
                <w:i w:val="0"/>
                <w:iCs w:val="0"/>
                <w:color w:val="000000"/>
                <w:lang w:val="en-US"/>
              </w:rPr>
            </w:pPr>
            <w:r w:rsidRPr="00CB6CE9">
              <w:rPr>
                <w:rFonts w:ascii="Century Gothic" w:hAnsi="Century Gothic"/>
                <w:i w:val="0"/>
                <w:iCs w:val="0"/>
                <w:color w:val="000000"/>
                <w:lang w:val="en-US"/>
              </w:rPr>
              <w:t>2012</w:t>
            </w:r>
          </w:p>
        </w:tc>
      </w:tr>
      <w:tr w:rsidR="00BE6140" w:rsidRPr="00CB6CE9" w:rsidTr="00C25B17">
        <w:trPr>
          <w:trHeight w:val="488"/>
          <w:jc w:val="center"/>
        </w:trPr>
        <w:tc>
          <w:tcPr>
            <w:tcW w:w="1961" w:type="dxa"/>
            <w:gridSpan w:val="3"/>
            <w:vMerge/>
            <w:shd w:val="clear" w:color="auto" w:fill="EDF2F8"/>
            <w:vAlign w:val="center"/>
          </w:tcPr>
          <w:p w:rsidR="00BE6140" w:rsidRPr="00EC36FD" w:rsidRDefault="00BE6140" w:rsidP="00951945">
            <w:pPr>
              <w:pStyle w:val="1"/>
              <w:jc w:val="center"/>
              <w:rPr>
                <w:rFonts w:ascii="Century Gothic" w:hAnsi="Century Gothic"/>
                <w:b w:val="0"/>
                <w:bCs w:val="0"/>
                <w:color w:val="000000"/>
                <w:sz w:val="18"/>
                <w:szCs w:val="18"/>
              </w:rPr>
            </w:pPr>
          </w:p>
        </w:tc>
        <w:tc>
          <w:tcPr>
            <w:tcW w:w="914" w:type="dxa"/>
            <w:gridSpan w:val="2"/>
            <w:shd w:val="clear" w:color="auto" w:fill="D3DFEE"/>
            <w:vAlign w:val="center"/>
          </w:tcPr>
          <w:p w:rsidR="00BE6140" w:rsidRDefault="00BE6140" w:rsidP="00C25B17">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50,8</w:t>
            </w:r>
          </w:p>
          <w:p w:rsidR="00BE6140" w:rsidRPr="00CB6CE9" w:rsidRDefault="00BE6140" w:rsidP="00C25B17">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ούλ-10</w:t>
            </w:r>
          </w:p>
        </w:tc>
        <w:tc>
          <w:tcPr>
            <w:tcW w:w="900" w:type="dxa"/>
            <w:gridSpan w:val="2"/>
            <w:shd w:val="clear" w:color="auto" w:fill="EDF2F8"/>
            <w:vAlign w:val="center"/>
          </w:tcPr>
          <w:p w:rsidR="00BE6140"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124,3</w:t>
            </w:r>
            <w:r w:rsidRPr="00CB6CE9">
              <w:rPr>
                <w:rFonts w:ascii="Century Gothic" w:hAnsi="Century Gothic" w:cs="Times New Roman"/>
                <w:color w:val="000000"/>
                <w:sz w:val="18"/>
                <w:szCs w:val="18"/>
                <w:lang w:val="en-US"/>
              </w:rPr>
              <w:t xml:space="preserve"> </w:t>
            </w:r>
          </w:p>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Μαι-07</w:t>
            </w:r>
          </w:p>
        </w:tc>
        <w:tc>
          <w:tcPr>
            <w:tcW w:w="1207" w:type="dxa"/>
            <w:gridSpan w:val="2"/>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89,9</w:t>
            </w:r>
          </w:p>
        </w:tc>
        <w:tc>
          <w:tcPr>
            <w:tcW w:w="728" w:type="dxa"/>
            <w:shd w:val="clear" w:color="auto" w:fill="EDF2F8"/>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102,5</w:t>
            </w:r>
          </w:p>
        </w:tc>
        <w:tc>
          <w:tcPr>
            <w:tcW w:w="728" w:type="dxa"/>
            <w:gridSpan w:val="3"/>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80,4</w:t>
            </w:r>
          </w:p>
        </w:tc>
        <w:tc>
          <w:tcPr>
            <w:tcW w:w="728" w:type="dxa"/>
            <w:gridSpan w:val="2"/>
            <w:shd w:val="clear" w:color="auto" w:fill="EDF2F8"/>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59,2</w:t>
            </w:r>
          </w:p>
        </w:tc>
        <w:tc>
          <w:tcPr>
            <w:tcW w:w="728" w:type="dxa"/>
            <w:gridSpan w:val="2"/>
            <w:shd w:val="clear" w:color="auto" w:fill="D3DFEE"/>
            <w:vAlign w:val="center"/>
          </w:tcPr>
          <w:p w:rsidR="00BE6140" w:rsidRPr="00CB6CE9" w:rsidRDefault="00BE6140" w:rsidP="00951945">
            <w:pPr>
              <w:jc w:val="center"/>
              <w:rPr>
                <w:rFonts w:ascii="Century Gothic" w:hAnsi="Century Gothic" w:cs="Times New Roman"/>
                <w:bCs/>
                <w:color w:val="000000"/>
                <w:sz w:val="18"/>
                <w:szCs w:val="18"/>
              </w:rPr>
            </w:pPr>
            <w:r w:rsidRPr="00CB6CE9">
              <w:rPr>
                <w:rFonts w:ascii="Century Gothic" w:hAnsi="Century Gothic" w:cs="Times New Roman"/>
                <w:bCs/>
                <w:color w:val="000000"/>
                <w:sz w:val="18"/>
                <w:szCs w:val="18"/>
              </w:rPr>
              <w:t>58,9</w:t>
            </w:r>
          </w:p>
        </w:tc>
        <w:tc>
          <w:tcPr>
            <w:tcW w:w="844" w:type="dxa"/>
            <w:gridSpan w:val="2"/>
            <w:shd w:val="clear" w:color="auto" w:fill="EDF2F8"/>
            <w:vAlign w:val="center"/>
          </w:tcPr>
          <w:p w:rsidR="00BE6140" w:rsidRPr="00CB6CE9" w:rsidRDefault="00BE6140" w:rsidP="00951945">
            <w:pPr>
              <w:spacing w:line="288" w:lineRule="auto"/>
              <w:jc w:val="center"/>
              <w:rPr>
                <w:rFonts w:ascii="Century Gothic" w:hAnsi="Century Gothic" w:cs="Times New Roman"/>
                <w:bCs/>
                <w:color w:val="000000"/>
                <w:sz w:val="18"/>
                <w:szCs w:val="18"/>
              </w:rPr>
            </w:pPr>
            <w:r w:rsidRPr="00CB6CE9">
              <w:rPr>
                <w:rFonts w:ascii="Century Gothic" w:hAnsi="Century Gothic" w:cs="Times New Roman"/>
                <w:bCs/>
                <w:color w:val="000000"/>
                <w:sz w:val="18"/>
                <w:szCs w:val="18"/>
              </w:rPr>
              <w:t>57,1</w:t>
            </w:r>
          </w:p>
        </w:tc>
      </w:tr>
      <w:tr w:rsidR="00BE6140" w:rsidRPr="00CB6CE9" w:rsidTr="00C25B17">
        <w:trPr>
          <w:jc w:val="center"/>
        </w:trPr>
        <w:tc>
          <w:tcPr>
            <w:tcW w:w="8738" w:type="dxa"/>
            <w:gridSpan w:val="19"/>
            <w:shd w:val="clear" w:color="auto" w:fill="943634"/>
            <w:vAlign w:val="center"/>
          </w:tcPr>
          <w:p w:rsidR="00BE6140" w:rsidRPr="00CB6CE9" w:rsidRDefault="00BE6140" w:rsidP="00951945">
            <w:pPr>
              <w:pStyle w:val="7"/>
              <w:jc w:val="center"/>
              <w:rPr>
                <w:rFonts w:ascii="Century Gothic" w:hAnsi="Century Gothic"/>
                <w:color w:val="FFFFFF"/>
              </w:rPr>
            </w:pPr>
            <w:r w:rsidRPr="00CB6CE9">
              <w:rPr>
                <w:rFonts w:ascii="Century Gothic" w:hAnsi="Century Gothic"/>
                <w:color w:val="FFFFFF"/>
                <w:lang w:val="en-US"/>
              </w:rPr>
              <w:t>20</w:t>
            </w:r>
            <w:r w:rsidRPr="00CB6CE9">
              <w:rPr>
                <w:rFonts w:ascii="Century Gothic" w:hAnsi="Century Gothic"/>
                <w:color w:val="FFFFFF"/>
              </w:rPr>
              <w:t>12</w:t>
            </w:r>
          </w:p>
        </w:tc>
      </w:tr>
      <w:tr w:rsidR="00BE6140" w:rsidRPr="00CB6CE9" w:rsidTr="00C25B17">
        <w:trPr>
          <w:jc w:val="center"/>
        </w:trPr>
        <w:tc>
          <w:tcPr>
            <w:tcW w:w="768" w:type="dxa"/>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Ι</w:t>
            </w:r>
          </w:p>
        </w:tc>
        <w:tc>
          <w:tcPr>
            <w:tcW w:w="771" w:type="dxa"/>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Φ</w:t>
            </w:r>
          </w:p>
        </w:tc>
        <w:tc>
          <w:tcPr>
            <w:tcW w:w="904"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Μ</w:t>
            </w:r>
          </w:p>
        </w:tc>
        <w:tc>
          <w:tcPr>
            <w:tcW w:w="794"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Α</w:t>
            </w:r>
          </w:p>
        </w:tc>
        <w:tc>
          <w:tcPr>
            <w:tcW w:w="746"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Μ</w:t>
            </w:r>
          </w:p>
        </w:tc>
        <w:tc>
          <w:tcPr>
            <w:tcW w:w="999" w:type="dxa"/>
            <w:shd w:val="clear" w:color="auto" w:fill="D3DFEE"/>
            <w:vAlign w:val="center"/>
          </w:tcPr>
          <w:p w:rsidR="00BE6140" w:rsidRPr="00CB6CE9" w:rsidRDefault="00BE6140" w:rsidP="00951945">
            <w:pPr>
              <w:jc w:val="center"/>
              <w:rPr>
                <w:rFonts w:ascii="Century Gothic" w:hAnsi="Century Gothic" w:cs="Times New Roman"/>
                <w:b/>
                <w:bCs/>
                <w:color w:val="000000"/>
                <w:sz w:val="18"/>
                <w:szCs w:val="18"/>
              </w:rPr>
            </w:pPr>
            <w:r w:rsidRPr="00CB6CE9">
              <w:rPr>
                <w:rFonts w:ascii="Century Gothic" w:hAnsi="Century Gothic" w:cs="Times New Roman"/>
                <w:b/>
                <w:bCs/>
                <w:color w:val="000000"/>
                <w:sz w:val="18"/>
                <w:szCs w:val="18"/>
              </w:rPr>
              <w:t>Ι</w:t>
            </w:r>
          </w:p>
        </w:tc>
        <w:tc>
          <w:tcPr>
            <w:tcW w:w="773"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Ι</w:t>
            </w:r>
          </w:p>
        </w:tc>
        <w:tc>
          <w:tcPr>
            <w:tcW w:w="605" w:type="dxa"/>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Α</w:t>
            </w:r>
          </w:p>
        </w:tc>
        <w:tc>
          <w:tcPr>
            <w:tcW w:w="567"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Σ</w:t>
            </w:r>
          </w:p>
        </w:tc>
        <w:tc>
          <w:tcPr>
            <w:tcW w:w="567"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Ο</w:t>
            </w:r>
          </w:p>
        </w:tc>
        <w:tc>
          <w:tcPr>
            <w:tcW w:w="567"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Ν</w:t>
            </w:r>
          </w:p>
        </w:tc>
        <w:tc>
          <w:tcPr>
            <w:tcW w:w="677" w:type="dxa"/>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Δ</w:t>
            </w:r>
          </w:p>
        </w:tc>
      </w:tr>
      <w:tr w:rsidR="00BE6140" w:rsidRPr="00CB6CE9" w:rsidTr="00C25B17">
        <w:trPr>
          <w:trHeight w:val="77"/>
          <w:jc w:val="center"/>
        </w:trPr>
        <w:tc>
          <w:tcPr>
            <w:tcW w:w="768" w:type="dxa"/>
            <w:shd w:val="clear" w:color="auto" w:fill="DBE5F1"/>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56,0</w:t>
            </w:r>
          </w:p>
        </w:tc>
        <w:tc>
          <w:tcPr>
            <w:tcW w:w="771" w:type="dxa"/>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52,7</w:t>
            </w:r>
          </w:p>
        </w:tc>
        <w:tc>
          <w:tcPr>
            <w:tcW w:w="904" w:type="dxa"/>
            <w:gridSpan w:val="2"/>
            <w:shd w:val="clear" w:color="auto" w:fill="DBE5F1"/>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51,9</w:t>
            </w:r>
          </w:p>
        </w:tc>
        <w:tc>
          <w:tcPr>
            <w:tcW w:w="794" w:type="dxa"/>
            <w:gridSpan w:val="2"/>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52,4</w:t>
            </w:r>
          </w:p>
        </w:tc>
        <w:tc>
          <w:tcPr>
            <w:tcW w:w="746" w:type="dxa"/>
            <w:gridSpan w:val="2"/>
            <w:shd w:val="clear" w:color="auto" w:fill="DBE5F1"/>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58,2</w:t>
            </w:r>
          </w:p>
        </w:tc>
        <w:tc>
          <w:tcPr>
            <w:tcW w:w="999" w:type="dxa"/>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58,2</w:t>
            </w:r>
          </w:p>
        </w:tc>
        <w:tc>
          <w:tcPr>
            <w:tcW w:w="773" w:type="dxa"/>
            <w:gridSpan w:val="2"/>
            <w:shd w:val="clear" w:color="auto" w:fill="DBE5F1"/>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62.7</w:t>
            </w:r>
          </w:p>
        </w:tc>
        <w:tc>
          <w:tcPr>
            <w:tcW w:w="605" w:type="dxa"/>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67,5</w:t>
            </w:r>
          </w:p>
        </w:tc>
        <w:tc>
          <w:tcPr>
            <w:tcW w:w="567" w:type="dxa"/>
            <w:gridSpan w:val="2"/>
            <w:shd w:val="clear" w:color="auto" w:fill="DBE5F1"/>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58,4</w:t>
            </w:r>
          </w:p>
        </w:tc>
        <w:tc>
          <w:tcPr>
            <w:tcW w:w="567" w:type="dxa"/>
            <w:gridSpan w:val="2"/>
            <w:shd w:val="clear" w:color="auto" w:fill="D3DFEE"/>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51,1</w:t>
            </w:r>
          </w:p>
        </w:tc>
        <w:tc>
          <w:tcPr>
            <w:tcW w:w="567" w:type="dxa"/>
            <w:gridSpan w:val="2"/>
            <w:shd w:val="clear" w:color="auto" w:fill="DBE5F1"/>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56,2</w:t>
            </w:r>
          </w:p>
        </w:tc>
        <w:tc>
          <w:tcPr>
            <w:tcW w:w="677" w:type="dxa"/>
            <w:shd w:val="clear" w:color="auto" w:fill="DBE5F1"/>
            <w:vAlign w:val="center"/>
          </w:tcPr>
          <w:p w:rsidR="00BE6140" w:rsidRPr="00CB6CE9" w:rsidRDefault="00BE6140" w:rsidP="00951945">
            <w:pPr>
              <w:jc w:val="center"/>
              <w:rPr>
                <w:rFonts w:ascii="Century Gothic" w:hAnsi="Century Gothic" w:cs="Times New Roman"/>
                <w:color w:val="000000"/>
                <w:sz w:val="18"/>
                <w:szCs w:val="18"/>
              </w:rPr>
            </w:pPr>
            <w:r w:rsidRPr="00CB6CE9">
              <w:rPr>
                <w:rFonts w:ascii="Century Gothic" w:hAnsi="Century Gothic" w:cs="Times New Roman"/>
                <w:color w:val="000000"/>
                <w:sz w:val="18"/>
                <w:szCs w:val="18"/>
              </w:rPr>
              <w:t>59,4</w:t>
            </w:r>
          </w:p>
        </w:tc>
      </w:tr>
      <w:tr w:rsidR="00BE6140" w:rsidRPr="00CB6CE9" w:rsidTr="00C25B17">
        <w:trPr>
          <w:trHeight w:val="77"/>
          <w:jc w:val="center"/>
        </w:trPr>
        <w:tc>
          <w:tcPr>
            <w:tcW w:w="8738" w:type="dxa"/>
            <w:gridSpan w:val="19"/>
            <w:shd w:val="clear" w:color="auto" w:fill="943634"/>
            <w:vAlign w:val="center"/>
          </w:tcPr>
          <w:p w:rsidR="00BE6140" w:rsidRPr="00CB6CE9" w:rsidRDefault="00BE6140" w:rsidP="00951945">
            <w:pPr>
              <w:pStyle w:val="7"/>
              <w:jc w:val="center"/>
              <w:rPr>
                <w:rFonts w:ascii="Century Gothic" w:hAnsi="Century Gothic"/>
                <w:color w:val="FFFFFF"/>
              </w:rPr>
            </w:pPr>
            <w:r w:rsidRPr="00CB6CE9">
              <w:rPr>
                <w:rFonts w:ascii="Century Gothic" w:hAnsi="Century Gothic"/>
                <w:color w:val="FFFFFF"/>
              </w:rPr>
              <w:t>2013</w:t>
            </w:r>
          </w:p>
        </w:tc>
      </w:tr>
      <w:tr w:rsidR="00BE6140" w:rsidRPr="00CB6CE9" w:rsidTr="00C25B17">
        <w:trPr>
          <w:trHeight w:val="77"/>
          <w:jc w:val="center"/>
        </w:trPr>
        <w:tc>
          <w:tcPr>
            <w:tcW w:w="768" w:type="dxa"/>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Ι</w:t>
            </w:r>
          </w:p>
        </w:tc>
        <w:tc>
          <w:tcPr>
            <w:tcW w:w="771" w:type="dxa"/>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Φ</w:t>
            </w:r>
          </w:p>
        </w:tc>
        <w:tc>
          <w:tcPr>
            <w:tcW w:w="904"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Μ</w:t>
            </w:r>
          </w:p>
        </w:tc>
        <w:tc>
          <w:tcPr>
            <w:tcW w:w="794"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Α</w:t>
            </w:r>
          </w:p>
        </w:tc>
        <w:tc>
          <w:tcPr>
            <w:tcW w:w="746"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Μ</w:t>
            </w:r>
          </w:p>
        </w:tc>
        <w:tc>
          <w:tcPr>
            <w:tcW w:w="999" w:type="dxa"/>
            <w:shd w:val="clear" w:color="auto" w:fill="D3DFEE"/>
            <w:vAlign w:val="center"/>
          </w:tcPr>
          <w:p w:rsidR="00BE6140" w:rsidRPr="00CB6CE9" w:rsidRDefault="00BE6140" w:rsidP="00951945">
            <w:pPr>
              <w:jc w:val="center"/>
              <w:rPr>
                <w:rFonts w:ascii="Century Gothic" w:hAnsi="Century Gothic" w:cs="Times New Roman"/>
                <w:b/>
                <w:bCs/>
                <w:color w:val="000000"/>
                <w:sz w:val="18"/>
                <w:szCs w:val="18"/>
              </w:rPr>
            </w:pPr>
            <w:r w:rsidRPr="00CB6CE9">
              <w:rPr>
                <w:rFonts w:ascii="Century Gothic" w:hAnsi="Century Gothic" w:cs="Times New Roman"/>
                <w:b/>
                <w:bCs/>
                <w:color w:val="000000"/>
                <w:sz w:val="18"/>
                <w:szCs w:val="18"/>
              </w:rPr>
              <w:t>Ι</w:t>
            </w:r>
          </w:p>
        </w:tc>
        <w:tc>
          <w:tcPr>
            <w:tcW w:w="773"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Ι</w:t>
            </w:r>
          </w:p>
        </w:tc>
        <w:tc>
          <w:tcPr>
            <w:tcW w:w="605" w:type="dxa"/>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Α</w:t>
            </w:r>
          </w:p>
        </w:tc>
        <w:tc>
          <w:tcPr>
            <w:tcW w:w="567"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Σ</w:t>
            </w:r>
          </w:p>
        </w:tc>
        <w:tc>
          <w:tcPr>
            <w:tcW w:w="567"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Ο</w:t>
            </w:r>
          </w:p>
        </w:tc>
        <w:tc>
          <w:tcPr>
            <w:tcW w:w="567"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Ν</w:t>
            </w:r>
          </w:p>
        </w:tc>
        <w:tc>
          <w:tcPr>
            <w:tcW w:w="677" w:type="dxa"/>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Δ</w:t>
            </w:r>
          </w:p>
        </w:tc>
      </w:tr>
      <w:tr w:rsidR="00BE6140" w:rsidRPr="00CB6CE9" w:rsidTr="00C25B17">
        <w:trPr>
          <w:trHeight w:val="77"/>
          <w:jc w:val="center"/>
        </w:trPr>
        <w:tc>
          <w:tcPr>
            <w:tcW w:w="768" w:type="dxa"/>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62,6</w:t>
            </w:r>
          </w:p>
        </w:tc>
        <w:tc>
          <w:tcPr>
            <w:tcW w:w="771" w:type="dxa"/>
            <w:tcBorders>
              <w:bottom w:val="single" w:sz="4" w:space="0" w:color="943634"/>
            </w:tcBorders>
            <w:shd w:val="clear" w:color="auto" w:fill="D3DFEE"/>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60,3</w:t>
            </w:r>
          </w:p>
        </w:tc>
        <w:tc>
          <w:tcPr>
            <w:tcW w:w="904"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64,2</w:t>
            </w:r>
          </w:p>
        </w:tc>
        <w:tc>
          <w:tcPr>
            <w:tcW w:w="794" w:type="dxa"/>
            <w:gridSpan w:val="2"/>
            <w:tcBorders>
              <w:bottom w:val="single" w:sz="4" w:space="0" w:color="943634"/>
            </w:tcBorders>
            <w:shd w:val="clear" w:color="auto" w:fill="D3DFEE"/>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65,4</w:t>
            </w:r>
          </w:p>
        </w:tc>
        <w:tc>
          <w:tcPr>
            <w:tcW w:w="746"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79,5</w:t>
            </w:r>
          </w:p>
        </w:tc>
        <w:tc>
          <w:tcPr>
            <w:tcW w:w="999" w:type="dxa"/>
            <w:tcBorders>
              <w:bottom w:val="single" w:sz="4" w:space="0" w:color="943634"/>
            </w:tcBorders>
            <w:shd w:val="clear" w:color="auto" w:fill="D3DFEE"/>
            <w:vAlign w:val="center"/>
          </w:tcPr>
          <w:p w:rsidR="00BE6140" w:rsidRPr="00CB6CE9" w:rsidRDefault="00BE6140" w:rsidP="00951945">
            <w:pPr>
              <w:jc w:val="center"/>
              <w:rPr>
                <w:rFonts w:ascii="Century Gothic" w:hAnsi="Century Gothic" w:cs="Times New Roman"/>
                <w:bCs/>
                <w:color w:val="000000"/>
                <w:sz w:val="18"/>
                <w:szCs w:val="18"/>
              </w:rPr>
            </w:pPr>
            <w:r>
              <w:rPr>
                <w:rFonts w:ascii="Century Gothic" w:hAnsi="Century Gothic" w:cs="Times New Roman"/>
                <w:bCs/>
                <w:color w:val="000000"/>
                <w:sz w:val="18"/>
                <w:szCs w:val="18"/>
              </w:rPr>
              <w:t>73,9</w:t>
            </w:r>
          </w:p>
        </w:tc>
        <w:tc>
          <w:tcPr>
            <w:tcW w:w="773"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Pr>
                <w:rFonts w:ascii="Century Gothic" w:hAnsi="Century Gothic"/>
                <w:b w:val="0"/>
                <w:i w:val="0"/>
                <w:iCs w:val="0"/>
                <w:color w:val="000000"/>
              </w:rPr>
              <w:t>72,4</w:t>
            </w:r>
          </w:p>
        </w:tc>
        <w:tc>
          <w:tcPr>
            <w:tcW w:w="605" w:type="dxa"/>
            <w:tcBorders>
              <w:bottom w:val="single" w:sz="4" w:space="0" w:color="943634"/>
            </w:tcBorders>
            <w:shd w:val="clear" w:color="auto" w:fill="D3DFEE"/>
            <w:vAlign w:val="center"/>
          </w:tcPr>
          <w:p w:rsidR="00BE6140" w:rsidRPr="00CB6CE9" w:rsidRDefault="00BE6140" w:rsidP="00951945">
            <w:pPr>
              <w:pStyle w:val="2"/>
              <w:rPr>
                <w:rFonts w:ascii="Century Gothic" w:hAnsi="Century Gothic"/>
                <w:b w:val="0"/>
                <w:i w:val="0"/>
                <w:iCs w:val="0"/>
                <w:color w:val="000000"/>
              </w:rPr>
            </w:pPr>
            <w:r>
              <w:rPr>
                <w:rFonts w:ascii="Century Gothic" w:hAnsi="Century Gothic"/>
                <w:b w:val="0"/>
                <w:i w:val="0"/>
                <w:iCs w:val="0"/>
                <w:color w:val="000000"/>
              </w:rPr>
              <w:t>72,9</w:t>
            </w:r>
          </w:p>
        </w:tc>
        <w:tc>
          <w:tcPr>
            <w:tcW w:w="567"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Pr>
                <w:rFonts w:ascii="Century Gothic" w:hAnsi="Century Gothic"/>
                <w:b w:val="0"/>
                <w:i w:val="0"/>
                <w:iCs w:val="0"/>
                <w:color w:val="000000"/>
              </w:rPr>
              <w:t>69,4</w:t>
            </w:r>
          </w:p>
        </w:tc>
        <w:tc>
          <w:tcPr>
            <w:tcW w:w="567" w:type="dxa"/>
            <w:gridSpan w:val="2"/>
            <w:tcBorders>
              <w:bottom w:val="single" w:sz="4" w:space="0" w:color="943634"/>
            </w:tcBorders>
            <w:shd w:val="clear" w:color="auto" w:fill="D3DFEE"/>
            <w:vAlign w:val="center"/>
          </w:tcPr>
          <w:p w:rsidR="00BE6140" w:rsidRPr="00CB6CE9" w:rsidRDefault="00BE6140" w:rsidP="00951945">
            <w:pPr>
              <w:pStyle w:val="2"/>
              <w:rPr>
                <w:rFonts w:ascii="Century Gothic" w:hAnsi="Century Gothic"/>
                <w:b w:val="0"/>
                <w:i w:val="0"/>
                <w:iCs w:val="0"/>
                <w:color w:val="000000"/>
              </w:rPr>
            </w:pPr>
          </w:p>
        </w:tc>
        <w:tc>
          <w:tcPr>
            <w:tcW w:w="567"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p>
        </w:tc>
        <w:tc>
          <w:tcPr>
            <w:tcW w:w="677" w:type="dxa"/>
            <w:tcBorders>
              <w:bottom w:val="single" w:sz="4" w:space="0" w:color="943634"/>
            </w:tcBorders>
            <w:shd w:val="clear" w:color="auto" w:fill="DBE5F1"/>
            <w:vAlign w:val="center"/>
          </w:tcPr>
          <w:p w:rsidR="00BE6140" w:rsidRPr="00CB6CE9" w:rsidRDefault="00BE6140" w:rsidP="00951945">
            <w:pPr>
              <w:pStyle w:val="2"/>
              <w:rPr>
                <w:rFonts w:ascii="Century Gothic" w:hAnsi="Century Gothic"/>
                <w:b w:val="0"/>
                <w:i w:val="0"/>
                <w:iCs w:val="0"/>
                <w:color w:val="000000"/>
              </w:rPr>
            </w:pPr>
          </w:p>
        </w:tc>
      </w:tr>
    </w:tbl>
    <w:p w:rsidR="00BE6140" w:rsidRPr="00CB6CE9" w:rsidRDefault="00BE6140" w:rsidP="00E00BE9">
      <w:pPr>
        <w:jc w:val="both"/>
        <w:rPr>
          <w:rFonts w:ascii="Century Gothic" w:hAnsi="Century Gothic" w:cs="Times New Roman"/>
          <w:sz w:val="18"/>
          <w:szCs w:val="18"/>
        </w:rPr>
      </w:pPr>
      <w:r w:rsidRPr="00CB6CE9">
        <w:rPr>
          <w:rFonts w:ascii="Century Gothic" w:hAnsi="Century Gothic" w:cs="Times New Roman"/>
          <w:b/>
          <w:bCs/>
          <w:sz w:val="18"/>
          <w:szCs w:val="18"/>
        </w:rPr>
        <w:t>Σημείωση:</w:t>
      </w:r>
      <w:r w:rsidRPr="00CB6CE9">
        <w:rPr>
          <w:rFonts w:ascii="Century Gothic" w:hAnsi="Century Gothic" w:cs="Times New Roman"/>
          <w:sz w:val="18"/>
          <w:szCs w:val="18"/>
        </w:rPr>
        <w:t xml:space="preserve"> Ο δείκτης επιχειρηματικών προσδοκιών υπολογίζεται με βάση τις εκτιμήσεις και τις προβλέψεις για τις πωλήσεις και τις εκτιμήσεις για το ύψος των αποθεμάτων. </w:t>
      </w:r>
    </w:p>
    <w:p w:rsidR="00BE6140" w:rsidRPr="00CB6CE9" w:rsidRDefault="00BE6140" w:rsidP="00E00BE9">
      <w:pPr>
        <w:tabs>
          <w:tab w:val="left" w:pos="426"/>
        </w:tabs>
        <w:jc w:val="both"/>
        <w:outlineLvl w:val="0"/>
        <w:rPr>
          <w:rFonts w:ascii="Century Gothic" w:hAnsi="Century Gothic" w:cs="Times New Roman"/>
          <w:sz w:val="18"/>
          <w:szCs w:val="18"/>
        </w:rPr>
      </w:pPr>
      <w:r w:rsidRPr="00CB6CE9">
        <w:rPr>
          <w:rFonts w:ascii="Century Gothic" w:hAnsi="Century Gothic" w:cs="Times New Roman"/>
          <w:b/>
          <w:bCs/>
          <w:sz w:val="18"/>
          <w:szCs w:val="18"/>
        </w:rPr>
        <w:t>Πηγή:</w:t>
      </w:r>
      <w:r w:rsidRPr="00CB6CE9">
        <w:rPr>
          <w:rFonts w:ascii="Century Gothic" w:hAnsi="Century Gothic" w:cs="Times New Roman"/>
          <w:sz w:val="18"/>
          <w:szCs w:val="18"/>
        </w:rPr>
        <w:t xml:space="preserve"> ΙΟΒΕ</w:t>
      </w:r>
    </w:p>
    <w:p w:rsidR="00BE6140" w:rsidRPr="00CB6CE9" w:rsidRDefault="00BE6140" w:rsidP="00E00BE9">
      <w:pPr>
        <w:tabs>
          <w:tab w:val="left" w:pos="426"/>
        </w:tabs>
        <w:jc w:val="both"/>
        <w:rPr>
          <w:rFonts w:ascii="Century Gothic" w:hAnsi="Century Gothic" w:cs="Times New Roman"/>
          <w:sz w:val="18"/>
          <w:szCs w:val="18"/>
        </w:rPr>
      </w:pPr>
    </w:p>
    <w:p w:rsidR="00BE6140" w:rsidRPr="00E00BE9" w:rsidRDefault="00BE6140" w:rsidP="005D3AB7">
      <w:pPr>
        <w:ind w:left="-284" w:right="-428"/>
        <w:jc w:val="center"/>
        <w:outlineLvl w:val="0"/>
        <w:rPr>
          <w:rFonts w:ascii="Century Gothic" w:hAnsi="Century Gothic" w:cs="Times New Roman"/>
          <w:sz w:val="18"/>
          <w:szCs w:val="18"/>
        </w:rPr>
      </w:pPr>
      <w:r w:rsidRPr="00E00BE9">
        <w:rPr>
          <w:rFonts w:ascii="Century Gothic" w:hAnsi="Century Gothic" w:cs="Times New Roman"/>
          <w:b/>
          <w:bCs/>
          <w:sz w:val="18"/>
          <w:szCs w:val="18"/>
        </w:rPr>
        <w:t xml:space="preserve">Διάγραμμα 4: </w:t>
      </w:r>
      <w:r w:rsidRPr="00E00BE9">
        <w:rPr>
          <w:rFonts w:ascii="Century Gothic" w:hAnsi="Century Gothic" w:cs="Times New Roman"/>
          <w:sz w:val="18"/>
          <w:szCs w:val="18"/>
        </w:rPr>
        <w:t xml:space="preserve">Δείκτης Επιχειρηματικών Προσδοκιών στο Λιανικό Εμπόριο </w:t>
      </w:r>
    </w:p>
    <w:p w:rsidR="00BE6140" w:rsidRDefault="00BE6140" w:rsidP="00E00BE9">
      <w:pPr>
        <w:ind w:left="-284" w:right="-428"/>
        <w:jc w:val="center"/>
        <w:rPr>
          <w:rFonts w:ascii="Century Gothic" w:hAnsi="Century Gothic" w:cs="Times New Roman"/>
          <w:sz w:val="18"/>
          <w:szCs w:val="18"/>
        </w:rPr>
      </w:pPr>
      <w:r w:rsidRPr="00E00BE9">
        <w:rPr>
          <w:rFonts w:ascii="Century Gothic" w:hAnsi="Century Gothic" w:cs="Times New Roman"/>
          <w:sz w:val="18"/>
          <w:szCs w:val="18"/>
        </w:rPr>
        <w:t>(1996-2006=100)</w:t>
      </w:r>
    </w:p>
    <w:p w:rsidR="00BE6140" w:rsidRPr="00CB6CE9" w:rsidRDefault="005C53FF" w:rsidP="00E00BE9">
      <w:pPr>
        <w:ind w:left="-284" w:right="-428"/>
        <w:jc w:val="center"/>
        <w:rPr>
          <w:rFonts w:ascii="Century Gothic" w:hAnsi="Century Gothic" w:cs="Times New Roman"/>
          <w:noProof/>
          <w:sz w:val="18"/>
          <w:szCs w:val="18"/>
        </w:rPr>
      </w:pPr>
      <w:r>
        <w:rPr>
          <w:noProof/>
          <w:szCs w:val="18"/>
        </w:rPr>
        <w:drawing>
          <wp:inline distT="0" distB="0" distL="0" distR="0">
            <wp:extent cx="5295265" cy="2917825"/>
            <wp:effectExtent l="19050" t="0" r="635" b="0"/>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5295265" cy="2917825"/>
                    </a:xfrm>
                    <a:prstGeom prst="rect">
                      <a:avLst/>
                    </a:prstGeom>
                    <a:noFill/>
                    <a:ln w="9525">
                      <a:noFill/>
                      <a:miter lim="800000"/>
                      <a:headEnd/>
                      <a:tailEnd/>
                    </a:ln>
                  </pic:spPr>
                </pic:pic>
              </a:graphicData>
            </a:graphic>
          </wp:inline>
        </w:drawing>
      </w:r>
    </w:p>
    <w:p w:rsidR="00BE6140" w:rsidRDefault="00BE6140" w:rsidP="00E00BE9">
      <w:pPr>
        <w:tabs>
          <w:tab w:val="left" w:pos="284"/>
        </w:tabs>
        <w:jc w:val="both"/>
        <w:outlineLvl w:val="0"/>
        <w:rPr>
          <w:rFonts w:ascii="Century Gothic" w:hAnsi="Century Gothic" w:cs="Times New Roman"/>
          <w:sz w:val="18"/>
          <w:szCs w:val="18"/>
        </w:rPr>
      </w:pPr>
      <w:r w:rsidRPr="00CB6CE9">
        <w:rPr>
          <w:rFonts w:ascii="Century Gothic" w:hAnsi="Century Gothic" w:cs="Times New Roman"/>
          <w:b/>
          <w:bCs/>
          <w:sz w:val="18"/>
          <w:szCs w:val="18"/>
        </w:rPr>
        <w:t>Πηγή:</w:t>
      </w:r>
      <w:r w:rsidRPr="00CB6CE9">
        <w:rPr>
          <w:rFonts w:ascii="Century Gothic" w:hAnsi="Century Gothic" w:cs="Times New Roman"/>
          <w:sz w:val="18"/>
          <w:szCs w:val="18"/>
        </w:rPr>
        <w:t xml:space="preserve"> </w:t>
      </w:r>
      <w:r w:rsidRPr="00CB6CE9">
        <w:rPr>
          <w:rFonts w:ascii="Century Gothic" w:hAnsi="Century Gothic" w:cs="Times New Roman"/>
          <w:sz w:val="18"/>
          <w:szCs w:val="18"/>
          <w:lang w:val="en-US"/>
        </w:rPr>
        <w:t>IOBE</w:t>
      </w:r>
    </w:p>
    <w:p w:rsidR="00BE6140" w:rsidRDefault="00BE6140" w:rsidP="00E00BE9"/>
    <w:p w:rsidR="00BE6140" w:rsidRDefault="00BE6140" w:rsidP="00E00BE9"/>
    <w:p w:rsidR="00BE6140" w:rsidRPr="00CB6CE9" w:rsidRDefault="00BE6140" w:rsidP="00A067D8">
      <w:pPr>
        <w:shd w:val="clear" w:color="auto" w:fill="DBE5F1"/>
        <w:spacing w:before="100" w:beforeAutospacing="1" w:after="100" w:afterAutospacing="1" w:line="288" w:lineRule="auto"/>
        <w:ind w:right="-142"/>
        <w:jc w:val="both"/>
        <w:outlineLvl w:val="0"/>
        <w:rPr>
          <w:rFonts w:ascii="Century Gothic" w:hAnsi="Century Gothic" w:cs="Times New Roman"/>
          <w:b/>
          <w:bCs/>
          <w:sz w:val="22"/>
          <w:szCs w:val="22"/>
        </w:rPr>
      </w:pPr>
      <w:r w:rsidRPr="00CB6CE9">
        <w:rPr>
          <w:rFonts w:ascii="Century Gothic" w:hAnsi="Century Gothic" w:cs="Times New Roman"/>
          <w:b/>
          <w:bCs/>
          <w:sz w:val="22"/>
          <w:szCs w:val="22"/>
          <w:u w:val="single"/>
        </w:rPr>
        <w:lastRenderedPageBreak/>
        <w:t>ΥΠΗΡΕΣΙΕΣ:</w:t>
      </w:r>
      <w:r>
        <w:rPr>
          <w:rFonts w:ascii="Century Gothic" w:hAnsi="Century Gothic" w:cs="Times New Roman"/>
          <w:b/>
          <w:bCs/>
          <w:sz w:val="22"/>
          <w:szCs w:val="22"/>
        </w:rPr>
        <w:t xml:space="preserve"> Αμετάβλητες οι επιχειρηματικές προσδοκίες, οριακά αρνητικές οι εκτιμήσεις για τη ζήτηση </w:t>
      </w:r>
    </w:p>
    <w:p w:rsidR="00BE6140" w:rsidRPr="00CB6CE9" w:rsidRDefault="00BE6140" w:rsidP="00A067D8">
      <w:pPr>
        <w:spacing w:before="100" w:beforeAutospacing="1" w:after="100" w:afterAutospacing="1" w:line="276" w:lineRule="auto"/>
        <w:jc w:val="both"/>
        <w:rPr>
          <w:rFonts w:ascii="Century Gothic" w:hAnsi="Century Gothic" w:cs="Times New Roman"/>
          <w:sz w:val="20"/>
          <w:szCs w:val="20"/>
        </w:rPr>
      </w:pPr>
      <w:r w:rsidRPr="00CB6CE9">
        <w:rPr>
          <w:rFonts w:ascii="Century Gothic" w:hAnsi="Century Gothic" w:cs="Times New Roman"/>
          <w:sz w:val="20"/>
          <w:szCs w:val="20"/>
        </w:rPr>
        <w:t xml:space="preserve">Ο Δείκτης Επιχειρηματικών Προσδοκιών στις </w:t>
      </w:r>
      <w:r w:rsidRPr="00CB6CE9">
        <w:rPr>
          <w:rFonts w:ascii="Century Gothic" w:hAnsi="Century Gothic" w:cs="Times New Roman"/>
          <w:b/>
          <w:bCs/>
          <w:sz w:val="20"/>
          <w:szCs w:val="20"/>
        </w:rPr>
        <w:t>Υπηρεσίες</w:t>
      </w:r>
      <w:r w:rsidRPr="00CB6CE9">
        <w:rPr>
          <w:rFonts w:ascii="Century Gothic" w:hAnsi="Century Gothic" w:cs="Times New Roman"/>
          <w:sz w:val="20"/>
          <w:szCs w:val="20"/>
        </w:rPr>
        <w:t xml:space="preserve"> </w:t>
      </w:r>
      <w:r>
        <w:rPr>
          <w:rFonts w:ascii="Century Gothic" w:hAnsi="Century Gothic" w:cs="Times New Roman"/>
          <w:sz w:val="20"/>
          <w:szCs w:val="20"/>
        </w:rPr>
        <w:t>δεν μεταβάλλεται σε σχέση με τον Ιούλιο, παραμένοντας στις 75,9 μονάδες, σε υψηλότερα επίπεδα έναντι της αντίστοιχης περσινής επίδοσης (59,9 μον.)</w:t>
      </w:r>
      <w:r w:rsidRPr="00CD0F84">
        <w:rPr>
          <w:rFonts w:ascii="Century Gothic" w:hAnsi="Century Gothic" w:cs="Times New Roman"/>
          <w:sz w:val="20"/>
          <w:szCs w:val="20"/>
        </w:rPr>
        <w:t xml:space="preserve">. </w:t>
      </w:r>
      <w:r>
        <w:rPr>
          <w:rFonts w:ascii="Century Gothic" w:hAnsi="Century Gothic" w:cs="Times New Roman"/>
          <w:b/>
          <w:bCs/>
          <w:sz w:val="20"/>
          <w:szCs w:val="20"/>
        </w:rPr>
        <w:t>Από τα επιμέρους στοιχεία</w:t>
      </w:r>
      <w:r w:rsidRPr="00CD0F84">
        <w:rPr>
          <w:rFonts w:ascii="Century Gothic" w:hAnsi="Century Gothic" w:cs="Times New Roman"/>
          <w:b/>
          <w:bCs/>
          <w:sz w:val="20"/>
          <w:szCs w:val="20"/>
        </w:rPr>
        <w:t xml:space="preserve"> του δείκτη</w:t>
      </w:r>
      <w:r>
        <w:rPr>
          <w:rFonts w:ascii="Century Gothic" w:hAnsi="Century Gothic" w:cs="Times New Roman"/>
          <w:b/>
          <w:bCs/>
          <w:sz w:val="20"/>
          <w:szCs w:val="20"/>
        </w:rPr>
        <w:t>,</w:t>
      </w:r>
      <w:r w:rsidRPr="00CD0F84">
        <w:rPr>
          <w:rFonts w:ascii="Century Gothic" w:hAnsi="Century Gothic" w:cs="Times New Roman"/>
          <w:b/>
          <w:bCs/>
          <w:sz w:val="20"/>
          <w:szCs w:val="20"/>
        </w:rPr>
        <w:t xml:space="preserve"> </w:t>
      </w:r>
      <w:r>
        <w:rPr>
          <w:rFonts w:ascii="Century Gothic" w:hAnsi="Century Gothic" w:cs="Times New Roman"/>
          <w:b/>
          <w:bCs/>
          <w:sz w:val="20"/>
          <w:szCs w:val="20"/>
        </w:rPr>
        <w:t>οι</w:t>
      </w:r>
      <w:r w:rsidRPr="00CB6CE9">
        <w:rPr>
          <w:rFonts w:ascii="Century Gothic" w:hAnsi="Century Gothic" w:cs="Times New Roman"/>
          <w:b/>
          <w:bCs/>
          <w:sz w:val="20"/>
          <w:szCs w:val="20"/>
        </w:rPr>
        <w:t xml:space="preserve"> προβλέψεις για τη ζήτηση του τομέα </w:t>
      </w:r>
      <w:r>
        <w:rPr>
          <w:rFonts w:ascii="Century Gothic" w:hAnsi="Century Gothic" w:cs="Times New Roman"/>
          <w:b/>
          <w:bCs/>
          <w:sz w:val="20"/>
          <w:szCs w:val="20"/>
        </w:rPr>
        <w:t xml:space="preserve">παραμένουν σταθερές, ενώ και στα υπόλοιπα στοιχεία καταγράφονται ήπιες μεταβολές, με τις τάσεις στους περισσότερους κλάδους να είναι μικτές. </w:t>
      </w:r>
      <w:r w:rsidRPr="00CB6CE9">
        <w:rPr>
          <w:rFonts w:ascii="Century Gothic" w:hAnsi="Century Gothic" w:cs="Times New Roman"/>
          <w:sz w:val="20"/>
          <w:szCs w:val="20"/>
        </w:rPr>
        <w:t xml:space="preserve">Αναλυτικότερα, ο δείκτης των </w:t>
      </w:r>
      <w:r w:rsidRPr="00CB6CE9">
        <w:rPr>
          <w:rFonts w:ascii="Century Gothic" w:hAnsi="Century Gothic" w:cs="Times New Roman"/>
          <w:i/>
          <w:iCs/>
          <w:sz w:val="20"/>
          <w:szCs w:val="20"/>
        </w:rPr>
        <w:t>εκτιμήσεων για την τρέχουσα κατάσταση των επιχειρήσεων</w:t>
      </w:r>
      <w:r w:rsidRPr="00CB6CE9">
        <w:rPr>
          <w:rFonts w:ascii="Century Gothic" w:hAnsi="Century Gothic" w:cs="Times New Roman"/>
          <w:sz w:val="20"/>
          <w:szCs w:val="20"/>
        </w:rPr>
        <w:t xml:space="preserve"> διαμορφώνεται </w:t>
      </w:r>
      <w:r>
        <w:rPr>
          <w:rFonts w:ascii="Century Gothic" w:hAnsi="Century Gothic" w:cs="Times New Roman"/>
          <w:sz w:val="20"/>
          <w:szCs w:val="20"/>
        </w:rPr>
        <w:t xml:space="preserve">στις -4 μονάδες (από -2), οριακά δηλαδή αρνητικός όπως και στο </w:t>
      </w:r>
      <w:r w:rsidRPr="00CB6CE9">
        <w:rPr>
          <w:rFonts w:ascii="Century Gothic" w:hAnsi="Century Gothic" w:cs="Times New Roman"/>
          <w:sz w:val="20"/>
          <w:szCs w:val="20"/>
        </w:rPr>
        <w:t xml:space="preserve">ισοζύγιο </w:t>
      </w:r>
      <w:r w:rsidRPr="00CB6CE9">
        <w:rPr>
          <w:rFonts w:ascii="Century Gothic" w:hAnsi="Century Gothic" w:cs="Times New Roman"/>
          <w:i/>
          <w:iCs/>
          <w:sz w:val="20"/>
          <w:szCs w:val="20"/>
        </w:rPr>
        <w:t>εκτιμήσεων</w:t>
      </w:r>
      <w:r w:rsidRPr="00CB6CE9">
        <w:rPr>
          <w:rFonts w:ascii="Century Gothic" w:hAnsi="Century Gothic" w:cs="Times New Roman"/>
          <w:sz w:val="20"/>
          <w:szCs w:val="20"/>
        </w:rPr>
        <w:t xml:space="preserve"> </w:t>
      </w:r>
      <w:r w:rsidRPr="00CB6CE9">
        <w:rPr>
          <w:rFonts w:ascii="Century Gothic" w:hAnsi="Century Gothic" w:cs="Times New Roman"/>
          <w:i/>
          <w:iCs/>
          <w:sz w:val="20"/>
          <w:szCs w:val="20"/>
        </w:rPr>
        <w:t>για τη ζήτηση</w:t>
      </w:r>
      <w:r w:rsidRPr="00CB6CE9">
        <w:rPr>
          <w:rFonts w:ascii="Century Gothic" w:hAnsi="Century Gothic" w:cs="Times New Roman"/>
          <w:sz w:val="20"/>
          <w:szCs w:val="20"/>
        </w:rPr>
        <w:t xml:space="preserve"> </w:t>
      </w:r>
      <w:r w:rsidRPr="00CB6CE9">
        <w:rPr>
          <w:rFonts w:ascii="Century Gothic" w:hAnsi="Century Gothic" w:cs="Times New Roman"/>
          <w:i/>
          <w:iCs/>
          <w:sz w:val="20"/>
          <w:szCs w:val="20"/>
        </w:rPr>
        <w:t>του τρέχοντος τριμήνου</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(-3 από -5 </w:t>
      </w:r>
      <w:r w:rsidRPr="00CB6CE9">
        <w:rPr>
          <w:rFonts w:ascii="Century Gothic" w:hAnsi="Century Gothic" w:cs="Times New Roman"/>
          <w:sz w:val="20"/>
          <w:szCs w:val="20"/>
        </w:rPr>
        <w:t>μον</w:t>
      </w:r>
      <w:r>
        <w:rPr>
          <w:rFonts w:ascii="Century Gothic" w:hAnsi="Century Gothic" w:cs="Times New Roman"/>
          <w:sz w:val="20"/>
          <w:szCs w:val="20"/>
        </w:rPr>
        <w:t>άδες). Σ</w:t>
      </w:r>
      <w:r w:rsidRPr="00CB6CE9">
        <w:rPr>
          <w:rFonts w:ascii="Century Gothic" w:hAnsi="Century Gothic" w:cs="Times New Roman"/>
          <w:sz w:val="20"/>
          <w:szCs w:val="20"/>
        </w:rPr>
        <w:t xml:space="preserve">τις </w:t>
      </w:r>
      <w:r w:rsidRPr="00CB6CE9">
        <w:rPr>
          <w:rFonts w:ascii="Century Gothic" w:hAnsi="Century Gothic" w:cs="Times New Roman"/>
          <w:i/>
          <w:iCs/>
          <w:sz w:val="20"/>
          <w:szCs w:val="20"/>
        </w:rPr>
        <w:t>προβλέψεις για τη ζήτηση του επόμενου</w:t>
      </w:r>
      <w:r w:rsidRPr="00CB6CE9">
        <w:rPr>
          <w:rFonts w:ascii="Century Gothic" w:hAnsi="Century Gothic" w:cs="Times New Roman"/>
          <w:iCs/>
          <w:sz w:val="20"/>
          <w:szCs w:val="20"/>
        </w:rPr>
        <w:t xml:space="preserve"> τριμήνου </w:t>
      </w:r>
      <w:r>
        <w:rPr>
          <w:rFonts w:ascii="Century Gothic" w:hAnsi="Century Gothic" w:cs="Times New Roman"/>
          <w:iCs/>
          <w:sz w:val="20"/>
          <w:szCs w:val="20"/>
        </w:rPr>
        <w:t xml:space="preserve">δεν </w:t>
      </w:r>
      <w:r w:rsidRPr="00CB6CE9">
        <w:rPr>
          <w:rFonts w:ascii="Century Gothic" w:hAnsi="Century Gothic" w:cs="Times New Roman"/>
          <w:iCs/>
          <w:sz w:val="20"/>
          <w:szCs w:val="20"/>
        </w:rPr>
        <w:t xml:space="preserve">καταγράφεται </w:t>
      </w:r>
      <w:r>
        <w:rPr>
          <w:rFonts w:ascii="Century Gothic" w:hAnsi="Century Gothic" w:cs="Times New Roman"/>
          <w:iCs/>
          <w:sz w:val="20"/>
          <w:szCs w:val="20"/>
        </w:rPr>
        <w:t xml:space="preserve">καμία μεταβολή στο σχετικό δείκτη, ο οποίος κινείται εκ νέου στις -8 μονάδες. Ως προς τα υπόλοιπα στοιχεία, το ισοζύγιο </w:t>
      </w:r>
      <w:r>
        <w:rPr>
          <w:rFonts w:ascii="Century Gothic" w:hAnsi="Century Gothic" w:cs="Times New Roman"/>
          <w:sz w:val="20"/>
          <w:szCs w:val="20"/>
        </w:rPr>
        <w:t xml:space="preserve">για </w:t>
      </w:r>
      <w:r w:rsidRPr="00CB6CE9">
        <w:rPr>
          <w:rFonts w:ascii="Century Gothic" w:hAnsi="Century Gothic" w:cs="Times New Roman"/>
          <w:sz w:val="20"/>
          <w:szCs w:val="20"/>
        </w:rPr>
        <w:t xml:space="preserve">την απασχόληση </w:t>
      </w:r>
      <w:r>
        <w:rPr>
          <w:rFonts w:ascii="Century Gothic" w:hAnsi="Century Gothic" w:cs="Times New Roman"/>
          <w:sz w:val="20"/>
          <w:szCs w:val="20"/>
        </w:rPr>
        <w:t xml:space="preserve">επιδεινώνεται ελαφρά </w:t>
      </w:r>
      <w:r w:rsidRPr="00CB6CE9">
        <w:rPr>
          <w:rFonts w:ascii="Century Gothic" w:hAnsi="Century Gothic" w:cs="Times New Roman"/>
          <w:sz w:val="20"/>
          <w:szCs w:val="20"/>
        </w:rPr>
        <w:t>(</w:t>
      </w:r>
      <w:r>
        <w:rPr>
          <w:rFonts w:ascii="Century Gothic" w:hAnsi="Century Gothic" w:cs="Times New Roman"/>
          <w:sz w:val="20"/>
          <w:szCs w:val="20"/>
        </w:rPr>
        <w:t xml:space="preserve">-22 από -16 </w:t>
      </w:r>
      <w:r w:rsidRPr="00CB6CE9">
        <w:rPr>
          <w:rFonts w:ascii="Century Gothic" w:hAnsi="Century Gothic" w:cs="Times New Roman"/>
          <w:sz w:val="20"/>
          <w:szCs w:val="20"/>
        </w:rPr>
        <w:t>μον</w:t>
      </w:r>
      <w:r>
        <w:rPr>
          <w:rFonts w:ascii="Century Gothic" w:hAnsi="Century Gothic" w:cs="Times New Roman"/>
          <w:sz w:val="20"/>
          <w:szCs w:val="20"/>
        </w:rPr>
        <w:t>.</w:t>
      </w:r>
      <w:r w:rsidRPr="00CB6CE9">
        <w:rPr>
          <w:rFonts w:ascii="Century Gothic" w:hAnsi="Century Gothic" w:cs="Times New Roman"/>
          <w:sz w:val="20"/>
          <w:szCs w:val="20"/>
        </w:rPr>
        <w:t xml:space="preserve">), με το </w:t>
      </w:r>
      <w:r>
        <w:rPr>
          <w:rFonts w:ascii="Century Gothic" w:hAnsi="Century Gothic" w:cs="Times New Roman"/>
          <w:sz w:val="20"/>
          <w:szCs w:val="20"/>
        </w:rPr>
        <w:t>32</w:t>
      </w:r>
      <w:r w:rsidRPr="00CB6CE9">
        <w:rPr>
          <w:rFonts w:ascii="Century Gothic" w:hAnsi="Century Gothic" w:cs="Times New Roman"/>
          <w:sz w:val="20"/>
          <w:szCs w:val="20"/>
        </w:rPr>
        <w:t xml:space="preserve">% (από </w:t>
      </w:r>
      <w:r>
        <w:rPr>
          <w:rFonts w:ascii="Century Gothic" w:hAnsi="Century Gothic" w:cs="Times New Roman"/>
          <w:sz w:val="20"/>
          <w:szCs w:val="20"/>
        </w:rPr>
        <w:t>27</w:t>
      </w:r>
      <w:r w:rsidRPr="00CB6CE9">
        <w:rPr>
          <w:rFonts w:ascii="Century Gothic" w:hAnsi="Century Gothic" w:cs="Times New Roman"/>
          <w:sz w:val="20"/>
          <w:szCs w:val="20"/>
        </w:rPr>
        <w:t xml:space="preserve">%) των επιχειρήσεων να αναμένει μείωση των θέσεων εργασίας το προσεχές τρίμηνο και το </w:t>
      </w:r>
      <w:r>
        <w:rPr>
          <w:rFonts w:ascii="Century Gothic" w:hAnsi="Century Gothic" w:cs="Times New Roman"/>
          <w:sz w:val="20"/>
          <w:szCs w:val="20"/>
        </w:rPr>
        <w:t xml:space="preserve">10% να περιμένει και πάλι άνοδο. </w:t>
      </w:r>
      <w:r w:rsidRPr="00CB6CE9">
        <w:rPr>
          <w:rFonts w:ascii="Century Gothic" w:hAnsi="Century Gothic" w:cs="Times New Roman"/>
          <w:sz w:val="20"/>
          <w:szCs w:val="20"/>
        </w:rPr>
        <w:t xml:space="preserve">Ως προς τις τιμές, </w:t>
      </w:r>
      <w:r>
        <w:rPr>
          <w:rFonts w:ascii="Century Gothic" w:hAnsi="Century Gothic" w:cs="Times New Roman"/>
          <w:sz w:val="20"/>
          <w:szCs w:val="20"/>
        </w:rPr>
        <w:t>η πτωτική τάση εξομαλύνεται</w:t>
      </w:r>
      <w:r w:rsidRPr="00CB6CE9">
        <w:rPr>
          <w:rFonts w:ascii="Century Gothic" w:hAnsi="Century Gothic" w:cs="Times New Roman"/>
          <w:sz w:val="20"/>
          <w:szCs w:val="20"/>
        </w:rPr>
        <w:t xml:space="preserve"> ελαφρά, με το σχετικό ισοζύγιο να </w:t>
      </w:r>
      <w:r>
        <w:rPr>
          <w:rFonts w:ascii="Century Gothic" w:hAnsi="Century Gothic" w:cs="Times New Roman"/>
          <w:sz w:val="20"/>
          <w:szCs w:val="20"/>
        </w:rPr>
        <w:t>κινείται</w:t>
      </w:r>
      <w:r w:rsidRPr="00CB6CE9">
        <w:rPr>
          <w:rFonts w:ascii="Century Gothic" w:hAnsi="Century Gothic" w:cs="Times New Roman"/>
          <w:sz w:val="20"/>
          <w:szCs w:val="20"/>
        </w:rPr>
        <w:t xml:space="preserve"> στις </w:t>
      </w:r>
      <w:r>
        <w:rPr>
          <w:rFonts w:ascii="Century Gothic" w:hAnsi="Century Gothic" w:cs="Times New Roman"/>
          <w:sz w:val="20"/>
          <w:szCs w:val="20"/>
        </w:rPr>
        <w:t xml:space="preserve">-18 (από -25) μονάδες, </w:t>
      </w:r>
      <w:r w:rsidRPr="00CB6CE9">
        <w:rPr>
          <w:rFonts w:ascii="Century Gothic" w:hAnsi="Century Gothic" w:cs="Times New Roman"/>
          <w:sz w:val="20"/>
          <w:szCs w:val="20"/>
        </w:rPr>
        <w:t xml:space="preserve">ενώ </w:t>
      </w:r>
      <w:r>
        <w:rPr>
          <w:rFonts w:ascii="Century Gothic" w:hAnsi="Century Gothic" w:cs="Times New Roman"/>
          <w:sz w:val="20"/>
          <w:szCs w:val="20"/>
        </w:rPr>
        <w:t>παραμένει στο</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13-14% </w:t>
      </w:r>
      <w:r w:rsidRPr="00CB6CE9">
        <w:rPr>
          <w:rFonts w:ascii="Century Gothic" w:hAnsi="Century Gothic" w:cs="Times New Roman"/>
          <w:sz w:val="20"/>
          <w:szCs w:val="20"/>
        </w:rPr>
        <w:t xml:space="preserve">το ποσοστό εκείνων που δηλώνουν απρόσκοπτη επιχειρηματική λειτουργία. Από τις υπόλοιπες επιχειρήσεις, </w:t>
      </w:r>
      <w:r>
        <w:rPr>
          <w:rFonts w:ascii="Century Gothic" w:hAnsi="Century Gothic" w:cs="Times New Roman"/>
          <w:sz w:val="20"/>
          <w:szCs w:val="20"/>
        </w:rPr>
        <w:t xml:space="preserve">το 23% επισημαίνει </w:t>
      </w:r>
      <w:r w:rsidRPr="00CB6CE9">
        <w:rPr>
          <w:rFonts w:ascii="Century Gothic" w:hAnsi="Century Gothic" w:cs="Times New Roman"/>
          <w:sz w:val="20"/>
          <w:szCs w:val="20"/>
        </w:rPr>
        <w:t xml:space="preserve">την ανεπάρκεια κεφαλαίων κίνησης ως βασικότερο εμπόδιο στη λειτουργία του, </w:t>
      </w:r>
      <w:r>
        <w:rPr>
          <w:rFonts w:ascii="Century Gothic" w:hAnsi="Century Gothic" w:cs="Times New Roman"/>
          <w:sz w:val="20"/>
          <w:szCs w:val="20"/>
        </w:rPr>
        <w:t xml:space="preserve">το 47% </w:t>
      </w:r>
      <w:r w:rsidRPr="00CB6CE9">
        <w:rPr>
          <w:rFonts w:ascii="Century Gothic" w:hAnsi="Century Gothic" w:cs="Times New Roman"/>
          <w:sz w:val="20"/>
          <w:szCs w:val="20"/>
        </w:rPr>
        <w:t>την ανεπάρκεια ζήτησης</w:t>
      </w:r>
      <w:r>
        <w:rPr>
          <w:rFonts w:ascii="Century Gothic" w:hAnsi="Century Gothic" w:cs="Times New Roman"/>
          <w:sz w:val="20"/>
          <w:szCs w:val="20"/>
        </w:rPr>
        <w:t>, το 4% το ανεπαρκές εργατικό δυναμικό</w:t>
      </w:r>
      <w:r w:rsidRPr="00CB6CE9">
        <w:rPr>
          <w:rFonts w:ascii="Century Gothic" w:hAnsi="Century Gothic" w:cs="Times New Roman"/>
          <w:sz w:val="20"/>
          <w:szCs w:val="20"/>
        </w:rPr>
        <w:t xml:space="preserve"> και το </w:t>
      </w:r>
      <w:r>
        <w:rPr>
          <w:rFonts w:ascii="Century Gothic" w:hAnsi="Century Gothic" w:cs="Times New Roman"/>
          <w:sz w:val="20"/>
          <w:szCs w:val="20"/>
        </w:rPr>
        <w:t>14</w:t>
      </w:r>
      <w:r w:rsidRPr="00CB6CE9">
        <w:rPr>
          <w:rFonts w:ascii="Century Gothic" w:hAnsi="Century Gothic" w:cs="Times New Roman"/>
          <w:sz w:val="20"/>
          <w:szCs w:val="20"/>
        </w:rPr>
        <w:t xml:space="preserve">% παράγοντες όπως η οικονομική ύφεση, η καθυστέρηση εισπράξεων Δημοσίου, η έλλειψη ρευστότητας, </w:t>
      </w:r>
      <w:r>
        <w:rPr>
          <w:rFonts w:ascii="Century Gothic" w:hAnsi="Century Gothic" w:cs="Times New Roman"/>
          <w:sz w:val="20"/>
          <w:szCs w:val="20"/>
        </w:rPr>
        <w:t xml:space="preserve">η τιμή του πετρελαίου, η φορολογική νομοθεσία, η μειωμένη κατανάλωση τουριστών, η έλλειψη τραπεζικού δανεισμού, η υψηλή φορολογία, οι υψηλές ασφαλιστικές εισφορές </w:t>
      </w:r>
      <w:r w:rsidRPr="00CB6CE9">
        <w:rPr>
          <w:rFonts w:ascii="Century Gothic" w:hAnsi="Century Gothic" w:cs="Times New Roman"/>
          <w:sz w:val="20"/>
          <w:szCs w:val="20"/>
        </w:rPr>
        <w:t>κ.α.</w:t>
      </w:r>
      <w:r>
        <w:rPr>
          <w:rFonts w:ascii="Century Gothic" w:hAnsi="Century Gothic" w:cs="Times New Roman"/>
          <w:sz w:val="20"/>
          <w:szCs w:val="20"/>
        </w:rPr>
        <w:t xml:space="preserve"> </w:t>
      </w:r>
    </w:p>
    <w:p w:rsidR="00BE6140" w:rsidRDefault="00BE6140" w:rsidP="00A067D8">
      <w:pPr>
        <w:spacing w:before="100" w:beforeAutospacing="1" w:after="100" w:afterAutospacing="1" w:line="276" w:lineRule="auto"/>
        <w:jc w:val="both"/>
        <w:rPr>
          <w:rFonts w:ascii="Century Gothic" w:hAnsi="Century Gothic" w:cs="Times New Roman"/>
          <w:sz w:val="20"/>
          <w:szCs w:val="20"/>
        </w:rPr>
      </w:pPr>
      <w:r w:rsidRPr="00CB6CE9">
        <w:rPr>
          <w:rFonts w:ascii="Century Gothic" w:hAnsi="Century Gothic" w:cs="Times New Roman"/>
          <w:sz w:val="20"/>
          <w:szCs w:val="20"/>
        </w:rPr>
        <w:t>Σε επίπεδο βασικών κλάδων των Υπηρεσιών επισημαίνονται τα εξής:</w:t>
      </w:r>
    </w:p>
    <w:p w:rsidR="00BE6140" w:rsidRDefault="00BE6140" w:rsidP="00A067D8">
      <w:pPr>
        <w:spacing w:before="100" w:beforeAutospacing="1" w:after="100" w:afterAutospacing="1" w:line="300" w:lineRule="exact"/>
        <w:jc w:val="both"/>
        <w:rPr>
          <w:rFonts w:ascii="Century Gothic" w:hAnsi="Century Gothic" w:cs="Times New Roman"/>
          <w:sz w:val="20"/>
          <w:szCs w:val="20"/>
        </w:rPr>
      </w:pPr>
      <w:r>
        <w:rPr>
          <w:rFonts w:ascii="Century Gothic" w:hAnsi="Century Gothic" w:cs="Times New Roman"/>
          <w:sz w:val="20"/>
          <w:szCs w:val="20"/>
        </w:rPr>
        <w:t xml:space="preserve">Πτωτικά κινείται τον Σεπτέμβριο </w:t>
      </w:r>
      <w:r w:rsidRPr="00CB6CE9">
        <w:rPr>
          <w:rFonts w:ascii="Century Gothic" w:hAnsi="Century Gothic" w:cs="Times New Roman"/>
          <w:sz w:val="20"/>
          <w:szCs w:val="20"/>
        </w:rPr>
        <w:t xml:space="preserve">ο δείκτης επιχειρηματικών προσδοκιών </w:t>
      </w:r>
      <w:r>
        <w:rPr>
          <w:rFonts w:ascii="Century Gothic" w:hAnsi="Century Gothic" w:cs="Times New Roman"/>
          <w:sz w:val="20"/>
          <w:szCs w:val="20"/>
        </w:rPr>
        <w:t>στα</w:t>
      </w:r>
      <w:r w:rsidRPr="00CB6CE9">
        <w:rPr>
          <w:rFonts w:ascii="Century Gothic" w:hAnsi="Century Gothic" w:cs="Times New Roman"/>
          <w:sz w:val="20"/>
          <w:szCs w:val="20"/>
        </w:rPr>
        <w:t xml:space="preserve"> </w:t>
      </w:r>
      <w:r w:rsidRPr="00CB6CE9">
        <w:rPr>
          <w:rFonts w:ascii="Century Gothic" w:hAnsi="Century Gothic" w:cs="Times New Roman"/>
          <w:b/>
          <w:bCs/>
          <w:sz w:val="20"/>
          <w:szCs w:val="20"/>
        </w:rPr>
        <w:t>Ξενοδοχεία – Εστιατόρια – Τουριστικά Πρακτορεία</w:t>
      </w:r>
      <w:r w:rsidRPr="00CB6CE9">
        <w:rPr>
          <w:rFonts w:ascii="Century Gothic" w:hAnsi="Century Gothic" w:cs="Times New Roman"/>
          <w:sz w:val="20"/>
          <w:szCs w:val="20"/>
        </w:rPr>
        <w:t xml:space="preserve">, φθάνοντας στις </w:t>
      </w:r>
      <w:r>
        <w:rPr>
          <w:rFonts w:ascii="Century Gothic" w:hAnsi="Century Gothic" w:cs="Times New Roman"/>
          <w:sz w:val="20"/>
          <w:szCs w:val="20"/>
        </w:rPr>
        <w:t xml:space="preserve">87,5 μονάδες (από 103,7 τον Ιούλιο), </w:t>
      </w:r>
      <w:r w:rsidRPr="00CB6CE9">
        <w:rPr>
          <w:rFonts w:ascii="Century Gothic" w:hAnsi="Century Gothic" w:cs="Times New Roman"/>
          <w:sz w:val="20"/>
          <w:szCs w:val="20"/>
        </w:rPr>
        <w:t>υψηλότερα έναντι της αντίστοιχης περσινής τιμής του (</w:t>
      </w:r>
      <w:r>
        <w:rPr>
          <w:rFonts w:ascii="Century Gothic" w:hAnsi="Century Gothic" w:cs="Times New Roman"/>
          <w:sz w:val="20"/>
          <w:szCs w:val="20"/>
        </w:rPr>
        <w:t xml:space="preserve">82,8 </w:t>
      </w:r>
      <w:r w:rsidRPr="00CB6CE9">
        <w:rPr>
          <w:rFonts w:ascii="Century Gothic" w:hAnsi="Century Gothic" w:cs="Times New Roman"/>
          <w:sz w:val="20"/>
          <w:szCs w:val="20"/>
        </w:rPr>
        <w:t xml:space="preserve">μονάδες). </w:t>
      </w:r>
      <w:r>
        <w:rPr>
          <w:rFonts w:ascii="Century Gothic" w:hAnsi="Century Gothic" w:cs="Times New Roman"/>
          <w:sz w:val="20"/>
          <w:szCs w:val="20"/>
        </w:rPr>
        <w:t xml:space="preserve">Από τις βασικές μεταβλητές του δείκτη, όλοι κινούνται πτωτικά, ως απόρροια άλλωστε της λήξης της θερινής σεζόν. Συγκεκριμένα, ο δείκτης για την πορεία της </w:t>
      </w:r>
      <w:r w:rsidRPr="00CB6CE9">
        <w:rPr>
          <w:rFonts w:ascii="Century Gothic" w:hAnsi="Century Gothic" w:cs="Times New Roman"/>
          <w:sz w:val="20"/>
          <w:szCs w:val="20"/>
        </w:rPr>
        <w:t>τρέχουσα</w:t>
      </w:r>
      <w:r>
        <w:rPr>
          <w:rFonts w:ascii="Century Gothic" w:hAnsi="Century Gothic" w:cs="Times New Roman"/>
          <w:sz w:val="20"/>
          <w:szCs w:val="20"/>
        </w:rPr>
        <w:t>ς</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κατάστασης των επιχειρήσεων χάνει 28 μονάδες, κινούμενος στις +16, ενώ και στις </w:t>
      </w:r>
      <w:r w:rsidRPr="00CB6CE9">
        <w:rPr>
          <w:rFonts w:ascii="Century Gothic" w:hAnsi="Century Gothic" w:cs="Times New Roman"/>
          <w:sz w:val="20"/>
          <w:szCs w:val="20"/>
        </w:rPr>
        <w:t xml:space="preserve">εκτιμήσεις για την τρέχουσα ζήτηση </w:t>
      </w:r>
      <w:r>
        <w:rPr>
          <w:rFonts w:ascii="Century Gothic" w:hAnsi="Century Gothic" w:cs="Times New Roman"/>
          <w:sz w:val="20"/>
          <w:szCs w:val="20"/>
        </w:rPr>
        <w:t xml:space="preserve">το σχετικό ισοζύγιο βαίνει αρνητικό </w:t>
      </w:r>
      <w:r w:rsidRPr="00CB6CE9">
        <w:rPr>
          <w:rFonts w:ascii="Century Gothic" w:hAnsi="Century Gothic" w:cs="Times New Roman"/>
          <w:sz w:val="20"/>
          <w:szCs w:val="20"/>
        </w:rPr>
        <w:t>(</w:t>
      </w:r>
      <w:r>
        <w:rPr>
          <w:rFonts w:ascii="Century Gothic" w:hAnsi="Century Gothic" w:cs="Times New Roman"/>
          <w:sz w:val="20"/>
          <w:szCs w:val="20"/>
        </w:rPr>
        <w:t xml:space="preserve">-1 μον. από +4). Στο ίδιο κλίμα, εντόνως πτωτική είναι η τάση στις </w:t>
      </w:r>
      <w:r w:rsidRPr="00CB6CE9">
        <w:rPr>
          <w:rFonts w:ascii="Century Gothic" w:hAnsi="Century Gothic" w:cs="Times New Roman"/>
          <w:sz w:val="20"/>
          <w:szCs w:val="20"/>
        </w:rPr>
        <w:t xml:space="preserve">βραχυπρόθεσμες προβλέψεις </w:t>
      </w:r>
      <w:r>
        <w:rPr>
          <w:rFonts w:ascii="Century Gothic" w:hAnsi="Century Gothic" w:cs="Times New Roman"/>
          <w:sz w:val="20"/>
          <w:szCs w:val="20"/>
        </w:rPr>
        <w:t xml:space="preserve">για την πορεία </w:t>
      </w:r>
      <w:r w:rsidRPr="00CB6CE9">
        <w:rPr>
          <w:rFonts w:ascii="Century Gothic" w:hAnsi="Century Gothic" w:cs="Times New Roman"/>
          <w:sz w:val="20"/>
          <w:szCs w:val="20"/>
        </w:rPr>
        <w:t>της ζήτησης</w:t>
      </w:r>
      <w:r>
        <w:rPr>
          <w:rFonts w:ascii="Century Gothic" w:hAnsi="Century Gothic" w:cs="Times New Roman"/>
          <w:sz w:val="20"/>
          <w:szCs w:val="20"/>
        </w:rPr>
        <w:t xml:space="preserve"> (-25 από -4 μον. το ισοζύγιο), ενώ σε όρους απασχόλησης, </w:t>
      </w:r>
      <w:r w:rsidRPr="00CB6CE9">
        <w:rPr>
          <w:rFonts w:ascii="Century Gothic" w:hAnsi="Century Gothic" w:cs="Times New Roman"/>
          <w:sz w:val="20"/>
          <w:szCs w:val="20"/>
        </w:rPr>
        <w:t xml:space="preserve">οι </w:t>
      </w:r>
      <w:r>
        <w:rPr>
          <w:rFonts w:ascii="Century Gothic" w:hAnsi="Century Gothic" w:cs="Times New Roman"/>
          <w:sz w:val="20"/>
          <w:szCs w:val="20"/>
        </w:rPr>
        <w:t xml:space="preserve">σχετικές </w:t>
      </w:r>
      <w:r w:rsidRPr="00CB6CE9">
        <w:rPr>
          <w:rFonts w:ascii="Century Gothic" w:hAnsi="Century Gothic" w:cs="Times New Roman"/>
          <w:sz w:val="20"/>
          <w:szCs w:val="20"/>
        </w:rPr>
        <w:t xml:space="preserve">προβλέψεις </w:t>
      </w:r>
      <w:r>
        <w:rPr>
          <w:rFonts w:ascii="Century Gothic" w:hAnsi="Century Gothic" w:cs="Times New Roman"/>
          <w:sz w:val="20"/>
          <w:szCs w:val="20"/>
        </w:rPr>
        <w:t xml:space="preserve">επιδεινώνονται σφοδρά, με το σχετικό </w:t>
      </w:r>
      <w:r w:rsidRPr="00CB6CE9">
        <w:rPr>
          <w:rFonts w:ascii="Century Gothic" w:hAnsi="Century Gothic" w:cs="Times New Roman"/>
          <w:sz w:val="20"/>
          <w:szCs w:val="20"/>
        </w:rPr>
        <w:t>δείκτη</w:t>
      </w:r>
      <w:r>
        <w:rPr>
          <w:rFonts w:ascii="Century Gothic" w:hAnsi="Century Gothic" w:cs="Times New Roman"/>
          <w:sz w:val="20"/>
          <w:szCs w:val="20"/>
        </w:rPr>
        <w:t xml:space="preserve"> να κατρακυλά στις -39 μονάδες (από +4). Στις τιμές αναμένεται μείωσή τους το επόμενο τρίμηνο (-23 από -6 μον. ο δείκτης), ενώ τ</w:t>
      </w:r>
      <w:r w:rsidRPr="00CB6CE9">
        <w:rPr>
          <w:rFonts w:ascii="Century Gothic" w:hAnsi="Century Gothic" w:cs="Times New Roman"/>
          <w:sz w:val="20"/>
          <w:szCs w:val="20"/>
        </w:rPr>
        <w:t xml:space="preserve">έλος, ένα </w:t>
      </w:r>
      <w:r>
        <w:rPr>
          <w:rFonts w:ascii="Century Gothic" w:hAnsi="Century Gothic" w:cs="Times New Roman"/>
          <w:sz w:val="20"/>
          <w:szCs w:val="20"/>
        </w:rPr>
        <w:t>17</w:t>
      </w:r>
      <w:r w:rsidRPr="00CB6CE9">
        <w:rPr>
          <w:rFonts w:ascii="Century Gothic" w:hAnsi="Century Gothic" w:cs="Times New Roman"/>
          <w:sz w:val="20"/>
          <w:szCs w:val="20"/>
        </w:rPr>
        <w:t xml:space="preserve">% (από </w:t>
      </w:r>
      <w:r>
        <w:rPr>
          <w:rFonts w:ascii="Century Gothic" w:hAnsi="Century Gothic" w:cs="Times New Roman"/>
          <w:sz w:val="20"/>
          <w:szCs w:val="20"/>
        </w:rPr>
        <w:t>26</w:t>
      </w:r>
      <w:r w:rsidRPr="00CB6CE9">
        <w:rPr>
          <w:rFonts w:ascii="Century Gothic" w:hAnsi="Century Gothic" w:cs="Times New Roman"/>
          <w:sz w:val="20"/>
          <w:szCs w:val="20"/>
        </w:rPr>
        <w:t xml:space="preserve">%) των επιχειρήσεων δηλώνει ακώλυτη επιχειρηματική λειτουργία, με το </w:t>
      </w:r>
      <w:r>
        <w:rPr>
          <w:rFonts w:ascii="Century Gothic" w:hAnsi="Century Gothic" w:cs="Times New Roman"/>
          <w:sz w:val="20"/>
          <w:szCs w:val="20"/>
        </w:rPr>
        <w:t>70</w:t>
      </w:r>
      <w:r w:rsidRPr="00CB6CE9">
        <w:rPr>
          <w:rFonts w:ascii="Century Gothic" w:hAnsi="Century Gothic" w:cs="Times New Roman"/>
          <w:sz w:val="20"/>
          <w:szCs w:val="20"/>
        </w:rPr>
        <w:t>% να κρίνει ως βασικότερο επιχειρηματικό εμπόδιο την ανεπάρκεια</w:t>
      </w:r>
      <w:r w:rsidRPr="004C3C84">
        <w:rPr>
          <w:rFonts w:ascii="Century Gothic" w:hAnsi="Century Gothic" w:cs="Times New Roman"/>
          <w:sz w:val="20"/>
          <w:szCs w:val="20"/>
        </w:rPr>
        <w:t xml:space="preserve"> </w:t>
      </w:r>
      <w:r w:rsidRPr="00CB6CE9">
        <w:rPr>
          <w:rFonts w:ascii="Century Gothic" w:hAnsi="Century Gothic" w:cs="Times New Roman"/>
          <w:sz w:val="20"/>
          <w:szCs w:val="20"/>
        </w:rPr>
        <w:t>ζήτησης</w:t>
      </w:r>
      <w:r>
        <w:rPr>
          <w:rFonts w:ascii="Century Gothic" w:hAnsi="Century Gothic" w:cs="Times New Roman"/>
          <w:sz w:val="20"/>
          <w:szCs w:val="20"/>
        </w:rPr>
        <w:t xml:space="preserve"> και ένα 11% την </w:t>
      </w:r>
      <w:r w:rsidRPr="00CB6CE9">
        <w:rPr>
          <w:rFonts w:ascii="Century Gothic" w:hAnsi="Century Gothic" w:cs="Times New Roman"/>
          <w:sz w:val="20"/>
          <w:szCs w:val="20"/>
        </w:rPr>
        <w:t>ανεπάρκεια</w:t>
      </w:r>
      <w:r w:rsidRPr="004C3C84">
        <w:rPr>
          <w:rFonts w:ascii="Century Gothic" w:hAnsi="Century Gothic" w:cs="Times New Roman"/>
          <w:sz w:val="20"/>
          <w:szCs w:val="20"/>
        </w:rPr>
        <w:t xml:space="preserve"> </w:t>
      </w:r>
      <w:r w:rsidRPr="00CB6CE9">
        <w:rPr>
          <w:rFonts w:ascii="Century Gothic" w:hAnsi="Century Gothic" w:cs="Times New Roman"/>
          <w:sz w:val="20"/>
          <w:szCs w:val="20"/>
        </w:rPr>
        <w:t>κεφαλαίων κίνησης</w:t>
      </w:r>
      <w:r>
        <w:rPr>
          <w:rFonts w:ascii="Century Gothic" w:hAnsi="Century Gothic" w:cs="Times New Roman"/>
          <w:sz w:val="20"/>
          <w:szCs w:val="20"/>
        </w:rPr>
        <w:t>.</w:t>
      </w:r>
    </w:p>
    <w:p w:rsidR="00BE6140" w:rsidRPr="00CB6CE9" w:rsidRDefault="00BE6140" w:rsidP="00A067D8">
      <w:pPr>
        <w:spacing w:before="100" w:beforeAutospacing="1" w:after="100" w:afterAutospacing="1" w:line="300" w:lineRule="exact"/>
        <w:jc w:val="both"/>
        <w:rPr>
          <w:rFonts w:ascii="Century Gothic" w:hAnsi="Century Gothic" w:cs="Times New Roman"/>
          <w:sz w:val="20"/>
          <w:szCs w:val="20"/>
        </w:rPr>
      </w:pPr>
      <w:r>
        <w:rPr>
          <w:rFonts w:ascii="Century Gothic" w:hAnsi="Century Gothic" w:cs="Times New Roman"/>
          <w:sz w:val="20"/>
          <w:szCs w:val="20"/>
        </w:rPr>
        <w:t xml:space="preserve">Άνοδο </w:t>
      </w:r>
      <w:r w:rsidRPr="00CB6CE9">
        <w:rPr>
          <w:rFonts w:ascii="Century Gothic" w:hAnsi="Century Gothic" w:cs="Times New Roman"/>
          <w:sz w:val="20"/>
          <w:szCs w:val="20"/>
        </w:rPr>
        <w:t xml:space="preserve">σημειώνει τον </w:t>
      </w:r>
      <w:r>
        <w:rPr>
          <w:rFonts w:ascii="Century Gothic" w:hAnsi="Century Gothic" w:cs="Times New Roman"/>
          <w:sz w:val="20"/>
          <w:szCs w:val="20"/>
        </w:rPr>
        <w:t xml:space="preserve">Σεπτέμβριο </w:t>
      </w:r>
      <w:r w:rsidRPr="00CB6CE9">
        <w:rPr>
          <w:rFonts w:ascii="Century Gothic" w:hAnsi="Century Gothic" w:cs="Times New Roman"/>
          <w:sz w:val="20"/>
          <w:szCs w:val="20"/>
        </w:rPr>
        <w:t xml:space="preserve">ο δείκτης επιχειρηματικών προσδοκιών στις </w:t>
      </w:r>
      <w:r w:rsidRPr="00CB6CE9">
        <w:rPr>
          <w:rFonts w:ascii="Century Gothic" w:hAnsi="Century Gothic" w:cs="Times New Roman"/>
          <w:b/>
          <w:bCs/>
          <w:sz w:val="20"/>
          <w:szCs w:val="20"/>
        </w:rPr>
        <w:t>Διάφορες Επιχειρηματικές Δραστηριότητες</w:t>
      </w:r>
      <w:r w:rsidRPr="00CB6CE9">
        <w:rPr>
          <w:rFonts w:ascii="Century Gothic" w:hAnsi="Century Gothic" w:cs="Times New Roman"/>
          <w:sz w:val="20"/>
          <w:szCs w:val="20"/>
        </w:rPr>
        <w:t xml:space="preserve">, </w:t>
      </w:r>
      <w:r>
        <w:rPr>
          <w:rFonts w:ascii="Century Gothic" w:hAnsi="Century Gothic" w:cs="Times New Roman"/>
          <w:sz w:val="20"/>
          <w:szCs w:val="20"/>
        </w:rPr>
        <w:t>κινούμενος κατά 20 μονάδες υψηλότερα, στις</w:t>
      </w:r>
      <w:r w:rsidRPr="00CB6CE9">
        <w:rPr>
          <w:rFonts w:ascii="Century Gothic" w:hAnsi="Century Gothic" w:cs="Times New Roman"/>
          <w:sz w:val="20"/>
          <w:szCs w:val="20"/>
        </w:rPr>
        <w:t xml:space="preserve"> </w:t>
      </w:r>
      <w:r>
        <w:rPr>
          <w:rFonts w:ascii="Century Gothic" w:hAnsi="Century Gothic" w:cs="Times New Roman"/>
          <w:sz w:val="20"/>
          <w:szCs w:val="20"/>
        </w:rPr>
        <w:t>78,9</w:t>
      </w:r>
      <w:r w:rsidRPr="00CB6CE9">
        <w:rPr>
          <w:rFonts w:ascii="Century Gothic" w:hAnsi="Century Gothic" w:cs="Times New Roman"/>
          <w:sz w:val="20"/>
          <w:szCs w:val="20"/>
        </w:rPr>
        <w:t xml:space="preserve">, </w:t>
      </w:r>
      <w:r>
        <w:rPr>
          <w:rFonts w:ascii="Century Gothic" w:hAnsi="Century Gothic" w:cs="Times New Roman"/>
          <w:sz w:val="20"/>
          <w:szCs w:val="20"/>
        </w:rPr>
        <w:t>σημαντικά ανώτερα</w:t>
      </w:r>
      <w:r w:rsidRPr="00CB6CE9">
        <w:rPr>
          <w:rFonts w:ascii="Century Gothic" w:hAnsi="Century Gothic" w:cs="Times New Roman"/>
          <w:sz w:val="20"/>
          <w:szCs w:val="20"/>
        </w:rPr>
        <w:t xml:space="preserve"> σε σχέση με πέρυσι (</w:t>
      </w:r>
      <w:r>
        <w:rPr>
          <w:rFonts w:ascii="Century Gothic" w:hAnsi="Century Gothic" w:cs="Times New Roman"/>
          <w:sz w:val="20"/>
          <w:szCs w:val="20"/>
        </w:rPr>
        <w:t>32,2</w:t>
      </w:r>
      <w:r w:rsidRPr="00CB6CE9">
        <w:rPr>
          <w:rFonts w:ascii="Century Gothic" w:hAnsi="Century Gothic" w:cs="Times New Roman"/>
          <w:sz w:val="20"/>
          <w:szCs w:val="20"/>
        </w:rPr>
        <w:t xml:space="preserve"> μονάδες). Σε επίπεδο βασικών δεικτών δραστηριότητας, το αρνητικό ισοζύγιο στις εκτιμήσεις για την τρέχουσα κατάσταση των επιχειρήσεων </w:t>
      </w:r>
      <w:r>
        <w:rPr>
          <w:rFonts w:ascii="Century Gothic" w:hAnsi="Century Gothic" w:cs="Times New Roman"/>
          <w:sz w:val="20"/>
          <w:szCs w:val="20"/>
        </w:rPr>
        <w:t>εξομαλύνεται, φθάνοντας στις -17 μονάδες (από</w:t>
      </w:r>
      <w:r w:rsidRPr="00CB6CE9">
        <w:rPr>
          <w:rFonts w:ascii="Century Gothic" w:hAnsi="Century Gothic" w:cs="Times New Roman"/>
          <w:sz w:val="20"/>
          <w:szCs w:val="20"/>
        </w:rPr>
        <w:t xml:space="preserve"> -</w:t>
      </w:r>
      <w:r>
        <w:rPr>
          <w:rFonts w:ascii="Century Gothic" w:hAnsi="Century Gothic" w:cs="Times New Roman"/>
          <w:sz w:val="20"/>
          <w:szCs w:val="20"/>
        </w:rPr>
        <w:t>23), εξέλιξη ανάλογη με εκείνη στις εκτιμήσεις για την</w:t>
      </w:r>
      <w:r w:rsidRPr="00CB6CE9">
        <w:rPr>
          <w:rFonts w:ascii="Century Gothic" w:hAnsi="Century Gothic" w:cs="Times New Roman"/>
          <w:sz w:val="20"/>
          <w:szCs w:val="20"/>
        </w:rPr>
        <w:t xml:space="preserve"> τρέχουσα ζήτηση (</w:t>
      </w:r>
      <w:r>
        <w:rPr>
          <w:rFonts w:ascii="Century Gothic" w:hAnsi="Century Gothic" w:cs="Times New Roman"/>
          <w:sz w:val="20"/>
          <w:szCs w:val="20"/>
        </w:rPr>
        <w:t xml:space="preserve">-2 από -21 </w:t>
      </w:r>
      <w:r w:rsidRPr="00CB6CE9">
        <w:rPr>
          <w:rFonts w:ascii="Century Gothic" w:hAnsi="Century Gothic" w:cs="Times New Roman"/>
          <w:sz w:val="20"/>
          <w:szCs w:val="20"/>
        </w:rPr>
        <w:t>μον</w:t>
      </w:r>
      <w:r>
        <w:rPr>
          <w:rFonts w:ascii="Century Gothic" w:hAnsi="Century Gothic" w:cs="Times New Roman"/>
          <w:sz w:val="20"/>
          <w:szCs w:val="20"/>
        </w:rPr>
        <w:t>.</w:t>
      </w:r>
      <w:r w:rsidRPr="00CB6CE9">
        <w:rPr>
          <w:rFonts w:ascii="Century Gothic" w:hAnsi="Century Gothic" w:cs="Times New Roman"/>
          <w:sz w:val="20"/>
          <w:szCs w:val="20"/>
        </w:rPr>
        <w:t xml:space="preserve"> το ισοζύγιο). </w:t>
      </w:r>
      <w:r>
        <w:rPr>
          <w:rFonts w:ascii="Century Gothic" w:hAnsi="Century Gothic" w:cs="Times New Roman"/>
          <w:sz w:val="20"/>
          <w:szCs w:val="20"/>
        </w:rPr>
        <w:t xml:space="preserve">Η άνοδος συνεχίζεται και </w:t>
      </w:r>
      <w:r w:rsidRPr="00CB6CE9">
        <w:rPr>
          <w:rFonts w:ascii="Century Gothic" w:hAnsi="Century Gothic" w:cs="Times New Roman"/>
          <w:sz w:val="20"/>
          <w:szCs w:val="20"/>
        </w:rPr>
        <w:t xml:space="preserve">στην προβλεπόμενη ζήτηση του επόμενου τριμήνου, με το σχετικό δείκτη να </w:t>
      </w:r>
      <w:r>
        <w:rPr>
          <w:rFonts w:ascii="Century Gothic" w:hAnsi="Century Gothic" w:cs="Times New Roman"/>
          <w:sz w:val="20"/>
          <w:szCs w:val="20"/>
        </w:rPr>
        <w:t>διαμορφώνεται στις +27 μονάδες (από -</w:t>
      </w:r>
      <w:r>
        <w:rPr>
          <w:rFonts w:ascii="Century Gothic" w:hAnsi="Century Gothic" w:cs="Times New Roman"/>
          <w:sz w:val="20"/>
          <w:szCs w:val="20"/>
        </w:rPr>
        <w:lastRenderedPageBreak/>
        <w:t xml:space="preserve">26), </w:t>
      </w:r>
      <w:r w:rsidRPr="00CB6CE9">
        <w:rPr>
          <w:rFonts w:ascii="Century Gothic" w:hAnsi="Century Gothic" w:cs="Times New Roman"/>
          <w:sz w:val="20"/>
          <w:szCs w:val="20"/>
        </w:rPr>
        <w:t xml:space="preserve">ενώ από τις υπόλοιπες μεταβλητές, </w:t>
      </w:r>
      <w:r>
        <w:rPr>
          <w:rFonts w:ascii="Century Gothic" w:hAnsi="Century Gothic" w:cs="Times New Roman"/>
          <w:sz w:val="20"/>
          <w:szCs w:val="20"/>
        </w:rPr>
        <w:t xml:space="preserve">βελτιωτικά κινείται το ισοζύγιο στις </w:t>
      </w:r>
      <w:r w:rsidRPr="00CB6CE9">
        <w:rPr>
          <w:rFonts w:ascii="Century Gothic" w:hAnsi="Century Gothic" w:cs="Times New Roman"/>
          <w:sz w:val="20"/>
          <w:szCs w:val="20"/>
        </w:rPr>
        <w:t xml:space="preserve">προβλέψεις για την απασχόληση </w:t>
      </w:r>
      <w:r>
        <w:rPr>
          <w:rFonts w:ascii="Century Gothic" w:hAnsi="Century Gothic" w:cs="Times New Roman"/>
          <w:sz w:val="20"/>
          <w:szCs w:val="20"/>
        </w:rPr>
        <w:t>(-6 από -25 μον.), με το δείκτη πρόβλεψης</w:t>
      </w:r>
      <w:r w:rsidRPr="00CB6CE9">
        <w:rPr>
          <w:rFonts w:ascii="Century Gothic" w:hAnsi="Century Gothic" w:cs="Times New Roman"/>
          <w:sz w:val="20"/>
          <w:szCs w:val="20"/>
        </w:rPr>
        <w:t xml:space="preserve"> για τις τιμές </w:t>
      </w:r>
      <w:r>
        <w:rPr>
          <w:rFonts w:ascii="Century Gothic" w:hAnsi="Century Gothic" w:cs="Times New Roman"/>
          <w:sz w:val="20"/>
          <w:szCs w:val="20"/>
        </w:rPr>
        <w:t xml:space="preserve">να κατρακυλά </w:t>
      </w:r>
      <w:r w:rsidRPr="00CB6CE9">
        <w:rPr>
          <w:rFonts w:ascii="Century Gothic" w:hAnsi="Century Gothic" w:cs="Times New Roman"/>
          <w:sz w:val="20"/>
          <w:szCs w:val="20"/>
        </w:rPr>
        <w:t xml:space="preserve">στις </w:t>
      </w:r>
      <w:r>
        <w:rPr>
          <w:rFonts w:ascii="Century Gothic" w:hAnsi="Century Gothic" w:cs="Times New Roman"/>
          <w:sz w:val="20"/>
          <w:szCs w:val="20"/>
        </w:rPr>
        <w:t>-40 μονάδες (από -27). Τέλος, παραμένει στο 8</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το ποσοστό </w:t>
      </w:r>
      <w:r w:rsidRPr="00CB6CE9">
        <w:rPr>
          <w:rFonts w:ascii="Century Gothic" w:hAnsi="Century Gothic" w:cs="Times New Roman"/>
          <w:sz w:val="20"/>
          <w:szCs w:val="20"/>
        </w:rPr>
        <w:t xml:space="preserve">των επιχειρήσεων </w:t>
      </w:r>
      <w:r>
        <w:rPr>
          <w:rFonts w:ascii="Century Gothic" w:hAnsi="Century Gothic" w:cs="Times New Roman"/>
          <w:sz w:val="20"/>
          <w:szCs w:val="20"/>
        </w:rPr>
        <w:t xml:space="preserve">που </w:t>
      </w:r>
      <w:r w:rsidRPr="00CB6CE9">
        <w:rPr>
          <w:rFonts w:ascii="Century Gothic" w:hAnsi="Century Gothic" w:cs="Times New Roman"/>
          <w:sz w:val="20"/>
          <w:szCs w:val="20"/>
        </w:rPr>
        <w:t>δηλώνει απρόσκοπτη επιχειρημ</w:t>
      </w:r>
      <w:r>
        <w:rPr>
          <w:rFonts w:ascii="Century Gothic" w:hAnsi="Century Gothic" w:cs="Times New Roman"/>
          <w:sz w:val="20"/>
          <w:szCs w:val="20"/>
        </w:rPr>
        <w:t>ατική λειτουργία, με τις</w:t>
      </w:r>
      <w:r w:rsidRPr="00CB6CE9">
        <w:rPr>
          <w:rFonts w:ascii="Century Gothic" w:hAnsi="Century Gothic" w:cs="Times New Roman"/>
          <w:sz w:val="20"/>
          <w:szCs w:val="20"/>
        </w:rPr>
        <w:t xml:space="preserve"> υπόλοιπες </w:t>
      </w:r>
      <w:r>
        <w:rPr>
          <w:rFonts w:ascii="Century Gothic" w:hAnsi="Century Gothic" w:cs="Times New Roman"/>
          <w:sz w:val="20"/>
          <w:szCs w:val="20"/>
        </w:rPr>
        <w:t>να αναφέρουν</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κυρίως </w:t>
      </w:r>
      <w:r w:rsidRPr="00CB6CE9">
        <w:rPr>
          <w:rFonts w:ascii="Century Gothic" w:hAnsi="Century Gothic" w:cs="Times New Roman"/>
          <w:sz w:val="20"/>
          <w:szCs w:val="20"/>
        </w:rPr>
        <w:t xml:space="preserve">την </w:t>
      </w:r>
      <w:r>
        <w:rPr>
          <w:rFonts w:ascii="Century Gothic" w:hAnsi="Century Gothic" w:cs="Times New Roman"/>
          <w:sz w:val="20"/>
          <w:szCs w:val="20"/>
        </w:rPr>
        <w:t>ανεπάρκεια</w:t>
      </w:r>
      <w:r w:rsidRPr="00CB6CE9">
        <w:rPr>
          <w:rFonts w:ascii="Century Gothic" w:hAnsi="Century Gothic" w:cs="Times New Roman"/>
          <w:sz w:val="20"/>
          <w:szCs w:val="20"/>
        </w:rPr>
        <w:t xml:space="preserve"> κεφαλαίων κίνησης </w:t>
      </w:r>
      <w:r>
        <w:rPr>
          <w:rFonts w:ascii="Century Gothic" w:hAnsi="Century Gothic" w:cs="Times New Roman"/>
          <w:sz w:val="20"/>
          <w:szCs w:val="20"/>
        </w:rPr>
        <w:t xml:space="preserve">(48%), </w:t>
      </w:r>
      <w:r w:rsidRPr="00CB6CE9">
        <w:rPr>
          <w:rFonts w:ascii="Century Gothic" w:hAnsi="Century Gothic" w:cs="Times New Roman"/>
          <w:sz w:val="20"/>
          <w:szCs w:val="20"/>
        </w:rPr>
        <w:t xml:space="preserve">την ανεπάρκεια ζήτησης </w:t>
      </w:r>
      <w:r>
        <w:rPr>
          <w:rFonts w:ascii="Century Gothic" w:hAnsi="Century Gothic" w:cs="Times New Roman"/>
          <w:sz w:val="20"/>
          <w:szCs w:val="20"/>
        </w:rPr>
        <w:t xml:space="preserve">(28%) και την τρέχουσα συγκυρία (16%) </w:t>
      </w:r>
      <w:r w:rsidRPr="00CB6CE9">
        <w:rPr>
          <w:rFonts w:ascii="Century Gothic" w:hAnsi="Century Gothic" w:cs="Times New Roman"/>
          <w:sz w:val="20"/>
          <w:szCs w:val="20"/>
        </w:rPr>
        <w:t>ως τα βασικότερα λειτουργικά</w:t>
      </w:r>
      <w:r>
        <w:rPr>
          <w:rFonts w:ascii="Century Gothic" w:hAnsi="Century Gothic" w:cs="Times New Roman"/>
          <w:sz w:val="20"/>
          <w:szCs w:val="20"/>
        </w:rPr>
        <w:t xml:space="preserve"> τους</w:t>
      </w:r>
      <w:r w:rsidRPr="00CB6CE9">
        <w:rPr>
          <w:rFonts w:ascii="Century Gothic" w:hAnsi="Century Gothic" w:cs="Times New Roman"/>
          <w:sz w:val="20"/>
          <w:szCs w:val="20"/>
        </w:rPr>
        <w:t xml:space="preserve"> κωλύματα.</w:t>
      </w:r>
    </w:p>
    <w:p w:rsidR="00BE6140" w:rsidRPr="00CB6CE9" w:rsidRDefault="00BE6140" w:rsidP="00E00BE9">
      <w:pPr>
        <w:numPr>
          <w:ilvl w:val="12"/>
          <w:numId w:val="0"/>
        </w:numPr>
        <w:ind w:left="1985" w:hanging="1985"/>
        <w:jc w:val="center"/>
        <w:outlineLvl w:val="0"/>
        <w:rPr>
          <w:rFonts w:ascii="Century Gothic" w:hAnsi="Century Gothic" w:cs="Times New Roman"/>
          <w:sz w:val="18"/>
          <w:szCs w:val="18"/>
        </w:rPr>
      </w:pPr>
      <w:r w:rsidRPr="00CB6CE9">
        <w:rPr>
          <w:rFonts w:ascii="Century Gothic" w:hAnsi="Century Gothic" w:cs="Times New Roman"/>
          <w:b/>
          <w:bCs/>
          <w:sz w:val="18"/>
          <w:szCs w:val="18"/>
        </w:rPr>
        <w:t xml:space="preserve">Πίνακας 5: </w:t>
      </w:r>
      <w:r w:rsidRPr="00CB6CE9">
        <w:rPr>
          <w:rFonts w:ascii="Century Gothic" w:hAnsi="Century Gothic" w:cs="Times New Roman"/>
          <w:sz w:val="18"/>
          <w:szCs w:val="18"/>
        </w:rPr>
        <w:t>Δείκτης Επιχειρηματικών Προσδοκιών στις Υπηρεσίες</w:t>
      </w:r>
    </w:p>
    <w:tbl>
      <w:tblPr>
        <w:tblW w:w="9005" w:type="dxa"/>
        <w:jc w:val="center"/>
        <w:tblBorders>
          <w:top w:val="single" w:sz="4" w:space="0" w:color="943634"/>
          <w:left w:val="single" w:sz="4" w:space="0" w:color="943634"/>
          <w:bottom w:val="single" w:sz="4" w:space="0" w:color="943634"/>
          <w:right w:val="single" w:sz="4" w:space="0" w:color="943634"/>
          <w:insideH w:val="single" w:sz="4" w:space="0" w:color="FFFFFF"/>
          <w:insideV w:val="single" w:sz="4" w:space="0" w:color="FFFFFF"/>
        </w:tblBorders>
        <w:tblLook w:val="01E0"/>
      </w:tblPr>
      <w:tblGrid>
        <w:gridCol w:w="768"/>
        <w:gridCol w:w="771"/>
        <w:gridCol w:w="422"/>
        <w:gridCol w:w="482"/>
        <w:gridCol w:w="432"/>
        <w:gridCol w:w="362"/>
        <w:gridCol w:w="805"/>
        <w:gridCol w:w="208"/>
        <w:gridCol w:w="999"/>
        <w:gridCol w:w="728"/>
        <w:gridCol w:w="45"/>
        <w:gridCol w:w="605"/>
        <w:gridCol w:w="78"/>
        <w:gridCol w:w="489"/>
        <w:gridCol w:w="239"/>
        <w:gridCol w:w="328"/>
        <w:gridCol w:w="400"/>
        <w:gridCol w:w="167"/>
        <w:gridCol w:w="677"/>
      </w:tblGrid>
      <w:tr w:rsidR="00BE6140" w:rsidRPr="00CB6CE9" w:rsidTr="00C25B17">
        <w:trPr>
          <w:jc w:val="center"/>
        </w:trPr>
        <w:tc>
          <w:tcPr>
            <w:tcW w:w="1961" w:type="dxa"/>
            <w:gridSpan w:val="3"/>
            <w:tcBorders>
              <w:top w:val="single" w:sz="4" w:space="0" w:color="943634"/>
            </w:tcBorders>
            <w:shd w:val="clear" w:color="auto" w:fill="9E3A38"/>
            <w:vAlign w:val="center"/>
          </w:tcPr>
          <w:p w:rsidR="00BE6140" w:rsidRPr="00CB6CE9" w:rsidRDefault="00BE6140" w:rsidP="00951945">
            <w:pPr>
              <w:jc w:val="center"/>
              <w:rPr>
                <w:rFonts w:ascii="Century Gothic" w:hAnsi="Century Gothic" w:cs="Times New Roman"/>
                <w:b/>
                <w:bCs/>
                <w:color w:val="FFFFFF"/>
                <w:sz w:val="18"/>
                <w:szCs w:val="18"/>
              </w:rPr>
            </w:pPr>
            <w:r w:rsidRPr="00CB6CE9">
              <w:rPr>
                <w:rFonts w:ascii="Century Gothic" w:hAnsi="Century Gothic" w:cs="Times New Roman"/>
                <w:b/>
                <w:bCs/>
                <w:color w:val="FFFFFF"/>
                <w:sz w:val="18"/>
                <w:szCs w:val="18"/>
              </w:rPr>
              <w:t>Τομέας</w:t>
            </w:r>
          </w:p>
        </w:tc>
        <w:tc>
          <w:tcPr>
            <w:tcW w:w="2081" w:type="dxa"/>
            <w:gridSpan w:val="4"/>
            <w:tcBorders>
              <w:top w:val="single" w:sz="4" w:space="0" w:color="943634"/>
            </w:tcBorders>
            <w:shd w:val="clear" w:color="auto" w:fill="9E3A38"/>
            <w:vAlign w:val="center"/>
          </w:tcPr>
          <w:p w:rsidR="00BE6140" w:rsidRPr="00CB6CE9" w:rsidRDefault="00BE6140" w:rsidP="00C25B17">
            <w:pPr>
              <w:jc w:val="center"/>
              <w:rPr>
                <w:rFonts w:ascii="Century Gothic" w:hAnsi="Century Gothic" w:cs="Times New Roman"/>
                <w:b/>
                <w:bCs/>
                <w:color w:val="FFFFFF"/>
                <w:sz w:val="18"/>
                <w:szCs w:val="18"/>
              </w:rPr>
            </w:pPr>
            <w:r w:rsidRPr="00CB6CE9">
              <w:rPr>
                <w:rFonts w:ascii="Century Gothic" w:hAnsi="Century Gothic" w:cs="Times New Roman"/>
                <w:b/>
                <w:bCs/>
                <w:color w:val="FFFFFF"/>
                <w:sz w:val="18"/>
                <w:szCs w:val="18"/>
              </w:rPr>
              <w:t>Ακραίες τιμές</w:t>
            </w:r>
            <w:r>
              <w:rPr>
                <w:rFonts w:ascii="Century Gothic" w:hAnsi="Century Gothic" w:cs="Times New Roman"/>
                <w:b/>
                <w:bCs/>
                <w:color w:val="FFFFFF"/>
                <w:sz w:val="18"/>
                <w:szCs w:val="18"/>
              </w:rPr>
              <w:t xml:space="preserve"> </w:t>
            </w:r>
          </w:p>
        </w:tc>
        <w:tc>
          <w:tcPr>
            <w:tcW w:w="4963" w:type="dxa"/>
            <w:gridSpan w:val="12"/>
            <w:tcBorders>
              <w:top w:val="single" w:sz="4" w:space="0" w:color="943634"/>
            </w:tcBorders>
            <w:shd w:val="clear" w:color="auto" w:fill="9E3A38"/>
            <w:vAlign w:val="center"/>
          </w:tcPr>
          <w:p w:rsidR="00BE6140" w:rsidRPr="00CB6CE9" w:rsidRDefault="00BE6140" w:rsidP="00951945">
            <w:pPr>
              <w:jc w:val="center"/>
              <w:rPr>
                <w:rFonts w:ascii="Century Gothic" w:hAnsi="Century Gothic" w:cs="Times New Roman"/>
                <w:b/>
                <w:bCs/>
                <w:color w:val="FFFFFF"/>
                <w:sz w:val="18"/>
                <w:szCs w:val="18"/>
              </w:rPr>
            </w:pPr>
            <w:r w:rsidRPr="00CB6CE9">
              <w:rPr>
                <w:rFonts w:ascii="Century Gothic" w:hAnsi="Century Gothic" w:cs="Times New Roman"/>
                <w:b/>
                <w:bCs/>
                <w:color w:val="FFFFFF"/>
                <w:sz w:val="18"/>
                <w:szCs w:val="18"/>
              </w:rPr>
              <w:t>Μέσος όρος</w:t>
            </w:r>
          </w:p>
        </w:tc>
      </w:tr>
      <w:tr w:rsidR="00BE6140" w:rsidRPr="00CB6CE9" w:rsidTr="00C25B17">
        <w:trPr>
          <w:jc w:val="center"/>
        </w:trPr>
        <w:tc>
          <w:tcPr>
            <w:tcW w:w="1961" w:type="dxa"/>
            <w:gridSpan w:val="3"/>
            <w:vMerge w:val="restart"/>
            <w:shd w:val="clear" w:color="auto" w:fill="DBE5F1"/>
            <w:vAlign w:val="center"/>
          </w:tcPr>
          <w:p w:rsidR="00BE6140" w:rsidRPr="00CB6CE9" w:rsidRDefault="00BE6140" w:rsidP="00951945">
            <w:pPr>
              <w:pStyle w:val="2"/>
              <w:tabs>
                <w:tab w:val="center" w:pos="4153"/>
                <w:tab w:val="right" w:pos="8306"/>
              </w:tabs>
              <w:rPr>
                <w:rFonts w:ascii="Century Gothic" w:hAnsi="Century Gothic"/>
                <w:i w:val="0"/>
                <w:iCs w:val="0"/>
                <w:lang w:val="en-US"/>
              </w:rPr>
            </w:pPr>
            <w:r w:rsidRPr="00CB6CE9">
              <w:rPr>
                <w:rFonts w:ascii="Century Gothic" w:hAnsi="Century Gothic"/>
                <w:i w:val="0"/>
                <w:iCs w:val="0"/>
              </w:rPr>
              <w:t>Υπηρεσίες</w:t>
            </w:r>
          </w:p>
          <w:p w:rsidR="00BE6140" w:rsidRPr="00CB6CE9" w:rsidRDefault="00BE6140" w:rsidP="00951945">
            <w:pPr>
              <w:pStyle w:val="2"/>
              <w:tabs>
                <w:tab w:val="center" w:pos="4153"/>
                <w:tab w:val="right" w:pos="8306"/>
              </w:tabs>
              <w:rPr>
                <w:rFonts w:ascii="Century Gothic" w:hAnsi="Century Gothic"/>
                <w:b w:val="0"/>
                <w:i w:val="0"/>
                <w:iCs w:val="0"/>
              </w:rPr>
            </w:pPr>
            <w:r w:rsidRPr="00CB6CE9">
              <w:rPr>
                <w:rFonts w:ascii="Century Gothic" w:hAnsi="Century Gothic"/>
                <w:b w:val="0"/>
                <w:i w:val="0"/>
                <w:iCs w:val="0"/>
              </w:rPr>
              <w:t>(1998-2006=100)</w:t>
            </w:r>
          </w:p>
        </w:tc>
        <w:tc>
          <w:tcPr>
            <w:tcW w:w="914" w:type="dxa"/>
            <w:gridSpan w:val="2"/>
            <w:shd w:val="clear" w:color="auto" w:fill="D3DFEE"/>
            <w:vAlign w:val="center"/>
          </w:tcPr>
          <w:p w:rsidR="00BE6140" w:rsidRPr="00CB6CE9" w:rsidRDefault="00BE6140" w:rsidP="00951945">
            <w:pPr>
              <w:tabs>
                <w:tab w:val="center" w:pos="4153"/>
                <w:tab w:val="right" w:pos="8306"/>
              </w:tabs>
              <w:jc w:val="center"/>
              <w:rPr>
                <w:rFonts w:ascii="Century Gothic" w:hAnsi="Century Gothic" w:cs="Times New Roman"/>
                <w:b/>
                <w:bCs/>
                <w:sz w:val="18"/>
                <w:szCs w:val="18"/>
                <w:lang w:val="en-US"/>
              </w:rPr>
            </w:pPr>
            <w:r w:rsidRPr="00CB6CE9">
              <w:rPr>
                <w:rFonts w:ascii="Century Gothic" w:hAnsi="Century Gothic" w:cs="Times New Roman"/>
                <w:b/>
                <w:bCs/>
                <w:sz w:val="18"/>
                <w:szCs w:val="18"/>
                <w:lang w:val="en-US"/>
              </w:rPr>
              <w:t>Min</w:t>
            </w:r>
          </w:p>
        </w:tc>
        <w:tc>
          <w:tcPr>
            <w:tcW w:w="1167" w:type="dxa"/>
            <w:gridSpan w:val="2"/>
            <w:shd w:val="clear" w:color="auto" w:fill="DBE5F1"/>
            <w:vAlign w:val="center"/>
          </w:tcPr>
          <w:p w:rsidR="00BE6140" w:rsidRPr="00CB6CE9" w:rsidRDefault="00BE6140" w:rsidP="00951945">
            <w:pPr>
              <w:tabs>
                <w:tab w:val="center" w:pos="4153"/>
                <w:tab w:val="right" w:pos="8306"/>
              </w:tabs>
              <w:jc w:val="center"/>
              <w:rPr>
                <w:rFonts w:ascii="Century Gothic" w:hAnsi="Century Gothic" w:cs="Times New Roman"/>
                <w:b/>
                <w:bCs/>
                <w:sz w:val="18"/>
                <w:szCs w:val="18"/>
                <w:lang w:val="en-US"/>
              </w:rPr>
            </w:pPr>
            <w:r w:rsidRPr="00CB6CE9">
              <w:rPr>
                <w:rFonts w:ascii="Century Gothic" w:hAnsi="Century Gothic" w:cs="Times New Roman"/>
                <w:b/>
                <w:bCs/>
                <w:sz w:val="18"/>
                <w:szCs w:val="18"/>
                <w:lang w:val="en-US"/>
              </w:rPr>
              <w:t>Max</w:t>
            </w:r>
          </w:p>
        </w:tc>
        <w:tc>
          <w:tcPr>
            <w:tcW w:w="1207" w:type="dxa"/>
            <w:gridSpan w:val="2"/>
            <w:shd w:val="clear" w:color="auto" w:fill="D3DFEE"/>
            <w:vAlign w:val="center"/>
          </w:tcPr>
          <w:p w:rsidR="00BE6140" w:rsidRPr="00CB6CE9" w:rsidRDefault="00BE6140" w:rsidP="00951945">
            <w:pPr>
              <w:jc w:val="center"/>
              <w:rPr>
                <w:rFonts w:ascii="Century Gothic" w:hAnsi="Century Gothic" w:cs="Times New Roman"/>
                <w:b/>
                <w:bCs/>
                <w:color w:val="000000"/>
                <w:sz w:val="18"/>
                <w:szCs w:val="18"/>
                <w:lang w:val="en-US"/>
              </w:rPr>
            </w:pPr>
            <w:r w:rsidRPr="00CB6CE9">
              <w:rPr>
                <w:rFonts w:ascii="Century Gothic" w:hAnsi="Century Gothic" w:cs="Times New Roman"/>
                <w:b/>
                <w:bCs/>
                <w:color w:val="000000"/>
                <w:sz w:val="18"/>
                <w:szCs w:val="18"/>
                <w:lang w:val="en-US"/>
              </w:rPr>
              <w:t>2001-20</w:t>
            </w:r>
            <w:r w:rsidRPr="00CB6CE9">
              <w:rPr>
                <w:rFonts w:ascii="Century Gothic" w:hAnsi="Century Gothic" w:cs="Times New Roman"/>
                <w:b/>
                <w:bCs/>
                <w:color w:val="000000"/>
                <w:sz w:val="18"/>
                <w:szCs w:val="18"/>
              </w:rPr>
              <w:t>1</w:t>
            </w:r>
            <w:r w:rsidRPr="00CB6CE9">
              <w:rPr>
                <w:rFonts w:ascii="Century Gothic" w:hAnsi="Century Gothic" w:cs="Times New Roman"/>
                <w:b/>
                <w:bCs/>
                <w:color w:val="000000"/>
                <w:sz w:val="18"/>
                <w:szCs w:val="18"/>
                <w:lang w:val="en-US"/>
              </w:rPr>
              <w:t>2</w:t>
            </w:r>
          </w:p>
        </w:tc>
        <w:tc>
          <w:tcPr>
            <w:tcW w:w="728" w:type="dxa"/>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2008</w:t>
            </w:r>
          </w:p>
        </w:tc>
        <w:tc>
          <w:tcPr>
            <w:tcW w:w="728" w:type="dxa"/>
            <w:gridSpan w:val="3"/>
            <w:shd w:val="clear" w:color="auto" w:fill="D3DFEE"/>
            <w:vAlign w:val="center"/>
          </w:tcPr>
          <w:p w:rsidR="00BE6140" w:rsidRPr="00CB6CE9" w:rsidRDefault="00BE6140" w:rsidP="00951945">
            <w:pPr>
              <w:pStyle w:val="2"/>
              <w:rPr>
                <w:rFonts w:ascii="Century Gothic" w:hAnsi="Century Gothic"/>
                <w:i w:val="0"/>
                <w:iCs w:val="0"/>
                <w:color w:val="000000"/>
                <w:lang w:val="en-GB"/>
              </w:rPr>
            </w:pPr>
            <w:r w:rsidRPr="00CB6CE9">
              <w:rPr>
                <w:rFonts w:ascii="Century Gothic" w:hAnsi="Century Gothic"/>
                <w:i w:val="0"/>
                <w:iCs w:val="0"/>
                <w:color w:val="000000"/>
                <w:lang w:val="en-GB"/>
              </w:rPr>
              <w:t>2009</w:t>
            </w:r>
          </w:p>
        </w:tc>
        <w:tc>
          <w:tcPr>
            <w:tcW w:w="728"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2010</w:t>
            </w:r>
          </w:p>
        </w:tc>
        <w:tc>
          <w:tcPr>
            <w:tcW w:w="728"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2011</w:t>
            </w:r>
          </w:p>
        </w:tc>
        <w:tc>
          <w:tcPr>
            <w:tcW w:w="844" w:type="dxa"/>
            <w:gridSpan w:val="2"/>
            <w:shd w:val="clear" w:color="auto" w:fill="DBE5F1"/>
            <w:vAlign w:val="center"/>
          </w:tcPr>
          <w:p w:rsidR="00BE6140" w:rsidRPr="00CB6CE9" w:rsidRDefault="00BE6140" w:rsidP="00951945">
            <w:pPr>
              <w:pStyle w:val="2"/>
              <w:rPr>
                <w:rFonts w:ascii="Century Gothic" w:hAnsi="Century Gothic"/>
                <w:i w:val="0"/>
                <w:iCs w:val="0"/>
                <w:color w:val="000000"/>
                <w:lang w:val="en-US"/>
              </w:rPr>
            </w:pPr>
            <w:r w:rsidRPr="00CB6CE9">
              <w:rPr>
                <w:rFonts w:ascii="Century Gothic" w:hAnsi="Century Gothic"/>
                <w:i w:val="0"/>
                <w:iCs w:val="0"/>
                <w:color w:val="000000"/>
                <w:lang w:val="en-US"/>
              </w:rPr>
              <w:t>2012</w:t>
            </w:r>
          </w:p>
        </w:tc>
      </w:tr>
      <w:tr w:rsidR="00BE6140" w:rsidRPr="00CB6CE9" w:rsidTr="00C25B17">
        <w:trPr>
          <w:trHeight w:val="488"/>
          <w:jc w:val="center"/>
        </w:trPr>
        <w:tc>
          <w:tcPr>
            <w:tcW w:w="0" w:type="auto"/>
            <w:gridSpan w:val="3"/>
            <w:vMerge/>
            <w:vAlign w:val="center"/>
          </w:tcPr>
          <w:p w:rsidR="00BE6140" w:rsidRPr="00CB6CE9" w:rsidRDefault="00BE6140" w:rsidP="00951945">
            <w:pPr>
              <w:jc w:val="center"/>
              <w:rPr>
                <w:rFonts w:ascii="Century Gothic" w:hAnsi="Century Gothic" w:cs="Times New Roman"/>
                <w:b/>
                <w:bCs/>
                <w:sz w:val="18"/>
                <w:szCs w:val="18"/>
              </w:rPr>
            </w:pPr>
          </w:p>
        </w:tc>
        <w:tc>
          <w:tcPr>
            <w:tcW w:w="914" w:type="dxa"/>
            <w:gridSpan w:val="2"/>
            <w:shd w:val="clear" w:color="auto" w:fill="D3DFEE"/>
            <w:vAlign w:val="center"/>
          </w:tcPr>
          <w:p w:rsidR="00BE6140" w:rsidRDefault="00BE6140" w:rsidP="00951945">
            <w:pPr>
              <w:tabs>
                <w:tab w:val="center" w:pos="4153"/>
                <w:tab w:val="right" w:pos="8306"/>
              </w:tabs>
              <w:jc w:val="center"/>
              <w:rPr>
                <w:rFonts w:ascii="Century Gothic" w:hAnsi="Century Gothic" w:cs="Times New Roman"/>
                <w:sz w:val="18"/>
                <w:szCs w:val="18"/>
              </w:rPr>
            </w:pPr>
            <w:r w:rsidRPr="00CB6CE9">
              <w:rPr>
                <w:rFonts w:ascii="Century Gothic" w:hAnsi="Century Gothic" w:cs="Times New Roman"/>
                <w:sz w:val="18"/>
                <w:szCs w:val="18"/>
              </w:rPr>
              <w:t>53,4</w:t>
            </w:r>
            <w:r w:rsidRPr="00CB6CE9">
              <w:rPr>
                <w:rFonts w:ascii="Century Gothic" w:hAnsi="Century Gothic" w:cs="Times New Roman"/>
                <w:sz w:val="18"/>
                <w:szCs w:val="18"/>
                <w:lang w:val="en-US"/>
              </w:rPr>
              <w:t xml:space="preserve"> </w:t>
            </w:r>
          </w:p>
          <w:p w:rsidR="00BE6140" w:rsidRPr="00CB6CE9" w:rsidRDefault="00BE6140" w:rsidP="00951945">
            <w:pPr>
              <w:tabs>
                <w:tab w:val="center" w:pos="4153"/>
                <w:tab w:val="right" w:pos="8306"/>
              </w:tabs>
              <w:jc w:val="center"/>
              <w:rPr>
                <w:rFonts w:ascii="Century Gothic" w:hAnsi="Century Gothic" w:cs="Times New Roman"/>
                <w:color w:val="000000"/>
                <w:sz w:val="18"/>
                <w:szCs w:val="18"/>
              </w:rPr>
            </w:pPr>
            <w:r w:rsidRPr="00CB6CE9">
              <w:rPr>
                <w:rFonts w:ascii="Century Gothic" w:hAnsi="Century Gothic" w:cs="Times New Roman"/>
                <w:iCs/>
                <w:sz w:val="18"/>
                <w:szCs w:val="18"/>
              </w:rPr>
              <w:t>Φεβ-12</w:t>
            </w:r>
          </w:p>
        </w:tc>
        <w:tc>
          <w:tcPr>
            <w:tcW w:w="1167" w:type="dxa"/>
            <w:gridSpan w:val="2"/>
            <w:shd w:val="clear" w:color="auto" w:fill="EDF2F8"/>
            <w:vAlign w:val="center"/>
          </w:tcPr>
          <w:p w:rsidR="00BE6140" w:rsidRPr="00CB6CE9" w:rsidRDefault="00BE6140" w:rsidP="00951945">
            <w:pPr>
              <w:tabs>
                <w:tab w:val="center" w:pos="4153"/>
                <w:tab w:val="right" w:pos="8306"/>
              </w:tabs>
              <w:jc w:val="center"/>
              <w:rPr>
                <w:rFonts w:ascii="Century Gothic" w:hAnsi="Century Gothic" w:cs="Times New Roman"/>
                <w:sz w:val="18"/>
                <w:szCs w:val="18"/>
                <w:lang w:val="en-US"/>
              </w:rPr>
            </w:pPr>
            <w:r w:rsidRPr="00CB6CE9">
              <w:rPr>
                <w:rFonts w:ascii="Century Gothic" w:hAnsi="Century Gothic" w:cs="Times New Roman"/>
                <w:sz w:val="18"/>
                <w:szCs w:val="18"/>
              </w:rPr>
              <w:t>122,5</w:t>
            </w:r>
            <w:r w:rsidRPr="00CB6CE9">
              <w:rPr>
                <w:rFonts w:ascii="Century Gothic" w:hAnsi="Century Gothic" w:cs="Times New Roman"/>
                <w:sz w:val="18"/>
                <w:szCs w:val="18"/>
                <w:lang w:val="en-US"/>
              </w:rPr>
              <w:t xml:space="preserve"> </w:t>
            </w:r>
          </w:p>
          <w:p w:rsidR="00BE6140" w:rsidRPr="00CB6CE9" w:rsidRDefault="00BE6140" w:rsidP="00951945">
            <w:pPr>
              <w:tabs>
                <w:tab w:val="center" w:pos="4153"/>
                <w:tab w:val="right" w:pos="8306"/>
              </w:tabs>
              <w:jc w:val="center"/>
              <w:rPr>
                <w:rFonts w:ascii="Century Gothic" w:hAnsi="Century Gothic" w:cs="Times New Roman"/>
                <w:color w:val="000000"/>
                <w:sz w:val="18"/>
                <w:szCs w:val="18"/>
              </w:rPr>
            </w:pPr>
            <w:r w:rsidRPr="00CB6CE9">
              <w:rPr>
                <w:rFonts w:ascii="Century Gothic" w:hAnsi="Century Gothic" w:cs="Times New Roman"/>
                <w:iCs/>
                <w:sz w:val="18"/>
                <w:szCs w:val="18"/>
              </w:rPr>
              <w:t>γ’ τρίμ. 01</w:t>
            </w:r>
          </w:p>
        </w:tc>
        <w:tc>
          <w:tcPr>
            <w:tcW w:w="1207" w:type="dxa"/>
            <w:gridSpan w:val="2"/>
            <w:shd w:val="clear" w:color="auto" w:fill="D3DFEE"/>
            <w:vAlign w:val="center"/>
          </w:tcPr>
          <w:p w:rsidR="00BE6140" w:rsidRPr="00CB6CE9" w:rsidRDefault="00BE6140" w:rsidP="00951945">
            <w:pPr>
              <w:tabs>
                <w:tab w:val="center" w:pos="4153"/>
                <w:tab w:val="right" w:pos="8306"/>
              </w:tabs>
              <w:jc w:val="center"/>
              <w:rPr>
                <w:rFonts w:ascii="Century Gothic" w:hAnsi="Century Gothic" w:cs="Times New Roman"/>
                <w:sz w:val="18"/>
                <w:szCs w:val="18"/>
              </w:rPr>
            </w:pPr>
            <w:r w:rsidRPr="00CB6CE9">
              <w:rPr>
                <w:rFonts w:ascii="Century Gothic" w:hAnsi="Century Gothic" w:cs="Times New Roman"/>
                <w:sz w:val="18"/>
                <w:szCs w:val="18"/>
              </w:rPr>
              <w:t>85,1</w:t>
            </w:r>
          </w:p>
        </w:tc>
        <w:tc>
          <w:tcPr>
            <w:tcW w:w="728" w:type="dxa"/>
            <w:shd w:val="clear" w:color="auto" w:fill="EDF2F8"/>
            <w:vAlign w:val="center"/>
          </w:tcPr>
          <w:p w:rsidR="00BE6140" w:rsidRPr="00CB6CE9" w:rsidRDefault="00BE6140" w:rsidP="00951945">
            <w:pPr>
              <w:tabs>
                <w:tab w:val="center" w:pos="4153"/>
                <w:tab w:val="right" w:pos="8306"/>
              </w:tabs>
              <w:jc w:val="center"/>
              <w:rPr>
                <w:rFonts w:ascii="Century Gothic" w:hAnsi="Century Gothic" w:cs="Times New Roman"/>
                <w:sz w:val="18"/>
                <w:szCs w:val="18"/>
              </w:rPr>
            </w:pPr>
            <w:r w:rsidRPr="00CB6CE9">
              <w:rPr>
                <w:rFonts w:ascii="Century Gothic" w:hAnsi="Century Gothic" w:cs="Times New Roman"/>
                <w:sz w:val="18"/>
                <w:szCs w:val="18"/>
              </w:rPr>
              <w:t>97,8</w:t>
            </w:r>
          </w:p>
        </w:tc>
        <w:tc>
          <w:tcPr>
            <w:tcW w:w="728" w:type="dxa"/>
            <w:gridSpan w:val="3"/>
            <w:shd w:val="clear" w:color="auto" w:fill="D3DFEE"/>
            <w:vAlign w:val="center"/>
          </w:tcPr>
          <w:p w:rsidR="00BE6140" w:rsidRPr="00CB6CE9" w:rsidRDefault="00BE6140" w:rsidP="00951945">
            <w:pPr>
              <w:tabs>
                <w:tab w:val="center" w:pos="4153"/>
                <w:tab w:val="right" w:pos="8306"/>
              </w:tabs>
              <w:jc w:val="center"/>
              <w:rPr>
                <w:rFonts w:ascii="Century Gothic" w:hAnsi="Century Gothic" w:cs="Times New Roman"/>
                <w:sz w:val="18"/>
                <w:szCs w:val="18"/>
              </w:rPr>
            </w:pPr>
            <w:r w:rsidRPr="00CB6CE9">
              <w:rPr>
                <w:rFonts w:ascii="Century Gothic" w:hAnsi="Century Gothic" w:cs="Times New Roman"/>
                <w:sz w:val="18"/>
                <w:szCs w:val="18"/>
              </w:rPr>
              <w:t>70,1</w:t>
            </w:r>
          </w:p>
        </w:tc>
        <w:tc>
          <w:tcPr>
            <w:tcW w:w="728" w:type="dxa"/>
            <w:gridSpan w:val="2"/>
            <w:shd w:val="clear" w:color="auto" w:fill="EDF2F8"/>
            <w:vAlign w:val="center"/>
          </w:tcPr>
          <w:p w:rsidR="00BE6140" w:rsidRPr="00CB6CE9" w:rsidRDefault="00BE6140" w:rsidP="00951945">
            <w:pPr>
              <w:tabs>
                <w:tab w:val="center" w:pos="4153"/>
                <w:tab w:val="right" w:pos="8306"/>
              </w:tabs>
              <w:jc w:val="center"/>
              <w:rPr>
                <w:rFonts w:ascii="Century Gothic" w:hAnsi="Century Gothic" w:cs="Times New Roman"/>
                <w:sz w:val="18"/>
                <w:szCs w:val="18"/>
              </w:rPr>
            </w:pPr>
            <w:r w:rsidRPr="00CB6CE9">
              <w:rPr>
                <w:rFonts w:ascii="Century Gothic" w:hAnsi="Century Gothic" w:cs="Times New Roman"/>
                <w:sz w:val="18"/>
                <w:szCs w:val="18"/>
              </w:rPr>
              <w:t>63,6</w:t>
            </w:r>
          </w:p>
        </w:tc>
        <w:tc>
          <w:tcPr>
            <w:tcW w:w="728" w:type="dxa"/>
            <w:gridSpan w:val="2"/>
            <w:shd w:val="clear" w:color="auto" w:fill="D3DFEE"/>
            <w:vAlign w:val="center"/>
          </w:tcPr>
          <w:p w:rsidR="00BE6140" w:rsidRPr="00CB6CE9" w:rsidRDefault="00BE6140" w:rsidP="00951945">
            <w:pPr>
              <w:tabs>
                <w:tab w:val="center" w:pos="4153"/>
                <w:tab w:val="right" w:pos="8306"/>
              </w:tabs>
              <w:jc w:val="center"/>
              <w:rPr>
                <w:rFonts w:ascii="Century Gothic" w:hAnsi="Century Gothic" w:cs="Times New Roman"/>
                <w:sz w:val="18"/>
                <w:szCs w:val="18"/>
              </w:rPr>
            </w:pPr>
            <w:r w:rsidRPr="00CB6CE9">
              <w:rPr>
                <w:rFonts w:ascii="Century Gothic" w:hAnsi="Century Gothic" w:cs="Times New Roman"/>
                <w:sz w:val="18"/>
                <w:szCs w:val="18"/>
              </w:rPr>
              <w:t>61,7</w:t>
            </w:r>
          </w:p>
        </w:tc>
        <w:tc>
          <w:tcPr>
            <w:tcW w:w="844" w:type="dxa"/>
            <w:gridSpan w:val="2"/>
            <w:shd w:val="clear" w:color="auto" w:fill="EDF2F8"/>
            <w:vAlign w:val="center"/>
          </w:tcPr>
          <w:p w:rsidR="00BE6140" w:rsidRPr="00CB6CE9" w:rsidRDefault="00BE6140" w:rsidP="00951945">
            <w:pPr>
              <w:tabs>
                <w:tab w:val="center" w:pos="4153"/>
                <w:tab w:val="right" w:pos="8306"/>
              </w:tabs>
              <w:jc w:val="center"/>
              <w:rPr>
                <w:rFonts w:ascii="Century Gothic" w:hAnsi="Century Gothic" w:cs="Times New Roman"/>
                <w:b/>
                <w:bCs/>
                <w:sz w:val="18"/>
                <w:szCs w:val="18"/>
              </w:rPr>
            </w:pPr>
            <w:r w:rsidRPr="00CB6CE9">
              <w:rPr>
                <w:rFonts w:ascii="Century Gothic" w:hAnsi="Century Gothic" w:cs="Times New Roman"/>
                <w:bCs/>
                <w:sz w:val="18"/>
                <w:szCs w:val="18"/>
              </w:rPr>
              <w:t>54,8</w:t>
            </w:r>
          </w:p>
        </w:tc>
      </w:tr>
      <w:tr w:rsidR="00BE6140" w:rsidRPr="00CB6CE9" w:rsidTr="00C25B17">
        <w:trPr>
          <w:jc w:val="center"/>
        </w:trPr>
        <w:tc>
          <w:tcPr>
            <w:tcW w:w="9005" w:type="dxa"/>
            <w:gridSpan w:val="19"/>
            <w:shd w:val="clear" w:color="auto" w:fill="943634"/>
            <w:vAlign w:val="center"/>
          </w:tcPr>
          <w:p w:rsidR="00BE6140" w:rsidRPr="00CB6CE9" w:rsidRDefault="00BE6140" w:rsidP="00951945">
            <w:pPr>
              <w:pStyle w:val="7"/>
              <w:jc w:val="center"/>
              <w:rPr>
                <w:rFonts w:ascii="Century Gothic" w:hAnsi="Century Gothic"/>
                <w:color w:val="FFFFFF"/>
              </w:rPr>
            </w:pPr>
            <w:r w:rsidRPr="00CB6CE9">
              <w:rPr>
                <w:rFonts w:ascii="Century Gothic" w:hAnsi="Century Gothic"/>
                <w:color w:val="FFFFFF"/>
              </w:rPr>
              <w:t>2012</w:t>
            </w:r>
          </w:p>
        </w:tc>
      </w:tr>
      <w:tr w:rsidR="00BE6140" w:rsidRPr="00CB6CE9" w:rsidTr="00C25B17">
        <w:trPr>
          <w:jc w:val="center"/>
        </w:trPr>
        <w:tc>
          <w:tcPr>
            <w:tcW w:w="768" w:type="dxa"/>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Ι</w:t>
            </w:r>
          </w:p>
        </w:tc>
        <w:tc>
          <w:tcPr>
            <w:tcW w:w="771" w:type="dxa"/>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Φ</w:t>
            </w:r>
          </w:p>
        </w:tc>
        <w:tc>
          <w:tcPr>
            <w:tcW w:w="904"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Μ</w:t>
            </w:r>
          </w:p>
        </w:tc>
        <w:tc>
          <w:tcPr>
            <w:tcW w:w="794"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Α</w:t>
            </w:r>
          </w:p>
        </w:tc>
        <w:tc>
          <w:tcPr>
            <w:tcW w:w="1013"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Μ</w:t>
            </w:r>
          </w:p>
        </w:tc>
        <w:tc>
          <w:tcPr>
            <w:tcW w:w="999" w:type="dxa"/>
            <w:shd w:val="clear" w:color="auto" w:fill="D3DFEE"/>
            <w:vAlign w:val="center"/>
          </w:tcPr>
          <w:p w:rsidR="00BE6140" w:rsidRPr="00CB6CE9" w:rsidRDefault="00BE6140" w:rsidP="00951945">
            <w:pPr>
              <w:jc w:val="center"/>
              <w:rPr>
                <w:rFonts w:ascii="Century Gothic" w:hAnsi="Century Gothic" w:cs="Times New Roman"/>
                <w:b/>
                <w:bCs/>
                <w:color w:val="000000"/>
                <w:sz w:val="18"/>
                <w:szCs w:val="18"/>
              </w:rPr>
            </w:pPr>
            <w:r w:rsidRPr="00CB6CE9">
              <w:rPr>
                <w:rFonts w:ascii="Century Gothic" w:hAnsi="Century Gothic" w:cs="Times New Roman"/>
                <w:b/>
                <w:bCs/>
                <w:color w:val="000000"/>
                <w:sz w:val="18"/>
                <w:szCs w:val="18"/>
              </w:rPr>
              <w:t>Ι</w:t>
            </w:r>
          </w:p>
        </w:tc>
        <w:tc>
          <w:tcPr>
            <w:tcW w:w="773"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Ι</w:t>
            </w:r>
          </w:p>
        </w:tc>
        <w:tc>
          <w:tcPr>
            <w:tcW w:w="605" w:type="dxa"/>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Α</w:t>
            </w:r>
          </w:p>
        </w:tc>
        <w:tc>
          <w:tcPr>
            <w:tcW w:w="567"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Σ</w:t>
            </w:r>
          </w:p>
        </w:tc>
        <w:tc>
          <w:tcPr>
            <w:tcW w:w="567"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Ο</w:t>
            </w:r>
          </w:p>
        </w:tc>
        <w:tc>
          <w:tcPr>
            <w:tcW w:w="567" w:type="dxa"/>
            <w:gridSpan w:val="2"/>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Ν</w:t>
            </w:r>
          </w:p>
        </w:tc>
        <w:tc>
          <w:tcPr>
            <w:tcW w:w="677" w:type="dxa"/>
            <w:shd w:val="clear" w:color="auto" w:fill="EDF2F8"/>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Δ</w:t>
            </w:r>
          </w:p>
        </w:tc>
      </w:tr>
      <w:tr w:rsidR="00BE6140" w:rsidRPr="00CB6CE9" w:rsidTr="00C25B17">
        <w:trPr>
          <w:trHeight w:val="77"/>
          <w:jc w:val="center"/>
        </w:trPr>
        <w:tc>
          <w:tcPr>
            <w:tcW w:w="768" w:type="dxa"/>
            <w:shd w:val="clear" w:color="auto" w:fill="DBE5F1"/>
            <w:vAlign w:val="center"/>
          </w:tcPr>
          <w:p w:rsidR="00BE6140" w:rsidRPr="00CB6CE9" w:rsidRDefault="00BE6140" w:rsidP="00951945">
            <w:pPr>
              <w:tabs>
                <w:tab w:val="center" w:pos="4153"/>
                <w:tab w:val="right" w:pos="8306"/>
              </w:tabs>
              <w:jc w:val="center"/>
              <w:rPr>
                <w:rFonts w:ascii="Century Gothic" w:hAnsi="Century Gothic" w:cs="Times New Roman"/>
                <w:bCs/>
                <w:sz w:val="18"/>
                <w:szCs w:val="18"/>
              </w:rPr>
            </w:pPr>
            <w:r w:rsidRPr="00CB6CE9">
              <w:rPr>
                <w:rFonts w:ascii="Century Gothic" w:hAnsi="Century Gothic" w:cs="Times New Roman"/>
                <w:bCs/>
                <w:sz w:val="18"/>
                <w:szCs w:val="18"/>
              </w:rPr>
              <w:t>54,2</w:t>
            </w:r>
          </w:p>
        </w:tc>
        <w:tc>
          <w:tcPr>
            <w:tcW w:w="771" w:type="dxa"/>
            <w:shd w:val="clear" w:color="auto" w:fill="D3DFEE"/>
            <w:vAlign w:val="center"/>
          </w:tcPr>
          <w:p w:rsidR="00BE6140" w:rsidRPr="00CB6CE9" w:rsidRDefault="00BE6140" w:rsidP="00951945">
            <w:pPr>
              <w:tabs>
                <w:tab w:val="center" w:pos="4153"/>
                <w:tab w:val="right" w:pos="8306"/>
              </w:tabs>
              <w:jc w:val="center"/>
              <w:rPr>
                <w:rFonts w:ascii="Century Gothic" w:hAnsi="Century Gothic" w:cs="Times New Roman"/>
                <w:sz w:val="18"/>
                <w:szCs w:val="18"/>
              </w:rPr>
            </w:pPr>
            <w:r w:rsidRPr="00CB6CE9">
              <w:rPr>
                <w:rFonts w:ascii="Century Gothic" w:hAnsi="Century Gothic" w:cs="Times New Roman"/>
                <w:sz w:val="18"/>
                <w:szCs w:val="18"/>
              </w:rPr>
              <w:t>53,4</w:t>
            </w:r>
          </w:p>
        </w:tc>
        <w:tc>
          <w:tcPr>
            <w:tcW w:w="904" w:type="dxa"/>
            <w:gridSpan w:val="2"/>
            <w:shd w:val="clear" w:color="auto" w:fill="DBE5F1"/>
            <w:vAlign w:val="center"/>
          </w:tcPr>
          <w:p w:rsidR="00BE6140" w:rsidRPr="00CB6CE9" w:rsidRDefault="00BE6140" w:rsidP="00951945">
            <w:pPr>
              <w:tabs>
                <w:tab w:val="center" w:pos="4153"/>
                <w:tab w:val="right" w:pos="8306"/>
              </w:tabs>
              <w:jc w:val="center"/>
              <w:rPr>
                <w:rFonts w:ascii="Century Gothic" w:hAnsi="Century Gothic" w:cs="Times New Roman"/>
                <w:sz w:val="18"/>
                <w:szCs w:val="18"/>
              </w:rPr>
            </w:pPr>
            <w:r w:rsidRPr="00CB6CE9">
              <w:rPr>
                <w:rFonts w:ascii="Century Gothic" w:hAnsi="Century Gothic" w:cs="Times New Roman"/>
                <w:sz w:val="18"/>
                <w:szCs w:val="18"/>
              </w:rPr>
              <w:t>55,2</w:t>
            </w:r>
          </w:p>
        </w:tc>
        <w:tc>
          <w:tcPr>
            <w:tcW w:w="794" w:type="dxa"/>
            <w:gridSpan w:val="2"/>
            <w:shd w:val="clear" w:color="auto" w:fill="D3DFEE"/>
            <w:vAlign w:val="center"/>
          </w:tcPr>
          <w:p w:rsidR="00BE6140" w:rsidRPr="00CB6CE9" w:rsidRDefault="00BE6140" w:rsidP="00951945">
            <w:pPr>
              <w:tabs>
                <w:tab w:val="center" w:pos="4153"/>
                <w:tab w:val="right" w:pos="8306"/>
              </w:tabs>
              <w:jc w:val="center"/>
              <w:rPr>
                <w:rFonts w:ascii="Century Gothic" w:hAnsi="Century Gothic" w:cs="Times New Roman"/>
                <w:sz w:val="18"/>
                <w:szCs w:val="18"/>
              </w:rPr>
            </w:pPr>
            <w:r w:rsidRPr="00CB6CE9">
              <w:rPr>
                <w:rFonts w:ascii="Century Gothic" w:hAnsi="Century Gothic" w:cs="Times New Roman"/>
                <w:sz w:val="18"/>
                <w:szCs w:val="18"/>
              </w:rPr>
              <w:t>56,1</w:t>
            </w:r>
          </w:p>
        </w:tc>
        <w:tc>
          <w:tcPr>
            <w:tcW w:w="1013" w:type="dxa"/>
            <w:gridSpan w:val="2"/>
            <w:shd w:val="clear" w:color="auto" w:fill="DBE5F1"/>
            <w:vAlign w:val="center"/>
          </w:tcPr>
          <w:p w:rsidR="00BE6140" w:rsidRPr="00CB6CE9" w:rsidRDefault="00BE6140" w:rsidP="00951945">
            <w:pPr>
              <w:tabs>
                <w:tab w:val="center" w:pos="4153"/>
                <w:tab w:val="right" w:pos="8306"/>
              </w:tabs>
              <w:jc w:val="center"/>
              <w:rPr>
                <w:rFonts w:ascii="Century Gothic" w:hAnsi="Century Gothic" w:cs="Times New Roman"/>
                <w:sz w:val="18"/>
                <w:szCs w:val="18"/>
              </w:rPr>
            </w:pPr>
            <w:r w:rsidRPr="00CB6CE9">
              <w:rPr>
                <w:rFonts w:ascii="Century Gothic" w:hAnsi="Century Gothic" w:cs="Times New Roman"/>
                <w:sz w:val="18"/>
                <w:szCs w:val="18"/>
              </w:rPr>
              <w:t>57,4</w:t>
            </w:r>
          </w:p>
        </w:tc>
        <w:tc>
          <w:tcPr>
            <w:tcW w:w="999" w:type="dxa"/>
            <w:shd w:val="clear" w:color="auto" w:fill="D3DFEE"/>
            <w:vAlign w:val="center"/>
          </w:tcPr>
          <w:p w:rsidR="00BE6140" w:rsidRPr="00CB6CE9" w:rsidRDefault="00BE6140" w:rsidP="00951945">
            <w:pPr>
              <w:tabs>
                <w:tab w:val="center" w:pos="4153"/>
                <w:tab w:val="right" w:pos="8306"/>
              </w:tabs>
              <w:jc w:val="center"/>
              <w:rPr>
                <w:rFonts w:ascii="Century Gothic" w:hAnsi="Century Gothic" w:cs="Times New Roman"/>
                <w:sz w:val="18"/>
                <w:szCs w:val="18"/>
              </w:rPr>
            </w:pPr>
            <w:r w:rsidRPr="00CB6CE9">
              <w:rPr>
                <w:rFonts w:ascii="Century Gothic" w:hAnsi="Century Gothic" w:cs="Times New Roman"/>
                <w:sz w:val="18"/>
                <w:szCs w:val="18"/>
              </w:rPr>
              <w:t>53,0</w:t>
            </w:r>
          </w:p>
        </w:tc>
        <w:tc>
          <w:tcPr>
            <w:tcW w:w="773" w:type="dxa"/>
            <w:gridSpan w:val="2"/>
            <w:shd w:val="clear" w:color="auto" w:fill="DBE5F1"/>
            <w:vAlign w:val="center"/>
          </w:tcPr>
          <w:p w:rsidR="00BE6140" w:rsidRPr="00CB6CE9" w:rsidRDefault="00BE6140" w:rsidP="00951945">
            <w:pPr>
              <w:tabs>
                <w:tab w:val="center" w:pos="4153"/>
                <w:tab w:val="right" w:pos="8306"/>
              </w:tabs>
              <w:jc w:val="center"/>
              <w:rPr>
                <w:rFonts w:ascii="Century Gothic" w:hAnsi="Century Gothic" w:cs="Times New Roman"/>
                <w:sz w:val="18"/>
                <w:szCs w:val="18"/>
              </w:rPr>
            </w:pPr>
            <w:r w:rsidRPr="00CB6CE9">
              <w:rPr>
                <w:rFonts w:ascii="Century Gothic" w:hAnsi="Century Gothic" w:cs="Times New Roman"/>
                <w:sz w:val="18"/>
                <w:szCs w:val="18"/>
              </w:rPr>
              <w:t>52,9</w:t>
            </w:r>
          </w:p>
        </w:tc>
        <w:tc>
          <w:tcPr>
            <w:tcW w:w="605" w:type="dxa"/>
            <w:shd w:val="clear" w:color="auto" w:fill="D3DFEE"/>
            <w:vAlign w:val="center"/>
          </w:tcPr>
          <w:p w:rsidR="00BE6140" w:rsidRPr="00CB6CE9" w:rsidRDefault="00BE6140" w:rsidP="00951945">
            <w:pPr>
              <w:tabs>
                <w:tab w:val="center" w:pos="4153"/>
                <w:tab w:val="right" w:pos="8306"/>
              </w:tabs>
              <w:jc w:val="center"/>
              <w:rPr>
                <w:rFonts w:ascii="Century Gothic" w:hAnsi="Century Gothic" w:cs="Times New Roman"/>
                <w:sz w:val="18"/>
                <w:szCs w:val="18"/>
              </w:rPr>
            </w:pPr>
            <w:r w:rsidRPr="00CB6CE9">
              <w:rPr>
                <w:rFonts w:ascii="Century Gothic" w:hAnsi="Century Gothic" w:cs="Times New Roman"/>
                <w:sz w:val="18"/>
                <w:szCs w:val="18"/>
              </w:rPr>
              <w:t>55,0</w:t>
            </w:r>
          </w:p>
        </w:tc>
        <w:tc>
          <w:tcPr>
            <w:tcW w:w="567" w:type="dxa"/>
            <w:gridSpan w:val="2"/>
            <w:shd w:val="clear" w:color="auto" w:fill="DBE5F1"/>
            <w:vAlign w:val="center"/>
          </w:tcPr>
          <w:p w:rsidR="00BE6140" w:rsidRPr="00CB6CE9" w:rsidRDefault="00BE6140" w:rsidP="00951945">
            <w:pPr>
              <w:tabs>
                <w:tab w:val="center" w:pos="4153"/>
                <w:tab w:val="right" w:pos="8306"/>
              </w:tabs>
              <w:jc w:val="center"/>
              <w:rPr>
                <w:rFonts w:ascii="Century Gothic" w:hAnsi="Century Gothic" w:cs="Times New Roman"/>
                <w:sz w:val="18"/>
                <w:szCs w:val="18"/>
              </w:rPr>
            </w:pPr>
            <w:r w:rsidRPr="00CB6CE9">
              <w:rPr>
                <w:rFonts w:ascii="Century Gothic" w:hAnsi="Century Gothic" w:cs="Times New Roman"/>
                <w:sz w:val="18"/>
                <w:szCs w:val="18"/>
              </w:rPr>
              <w:t>59,9</w:t>
            </w:r>
          </w:p>
        </w:tc>
        <w:tc>
          <w:tcPr>
            <w:tcW w:w="567" w:type="dxa"/>
            <w:gridSpan w:val="2"/>
            <w:shd w:val="clear" w:color="auto" w:fill="D3DFEE"/>
            <w:vAlign w:val="center"/>
          </w:tcPr>
          <w:p w:rsidR="00BE6140" w:rsidRPr="00CB6CE9" w:rsidRDefault="00BE6140" w:rsidP="00951945">
            <w:pPr>
              <w:tabs>
                <w:tab w:val="center" w:pos="4153"/>
                <w:tab w:val="right" w:pos="8306"/>
              </w:tabs>
              <w:jc w:val="center"/>
              <w:rPr>
                <w:rFonts w:ascii="Century Gothic" w:hAnsi="Century Gothic" w:cs="Times New Roman"/>
                <w:sz w:val="18"/>
                <w:szCs w:val="18"/>
              </w:rPr>
            </w:pPr>
            <w:r w:rsidRPr="00CB6CE9">
              <w:rPr>
                <w:rFonts w:ascii="Century Gothic" w:hAnsi="Century Gothic" w:cs="Times New Roman"/>
                <w:sz w:val="18"/>
                <w:szCs w:val="18"/>
              </w:rPr>
              <w:t>52,2</w:t>
            </w:r>
          </w:p>
        </w:tc>
        <w:tc>
          <w:tcPr>
            <w:tcW w:w="567" w:type="dxa"/>
            <w:gridSpan w:val="2"/>
            <w:shd w:val="clear" w:color="auto" w:fill="DBE5F1"/>
            <w:vAlign w:val="center"/>
          </w:tcPr>
          <w:p w:rsidR="00BE6140" w:rsidRPr="00CB6CE9" w:rsidRDefault="00BE6140" w:rsidP="00951945">
            <w:pPr>
              <w:tabs>
                <w:tab w:val="center" w:pos="4153"/>
                <w:tab w:val="right" w:pos="8306"/>
              </w:tabs>
              <w:jc w:val="center"/>
              <w:rPr>
                <w:rFonts w:ascii="Century Gothic" w:hAnsi="Century Gothic" w:cs="Times New Roman"/>
                <w:sz w:val="18"/>
                <w:szCs w:val="18"/>
              </w:rPr>
            </w:pPr>
            <w:r w:rsidRPr="00CB6CE9">
              <w:rPr>
                <w:rFonts w:ascii="Century Gothic" w:hAnsi="Century Gothic" w:cs="Times New Roman"/>
                <w:sz w:val="18"/>
                <w:szCs w:val="18"/>
              </w:rPr>
              <w:t>52,5</w:t>
            </w:r>
          </w:p>
        </w:tc>
        <w:tc>
          <w:tcPr>
            <w:tcW w:w="677" w:type="dxa"/>
            <w:shd w:val="clear" w:color="auto" w:fill="DBE5F1"/>
            <w:vAlign w:val="center"/>
          </w:tcPr>
          <w:p w:rsidR="00BE6140" w:rsidRPr="00CB6CE9" w:rsidRDefault="00BE6140" w:rsidP="00951945">
            <w:pPr>
              <w:tabs>
                <w:tab w:val="center" w:pos="4153"/>
                <w:tab w:val="right" w:pos="8306"/>
              </w:tabs>
              <w:jc w:val="center"/>
              <w:rPr>
                <w:rFonts w:ascii="Century Gothic" w:hAnsi="Century Gothic" w:cs="Times New Roman"/>
                <w:bCs/>
                <w:sz w:val="18"/>
                <w:szCs w:val="18"/>
              </w:rPr>
            </w:pPr>
            <w:r w:rsidRPr="00CB6CE9">
              <w:rPr>
                <w:rFonts w:ascii="Century Gothic" w:hAnsi="Century Gothic" w:cs="Times New Roman"/>
                <w:bCs/>
                <w:sz w:val="18"/>
                <w:szCs w:val="18"/>
              </w:rPr>
              <w:t>55,8</w:t>
            </w:r>
          </w:p>
        </w:tc>
      </w:tr>
      <w:tr w:rsidR="00BE6140" w:rsidRPr="00CB6CE9" w:rsidTr="00C25B17">
        <w:trPr>
          <w:trHeight w:val="77"/>
          <w:jc w:val="center"/>
        </w:trPr>
        <w:tc>
          <w:tcPr>
            <w:tcW w:w="9005" w:type="dxa"/>
            <w:gridSpan w:val="19"/>
            <w:shd w:val="clear" w:color="auto" w:fill="943634"/>
            <w:vAlign w:val="center"/>
          </w:tcPr>
          <w:p w:rsidR="00BE6140" w:rsidRPr="00CB6CE9" w:rsidRDefault="00BE6140" w:rsidP="00951945">
            <w:pPr>
              <w:pStyle w:val="7"/>
              <w:jc w:val="center"/>
              <w:rPr>
                <w:rFonts w:ascii="Century Gothic" w:hAnsi="Century Gothic"/>
                <w:color w:val="FFFFFF"/>
              </w:rPr>
            </w:pPr>
            <w:r w:rsidRPr="00CB6CE9">
              <w:rPr>
                <w:rFonts w:ascii="Century Gothic" w:hAnsi="Century Gothic"/>
                <w:color w:val="FFFFFF"/>
              </w:rPr>
              <w:t>2013</w:t>
            </w:r>
          </w:p>
        </w:tc>
      </w:tr>
      <w:tr w:rsidR="00BE6140" w:rsidRPr="00CB6CE9" w:rsidTr="00C25B17">
        <w:trPr>
          <w:trHeight w:val="77"/>
          <w:jc w:val="center"/>
        </w:trPr>
        <w:tc>
          <w:tcPr>
            <w:tcW w:w="768" w:type="dxa"/>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Ι</w:t>
            </w:r>
          </w:p>
        </w:tc>
        <w:tc>
          <w:tcPr>
            <w:tcW w:w="771" w:type="dxa"/>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Φ</w:t>
            </w:r>
          </w:p>
        </w:tc>
        <w:tc>
          <w:tcPr>
            <w:tcW w:w="904"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Μ</w:t>
            </w:r>
          </w:p>
        </w:tc>
        <w:tc>
          <w:tcPr>
            <w:tcW w:w="794"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Α</w:t>
            </w:r>
          </w:p>
        </w:tc>
        <w:tc>
          <w:tcPr>
            <w:tcW w:w="1013"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Μ</w:t>
            </w:r>
          </w:p>
        </w:tc>
        <w:tc>
          <w:tcPr>
            <w:tcW w:w="999" w:type="dxa"/>
            <w:shd w:val="clear" w:color="auto" w:fill="D3DFEE"/>
            <w:vAlign w:val="center"/>
          </w:tcPr>
          <w:p w:rsidR="00BE6140" w:rsidRPr="00CB6CE9" w:rsidRDefault="00BE6140" w:rsidP="00951945">
            <w:pPr>
              <w:jc w:val="center"/>
              <w:rPr>
                <w:rFonts w:ascii="Century Gothic" w:hAnsi="Century Gothic" w:cs="Times New Roman"/>
                <w:b/>
                <w:bCs/>
                <w:color w:val="000000"/>
                <w:sz w:val="18"/>
                <w:szCs w:val="18"/>
              </w:rPr>
            </w:pPr>
            <w:r w:rsidRPr="00CB6CE9">
              <w:rPr>
                <w:rFonts w:ascii="Century Gothic" w:hAnsi="Century Gothic" w:cs="Times New Roman"/>
                <w:b/>
                <w:bCs/>
                <w:color w:val="000000"/>
                <w:sz w:val="18"/>
                <w:szCs w:val="18"/>
              </w:rPr>
              <w:t>Ι</w:t>
            </w:r>
          </w:p>
        </w:tc>
        <w:tc>
          <w:tcPr>
            <w:tcW w:w="773"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Ι</w:t>
            </w:r>
          </w:p>
        </w:tc>
        <w:tc>
          <w:tcPr>
            <w:tcW w:w="605" w:type="dxa"/>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Α</w:t>
            </w:r>
          </w:p>
        </w:tc>
        <w:tc>
          <w:tcPr>
            <w:tcW w:w="567"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Σ</w:t>
            </w:r>
          </w:p>
        </w:tc>
        <w:tc>
          <w:tcPr>
            <w:tcW w:w="567" w:type="dxa"/>
            <w:gridSpan w:val="2"/>
            <w:shd w:val="clear" w:color="auto" w:fill="D3DFEE"/>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Ο</w:t>
            </w:r>
          </w:p>
        </w:tc>
        <w:tc>
          <w:tcPr>
            <w:tcW w:w="567" w:type="dxa"/>
            <w:gridSpan w:val="2"/>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Ν</w:t>
            </w:r>
          </w:p>
        </w:tc>
        <w:tc>
          <w:tcPr>
            <w:tcW w:w="677" w:type="dxa"/>
            <w:shd w:val="clear" w:color="auto" w:fill="DBE5F1"/>
            <w:vAlign w:val="center"/>
          </w:tcPr>
          <w:p w:rsidR="00BE6140" w:rsidRPr="00CB6CE9" w:rsidRDefault="00BE6140" w:rsidP="00951945">
            <w:pPr>
              <w:pStyle w:val="2"/>
              <w:rPr>
                <w:rFonts w:ascii="Century Gothic" w:hAnsi="Century Gothic"/>
                <w:i w:val="0"/>
                <w:iCs w:val="0"/>
                <w:color w:val="000000"/>
              </w:rPr>
            </w:pPr>
            <w:r w:rsidRPr="00CB6CE9">
              <w:rPr>
                <w:rFonts w:ascii="Century Gothic" w:hAnsi="Century Gothic"/>
                <w:i w:val="0"/>
                <w:iCs w:val="0"/>
                <w:color w:val="000000"/>
              </w:rPr>
              <w:t>Δ</w:t>
            </w:r>
          </w:p>
        </w:tc>
      </w:tr>
      <w:tr w:rsidR="00BE6140" w:rsidRPr="00CB6CE9" w:rsidTr="00C25B17">
        <w:trPr>
          <w:trHeight w:val="77"/>
          <w:jc w:val="center"/>
        </w:trPr>
        <w:tc>
          <w:tcPr>
            <w:tcW w:w="768" w:type="dxa"/>
            <w:tcBorders>
              <w:bottom w:val="single" w:sz="4" w:space="0" w:color="943634"/>
            </w:tcBorders>
            <w:shd w:val="clear" w:color="auto" w:fill="FFFFFF"/>
            <w:vAlign w:val="center"/>
          </w:tcPr>
          <w:p w:rsidR="00BE6140" w:rsidRPr="00CB6CE9" w:rsidRDefault="00BE6140" w:rsidP="00951945">
            <w:pPr>
              <w:tabs>
                <w:tab w:val="center" w:pos="4153"/>
                <w:tab w:val="right" w:pos="8306"/>
              </w:tabs>
              <w:jc w:val="center"/>
              <w:rPr>
                <w:rFonts w:ascii="Century Gothic" w:hAnsi="Century Gothic" w:cs="Times New Roman"/>
                <w:bCs/>
                <w:sz w:val="18"/>
                <w:szCs w:val="18"/>
              </w:rPr>
            </w:pPr>
            <w:r w:rsidRPr="00CB6CE9">
              <w:rPr>
                <w:rFonts w:ascii="Century Gothic" w:hAnsi="Century Gothic" w:cs="Times New Roman"/>
                <w:bCs/>
                <w:sz w:val="18"/>
                <w:szCs w:val="18"/>
              </w:rPr>
              <w:t>58,9</w:t>
            </w:r>
          </w:p>
        </w:tc>
        <w:tc>
          <w:tcPr>
            <w:tcW w:w="771" w:type="dxa"/>
            <w:tcBorders>
              <w:bottom w:val="single" w:sz="4" w:space="0" w:color="943634"/>
            </w:tcBorders>
            <w:shd w:val="clear" w:color="auto" w:fill="D3DFEE"/>
            <w:vAlign w:val="center"/>
          </w:tcPr>
          <w:p w:rsidR="00BE6140" w:rsidRPr="00CB6CE9" w:rsidRDefault="00BE6140" w:rsidP="00951945">
            <w:pPr>
              <w:tabs>
                <w:tab w:val="center" w:pos="4153"/>
                <w:tab w:val="right" w:pos="8306"/>
              </w:tabs>
              <w:jc w:val="center"/>
              <w:rPr>
                <w:rFonts w:ascii="Century Gothic" w:hAnsi="Century Gothic" w:cs="Times New Roman"/>
                <w:bCs/>
                <w:sz w:val="18"/>
                <w:szCs w:val="18"/>
              </w:rPr>
            </w:pPr>
            <w:r w:rsidRPr="00CB6CE9">
              <w:rPr>
                <w:rFonts w:ascii="Century Gothic" w:hAnsi="Century Gothic" w:cs="Times New Roman"/>
                <w:bCs/>
                <w:sz w:val="18"/>
                <w:szCs w:val="18"/>
              </w:rPr>
              <w:t>62,3</w:t>
            </w:r>
          </w:p>
        </w:tc>
        <w:tc>
          <w:tcPr>
            <w:tcW w:w="904"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60,4</w:t>
            </w:r>
          </w:p>
        </w:tc>
        <w:tc>
          <w:tcPr>
            <w:tcW w:w="794" w:type="dxa"/>
            <w:gridSpan w:val="2"/>
            <w:tcBorders>
              <w:bottom w:val="single" w:sz="4" w:space="0" w:color="943634"/>
            </w:tcBorders>
            <w:shd w:val="clear" w:color="auto" w:fill="D3DFEE"/>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61,9</w:t>
            </w:r>
          </w:p>
        </w:tc>
        <w:tc>
          <w:tcPr>
            <w:tcW w:w="1013"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sidRPr="00CB6CE9">
              <w:rPr>
                <w:rFonts w:ascii="Century Gothic" w:hAnsi="Century Gothic"/>
                <w:b w:val="0"/>
                <w:i w:val="0"/>
                <w:iCs w:val="0"/>
                <w:color w:val="000000"/>
              </w:rPr>
              <w:t>69,3</w:t>
            </w:r>
          </w:p>
        </w:tc>
        <w:tc>
          <w:tcPr>
            <w:tcW w:w="999" w:type="dxa"/>
            <w:tcBorders>
              <w:bottom w:val="single" w:sz="4" w:space="0" w:color="943634"/>
            </w:tcBorders>
            <w:shd w:val="clear" w:color="auto" w:fill="D3DFEE"/>
            <w:vAlign w:val="center"/>
          </w:tcPr>
          <w:p w:rsidR="00BE6140" w:rsidRPr="00CB6CE9" w:rsidRDefault="00BE6140" w:rsidP="00951945">
            <w:pPr>
              <w:jc w:val="center"/>
              <w:rPr>
                <w:rFonts w:ascii="Century Gothic" w:hAnsi="Century Gothic" w:cs="Times New Roman"/>
                <w:bCs/>
                <w:color w:val="000000"/>
                <w:sz w:val="18"/>
                <w:szCs w:val="18"/>
              </w:rPr>
            </w:pPr>
            <w:r>
              <w:rPr>
                <w:rFonts w:ascii="Century Gothic" w:hAnsi="Century Gothic" w:cs="Times New Roman"/>
                <w:bCs/>
                <w:color w:val="000000"/>
                <w:sz w:val="18"/>
                <w:szCs w:val="18"/>
              </w:rPr>
              <w:t>79,2</w:t>
            </w:r>
          </w:p>
        </w:tc>
        <w:tc>
          <w:tcPr>
            <w:tcW w:w="773"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Pr>
                <w:rFonts w:ascii="Century Gothic" w:hAnsi="Century Gothic"/>
                <w:b w:val="0"/>
                <w:i w:val="0"/>
                <w:iCs w:val="0"/>
                <w:color w:val="000000"/>
              </w:rPr>
              <w:t>76,1</w:t>
            </w:r>
          </w:p>
        </w:tc>
        <w:tc>
          <w:tcPr>
            <w:tcW w:w="605" w:type="dxa"/>
            <w:tcBorders>
              <w:bottom w:val="single" w:sz="4" w:space="0" w:color="943634"/>
            </w:tcBorders>
            <w:shd w:val="clear" w:color="auto" w:fill="D3DFEE"/>
            <w:vAlign w:val="center"/>
          </w:tcPr>
          <w:p w:rsidR="00BE6140" w:rsidRPr="00CB6CE9" w:rsidRDefault="00BE6140" w:rsidP="00951945">
            <w:pPr>
              <w:pStyle w:val="2"/>
              <w:rPr>
                <w:rFonts w:ascii="Century Gothic" w:hAnsi="Century Gothic"/>
                <w:b w:val="0"/>
                <w:i w:val="0"/>
                <w:iCs w:val="0"/>
                <w:color w:val="000000"/>
              </w:rPr>
            </w:pPr>
            <w:r>
              <w:rPr>
                <w:rFonts w:ascii="Century Gothic" w:hAnsi="Century Gothic"/>
                <w:b w:val="0"/>
                <w:i w:val="0"/>
                <w:iCs w:val="0"/>
                <w:color w:val="000000"/>
              </w:rPr>
              <w:t>76,0</w:t>
            </w:r>
          </w:p>
        </w:tc>
        <w:tc>
          <w:tcPr>
            <w:tcW w:w="567"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r>
              <w:rPr>
                <w:rFonts w:ascii="Century Gothic" w:hAnsi="Century Gothic"/>
                <w:b w:val="0"/>
                <w:i w:val="0"/>
                <w:iCs w:val="0"/>
                <w:color w:val="000000"/>
              </w:rPr>
              <w:t>75,9</w:t>
            </w:r>
          </w:p>
        </w:tc>
        <w:tc>
          <w:tcPr>
            <w:tcW w:w="567" w:type="dxa"/>
            <w:gridSpan w:val="2"/>
            <w:tcBorders>
              <w:bottom w:val="single" w:sz="4" w:space="0" w:color="943634"/>
            </w:tcBorders>
            <w:shd w:val="clear" w:color="auto" w:fill="D3DFEE"/>
            <w:vAlign w:val="center"/>
          </w:tcPr>
          <w:p w:rsidR="00BE6140" w:rsidRPr="00CB6CE9" w:rsidRDefault="00BE6140" w:rsidP="00951945">
            <w:pPr>
              <w:pStyle w:val="2"/>
              <w:rPr>
                <w:rFonts w:ascii="Century Gothic" w:hAnsi="Century Gothic"/>
                <w:b w:val="0"/>
                <w:i w:val="0"/>
                <w:iCs w:val="0"/>
                <w:color w:val="000000"/>
              </w:rPr>
            </w:pPr>
          </w:p>
        </w:tc>
        <w:tc>
          <w:tcPr>
            <w:tcW w:w="567" w:type="dxa"/>
            <w:gridSpan w:val="2"/>
            <w:tcBorders>
              <w:bottom w:val="single" w:sz="4" w:space="0" w:color="943634"/>
            </w:tcBorders>
            <w:shd w:val="clear" w:color="auto" w:fill="FFFFFF"/>
            <w:vAlign w:val="center"/>
          </w:tcPr>
          <w:p w:rsidR="00BE6140" w:rsidRPr="00CB6CE9" w:rsidRDefault="00BE6140" w:rsidP="00951945">
            <w:pPr>
              <w:pStyle w:val="2"/>
              <w:rPr>
                <w:rFonts w:ascii="Century Gothic" w:hAnsi="Century Gothic"/>
                <w:b w:val="0"/>
                <w:i w:val="0"/>
                <w:iCs w:val="0"/>
                <w:color w:val="000000"/>
              </w:rPr>
            </w:pPr>
          </w:p>
        </w:tc>
        <w:tc>
          <w:tcPr>
            <w:tcW w:w="677" w:type="dxa"/>
            <w:tcBorders>
              <w:bottom w:val="single" w:sz="4" w:space="0" w:color="943634"/>
            </w:tcBorders>
            <w:shd w:val="clear" w:color="auto" w:fill="DBE5F1"/>
            <w:vAlign w:val="center"/>
          </w:tcPr>
          <w:p w:rsidR="00BE6140" w:rsidRPr="00CB6CE9" w:rsidRDefault="00BE6140" w:rsidP="00951945">
            <w:pPr>
              <w:pStyle w:val="2"/>
              <w:rPr>
                <w:rFonts w:ascii="Century Gothic" w:hAnsi="Century Gothic"/>
                <w:b w:val="0"/>
                <w:i w:val="0"/>
                <w:iCs w:val="0"/>
                <w:color w:val="000000"/>
              </w:rPr>
            </w:pPr>
          </w:p>
        </w:tc>
      </w:tr>
    </w:tbl>
    <w:p w:rsidR="00BE6140" w:rsidRPr="00CB6CE9" w:rsidRDefault="00BE6140" w:rsidP="00E00BE9">
      <w:pPr>
        <w:pStyle w:val="BodyText26"/>
        <w:spacing w:after="0" w:line="240" w:lineRule="auto"/>
        <w:rPr>
          <w:rFonts w:ascii="Century Gothic" w:hAnsi="Century Gothic"/>
          <w:sz w:val="18"/>
          <w:szCs w:val="18"/>
        </w:rPr>
      </w:pPr>
      <w:r w:rsidRPr="00CB6CE9">
        <w:rPr>
          <w:rFonts w:ascii="Century Gothic" w:hAnsi="Century Gothic"/>
          <w:b/>
          <w:bCs/>
          <w:sz w:val="18"/>
          <w:szCs w:val="18"/>
        </w:rPr>
        <w:t>Σημειώσεις:</w:t>
      </w:r>
      <w:r w:rsidRPr="00CB6CE9">
        <w:rPr>
          <w:rFonts w:ascii="Century Gothic" w:hAnsi="Century Gothic"/>
          <w:sz w:val="18"/>
          <w:szCs w:val="18"/>
        </w:rPr>
        <w:t xml:space="preserve">. Ο δείκτης επιχειρηματικών προσδοκιών υπολογίζεται με βάση την κατάσταση της επιχείρησης, καθώς και τις εκτιμήσεις και τις προβλέψεις για την πορεία της ζήτησης. </w:t>
      </w:r>
    </w:p>
    <w:p w:rsidR="00BE6140" w:rsidRDefault="00BE6140" w:rsidP="00E00BE9">
      <w:pPr>
        <w:pStyle w:val="BodyText26"/>
        <w:spacing w:after="0" w:line="240" w:lineRule="auto"/>
        <w:outlineLvl w:val="0"/>
        <w:rPr>
          <w:rFonts w:ascii="Century Gothic" w:hAnsi="Century Gothic"/>
          <w:sz w:val="18"/>
          <w:szCs w:val="18"/>
        </w:rPr>
      </w:pPr>
      <w:r w:rsidRPr="00CB6CE9">
        <w:rPr>
          <w:rFonts w:ascii="Century Gothic" w:hAnsi="Century Gothic"/>
          <w:b/>
          <w:bCs/>
          <w:sz w:val="18"/>
          <w:szCs w:val="18"/>
        </w:rPr>
        <w:t>Πηγή:</w:t>
      </w:r>
      <w:r w:rsidRPr="00CB6CE9">
        <w:rPr>
          <w:rFonts w:ascii="Century Gothic" w:hAnsi="Century Gothic"/>
          <w:sz w:val="18"/>
          <w:szCs w:val="18"/>
        </w:rPr>
        <w:t xml:space="preserve"> </w:t>
      </w:r>
      <w:r w:rsidRPr="00CB6CE9">
        <w:rPr>
          <w:rFonts w:ascii="Century Gothic" w:hAnsi="Century Gothic"/>
          <w:sz w:val="18"/>
          <w:szCs w:val="18"/>
          <w:lang w:val="en-US"/>
        </w:rPr>
        <w:t>IOBE</w:t>
      </w:r>
    </w:p>
    <w:p w:rsidR="00BE6140" w:rsidRPr="00EB60EB" w:rsidRDefault="00BE6140" w:rsidP="00E00BE9">
      <w:pPr>
        <w:pStyle w:val="BodyText26"/>
        <w:spacing w:after="0" w:line="240" w:lineRule="auto"/>
        <w:outlineLvl w:val="0"/>
        <w:rPr>
          <w:rFonts w:ascii="Century Gothic" w:hAnsi="Century Gothic"/>
          <w:sz w:val="18"/>
          <w:szCs w:val="18"/>
        </w:rPr>
      </w:pPr>
    </w:p>
    <w:p w:rsidR="00BE6140" w:rsidRPr="00E00BE9" w:rsidRDefault="00BE6140" w:rsidP="00E00BE9">
      <w:pPr>
        <w:numPr>
          <w:ilvl w:val="12"/>
          <w:numId w:val="0"/>
        </w:numPr>
        <w:ind w:left="1985" w:hanging="1985"/>
        <w:jc w:val="center"/>
        <w:outlineLvl w:val="0"/>
        <w:rPr>
          <w:rFonts w:ascii="Century Gothic" w:hAnsi="Century Gothic" w:cs="Times New Roman"/>
          <w:sz w:val="18"/>
          <w:szCs w:val="18"/>
        </w:rPr>
      </w:pPr>
      <w:r w:rsidRPr="00E00BE9">
        <w:rPr>
          <w:rFonts w:ascii="Century Gothic" w:hAnsi="Century Gothic" w:cs="Times New Roman"/>
          <w:b/>
          <w:bCs/>
          <w:sz w:val="18"/>
          <w:szCs w:val="18"/>
        </w:rPr>
        <w:t xml:space="preserve">Διάγραμμα 5: </w:t>
      </w:r>
      <w:r w:rsidRPr="00E00BE9">
        <w:rPr>
          <w:rFonts w:ascii="Century Gothic" w:hAnsi="Century Gothic" w:cs="Times New Roman"/>
          <w:sz w:val="18"/>
          <w:szCs w:val="18"/>
        </w:rPr>
        <w:t xml:space="preserve">Δείκτης Επιχειρηματικών Προσδοκιών στις Υπηρεσίες </w:t>
      </w:r>
    </w:p>
    <w:p w:rsidR="00BE6140" w:rsidRPr="00CB6CE9" w:rsidRDefault="00BE6140" w:rsidP="00E00BE9">
      <w:pPr>
        <w:numPr>
          <w:ilvl w:val="12"/>
          <w:numId w:val="0"/>
        </w:numPr>
        <w:ind w:left="1985" w:hanging="1985"/>
        <w:jc w:val="center"/>
        <w:rPr>
          <w:rFonts w:ascii="Century Gothic" w:hAnsi="Century Gothic" w:cs="Times New Roman"/>
          <w:sz w:val="18"/>
          <w:szCs w:val="18"/>
        </w:rPr>
      </w:pPr>
      <w:r w:rsidRPr="00E00BE9">
        <w:rPr>
          <w:rFonts w:ascii="Century Gothic" w:hAnsi="Century Gothic" w:cs="Times New Roman"/>
          <w:sz w:val="18"/>
          <w:szCs w:val="18"/>
        </w:rPr>
        <w:t>(1998-2006=100)</w:t>
      </w:r>
    </w:p>
    <w:p w:rsidR="00BE6140" w:rsidRPr="00CB6CE9" w:rsidRDefault="005C53FF" w:rsidP="00E00BE9">
      <w:pPr>
        <w:numPr>
          <w:ilvl w:val="12"/>
          <w:numId w:val="0"/>
        </w:numPr>
        <w:ind w:left="1985" w:hanging="1985"/>
        <w:jc w:val="center"/>
        <w:rPr>
          <w:rFonts w:ascii="Century Gothic" w:hAnsi="Century Gothic" w:cs="Times New Roman"/>
          <w:noProof/>
          <w:sz w:val="18"/>
          <w:szCs w:val="18"/>
        </w:rPr>
      </w:pPr>
      <w:r>
        <w:rPr>
          <w:noProof/>
          <w:szCs w:val="18"/>
        </w:rPr>
        <w:drawing>
          <wp:inline distT="0" distB="0" distL="0" distR="0">
            <wp:extent cx="5295265" cy="2926080"/>
            <wp:effectExtent l="19050" t="0" r="635" b="0"/>
            <wp:docPr id="6"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5295265" cy="2926080"/>
                    </a:xfrm>
                    <a:prstGeom prst="rect">
                      <a:avLst/>
                    </a:prstGeom>
                    <a:noFill/>
                    <a:ln w="9525">
                      <a:noFill/>
                      <a:miter lim="800000"/>
                      <a:headEnd/>
                      <a:tailEnd/>
                    </a:ln>
                  </pic:spPr>
                </pic:pic>
              </a:graphicData>
            </a:graphic>
          </wp:inline>
        </w:drawing>
      </w:r>
    </w:p>
    <w:p w:rsidR="00BE6140" w:rsidRDefault="00BE6140" w:rsidP="00E00BE9">
      <w:pPr>
        <w:pStyle w:val="21"/>
        <w:spacing w:before="0" w:after="0" w:line="240" w:lineRule="auto"/>
        <w:outlineLvl w:val="0"/>
        <w:rPr>
          <w:rFonts w:ascii="Century Gothic" w:hAnsi="Century Gothic"/>
          <w:b w:val="0"/>
          <w:bCs w:val="0"/>
          <w:sz w:val="18"/>
          <w:szCs w:val="18"/>
        </w:rPr>
      </w:pPr>
      <w:r w:rsidRPr="00CB6CE9">
        <w:rPr>
          <w:rFonts w:ascii="Century Gothic" w:hAnsi="Century Gothic"/>
          <w:sz w:val="18"/>
          <w:szCs w:val="18"/>
        </w:rPr>
        <w:t>Πηγή:</w:t>
      </w:r>
      <w:r w:rsidRPr="00CB6CE9">
        <w:rPr>
          <w:rFonts w:ascii="Century Gothic" w:hAnsi="Century Gothic"/>
          <w:b w:val="0"/>
          <w:bCs w:val="0"/>
          <w:sz w:val="18"/>
          <w:szCs w:val="18"/>
        </w:rPr>
        <w:t xml:space="preserve"> </w:t>
      </w:r>
      <w:r w:rsidRPr="00CB6CE9">
        <w:rPr>
          <w:rFonts w:ascii="Century Gothic" w:hAnsi="Century Gothic"/>
          <w:b w:val="0"/>
          <w:bCs w:val="0"/>
          <w:sz w:val="18"/>
          <w:szCs w:val="18"/>
          <w:lang w:val="en-US"/>
        </w:rPr>
        <w:t>IOBE</w:t>
      </w:r>
    </w:p>
    <w:p w:rsidR="00BE6140" w:rsidRPr="00CB6CE9" w:rsidRDefault="00BE6140" w:rsidP="0053268A">
      <w:pPr>
        <w:spacing w:before="100" w:beforeAutospacing="1" w:after="100" w:afterAutospacing="1" w:line="288" w:lineRule="auto"/>
        <w:jc w:val="both"/>
        <w:rPr>
          <w:rFonts w:ascii="Century Gothic" w:hAnsi="Century Gothic" w:cs="Times New Roman"/>
          <w:sz w:val="20"/>
          <w:szCs w:val="20"/>
        </w:rPr>
      </w:pPr>
      <w:r>
        <w:rPr>
          <w:rFonts w:ascii="Century Gothic" w:hAnsi="Century Gothic" w:cs="Times New Roman"/>
          <w:sz w:val="20"/>
          <w:szCs w:val="20"/>
        </w:rPr>
        <w:t xml:space="preserve">Σε ανοδική τροχιά βρίσκονται και </w:t>
      </w:r>
      <w:r w:rsidRPr="00CB6CE9">
        <w:rPr>
          <w:rFonts w:ascii="Century Gothic" w:hAnsi="Century Gothic" w:cs="Times New Roman"/>
          <w:sz w:val="20"/>
          <w:szCs w:val="20"/>
        </w:rPr>
        <w:t xml:space="preserve">οι προσδοκίες των επιχειρήσεων στους </w:t>
      </w:r>
      <w:r w:rsidRPr="00CB6CE9">
        <w:rPr>
          <w:rFonts w:ascii="Century Gothic" w:hAnsi="Century Gothic" w:cs="Times New Roman"/>
          <w:b/>
          <w:bCs/>
          <w:sz w:val="20"/>
          <w:szCs w:val="20"/>
        </w:rPr>
        <w:t>Ενδιάμεσους Χρηματοπιστωτικούς Οργανισμούς</w:t>
      </w:r>
      <w:r w:rsidRPr="00CB6CE9">
        <w:rPr>
          <w:rFonts w:ascii="Century Gothic" w:hAnsi="Century Gothic" w:cs="Times New Roman"/>
          <w:sz w:val="20"/>
          <w:szCs w:val="20"/>
        </w:rPr>
        <w:t xml:space="preserve"> τον </w:t>
      </w:r>
      <w:r>
        <w:rPr>
          <w:rFonts w:ascii="Century Gothic" w:hAnsi="Century Gothic" w:cs="Times New Roman"/>
          <w:sz w:val="20"/>
          <w:szCs w:val="20"/>
        </w:rPr>
        <w:t>Σεπτέμβριο</w:t>
      </w:r>
      <w:r w:rsidRPr="00CB6CE9">
        <w:rPr>
          <w:rFonts w:ascii="Century Gothic" w:hAnsi="Century Gothic" w:cs="Times New Roman"/>
          <w:b/>
          <w:bCs/>
          <w:sz w:val="20"/>
          <w:szCs w:val="20"/>
        </w:rPr>
        <w:t xml:space="preserve"> </w:t>
      </w:r>
      <w:r w:rsidRPr="00CB6CE9">
        <w:rPr>
          <w:rFonts w:ascii="Century Gothic" w:hAnsi="Century Gothic" w:cs="Times New Roman"/>
          <w:sz w:val="20"/>
          <w:szCs w:val="20"/>
        </w:rPr>
        <w:t xml:space="preserve">(δεν περιλαμβάνονται οι Τράπεζες), με το σχετικό δείκτη να διαμορφώνεται στις </w:t>
      </w:r>
      <w:r>
        <w:rPr>
          <w:rFonts w:ascii="Century Gothic" w:hAnsi="Century Gothic" w:cs="Times New Roman"/>
          <w:sz w:val="20"/>
          <w:szCs w:val="20"/>
        </w:rPr>
        <w:t>76,6 μονάδες (από 70,3)</w:t>
      </w:r>
      <w:r w:rsidRPr="00CB6CE9">
        <w:rPr>
          <w:rFonts w:ascii="Century Gothic" w:hAnsi="Century Gothic" w:cs="Times New Roman"/>
          <w:sz w:val="20"/>
          <w:szCs w:val="20"/>
        </w:rPr>
        <w:t xml:space="preserve">, ανώτερα </w:t>
      </w:r>
      <w:r>
        <w:rPr>
          <w:rFonts w:ascii="Century Gothic" w:hAnsi="Century Gothic" w:cs="Times New Roman"/>
          <w:sz w:val="20"/>
          <w:szCs w:val="20"/>
        </w:rPr>
        <w:t xml:space="preserve">και </w:t>
      </w:r>
      <w:r w:rsidRPr="00CB6CE9">
        <w:rPr>
          <w:rFonts w:ascii="Century Gothic" w:hAnsi="Century Gothic" w:cs="Times New Roman"/>
          <w:sz w:val="20"/>
          <w:szCs w:val="20"/>
        </w:rPr>
        <w:t>από</w:t>
      </w:r>
      <w:r>
        <w:rPr>
          <w:rFonts w:ascii="Century Gothic" w:hAnsi="Century Gothic" w:cs="Times New Roman"/>
          <w:sz w:val="20"/>
          <w:szCs w:val="20"/>
        </w:rPr>
        <w:t xml:space="preserve"> την αντίστοιχη περσινή </w:t>
      </w:r>
      <w:r w:rsidRPr="00CB6CE9">
        <w:rPr>
          <w:rFonts w:ascii="Century Gothic" w:hAnsi="Century Gothic" w:cs="Times New Roman"/>
          <w:sz w:val="20"/>
          <w:szCs w:val="20"/>
        </w:rPr>
        <w:t>τιμή του (</w:t>
      </w:r>
      <w:r>
        <w:rPr>
          <w:rFonts w:ascii="Century Gothic" w:hAnsi="Century Gothic" w:cs="Times New Roman"/>
          <w:sz w:val="20"/>
          <w:szCs w:val="20"/>
        </w:rPr>
        <w:t>44,8</w:t>
      </w:r>
      <w:r w:rsidRPr="00CB6CE9">
        <w:rPr>
          <w:rFonts w:ascii="Century Gothic" w:hAnsi="Century Gothic" w:cs="Times New Roman"/>
          <w:sz w:val="20"/>
          <w:szCs w:val="20"/>
        </w:rPr>
        <w:t xml:space="preserve"> μονάδες). </w:t>
      </w:r>
      <w:r>
        <w:rPr>
          <w:rFonts w:ascii="Century Gothic" w:hAnsi="Century Gothic" w:cs="Times New Roman"/>
          <w:sz w:val="20"/>
          <w:szCs w:val="20"/>
        </w:rPr>
        <w:t>Στις</w:t>
      </w:r>
      <w:r w:rsidRPr="00CB6CE9">
        <w:rPr>
          <w:rFonts w:ascii="Century Gothic" w:hAnsi="Century Gothic" w:cs="Times New Roman"/>
          <w:sz w:val="20"/>
          <w:szCs w:val="20"/>
        </w:rPr>
        <w:t xml:space="preserve"> βασικές μεταβλητές, </w:t>
      </w:r>
      <w:r>
        <w:rPr>
          <w:rFonts w:ascii="Century Gothic" w:hAnsi="Century Gothic" w:cs="Times New Roman"/>
          <w:sz w:val="20"/>
          <w:szCs w:val="20"/>
        </w:rPr>
        <w:t xml:space="preserve">ο δείκτης </w:t>
      </w:r>
      <w:r w:rsidRPr="00CB6CE9">
        <w:rPr>
          <w:rFonts w:ascii="Century Gothic" w:hAnsi="Century Gothic" w:cs="Times New Roman"/>
          <w:sz w:val="20"/>
          <w:szCs w:val="20"/>
        </w:rPr>
        <w:t xml:space="preserve">στις εκτιμήσεις για την τρέχουσα κατάσταση των επιχειρήσεων </w:t>
      </w:r>
      <w:r>
        <w:rPr>
          <w:rFonts w:ascii="Century Gothic" w:hAnsi="Century Gothic" w:cs="Times New Roman"/>
          <w:sz w:val="20"/>
          <w:szCs w:val="20"/>
        </w:rPr>
        <w:t xml:space="preserve">μεταβάλλεται οριακά </w:t>
      </w:r>
      <w:r w:rsidRPr="00CB6CE9">
        <w:rPr>
          <w:rFonts w:ascii="Century Gothic" w:hAnsi="Century Gothic" w:cs="Times New Roman"/>
          <w:sz w:val="20"/>
          <w:szCs w:val="20"/>
        </w:rPr>
        <w:t>(</w:t>
      </w:r>
      <w:r>
        <w:rPr>
          <w:rFonts w:ascii="Century Gothic" w:hAnsi="Century Gothic" w:cs="Times New Roman"/>
          <w:sz w:val="20"/>
          <w:szCs w:val="20"/>
        </w:rPr>
        <w:t xml:space="preserve">-4 από -6 </w:t>
      </w:r>
      <w:r w:rsidRPr="00CB6CE9">
        <w:rPr>
          <w:rFonts w:ascii="Century Gothic" w:hAnsi="Century Gothic" w:cs="Times New Roman"/>
          <w:sz w:val="20"/>
          <w:szCs w:val="20"/>
        </w:rPr>
        <w:t>μον.)</w:t>
      </w:r>
      <w:r>
        <w:rPr>
          <w:rFonts w:ascii="Century Gothic" w:hAnsi="Century Gothic" w:cs="Times New Roman"/>
          <w:sz w:val="20"/>
          <w:szCs w:val="20"/>
        </w:rPr>
        <w:t xml:space="preserve">, ενώ η θετική μεταβολή είναι εντονότερη αφενός στην τρέχουσα ζήτηση (+4 από -6 μονάδες το ισοζύγιο) και αφετέρου στις προβλέψεις </w:t>
      </w:r>
      <w:r w:rsidRPr="00CB6CE9">
        <w:rPr>
          <w:rFonts w:ascii="Century Gothic" w:hAnsi="Century Gothic" w:cs="Times New Roman"/>
          <w:sz w:val="20"/>
          <w:szCs w:val="20"/>
        </w:rPr>
        <w:t xml:space="preserve">της </w:t>
      </w:r>
      <w:r>
        <w:rPr>
          <w:rFonts w:ascii="Century Gothic" w:hAnsi="Century Gothic" w:cs="Times New Roman"/>
          <w:sz w:val="20"/>
          <w:szCs w:val="20"/>
        </w:rPr>
        <w:t xml:space="preserve">βραχυπρόθεσμης ζήτησης (+4 από -9 </w:t>
      </w:r>
      <w:r w:rsidRPr="00CB6CE9">
        <w:rPr>
          <w:rFonts w:ascii="Century Gothic" w:hAnsi="Century Gothic" w:cs="Times New Roman"/>
          <w:sz w:val="20"/>
          <w:szCs w:val="20"/>
        </w:rPr>
        <w:t>μον</w:t>
      </w:r>
      <w:r>
        <w:rPr>
          <w:rFonts w:ascii="Century Gothic" w:hAnsi="Century Gothic" w:cs="Times New Roman"/>
          <w:sz w:val="20"/>
          <w:szCs w:val="20"/>
        </w:rPr>
        <w:t>άδες το ισοζύγιο</w:t>
      </w:r>
      <w:r w:rsidRPr="00CB6CE9">
        <w:rPr>
          <w:rFonts w:ascii="Century Gothic" w:hAnsi="Century Gothic" w:cs="Times New Roman"/>
          <w:sz w:val="20"/>
          <w:szCs w:val="20"/>
        </w:rPr>
        <w:t xml:space="preserve">). Οι προσδοκίες για την απασχόληση μεταβάλλονται </w:t>
      </w:r>
      <w:r>
        <w:rPr>
          <w:rFonts w:ascii="Century Gothic" w:hAnsi="Century Gothic" w:cs="Times New Roman"/>
          <w:sz w:val="20"/>
          <w:szCs w:val="20"/>
        </w:rPr>
        <w:t xml:space="preserve">επίσης θετικά, αν και ήπια </w:t>
      </w:r>
      <w:r w:rsidRPr="00CB6CE9">
        <w:rPr>
          <w:rFonts w:ascii="Century Gothic" w:hAnsi="Century Gothic" w:cs="Times New Roman"/>
          <w:sz w:val="20"/>
          <w:szCs w:val="20"/>
        </w:rPr>
        <w:t>(</w:t>
      </w:r>
      <w:r>
        <w:rPr>
          <w:rFonts w:ascii="Century Gothic" w:hAnsi="Century Gothic" w:cs="Times New Roman"/>
          <w:sz w:val="20"/>
          <w:szCs w:val="20"/>
        </w:rPr>
        <w:t xml:space="preserve">-4 από -6 </w:t>
      </w:r>
      <w:r w:rsidRPr="00CB6CE9">
        <w:rPr>
          <w:rFonts w:ascii="Century Gothic" w:hAnsi="Century Gothic" w:cs="Times New Roman"/>
          <w:sz w:val="20"/>
          <w:szCs w:val="20"/>
        </w:rPr>
        <w:t xml:space="preserve">μον. το </w:t>
      </w:r>
      <w:r>
        <w:rPr>
          <w:rFonts w:ascii="Century Gothic" w:hAnsi="Century Gothic" w:cs="Times New Roman"/>
          <w:sz w:val="20"/>
          <w:szCs w:val="20"/>
        </w:rPr>
        <w:t xml:space="preserve">σχετικό </w:t>
      </w:r>
      <w:r w:rsidRPr="00CB6CE9">
        <w:rPr>
          <w:rFonts w:ascii="Century Gothic" w:hAnsi="Century Gothic" w:cs="Times New Roman"/>
          <w:sz w:val="20"/>
          <w:szCs w:val="20"/>
        </w:rPr>
        <w:t xml:space="preserve">ισοζύγιο), </w:t>
      </w:r>
      <w:r>
        <w:rPr>
          <w:rFonts w:ascii="Century Gothic" w:hAnsi="Century Gothic" w:cs="Times New Roman"/>
          <w:sz w:val="20"/>
          <w:szCs w:val="20"/>
        </w:rPr>
        <w:t xml:space="preserve">ενώ στις </w:t>
      </w:r>
      <w:r w:rsidRPr="00CB6CE9">
        <w:rPr>
          <w:rFonts w:ascii="Century Gothic" w:hAnsi="Century Gothic" w:cs="Times New Roman"/>
          <w:sz w:val="20"/>
          <w:szCs w:val="20"/>
        </w:rPr>
        <w:t>προβλέψεις για τις τιμές</w:t>
      </w:r>
      <w:r>
        <w:rPr>
          <w:rFonts w:ascii="Century Gothic" w:hAnsi="Century Gothic" w:cs="Times New Roman"/>
          <w:sz w:val="20"/>
          <w:szCs w:val="20"/>
        </w:rPr>
        <w:t xml:space="preserve"> καταγράφεται σημαντική αποκλιμάκωση (-41 από -3 μον. το ισοζύγιο). </w:t>
      </w:r>
      <w:r w:rsidRPr="00CB6CE9">
        <w:rPr>
          <w:rFonts w:ascii="Century Gothic" w:hAnsi="Century Gothic" w:cs="Times New Roman"/>
          <w:sz w:val="20"/>
          <w:szCs w:val="20"/>
        </w:rPr>
        <w:t xml:space="preserve">Τέλος, </w:t>
      </w:r>
      <w:r w:rsidRPr="00E23DDA">
        <w:rPr>
          <w:rFonts w:ascii="Century Gothic" w:hAnsi="Century Gothic" w:cs="Times New Roman"/>
          <w:sz w:val="20"/>
          <w:szCs w:val="20"/>
        </w:rPr>
        <w:t xml:space="preserve">το </w:t>
      </w:r>
      <w:r>
        <w:rPr>
          <w:rFonts w:ascii="Century Gothic" w:hAnsi="Century Gothic" w:cs="Times New Roman"/>
          <w:sz w:val="20"/>
          <w:szCs w:val="20"/>
        </w:rPr>
        <w:t>11-</w:t>
      </w:r>
      <w:r w:rsidRPr="00E23DDA">
        <w:rPr>
          <w:rFonts w:ascii="Century Gothic" w:hAnsi="Century Gothic" w:cs="Times New Roman"/>
          <w:sz w:val="20"/>
          <w:szCs w:val="20"/>
        </w:rPr>
        <w:t>1</w:t>
      </w:r>
      <w:r>
        <w:rPr>
          <w:rFonts w:ascii="Century Gothic" w:hAnsi="Century Gothic" w:cs="Times New Roman"/>
          <w:sz w:val="20"/>
          <w:szCs w:val="20"/>
        </w:rPr>
        <w:t xml:space="preserve">2% των επιχειρήσεων του κλάδου </w:t>
      </w:r>
      <w:r w:rsidRPr="00E23DDA">
        <w:rPr>
          <w:rFonts w:ascii="Century Gothic" w:hAnsi="Century Gothic" w:cs="Times New Roman"/>
          <w:sz w:val="20"/>
          <w:szCs w:val="20"/>
        </w:rPr>
        <w:t xml:space="preserve">δηλώνει </w:t>
      </w:r>
      <w:r>
        <w:rPr>
          <w:rFonts w:ascii="Century Gothic" w:hAnsi="Century Gothic" w:cs="Times New Roman"/>
          <w:sz w:val="20"/>
          <w:szCs w:val="20"/>
        </w:rPr>
        <w:t xml:space="preserve">εκ νέου </w:t>
      </w:r>
      <w:r w:rsidRPr="00E23DDA">
        <w:rPr>
          <w:rFonts w:ascii="Century Gothic" w:hAnsi="Century Gothic" w:cs="Times New Roman"/>
          <w:sz w:val="20"/>
          <w:szCs w:val="20"/>
        </w:rPr>
        <w:lastRenderedPageBreak/>
        <w:t xml:space="preserve">ακώλυτη επιχειρηματική λειτουργία, με </w:t>
      </w:r>
      <w:r>
        <w:rPr>
          <w:rFonts w:ascii="Century Gothic" w:hAnsi="Century Gothic" w:cs="Times New Roman"/>
          <w:sz w:val="20"/>
          <w:szCs w:val="20"/>
        </w:rPr>
        <w:t>το 75% να αναφέρει</w:t>
      </w:r>
      <w:r w:rsidRPr="00E23DDA">
        <w:rPr>
          <w:rFonts w:ascii="Century Gothic" w:hAnsi="Century Gothic" w:cs="Times New Roman"/>
          <w:sz w:val="20"/>
          <w:szCs w:val="20"/>
        </w:rPr>
        <w:t xml:space="preserve"> την ανεπαρκή </w:t>
      </w:r>
      <w:r>
        <w:rPr>
          <w:rFonts w:ascii="Century Gothic" w:hAnsi="Century Gothic" w:cs="Times New Roman"/>
          <w:sz w:val="20"/>
          <w:szCs w:val="20"/>
        </w:rPr>
        <w:t xml:space="preserve">ζήτηση ως σημαντικότερο εμπόδιο, το 9% </w:t>
      </w:r>
      <w:r w:rsidRPr="00E23DDA">
        <w:rPr>
          <w:rFonts w:ascii="Century Gothic" w:hAnsi="Century Gothic" w:cs="Times New Roman"/>
          <w:sz w:val="20"/>
          <w:szCs w:val="20"/>
        </w:rPr>
        <w:t xml:space="preserve">την ανεπάρκεια κεφαλαίων κίνησης και </w:t>
      </w:r>
      <w:r>
        <w:rPr>
          <w:rFonts w:ascii="Century Gothic" w:hAnsi="Century Gothic" w:cs="Times New Roman"/>
          <w:sz w:val="20"/>
          <w:szCs w:val="20"/>
        </w:rPr>
        <w:t xml:space="preserve">το 5% </w:t>
      </w:r>
      <w:r w:rsidRPr="00E23DDA">
        <w:rPr>
          <w:rFonts w:ascii="Century Gothic" w:hAnsi="Century Gothic" w:cs="Times New Roman"/>
          <w:sz w:val="20"/>
          <w:szCs w:val="20"/>
        </w:rPr>
        <w:t>τους λοιπούς τρέχοντες παράγοντες.</w:t>
      </w:r>
    </w:p>
    <w:p w:rsidR="00BE6140" w:rsidRPr="00CB6CE9" w:rsidRDefault="00BE6140" w:rsidP="00A067D8">
      <w:pPr>
        <w:spacing w:before="100" w:beforeAutospacing="1" w:after="100" w:afterAutospacing="1" w:line="288" w:lineRule="auto"/>
        <w:jc w:val="both"/>
        <w:rPr>
          <w:rFonts w:ascii="Century Gothic" w:hAnsi="Century Gothic" w:cs="Times New Roman"/>
          <w:sz w:val="20"/>
          <w:szCs w:val="20"/>
        </w:rPr>
      </w:pPr>
      <w:r w:rsidRPr="00CB6CE9">
        <w:rPr>
          <w:rFonts w:ascii="Century Gothic" w:hAnsi="Century Gothic" w:cs="Times New Roman"/>
          <w:sz w:val="20"/>
          <w:szCs w:val="20"/>
        </w:rPr>
        <w:t>Οι</w:t>
      </w:r>
      <w:r>
        <w:rPr>
          <w:rFonts w:ascii="Century Gothic" w:hAnsi="Century Gothic" w:cs="Times New Roman"/>
          <w:sz w:val="20"/>
          <w:szCs w:val="20"/>
        </w:rPr>
        <w:t xml:space="preserve"> </w:t>
      </w:r>
      <w:r w:rsidRPr="00CB6CE9">
        <w:rPr>
          <w:rFonts w:ascii="Century Gothic" w:hAnsi="Century Gothic" w:cs="Times New Roman"/>
          <w:sz w:val="20"/>
          <w:szCs w:val="20"/>
        </w:rPr>
        <w:t>επιχειρηματικές προσδοκίες και στην</w:t>
      </w:r>
      <w:r w:rsidRPr="00CB6CE9">
        <w:rPr>
          <w:rFonts w:ascii="Century Gothic" w:hAnsi="Century Gothic" w:cs="Times New Roman"/>
          <w:b/>
          <w:bCs/>
          <w:sz w:val="20"/>
          <w:szCs w:val="20"/>
        </w:rPr>
        <w:t xml:space="preserve"> Πληροφορική και Ανάπτυξη Λογισμικού</w:t>
      </w:r>
      <w:r>
        <w:rPr>
          <w:rFonts w:ascii="Century Gothic" w:hAnsi="Century Gothic" w:cs="Times New Roman"/>
          <w:sz w:val="20"/>
          <w:szCs w:val="20"/>
        </w:rPr>
        <w:t xml:space="preserve"> βελτιώνονται επίσης,</w:t>
      </w:r>
      <w:r w:rsidRPr="00CB6CE9">
        <w:rPr>
          <w:rFonts w:ascii="Century Gothic" w:hAnsi="Century Gothic" w:cs="Times New Roman"/>
          <w:sz w:val="20"/>
          <w:szCs w:val="20"/>
        </w:rPr>
        <w:t xml:space="preserve"> με το σχετικό δείκτη να διαμορφώνεται στις </w:t>
      </w:r>
      <w:r>
        <w:rPr>
          <w:rFonts w:ascii="Century Gothic" w:hAnsi="Century Gothic" w:cs="Times New Roman"/>
          <w:sz w:val="20"/>
          <w:szCs w:val="20"/>
        </w:rPr>
        <w:t xml:space="preserve">72,6 </w:t>
      </w:r>
      <w:r w:rsidRPr="00CB6CE9">
        <w:rPr>
          <w:rFonts w:ascii="Century Gothic" w:hAnsi="Century Gothic" w:cs="Times New Roman"/>
          <w:sz w:val="20"/>
          <w:szCs w:val="20"/>
        </w:rPr>
        <w:t>μονάδες</w:t>
      </w:r>
      <w:r>
        <w:rPr>
          <w:rFonts w:ascii="Century Gothic" w:hAnsi="Century Gothic" w:cs="Times New Roman"/>
          <w:sz w:val="20"/>
          <w:szCs w:val="20"/>
        </w:rPr>
        <w:t xml:space="preserve"> (από 54,5 τον Ιούλιο)</w:t>
      </w:r>
      <w:r w:rsidRPr="00CB6CE9">
        <w:rPr>
          <w:rFonts w:ascii="Century Gothic" w:hAnsi="Century Gothic" w:cs="Times New Roman"/>
          <w:sz w:val="20"/>
          <w:szCs w:val="20"/>
        </w:rPr>
        <w:t xml:space="preserve">, </w:t>
      </w:r>
      <w:r>
        <w:rPr>
          <w:rFonts w:ascii="Century Gothic" w:hAnsi="Century Gothic" w:cs="Times New Roman"/>
          <w:sz w:val="20"/>
          <w:szCs w:val="20"/>
        </w:rPr>
        <w:t>υψηλότερα έναντι</w:t>
      </w:r>
      <w:r w:rsidRPr="00CB6CE9">
        <w:rPr>
          <w:rFonts w:ascii="Century Gothic" w:hAnsi="Century Gothic" w:cs="Times New Roman"/>
          <w:sz w:val="20"/>
          <w:szCs w:val="20"/>
        </w:rPr>
        <w:t xml:space="preserve"> του αντίστοιχου περσινού </w:t>
      </w:r>
      <w:r>
        <w:rPr>
          <w:rFonts w:ascii="Century Gothic" w:hAnsi="Century Gothic" w:cs="Times New Roman"/>
          <w:sz w:val="20"/>
          <w:szCs w:val="20"/>
        </w:rPr>
        <w:t>επιπέδου του (55 μον.). Σε αντιδιαστολή με τον Ιούλιο, τον Σεπτέμβριο όλες οι βασικές μεταβλητές του δείκτη μεταβάλλονται θετικά: στις</w:t>
      </w:r>
      <w:r w:rsidRPr="00CB6CE9">
        <w:rPr>
          <w:rFonts w:ascii="Century Gothic" w:hAnsi="Century Gothic" w:cs="Times New Roman"/>
          <w:sz w:val="20"/>
          <w:szCs w:val="20"/>
        </w:rPr>
        <w:t xml:space="preserve"> εκτιμήσεις για την τρέχουσα δραστηριότητα</w:t>
      </w:r>
      <w:r>
        <w:rPr>
          <w:rFonts w:ascii="Century Gothic" w:hAnsi="Century Gothic" w:cs="Times New Roman"/>
          <w:sz w:val="20"/>
          <w:szCs w:val="20"/>
        </w:rPr>
        <w:t xml:space="preserve"> και</w:t>
      </w:r>
      <w:r w:rsidRPr="00CB6CE9">
        <w:rPr>
          <w:rFonts w:ascii="Century Gothic" w:hAnsi="Century Gothic" w:cs="Times New Roman"/>
          <w:sz w:val="20"/>
          <w:szCs w:val="20"/>
        </w:rPr>
        <w:t xml:space="preserve"> </w:t>
      </w:r>
      <w:r>
        <w:rPr>
          <w:rFonts w:ascii="Century Gothic" w:hAnsi="Century Gothic" w:cs="Times New Roman"/>
          <w:sz w:val="20"/>
          <w:szCs w:val="20"/>
        </w:rPr>
        <w:t>τις προβλέψεις για τη βραχυπρόθεσμη ζήτηση, οι σχετικοί δείκτες</w:t>
      </w:r>
      <w:r w:rsidRPr="00CB6CE9">
        <w:rPr>
          <w:rFonts w:ascii="Century Gothic" w:hAnsi="Century Gothic" w:cs="Times New Roman"/>
          <w:sz w:val="20"/>
          <w:szCs w:val="20"/>
        </w:rPr>
        <w:t xml:space="preserve"> </w:t>
      </w:r>
      <w:r>
        <w:rPr>
          <w:rFonts w:ascii="Century Gothic" w:hAnsi="Century Gothic" w:cs="Times New Roman"/>
          <w:sz w:val="20"/>
          <w:szCs w:val="20"/>
        </w:rPr>
        <w:t>διαμορφώνονται</w:t>
      </w:r>
      <w:r w:rsidRPr="00CB6CE9">
        <w:rPr>
          <w:rFonts w:ascii="Century Gothic" w:hAnsi="Century Gothic" w:cs="Times New Roman"/>
          <w:sz w:val="20"/>
          <w:szCs w:val="20"/>
        </w:rPr>
        <w:t xml:space="preserve"> στις </w:t>
      </w:r>
      <w:r>
        <w:rPr>
          <w:rFonts w:ascii="Century Gothic" w:hAnsi="Century Gothic" w:cs="Times New Roman"/>
          <w:sz w:val="20"/>
          <w:szCs w:val="20"/>
        </w:rPr>
        <w:t xml:space="preserve">-19 και +15 μονάδες αντίστοιχα (από -30 και -26 μον.), ενώ ανάλογη είναι και η εξέλιξη του ισοζυγίου των </w:t>
      </w:r>
      <w:r w:rsidRPr="00CB6CE9">
        <w:rPr>
          <w:rFonts w:ascii="Century Gothic" w:hAnsi="Century Gothic" w:cs="Times New Roman"/>
          <w:sz w:val="20"/>
          <w:szCs w:val="20"/>
        </w:rPr>
        <w:t>εκτι</w:t>
      </w:r>
      <w:r>
        <w:rPr>
          <w:rFonts w:ascii="Century Gothic" w:hAnsi="Century Gothic" w:cs="Times New Roman"/>
          <w:sz w:val="20"/>
          <w:szCs w:val="20"/>
        </w:rPr>
        <w:t>μήσεων για την τρέχουσα ζήτηση, το οποίο ισοσκελίζεται (από -22 μον.).</w:t>
      </w:r>
      <w:r w:rsidRPr="00CB6CE9">
        <w:rPr>
          <w:rFonts w:ascii="Century Gothic" w:hAnsi="Century Gothic" w:cs="Times New Roman"/>
          <w:sz w:val="20"/>
          <w:szCs w:val="20"/>
        </w:rPr>
        <w:t xml:space="preserve"> </w:t>
      </w:r>
      <w:r>
        <w:rPr>
          <w:rFonts w:ascii="Century Gothic" w:hAnsi="Century Gothic" w:cs="Times New Roman"/>
          <w:sz w:val="20"/>
          <w:szCs w:val="20"/>
        </w:rPr>
        <w:t>Ο</w:t>
      </w:r>
      <w:r w:rsidRPr="00CB6CE9">
        <w:rPr>
          <w:rFonts w:ascii="Century Gothic" w:hAnsi="Century Gothic" w:cs="Times New Roman"/>
          <w:sz w:val="20"/>
          <w:szCs w:val="20"/>
        </w:rPr>
        <w:t xml:space="preserve">ι αρνητικές προβλέψεις για την απασχόληση του κλάδου </w:t>
      </w:r>
      <w:r>
        <w:rPr>
          <w:rFonts w:ascii="Century Gothic" w:hAnsi="Century Gothic" w:cs="Times New Roman"/>
          <w:sz w:val="20"/>
          <w:szCs w:val="20"/>
        </w:rPr>
        <w:t xml:space="preserve">κερδίζουν επίσης έδαφος </w:t>
      </w:r>
      <w:r w:rsidRPr="00CB6CE9">
        <w:rPr>
          <w:rFonts w:ascii="Century Gothic" w:hAnsi="Century Gothic" w:cs="Times New Roman"/>
          <w:sz w:val="20"/>
          <w:szCs w:val="20"/>
        </w:rPr>
        <w:t>(</w:t>
      </w:r>
      <w:r>
        <w:rPr>
          <w:rFonts w:ascii="Century Gothic" w:hAnsi="Century Gothic" w:cs="Times New Roman"/>
          <w:sz w:val="20"/>
          <w:szCs w:val="20"/>
        </w:rPr>
        <w:t xml:space="preserve">-11 από -26 </w:t>
      </w:r>
      <w:r w:rsidRPr="00CB6CE9">
        <w:rPr>
          <w:rFonts w:ascii="Century Gothic" w:hAnsi="Century Gothic" w:cs="Times New Roman"/>
          <w:sz w:val="20"/>
          <w:szCs w:val="20"/>
        </w:rPr>
        <w:t>μον</w:t>
      </w:r>
      <w:r>
        <w:rPr>
          <w:rFonts w:ascii="Century Gothic" w:hAnsi="Century Gothic" w:cs="Times New Roman"/>
          <w:sz w:val="20"/>
          <w:szCs w:val="20"/>
        </w:rPr>
        <w:t>.</w:t>
      </w:r>
      <w:r w:rsidRPr="00CB6CE9">
        <w:rPr>
          <w:rFonts w:ascii="Century Gothic" w:hAnsi="Century Gothic" w:cs="Times New Roman"/>
          <w:sz w:val="20"/>
          <w:szCs w:val="20"/>
        </w:rPr>
        <w:t xml:space="preserve"> ο δείκτης), ενώ </w:t>
      </w:r>
      <w:r>
        <w:rPr>
          <w:rFonts w:ascii="Century Gothic" w:hAnsi="Century Gothic" w:cs="Times New Roman"/>
          <w:sz w:val="20"/>
          <w:szCs w:val="20"/>
        </w:rPr>
        <w:t xml:space="preserve">ο αρνητικός </w:t>
      </w:r>
      <w:r w:rsidRPr="00CB6CE9">
        <w:rPr>
          <w:rFonts w:ascii="Century Gothic" w:hAnsi="Century Gothic" w:cs="Times New Roman"/>
          <w:sz w:val="20"/>
          <w:szCs w:val="20"/>
        </w:rPr>
        <w:t xml:space="preserve">δείκτης των προβλεπόμενων μεταβολών </w:t>
      </w:r>
      <w:r>
        <w:rPr>
          <w:rFonts w:ascii="Century Gothic" w:hAnsi="Century Gothic" w:cs="Times New Roman"/>
          <w:sz w:val="20"/>
          <w:szCs w:val="20"/>
        </w:rPr>
        <w:t>των τιμών</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παραμένει στα ίδια επίπεδα </w:t>
      </w:r>
      <w:r w:rsidRPr="00CB6CE9">
        <w:rPr>
          <w:rFonts w:ascii="Century Gothic" w:hAnsi="Century Gothic" w:cs="Times New Roman"/>
          <w:sz w:val="20"/>
          <w:szCs w:val="20"/>
        </w:rPr>
        <w:t>(</w:t>
      </w:r>
      <w:r>
        <w:rPr>
          <w:rFonts w:ascii="Century Gothic" w:hAnsi="Century Gothic" w:cs="Times New Roman"/>
          <w:sz w:val="20"/>
          <w:szCs w:val="20"/>
        </w:rPr>
        <w:t xml:space="preserve">-44 </w:t>
      </w:r>
      <w:r w:rsidRPr="00CB6CE9">
        <w:rPr>
          <w:rFonts w:ascii="Century Gothic" w:hAnsi="Century Gothic" w:cs="Times New Roman"/>
          <w:sz w:val="20"/>
          <w:szCs w:val="20"/>
        </w:rPr>
        <w:t>μον</w:t>
      </w:r>
      <w:r>
        <w:rPr>
          <w:rFonts w:ascii="Century Gothic" w:hAnsi="Century Gothic" w:cs="Times New Roman"/>
          <w:sz w:val="20"/>
          <w:szCs w:val="20"/>
        </w:rPr>
        <w:t>.</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Το ποσοστό, τέλος, των επιχειρήσεων που </w:t>
      </w:r>
      <w:r w:rsidRPr="00CB6CE9">
        <w:rPr>
          <w:rFonts w:ascii="Century Gothic" w:hAnsi="Century Gothic" w:cs="Times New Roman"/>
          <w:sz w:val="20"/>
          <w:szCs w:val="20"/>
        </w:rPr>
        <w:t>δηλώνει απρόσκοπτη επιχειρηματική λειτουργία</w:t>
      </w:r>
      <w:r>
        <w:rPr>
          <w:rFonts w:ascii="Century Gothic" w:hAnsi="Century Gothic" w:cs="Times New Roman"/>
          <w:sz w:val="20"/>
          <w:szCs w:val="20"/>
        </w:rPr>
        <w:t xml:space="preserve"> περιορίζεται στο 11% (από 22%),</w:t>
      </w:r>
      <w:r w:rsidRPr="00CB6CE9">
        <w:rPr>
          <w:rFonts w:ascii="Century Gothic" w:hAnsi="Century Gothic" w:cs="Times New Roman"/>
          <w:sz w:val="20"/>
          <w:szCs w:val="20"/>
        </w:rPr>
        <w:t xml:space="preserve"> </w:t>
      </w:r>
      <w:r>
        <w:rPr>
          <w:rFonts w:ascii="Century Gothic" w:hAnsi="Century Gothic" w:cs="Times New Roman"/>
          <w:sz w:val="20"/>
          <w:szCs w:val="20"/>
        </w:rPr>
        <w:t>ενώ το 44%</w:t>
      </w:r>
      <w:r w:rsidRPr="00CB6CE9">
        <w:rPr>
          <w:rFonts w:ascii="Century Gothic" w:hAnsi="Century Gothic" w:cs="Times New Roman"/>
          <w:sz w:val="20"/>
          <w:szCs w:val="20"/>
        </w:rPr>
        <w:t xml:space="preserve"> </w:t>
      </w:r>
      <w:r w:rsidRPr="00FE503C">
        <w:rPr>
          <w:rFonts w:ascii="Century Gothic" w:hAnsi="Century Gothic" w:cs="Times New Roman"/>
          <w:sz w:val="20"/>
          <w:szCs w:val="20"/>
        </w:rPr>
        <w:t xml:space="preserve">επισημαίνει </w:t>
      </w:r>
      <w:r>
        <w:rPr>
          <w:rFonts w:ascii="Century Gothic" w:hAnsi="Century Gothic" w:cs="Times New Roman"/>
          <w:sz w:val="20"/>
          <w:szCs w:val="20"/>
        </w:rPr>
        <w:t xml:space="preserve">την ανεπάρκεια ζήτησης, το 31% την ανεπάρκεια </w:t>
      </w:r>
      <w:r w:rsidRPr="00CB6CE9">
        <w:rPr>
          <w:rFonts w:ascii="Century Gothic" w:hAnsi="Century Gothic" w:cs="Times New Roman"/>
          <w:sz w:val="20"/>
          <w:szCs w:val="20"/>
        </w:rPr>
        <w:t xml:space="preserve">κεφαλαίων κίνησης </w:t>
      </w:r>
      <w:r>
        <w:rPr>
          <w:rFonts w:ascii="Century Gothic" w:hAnsi="Century Gothic" w:cs="Times New Roman"/>
          <w:sz w:val="20"/>
          <w:szCs w:val="20"/>
        </w:rPr>
        <w:t xml:space="preserve">και ένα 8% τους λοιπούς συγκυριακούς παράγοντες </w:t>
      </w:r>
      <w:r w:rsidRPr="00CB6CE9">
        <w:rPr>
          <w:rFonts w:ascii="Century Gothic" w:hAnsi="Century Gothic" w:cs="Times New Roman"/>
          <w:sz w:val="20"/>
          <w:szCs w:val="20"/>
        </w:rPr>
        <w:t xml:space="preserve">ως </w:t>
      </w:r>
      <w:r>
        <w:rPr>
          <w:rFonts w:ascii="Century Gothic" w:hAnsi="Century Gothic" w:cs="Times New Roman"/>
          <w:sz w:val="20"/>
          <w:szCs w:val="20"/>
        </w:rPr>
        <w:t xml:space="preserve">βασικότερα εμπόδια </w:t>
      </w:r>
      <w:r w:rsidRPr="00CB6CE9">
        <w:rPr>
          <w:rFonts w:ascii="Century Gothic" w:hAnsi="Century Gothic" w:cs="Times New Roman"/>
          <w:sz w:val="20"/>
          <w:szCs w:val="20"/>
        </w:rPr>
        <w:t xml:space="preserve">στην ομαλή δραστηριότητά του. </w:t>
      </w:r>
    </w:p>
    <w:p w:rsidR="00BE6140" w:rsidRDefault="00BE6140" w:rsidP="00A067D8">
      <w:pPr>
        <w:spacing w:before="100" w:beforeAutospacing="1" w:after="100" w:afterAutospacing="1" w:line="288" w:lineRule="auto"/>
        <w:jc w:val="both"/>
      </w:pPr>
      <w:r w:rsidRPr="00CB6CE9">
        <w:rPr>
          <w:rFonts w:ascii="Century Gothic" w:hAnsi="Century Gothic" w:cs="Times New Roman"/>
          <w:sz w:val="20"/>
          <w:szCs w:val="20"/>
        </w:rPr>
        <w:t xml:space="preserve">Οι επιχειρηματικές προσδοκίες στον κλάδο των </w:t>
      </w:r>
      <w:r w:rsidRPr="00CB6CE9">
        <w:rPr>
          <w:rFonts w:ascii="Century Gothic" w:hAnsi="Century Gothic" w:cs="Times New Roman"/>
          <w:b/>
          <w:bCs/>
          <w:sz w:val="20"/>
          <w:szCs w:val="20"/>
        </w:rPr>
        <w:t>Χερσαίων Μεταφορών</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εξασθενούν </w:t>
      </w:r>
      <w:r w:rsidRPr="00CB6CE9">
        <w:rPr>
          <w:rFonts w:ascii="Century Gothic" w:hAnsi="Century Gothic" w:cs="Times New Roman"/>
          <w:sz w:val="20"/>
          <w:szCs w:val="20"/>
        </w:rPr>
        <w:t xml:space="preserve">τον </w:t>
      </w:r>
      <w:r>
        <w:rPr>
          <w:rFonts w:ascii="Century Gothic" w:hAnsi="Century Gothic" w:cs="Times New Roman"/>
          <w:sz w:val="20"/>
          <w:szCs w:val="20"/>
        </w:rPr>
        <w:t>Σεπτέμβριο</w:t>
      </w:r>
      <w:r w:rsidRPr="00CB6CE9">
        <w:rPr>
          <w:rFonts w:ascii="Century Gothic" w:hAnsi="Century Gothic" w:cs="Times New Roman"/>
          <w:sz w:val="20"/>
          <w:szCs w:val="20"/>
        </w:rPr>
        <w:t xml:space="preserve">, με το σχετικό δείκτη να διαμορφώνεται στις </w:t>
      </w:r>
      <w:r>
        <w:rPr>
          <w:rFonts w:ascii="Century Gothic" w:hAnsi="Century Gothic" w:cs="Times New Roman"/>
          <w:sz w:val="20"/>
          <w:szCs w:val="20"/>
        </w:rPr>
        <w:t>75,7 μονάδες (από 100,1)</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σε τιμή ανώτερη έναντι της </w:t>
      </w:r>
      <w:r w:rsidRPr="00CB6CE9">
        <w:rPr>
          <w:rFonts w:ascii="Century Gothic" w:hAnsi="Century Gothic" w:cs="Times New Roman"/>
          <w:sz w:val="20"/>
          <w:szCs w:val="20"/>
        </w:rPr>
        <w:t>αντίστοιχ</w:t>
      </w:r>
      <w:r>
        <w:rPr>
          <w:rFonts w:ascii="Century Gothic" w:hAnsi="Century Gothic" w:cs="Times New Roman"/>
          <w:sz w:val="20"/>
          <w:szCs w:val="20"/>
        </w:rPr>
        <w:t xml:space="preserve">ης </w:t>
      </w:r>
      <w:r w:rsidRPr="00CB6CE9">
        <w:rPr>
          <w:rFonts w:ascii="Century Gothic" w:hAnsi="Century Gothic" w:cs="Times New Roman"/>
          <w:sz w:val="20"/>
          <w:szCs w:val="20"/>
        </w:rPr>
        <w:t>περσιν</w:t>
      </w:r>
      <w:r>
        <w:rPr>
          <w:rFonts w:ascii="Century Gothic" w:hAnsi="Century Gothic" w:cs="Times New Roman"/>
          <w:sz w:val="20"/>
          <w:szCs w:val="20"/>
        </w:rPr>
        <w:t>ής του (58,9 μον.)</w:t>
      </w:r>
      <w:r w:rsidRPr="00CB6CE9">
        <w:rPr>
          <w:rFonts w:ascii="Century Gothic" w:hAnsi="Century Gothic" w:cs="Times New Roman"/>
          <w:sz w:val="20"/>
          <w:szCs w:val="20"/>
        </w:rPr>
        <w:t xml:space="preserve">. Από τις </w:t>
      </w:r>
      <w:r>
        <w:rPr>
          <w:rFonts w:ascii="Century Gothic" w:hAnsi="Century Gothic" w:cs="Times New Roman"/>
          <w:sz w:val="20"/>
          <w:szCs w:val="20"/>
        </w:rPr>
        <w:t>βασικές</w:t>
      </w:r>
      <w:r w:rsidRPr="00CB6CE9">
        <w:rPr>
          <w:rFonts w:ascii="Century Gothic" w:hAnsi="Century Gothic" w:cs="Times New Roman"/>
          <w:sz w:val="20"/>
          <w:szCs w:val="20"/>
        </w:rPr>
        <w:t xml:space="preserve"> συνιστώσες του δείκτη, </w:t>
      </w:r>
      <w:r>
        <w:rPr>
          <w:rFonts w:ascii="Century Gothic" w:hAnsi="Century Gothic" w:cs="Times New Roman"/>
          <w:sz w:val="20"/>
          <w:szCs w:val="20"/>
        </w:rPr>
        <w:t>οι εκτιμήσεις</w:t>
      </w:r>
      <w:r w:rsidRPr="00CB6CE9">
        <w:rPr>
          <w:rFonts w:ascii="Century Gothic" w:hAnsi="Century Gothic" w:cs="Times New Roman"/>
          <w:sz w:val="20"/>
          <w:szCs w:val="20"/>
        </w:rPr>
        <w:t xml:space="preserve"> για την τρέχουσα δραστηριότητα </w:t>
      </w:r>
      <w:r>
        <w:rPr>
          <w:rFonts w:ascii="Century Gothic" w:hAnsi="Century Gothic" w:cs="Times New Roman"/>
          <w:sz w:val="20"/>
          <w:szCs w:val="20"/>
        </w:rPr>
        <w:t xml:space="preserve">των επιχειρήσεων επιδεινώνονται ελαφρά (+14 από +21 μον. ο δείκτης), όπως και οι αντίστοιχες για την τρέχουσα </w:t>
      </w:r>
      <w:r w:rsidRPr="00CB6CE9">
        <w:rPr>
          <w:rFonts w:ascii="Century Gothic" w:hAnsi="Century Gothic" w:cs="Times New Roman"/>
          <w:sz w:val="20"/>
          <w:szCs w:val="20"/>
        </w:rPr>
        <w:t>ζήτηση του κλάδου (</w:t>
      </w:r>
      <w:r>
        <w:rPr>
          <w:rFonts w:ascii="Century Gothic" w:hAnsi="Century Gothic" w:cs="Times New Roman"/>
          <w:sz w:val="20"/>
          <w:szCs w:val="20"/>
        </w:rPr>
        <w:t>-4 από +10 μον. το ισοζύγιο).</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Ως προς την </w:t>
      </w:r>
      <w:r w:rsidRPr="00CB6CE9">
        <w:rPr>
          <w:rFonts w:ascii="Century Gothic" w:hAnsi="Century Gothic" w:cs="Times New Roman"/>
          <w:sz w:val="20"/>
          <w:szCs w:val="20"/>
        </w:rPr>
        <w:t xml:space="preserve">προβλεπόμενη </w:t>
      </w:r>
      <w:r>
        <w:rPr>
          <w:rFonts w:ascii="Century Gothic" w:hAnsi="Century Gothic" w:cs="Times New Roman"/>
          <w:sz w:val="20"/>
          <w:szCs w:val="20"/>
        </w:rPr>
        <w:t xml:space="preserve">ζήτηση, ο σχετικός δείκτης υποχωρεί σημαντικά (-38 από +29 μον.), ενώ στα </w:t>
      </w:r>
      <w:r w:rsidRPr="00CB6CE9">
        <w:rPr>
          <w:rFonts w:ascii="Century Gothic" w:hAnsi="Century Gothic" w:cs="Times New Roman"/>
          <w:sz w:val="20"/>
          <w:szCs w:val="20"/>
        </w:rPr>
        <w:t xml:space="preserve">υπόλοιπα στοιχεία, οι αρνητικές προβλέψεις για την απασχόληση </w:t>
      </w:r>
      <w:r>
        <w:rPr>
          <w:rFonts w:ascii="Century Gothic" w:hAnsi="Century Gothic" w:cs="Times New Roman"/>
          <w:sz w:val="20"/>
          <w:szCs w:val="20"/>
        </w:rPr>
        <w:t>εντείνονται στη χειρότερη φετινή τους επίδοση</w:t>
      </w:r>
      <w:r w:rsidRPr="00CB6CE9">
        <w:rPr>
          <w:rFonts w:ascii="Century Gothic" w:hAnsi="Century Gothic" w:cs="Times New Roman"/>
          <w:sz w:val="20"/>
          <w:szCs w:val="20"/>
        </w:rPr>
        <w:t xml:space="preserve"> (</w:t>
      </w:r>
      <w:r>
        <w:rPr>
          <w:rFonts w:ascii="Century Gothic" w:hAnsi="Century Gothic" w:cs="Times New Roman"/>
          <w:sz w:val="20"/>
          <w:szCs w:val="20"/>
        </w:rPr>
        <w:t>-71 από -27 μον. ο δείκτης). Σ</w:t>
      </w:r>
      <w:r w:rsidRPr="00CB6CE9">
        <w:rPr>
          <w:rFonts w:ascii="Century Gothic" w:hAnsi="Century Gothic" w:cs="Times New Roman"/>
          <w:sz w:val="20"/>
          <w:szCs w:val="20"/>
        </w:rPr>
        <w:t xml:space="preserve">τις </w:t>
      </w:r>
      <w:r>
        <w:rPr>
          <w:rFonts w:ascii="Century Gothic" w:hAnsi="Century Gothic" w:cs="Times New Roman"/>
          <w:sz w:val="20"/>
          <w:szCs w:val="20"/>
        </w:rPr>
        <w:t xml:space="preserve">προβλεπόμενες </w:t>
      </w:r>
      <w:r w:rsidRPr="00CB6CE9">
        <w:rPr>
          <w:rFonts w:ascii="Century Gothic" w:hAnsi="Century Gothic" w:cs="Times New Roman"/>
          <w:sz w:val="20"/>
          <w:szCs w:val="20"/>
        </w:rPr>
        <w:t>τιμές</w:t>
      </w:r>
      <w:r>
        <w:rPr>
          <w:rFonts w:ascii="Century Gothic" w:hAnsi="Century Gothic" w:cs="Times New Roman"/>
          <w:sz w:val="20"/>
          <w:szCs w:val="20"/>
        </w:rPr>
        <w:t>, οι προσδοκίες σταθερότητας παραμένουν κυρίαρχες με διαφορά (95% των επιχειρήσεων), ενώ τέλος, μόνο το 3</w:t>
      </w:r>
      <w:r w:rsidRPr="00CB6CE9">
        <w:rPr>
          <w:rFonts w:ascii="Century Gothic" w:hAnsi="Century Gothic" w:cs="Times New Roman"/>
          <w:sz w:val="20"/>
          <w:szCs w:val="20"/>
        </w:rPr>
        <w:t xml:space="preserve">% </w:t>
      </w:r>
      <w:r>
        <w:rPr>
          <w:rFonts w:ascii="Century Gothic" w:hAnsi="Century Gothic" w:cs="Times New Roman"/>
          <w:sz w:val="20"/>
          <w:szCs w:val="20"/>
        </w:rPr>
        <w:t xml:space="preserve">(από 1%) </w:t>
      </w:r>
      <w:r w:rsidRPr="00CB6CE9">
        <w:rPr>
          <w:rFonts w:ascii="Century Gothic" w:hAnsi="Century Gothic" w:cs="Times New Roman"/>
          <w:sz w:val="20"/>
          <w:szCs w:val="20"/>
        </w:rPr>
        <w:t>των επιχειρήσεων</w:t>
      </w:r>
      <w:r>
        <w:rPr>
          <w:rFonts w:ascii="Century Gothic" w:hAnsi="Century Gothic" w:cs="Times New Roman"/>
          <w:sz w:val="20"/>
          <w:szCs w:val="20"/>
        </w:rPr>
        <w:t xml:space="preserve"> </w:t>
      </w:r>
      <w:r w:rsidRPr="00CB6CE9">
        <w:rPr>
          <w:rFonts w:ascii="Century Gothic" w:hAnsi="Century Gothic" w:cs="Times New Roman"/>
          <w:sz w:val="20"/>
          <w:szCs w:val="20"/>
        </w:rPr>
        <w:t xml:space="preserve">δηλώνει απρόσκοπτη λειτουργία, με </w:t>
      </w:r>
      <w:r>
        <w:rPr>
          <w:rFonts w:ascii="Century Gothic" w:hAnsi="Century Gothic" w:cs="Times New Roman"/>
          <w:sz w:val="20"/>
          <w:szCs w:val="20"/>
        </w:rPr>
        <w:t>το 34% να επισημαίνει</w:t>
      </w:r>
      <w:r w:rsidRPr="00CB6CE9">
        <w:rPr>
          <w:rFonts w:ascii="Century Gothic" w:hAnsi="Century Gothic" w:cs="Times New Roman"/>
          <w:sz w:val="20"/>
          <w:szCs w:val="20"/>
        </w:rPr>
        <w:t xml:space="preserve"> την ανεπάρκεια κεφαλαίων κίνησης, το </w:t>
      </w:r>
      <w:r>
        <w:rPr>
          <w:rFonts w:ascii="Century Gothic" w:hAnsi="Century Gothic" w:cs="Times New Roman"/>
          <w:sz w:val="20"/>
          <w:szCs w:val="20"/>
        </w:rPr>
        <w:t>26</w:t>
      </w:r>
      <w:r w:rsidRPr="00CB6CE9">
        <w:rPr>
          <w:rFonts w:ascii="Century Gothic" w:hAnsi="Century Gothic" w:cs="Times New Roman"/>
          <w:sz w:val="20"/>
          <w:szCs w:val="20"/>
        </w:rPr>
        <w:t>% την ανεπάρκεια της ζήτησης</w:t>
      </w:r>
      <w:r>
        <w:rPr>
          <w:rFonts w:ascii="Century Gothic" w:hAnsi="Century Gothic" w:cs="Times New Roman"/>
          <w:sz w:val="20"/>
          <w:szCs w:val="20"/>
        </w:rPr>
        <w:t>, το 15% το ανεπαρκές εργατικό δυναμικό και</w:t>
      </w:r>
      <w:r w:rsidRPr="00CB6CE9">
        <w:rPr>
          <w:rFonts w:ascii="Century Gothic" w:hAnsi="Century Gothic" w:cs="Times New Roman"/>
          <w:sz w:val="20"/>
          <w:szCs w:val="20"/>
        </w:rPr>
        <w:t xml:space="preserve"> </w:t>
      </w:r>
      <w:r>
        <w:rPr>
          <w:rFonts w:ascii="Century Gothic" w:hAnsi="Century Gothic" w:cs="Times New Roman"/>
          <w:sz w:val="20"/>
          <w:szCs w:val="20"/>
        </w:rPr>
        <w:t>το 22%</w:t>
      </w:r>
      <w:r w:rsidRPr="00CB6CE9">
        <w:rPr>
          <w:rFonts w:ascii="Century Gothic" w:hAnsi="Century Gothic" w:cs="Times New Roman"/>
          <w:sz w:val="20"/>
          <w:szCs w:val="20"/>
        </w:rPr>
        <w:t xml:space="preserve"> την τρέχουσα οικονομική κατάσταση ως τα </w:t>
      </w:r>
      <w:r>
        <w:rPr>
          <w:rFonts w:ascii="Century Gothic" w:hAnsi="Century Gothic" w:cs="Times New Roman"/>
          <w:sz w:val="20"/>
          <w:szCs w:val="20"/>
        </w:rPr>
        <w:t>κύρια</w:t>
      </w:r>
      <w:r w:rsidRPr="00CB6CE9">
        <w:rPr>
          <w:rFonts w:ascii="Century Gothic" w:hAnsi="Century Gothic" w:cs="Times New Roman"/>
          <w:sz w:val="20"/>
          <w:szCs w:val="20"/>
        </w:rPr>
        <w:t xml:space="preserve"> </w:t>
      </w:r>
      <w:r>
        <w:rPr>
          <w:rFonts w:ascii="Century Gothic" w:hAnsi="Century Gothic" w:cs="Times New Roman"/>
          <w:sz w:val="20"/>
          <w:szCs w:val="20"/>
        </w:rPr>
        <w:t>λειτουργικά εμπόδια</w:t>
      </w:r>
      <w:r w:rsidRPr="00CB6CE9">
        <w:rPr>
          <w:rFonts w:ascii="Century Gothic" w:hAnsi="Century Gothic" w:cs="Times New Roman"/>
          <w:sz w:val="20"/>
          <w:szCs w:val="20"/>
        </w:rPr>
        <w:t xml:space="preserve"> του κλάδου. </w:t>
      </w:r>
    </w:p>
    <w:p w:rsidR="00BE6140" w:rsidRDefault="00BE6140" w:rsidP="008A5D49">
      <w:pPr>
        <w:spacing w:line="288" w:lineRule="auto"/>
        <w:jc w:val="both"/>
        <w:rPr>
          <w:rFonts w:ascii="Century Gothic" w:hAnsi="Century Gothic" w:cs="Times New Roman"/>
          <w:sz w:val="20"/>
          <w:szCs w:val="20"/>
        </w:rPr>
      </w:pPr>
    </w:p>
    <w:p w:rsidR="00BE6140" w:rsidRDefault="00BE6140">
      <w:pPr>
        <w:rPr>
          <w:rFonts w:ascii="Century Gothic" w:hAnsi="Century Gothic" w:cs="Times New Roman"/>
          <w:sz w:val="20"/>
          <w:szCs w:val="20"/>
        </w:rPr>
      </w:pPr>
      <w:r>
        <w:rPr>
          <w:rFonts w:ascii="Century Gothic" w:hAnsi="Century Gothic" w:cs="Times New Roman"/>
          <w:sz w:val="20"/>
          <w:szCs w:val="20"/>
        </w:rPr>
        <w:br w:type="page"/>
      </w:r>
    </w:p>
    <w:p w:rsidR="00BE6140" w:rsidRPr="00CB6CE9" w:rsidRDefault="00BE6140" w:rsidP="00CD0F84">
      <w:pPr>
        <w:shd w:val="clear" w:color="auto" w:fill="943634"/>
        <w:tabs>
          <w:tab w:val="left" w:pos="567"/>
        </w:tabs>
        <w:ind w:right="-193"/>
        <w:jc w:val="both"/>
        <w:outlineLvl w:val="0"/>
        <w:rPr>
          <w:rFonts w:ascii="Century Gothic" w:hAnsi="Century Gothic" w:cs="Times New Roman"/>
          <w:b/>
          <w:bCs/>
          <w:smallCaps/>
          <w:color w:val="FFFFFF"/>
        </w:rPr>
      </w:pPr>
      <w:r w:rsidRPr="00CB6CE9">
        <w:rPr>
          <w:rFonts w:ascii="Century Gothic" w:hAnsi="Century Gothic" w:cs="Times New Roman"/>
          <w:b/>
          <w:bCs/>
          <w:smallCaps/>
          <w:color w:val="FFFFFF"/>
        </w:rPr>
        <w:t>ΚΑΤΑΝΑΛΩΤΙΚΗ ΕΜΠΙΣΤΟΣΥΝΗ</w:t>
      </w:r>
    </w:p>
    <w:p w:rsidR="00BE6140" w:rsidRPr="00290E2F" w:rsidRDefault="00BE6140" w:rsidP="00D511D3">
      <w:pPr>
        <w:shd w:val="clear" w:color="auto" w:fill="DBE5F1"/>
        <w:spacing w:before="100" w:beforeAutospacing="1" w:after="100" w:afterAutospacing="1" w:line="288" w:lineRule="auto"/>
        <w:ind w:right="-142"/>
        <w:jc w:val="both"/>
        <w:rPr>
          <w:rFonts w:ascii="Century Gothic" w:hAnsi="Century Gothic" w:cs="Times New Roman"/>
          <w:b/>
          <w:bCs/>
          <w:sz w:val="22"/>
          <w:szCs w:val="22"/>
        </w:rPr>
      </w:pPr>
      <w:r>
        <w:rPr>
          <w:rFonts w:ascii="Century Gothic" w:hAnsi="Century Gothic" w:cs="Times New Roman"/>
          <w:b/>
          <w:bCs/>
          <w:sz w:val="22"/>
          <w:szCs w:val="22"/>
        </w:rPr>
        <w:t xml:space="preserve">Επιστροφή του δείκτη </w:t>
      </w:r>
      <w:r w:rsidRPr="00290E2F">
        <w:rPr>
          <w:rFonts w:ascii="Century Gothic" w:hAnsi="Century Gothic" w:cs="Times New Roman"/>
          <w:b/>
          <w:bCs/>
          <w:sz w:val="22"/>
          <w:szCs w:val="22"/>
        </w:rPr>
        <w:t>στα επίπεδα των αρχών του έτους</w:t>
      </w:r>
    </w:p>
    <w:p w:rsidR="00BE6140" w:rsidRPr="00290E2F" w:rsidRDefault="00BE6140" w:rsidP="00D511D3">
      <w:pPr>
        <w:spacing w:after="120" w:line="288" w:lineRule="auto"/>
        <w:jc w:val="both"/>
        <w:rPr>
          <w:rFonts w:ascii="Century Gothic" w:hAnsi="Century Gothic" w:cs="Times New Roman"/>
          <w:sz w:val="20"/>
          <w:szCs w:val="20"/>
        </w:rPr>
      </w:pPr>
      <w:r w:rsidRPr="00290E2F">
        <w:rPr>
          <w:rFonts w:ascii="Century Gothic" w:hAnsi="Century Gothic" w:cs="Times New Roman"/>
          <w:sz w:val="20"/>
          <w:szCs w:val="20"/>
        </w:rPr>
        <w:t xml:space="preserve">Ο </w:t>
      </w:r>
      <w:r w:rsidRPr="00290E2F">
        <w:rPr>
          <w:rFonts w:ascii="Century Gothic" w:hAnsi="Century Gothic" w:cs="Times New Roman"/>
          <w:b/>
          <w:bCs/>
          <w:sz w:val="20"/>
          <w:szCs w:val="20"/>
        </w:rPr>
        <w:t>δείκτης καταναλωτικής εμπιστοσύνης</w:t>
      </w:r>
      <w:r w:rsidRPr="00290E2F">
        <w:rPr>
          <w:rFonts w:ascii="Century Gothic" w:hAnsi="Century Gothic" w:cs="Times New Roman"/>
          <w:sz w:val="20"/>
          <w:szCs w:val="20"/>
        </w:rPr>
        <w:t xml:space="preserve"> υποχωρεί τον Σεπτέμβριο σε σχέση με τον Ιούλιο και διαμορφώνεται στις -72,2 μονάδες (από -70,9 μονάδες), επανερχόμενος έτσι στα επίπεδα που βρισκόταν στα τέλη του 2012 και στις αρχές του 2013. </w:t>
      </w:r>
      <w:r w:rsidRPr="00290E2F">
        <w:rPr>
          <w:rFonts w:ascii="Century Gothic" w:hAnsi="Century Gothic" w:cs="Times New Roman"/>
          <w:b/>
          <w:sz w:val="20"/>
          <w:szCs w:val="20"/>
        </w:rPr>
        <w:t xml:space="preserve">Η ανακοπή της ανόδου της ανεργίας τους καλοκαιρινούς μήνες για πρώτη φορά από το πρώτο εξάμηνο του 2009, </w:t>
      </w:r>
      <w:r>
        <w:rPr>
          <w:rFonts w:ascii="Century Gothic" w:hAnsi="Century Gothic" w:cs="Times New Roman"/>
          <w:b/>
          <w:sz w:val="20"/>
          <w:szCs w:val="20"/>
        </w:rPr>
        <w:t xml:space="preserve">όπως </w:t>
      </w:r>
      <w:r w:rsidRPr="00290E2F">
        <w:rPr>
          <w:rFonts w:ascii="Century Gothic" w:hAnsi="Century Gothic" w:cs="Times New Roman"/>
          <w:b/>
          <w:sz w:val="20"/>
          <w:szCs w:val="20"/>
        </w:rPr>
        <w:t>αποτυπ</w:t>
      </w:r>
      <w:r>
        <w:rPr>
          <w:rFonts w:ascii="Century Gothic" w:hAnsi="Century Gothic" w:cs="Times New Roman"/>
          <w:b/>
          <w:sz w:val="20"/>
          <w:szCs w:val="20"/>
        </w:rPr>
        <w:t xml:space="preserve">ώνεται </w:t>
      </w:r>
      <w:r w:rsidRPr="00290E2F">
        <w:rPr>
          <w:rFonts w:ascii="Century Gothic" w:hAnsi="Century Gothic" w:cs="Times New Roman"/>
          <w:b/>
          <w:sz w:val="20"/>
          <w:szCs w:val="20"/>
        </w:rPr>
        <w:t xml:space="preserve">και στα σχετικά επίσημα στοιχεία, </w:t>
      </w:r>
      <w:r>
        <w:rPr>
          <w:rFonts w:ascii="Century Gothic" w:hAnsi="Century Gothic" w:cs="Times New Roman"/>
          <w:b/>
          <w:sz w:val="20"/>
          <w:szCs w:val="20"/>
        </w:rPr>
        <w:t xml:space="preserve">φαίνεται να αντανακλάται και στις προβλέψεις </w:t>
      </w:r>
      <w:r w:rsidRPr="00290E2F">
        <w:rPr>
          <w:rFonts w:ascii="Century Gothic" w:hAnsi="Century Gothic" w:cs="Times New Roman"/>
          <w:b/>
          <w:sz w:val="20"/>
          <w:szCs w:val="20"/>
        </w:rPr>
        <w:t xml:space="preserve">των καταναλωτών. Στον αντίποδα, οι έντονες πιέσεις στα εισοδήματα των εργαζομένων, σε συνδυασμό με την κλιμάκωση των φορολογικών υποχρεώσεων στο δεύτερο εξάμηνο, δεν αφήνουν περιθώρια αισιοδοξίας στα νοικοκυριά για την οικονομική τους κατάσταση στους επόμενους μήνες. </w:t>
      </w:r>
      <w:r w:rsidRPr="00D511D3">
        <w:rPr>
          <w:rFonts w:ascii="Century Gothic" w:hAnsi="Century Gothic" w:cs="Times New Roman"/>
          <w:sz w:val="20"/>
          <w:szCs w:val="20"/>
        </w:rPr>
        <w:t xml:space="preserve">Έτσι </w:t>
      </w:r>
      <w:r>
        <w:rPr>
          <w:rFonts w:ascii="Century Gothic" w:hAnsi="Century Gothic" w:cs="Times New Roman"/>
          <w:sz w:val="20"/>
          <w:szCs w:val="20"/>
        </w:rPr>
        <w:t xml:space="preserve">οι </w:t>
      </w:r>
      <w:r w:rsidRPr="00290E2F">
        <w:rPr>
          <w:rFonts w:ascii="Century Gothic" w:hAnsi="Century Gothic" w:cs="Times New Roman"/>
          <w:sz w:val="20"/>
          <w:szCs w:val="20"/>
        </w:rPr>
        <w:t>Έλληνες παραμένουν με διαφορά οι πιο απαισιόδοξοι ευρωπαίοι καταναλωτές, με τα νοικοκυριά της Κύπρου να ακολουθούν, έχοντας όμως καταγράψει σημαντική άνοδο στο σχετικό δείκτη τον Σεπτέμβριο σε σύγκριση με τον Ιούλιο (-53,2 από -57,1 μον.). Η Πορτογαλία έρχεται και πάλι τρίτη στη σειρά στη σχετική κατάταξη, αλλά επίσης με σημαντική βελτίωση στο δείκτη της (-43,7 από -52,1 μον.), ενώ την πρώτη πεντάδα συμπληρώνουν η Βουλγαρία και η Ρουμανία. Η νεοεισερχόμενη στην Έρευνα Οικονομικής Συγκυρίας Κροατία καταλαμβάνει την έκτη θέση από το τέλος στο δείκτη καταναλωτικής εμπιστοσύνης. Η καταναλωτική εμπιστοσύνη κινείται ανοδικά σε 21 χώρες τον Σεπτέμβριο σε σχέση με τον Ιούλιο, ενώ θετικοί δείκτες καταγράφονται σταθερά στις σκανδιναβικές χώρες (Σουηδία, Φινλανδία, Δανία). Αναλυτικότερα για την Ελλάδα:</w:t>
      </w:r>
    </w:p>
    <w:p w:rsidR="00BE6140" w:rsidRPr="00290E2F" w:rsidRDefault="00BE6140" w:rsidP="00D511D3">
      <w:pPr>
        <w:pStyle w:val="a7"/>
        <w:numPr>
          <w:ilvl w:val="0"/>
          <w:numId w:val="4"/>
        </w:numPr>
        <w:spacing w:before="120" w:after="80" w:line="276" w:lineRule="auto"/>
        <w:ind w:left="357" w:hanging="357"/>
        <w:rPr>
          <w:rFonts w:ascii="Century Gothic" w:hAnsi="Century Gothic"/>
          <w:b/>
          <w:bCs/>
          <w:sz w:val="20"/>
          <w:szCs w:val="20"/>
          <w:u w:val="none"/>
        </w:rPr>
      </w:pPr>
      <w:r w:rsidRPr="00290E2F">
        <w:rPr>
          <w:rFonts w:ascii="Century Gothic" w:hAnsi="Century Gothic"/>
          <w:b/>
          <w:bCs/>
          <w:sz w:val="20"/>
          <w:szCs w:val="20"/>
          <w:u w:val="none"/>
        </w:rPr>
        <w:t>Δυσμενέστερες προβλέψεις για την οικονομική κατάσταση των νοικοκυριών</w:t>
      </w:r>
    </w:p>
    <w:p w:rsidR="00BE6140" w:rsidRPr="00290E2F" w:rsidRDefault="00BE6140" w:rsidP="00D511D3">
      <w:pPr>
        <w:pStyle w:val="a7"/>
        <w:spacing w:after="80" w:line="276" w:lineRule="auto"/>
        <w:rPr>
          <w:rFonts w:ascii="Century Gothic" w:hAnsi="Century Gothic"/>
          <w:sz w:val="20"/>
          <w:szCs w:val="20"/>
          <w:u w:val="none"/>
        </w:rPr>
      </w:pPr>
      <w:r w:rsidRPr="00290E2F">
        <w:rPr>
          <w:rFonts w:ascii="Century Gothic" w:hAnsi="Century Gothic"/>
          <w:sz w:val="20"/>
          <w:szCs w:val="20"/>
          <w:u w:val="none"/>
        </w:rPr>
        <w:t xml:space="preserve">Οι προβλέψεις των καταναλωτών τον Σεπτέμβριο για την </w:t>
      </w:r>
      <w:r w:rsidRPr="00290E2F">
        <w:rPr>
          <w:rFonts w:ascii="Century Gothic" w:hAnsi="Century Gothic"/>
          <w:sz w:val="20"/>
          <w:szCs w:val="20"/>
        </w:rPr>
        <w:t>οικονομική κατάσταση του νοικοκυριού τους τους προσεχείς 12 μήνες</w:t>
      </w:r>
      <w:r w:rsidRPr="00290E2F">
        <w:rPr>
          <w:rFonts w:ascii="Century Gothic" w:hAnsi="Century Gothic"/>
          <w:sz w:val="20"/>
          <w:szCs w:val="20"/>
          <w:u w:val="none"/>
        </w:rPr>
        <w:t xml:space="preserve"> επιδεινώνονται εκ νέου, με το σχετικό δείκτη να κινείται στις -63,7 μονάδες (από -61,5). Το 75% των πολιτών (από 72%)  αναμένει ελαφρά ή αισθητή επιδείνωση της οικονομικής του κατάστασης, και μόνο ένα 3% πιστεύει ότι αυτή θα βελτιωθεί ελαφρώς. Οι σχετικοί δείκτες στην ΕΕ και Ευρωζώνη διαμορφώνονται αντίστοιχα στις -5,1 και -7,2 μονάδες.</w:t>
      </w:r>
    </w:p>
    <w:p w:rsidR="00BE6140" w:rsidRPr="00290E2F" w:rsidRDefault="00BE6140" w:rsidP="00D511D3">
      <w:pPr>
        <w:pStyle w:val="a7"/>
        <w:numPr>
          <w:ilvl w:val="0"/>
          <w:numId w:val="4"/>
        </w:numPr>
        <w:spacing w:before="120" w:after="80" w:line="276" w:lineRule="auto"/>
        <w:ind w:left="357" w:hanging="357"/>
        <w:rPr>
          <w:rFonts w:ascii="Century Gothic" w:hAnsi="Century Gothic"/>
          <w:b/>
          <w:bCs/>
          <w:sz w:val="20"/>
          <w:szCs w:val="20"/>
          <w:u w:val="none"/>
        </w:rPr>
      </w:pPr>
      <w:r w:rsidRPr="00290E2F">
        <w:rPr>
          <w:rFonts w:ascii="Century Gothic" w:hAnsi="Century Gothic"/>
          <w:b/>
          <w:bCs/>
          <w:sz w:val="20"/>
          <w:szCs w:val="20"/>
          <w:u w:val="none"/>
        </w:rPr>
        <w:t>Στα ίδια επίπεδα οι προβλέψεις για την οικονομική κατάσταση της χώρας</w:t>
      </w:r>
    </w:p>
    <w:p w:rsidR="00BE6140" w:rsidRPr="00290E2F" w:rsidRDefault="00BE6140" w:rsidP="00D511D3">
      <w:pPr>
        <w:pStyle w:val="a7"/>
        <w:spacing w:after="80" w:line="276" w:lineRule="auto"/>
        <w:rPr>
          <w:rFonts w:ascii="Century Gothic" w:hAnsi="Century Gothic"/>
          <w:sz w:val="20"/>
          <w:szCs w:val="20"/>
          <w:u w:val="none"/>
        </w:rPr>
      </w:pPr>
      <w:r w:rsidRPr="00290E2F">
        <w:rPr>
          <w:rFonts w:ascii="Century Gothic" w:hAnsi="Century Gothic"/>
          <w:sz w:val="20"/>
          <w:szCs w:val="20"/>
          <w:u w:val="none"/>
        </w:rPr>
        <w:t xml:space="preserve">Οι προβλέψεις των νοικοκυριών για την </w:t>
      </w:r>
      <w:r w:rsidRPr="00290E2F">
        <w:rPr>
          <w:rFonts w:ascii="Century Gothic" w:hAnsi="Century Gothic"/>
          <w:sz w:val="20"/>
          <w:szCs w:val="20"/>
        </w:rPr>
        <w:t>οικονομική κατάσταση της χώρας τους το προσεχές 12-μηνο</w:t>
      </w:r>
      <w:r w:rsidRPr="00290E2F">
        <w:rPr>
          <w:rFonts w:ascii="Century Gothic" w:hAnsi="Century Gothic"/>
          <w:sz w:val="20"/>
          <w:szCs w:val="20"/>
          <w:u w:val="none"/>
        </w:rPr>
        <w:t xml:space="preserve"> δε μεταβάλλονται, με το σχετικό δείκτη να παραμένει στις -69 μονάδες και τα 4/5 των καταναλωτών να προβλέπουν μικρή ή αισθητή επιδείνωση, όταν το 7% κρίνει ότι η κατάσταση θα βελτιωθεί ελαφρώς. Οι αντίστοιχοι δείκτες σε ΕΕ και Ευρωζώνη διαμορφώνονται στις -10,3 και -13,6 μονάδες.</w:t>
      </w:r>
    </w:p>
    <w:p w:rsidR="00BE6140" w:rsidRPr="00290E2F" w:rsidRDefault="00BE6140" w:rsidP="00D511D3">
      <w:pPr>
        <w:pStyle w:val="a7"/>
        <w:numPr>
          <w:ilvl w:val="0"/>
          <w:numId w:val="4"/>
        </w:numPr>
        <w:spacing w:before="120" w:after="80" w:line="276" w:lineRule="auto"/>
        <w:ind w:left="357" w:hanging="357"/>
        <w:rPr>
          <w:rFonts w:ascii="Century Gothic" w:hAnsi="Century Gothic"/>
          <w:b/>
          <w:bCs/>
          <w:sz w:val="20"/>
          <w:szCs w:val="20"/>
          <w:u w:val="none"/>
        </w:rPr>
      </w:pPr>
      <w:r w:rsidRPr="00290E2F">
        <w:rPr>
          <w:rFonts w:ascii="Century Gothic" w:hAnsi="Century Gothic"/>
          <w:b/>
          <w:bCs/>
          <w:sz w:val="20"/>
          <w:szCs w:val="20"/>
          <w:u w:val="none"/>
        </w:rPr>
        <w:t xml:space="preserve">Εξαιρετικά ασθενείς προθέσεις για αποταμίευση </w:t>
      </w:r>
    </w:p>
    <w:p w:rsidR="00BE6140" w:rsidRPr="00290E2F" w:rsidRDefault="00BE6140" w:rsidP="00D511D3">
      <w:pPr>
        <w:pStyle w:val="a7"/>
        <w:spacing w:after="80" w:line="288" w:lineRule="auto"/>
        <w:rPr>
          <w:rFonts w:ascii="Century Gothic" w:hAnsi="Century Gothic"/>
          <w:sz w:val="20"/>
          <w:szCs w:val="20"/>
          <w:u w:val="none"/>
        </w:rPr>
      </w:pPr>
      <w:r w:rsidRPr="00290E2F">
        <w:rPr>
          <w:rFonts w:ascii="Century Gothic" w:hAnsi="Century Gothic"/>
          <w:sz w:val="20"/>
          <w:szCs w:val="20"/>
          <w:u w:val="none"/>
        </w:rPr>
        <w:t xml:space="preserve">Ο δείκτης της </w:t>
      </w:r>
      <w:r w:rsidRPr="00290E2F">
        <w:rPr>
          <w:rFonts w:ascii="Century Gothic" w:hAnsi="Century Gothic"/>
          <w:sz w:val="20"/>
          <w:szCs w:val="20"/>
        </w:rPr>
        <w:t>πρόθεσης για αποταμίευση τους προσεχείς 12 μήνες</w:t>
      </w:r>
      <w:r w:rsidRPr="00290E2F">
        <w:rPr>
          <w:rFonts w:ascii="Century Gothic" w:hAnsi="Century Gothic"/>
          <w:sz w:val="20"/>
          <w:szCs w:val="20"/>
          <w:u w:val="none"/>
        </w:rPr>
        <w:t xml:space="preserve"> χάνει σημαντικό έδαφος και διαμορφώνεται στις -81 μονάδες, πλησίον του ιστορικά χαμηλού επιπέδου του. Το 76% (από 71%) των νοικοκυριών στην Ελλάδα δεν θεωρεί καθόλου πιθανή την αποταμίευση το επόμενο 12μηνο, έναντι του 8% (από 11%) που τη θεωρεί αρκετά ή πολύ πιθανή. Οι αντίστοιχοι δείκτες σε ΕΕ και Ευρωζώνη διαμορφώνονται στις –7,1 και -10,3 μονάδες.</w:t>
      </w:r>
    </w:p>
    <w:p w:rsidR="00BE6140" w:rsidRPr="00290E2F" w:rsidRDefault="00BE6140" w:rsidP="00D511D3">
      <w:pPr>
        <w:pStyle w:val="a7"/>
        <w:numPr>
          <w:ilvl w:val="0"/>
          <w:numId w:val="4"/>
        </w:numPr>
        <w:spacing w:before="120" w:after="80" w:line="276" w:lineRule="auto"/>
        <w:ind w:left="357" w:hanging="357"/>
        <w:rPr>
          <w:rFonts w:ascii="Century Gothic" w:hAnsi="Century Gothic"/>
          <w:sz w:val="20"/>
          <w:szCs w:val="20"/>
          <w:u w:val="none"/>
        </w:rPr>
      </w:pPr>
      <w:r w:rsidRPr="00290E2F">
        <w:rPr>
          <w:rFonts w:ascii="Century Gothic" w:hAnsi="Century Gothic"/>
          <w:b/>
          <w:bCs/>
          <w:sz w:val="20"/>
          <w:szCs w:val="20"/>
          <w:u w:val="none"/>
        </w:rPr>
        <w:t>Αμβλύνεται η έντονη απαισιοδοξία για την εξέλιξη της ανεργίας</w:t>
      </w:r>
    </w:p>
    <w:p w:rsidR="00BE6140" w:rsidRPr="00290E2F" w:rsidRDefault="00BE6140" w:rsidP="00D511D3">
      <w:pPr>
        <w:pStyle w:val="a7"/>
        <w:spacing w:after="80" w:line="288" w:lineRule="auto"/>
        <w:rPr>
          <w:rFonts w:ascii="Century Gothic" w:hAnsi="Century Gothic"/>
          <w:sz w:val="20"/>
          <w:szCs w:val="20"/>
          <w:u w:val="none"/>
        </w:rPr>
      </w:pPr>
      <w:r w:rsidRPr="00290E2F">
        <w:rPr>
          <w:rFonts w:ascii="Century Gothic" w:hAnsi="Century Gothic"/>
          <w:sz w:val="20"/>
          <w:szCs w:val="20"/>
          <w:u w:val="none"/>
        </w:rPr>
        <w:t xml:space="preserve">Ο δείκτης πρόβλεψης για την εξέλιξη της ανεργίας τους προσεχείς 12 μήνες αμβλύνεται τον Σεπτέμβριο, φθάνοντας στις 74,8 (από 80,7) μονάδες. Το 65% (από 75%) των νοικοκυριών </w:t>
      </w:r>
      <w:r w:rsidRPr="00290E2F">
        <w:rPr>
          <w:rFonts w:ascii="Century Gothic" w:hAnsi="Century Gothic"/>
          <w:sz w:val="20"/>
          <w:szCs w:val="20"/>
          <w:u w:val="none"/>
        </w:rPr>
        <w:lastRenderedPageBreak/>
        <w:t>προβλέπουν ότι η ανεργία θα αυξηθεί αισθητά και ένα 4% (από 3%) αναμένει ελαφρά ή αισθητή μείωση. Οι αντίστοιχοι δείκτες σε ΕΕ και Ευρωζώνη περιορίζονται στις +24,4 και +28,6 μονάδες.</w:t>
      </w:r>
    </w:p>
    <w:p w:rsidR="00BE6140" w:rsidRPr="00290E2F" w:rsidRDefault="00BE6140" w:rsidP="00D511D3">
      <w:pPr>
        <w:spacing w:after="80" w:line="288" w:lineRule="auto"/>
        <w:jc w:val="center"/>
        <w:rPr>
          <w:rFonts w:ascii="Century Gothic" w:hAnsi="Century Gothic" w:cs="Times New Roman"/>
          <w:sz w:val="18"/>
          <w:szCs w:val="18"/>
        </w:rPr>
      </w:pPr>
      <w:r w:rsidRPr="00290E2F">
        <w:rPr>
          <w:rFonts w:ascii="Century Gothic" w:hAnsi="Century Gothic" w:cs="Times New Roman"/>
          <w:b/>
          <w:bCs/>
          <w:sz w:val="18"/>
          <w:szCs w:val="18"/>
        </w:rPr>
        <w:t xml:space="preserve">Πίνακας 6: </w:t>
      </w:r>
      <w:r w:rsidRPr="00290E2F">
        <w:rPr>
          <w:rFonts w:ascii="Century Gothic" w:hAnsi="Century Gothic" w:cs="Times New Roman"/>
          <w:sz w:val="18"/>
          <w:szCs w:val="18"/>
        </w:rPr>
        <w:t>Δείκτης Εμπιστοσύνης Καταναλωτών (εποχικά εξομαλυμένα στοιχεία)</w:t>
      </w:r>
    </w:p>
    <w:tbl>
      <w:tblPr>
        <w:tblW w:w="9764" w:type="dxa"/>
        <w:jc w:val="center"/>
        <w:tblBorders>
          <w:top w:val="single" w:sz="4" w:space="0" w:color="943634"/>
          <w:left w:val="single" w:sz="4" w:space="0" w:color="943634"/>
          <w:bottom w:val="single" w:sz="4" w:space="0" w:color="943634"/>
          <w:right w:val="single" w:sz="4" w:space="0" w:color="943634"/>
          <w:insideH w:val="single" w:sz="4" w:space="0" w:color="FFFFFF"/>
          <w:insideV w:val="single" w:sz="4" w:space="0" w:color="FFFFFF"/>
        </w:tblBorders>
        <w:tblLayout w:type="fixed"/>
        <w:tblLook w:val="01E0"/>
      </w:tblPr>
      <w:tblGrid>
        <w:gridCol w:w="1251"/>
        <w:gridCol w:w="727"/>
        <w:gridCol w:w="185"/>
        <w:gridCol w:w="542"/>
        <w:gridCol w:w="553"/>
        <w:gridCol w:w="176"/>
        <w:gridCol w:w="664"/>
        <w:gridCol w:w="367"/>
        <w:gridCol w:w="358"/>
        <w:gridCol w:w="485"/>
        <w:gridCol w:w="235"/>
        <w:gridCol w:w="664"/>
        <w:gridCol w:w="65"/>
        <w:gridCol w:w="660"/>
        <w:gridCol w:w="403"/>
        <w:gridCol w:w="322"/>
        <w:gridCol w:w="725"/>
        <w:gridCol w:w="657"/>
        <w:gridCol w:w="725"/>
      </w:tblGrid>
      <w:tr w:rsidR="00BE6140" w:rsidRPr="00290E2F" w:rsidTr="00002DF4">
        <w:trPr>
          <w:trHeight w:val="284"/>
          <w:jc w:val="center"/>
        </w:trPr>
        <w:tc>
          <w:tcPr>
            <w:tcW w:w="1251" w:type="dxa"/>
            <w:tcBorders>
              <w:top w:val="single" w:sz="4" w:space="0" w:color="943634"/>
            </w:tcBorders>
            <w:shd w:val="clear" w:color="auto" w:fill="9E3A38"/>
            <w:vAlign w:val="center"/>
          </w:tcPr>
          <w:p w:rsidR="00BE6140" w:rsidRPr="00290E2F" w:rsidRDefault="00BE6140" w:rsidP="00002DF4">
            <w:pPr>
              <w:jc w:val="center"/>
              <w:rPr>
                <w:rFonts w:ascii="Century Gothic" w:hAnsi="Century Gothic" w:cs="Times New Roman"/>
                <w:b/>
                <w:bCs/>
                <w:color w:val="FFFFFF"/>
                <w:sz w:val="18"/>
                <w:szCs w:val="18"/>
              </w:rPr>
            </w:pPr>
            <w:r w:rsidRPr="00290E2F">
              <w:rPr>
                <w:rFonts w:ascii="Century Gothic" w:hAnsi="Century Gothic" w:cs="Times New Roman"/>
                <w:b/>
                <w:bCs/>
                <w:color w:val="FFFFFF"/>
                <w:sz w:val="18"/>
                <w:szCs w:val="18"/>
              </w:rPr>
              <w:t>Περιοχή</w:t>
            </w:r>
          </w:p>
        </w:tc>
        <w:tc>
          <w:tcPr>
            <w:tcW w:w="2007" w:type="dxa"/>
            <w:gridSpan w:val="4"/>
            <w:tcBorders>
              <w:top w:val="single" w:sz="4" w:space="0" w:color="943634"/>
            </w:tcBorders>
            <w:shd w:val="clear" w:color="auto" w:fill="9E3A38"/>
            <w:vAlign w:val="center"/>
          </w:tcPr>
          <w:p w:rsidR="00BE6140" w:rsidRPr="00290E2F" w:rsidRDefault="00BE6140" w:rsidP="00002DF4">
            <w:pPr>
              <w:jc w:val="center"/>
              <w:rPr>
                <w:rFonts w:ascii="Century Gothic" w:hAnsi="Century Gothic" w:cs="Times New Roman"/>
                <w:b/>
                <w:bCs/>
                <w:color w:val="FFFFFF"/>
                <w:sz w:val="18"/>
                <w:szCs w:val="18"/>
              </w:rPr>
            </w:pPr>
            <w:r w:rsidRPr="00290E2F">
              <w:rPr>
                <w:rFonts w:ascii="Century Gothic" w:hAnsi="Century Gothic" w:cs="Times New Roman"/>
                <w:b/>
                <w:bCs/>
                <w:color w:val="FFFFFF"/>
                <w:sz w:val="18"/>
                <w:szCs w:val="18"/>
              </w:rPr>
              <w:t>Ακραίες τιμές</w:t>
            </w:r>
          </w:p>
        </w:tc>
        <w:tc>
          <w:tcPr>
            <w:tcW w:w="6506" w:type="dxa"/>
            <w:gridSpan w:val="14"/>
            <w:tcBorders>
              <w:top w:val="single" w:sz="4" w:space="0" w:color="943634"/>
            </w:tcBorders>
            <w:shd w:val="clear" w:color="auto" w:fill="9E3A38"/>
            <w:vAlign w:val="center"/>
          </w:tcPr>
          <w:p w:rsidR="00BE6140" w:rsidRPr="00290E2F" w:rsidRDefault="00BE6140" w:rsidP="00002DF4">
            <w:pPr>
              <w:jc w:val="center"/>
              <w:rPr>
                <w:rFonts w:ascii="Century Gothic" w:hAnsi="Century Gothic" w:cs="Times New Roman"/>
                <w:b/>
                <w:bCs/>
                <w:color w:val="FFFFFF"/>
                <w:sz w:val="18"/>
                <w:szCs w:val="18"/>
              </w:rPr>
            </w:pPr>
            <w:r w:rsidRPr="00290E2F">
              <w:rPr>
                <w:rFonts w:ascii="Century Gothic" w:hAnsi="Century Gothic" w:cs="Times New Roman"/>
                <w:b/>
                <w:bCs/>
                <w:color w:val="FFFFFF"/>
                <w:sz w:val="18"/>
                <w:szCs w:val="18"/>
              </w:rPr>
              <w:t>Μέσοι όροι</w:t>
            </w:r>
          </w:p>
        </w:tc>
      </w:tr>
      <w:tr w:rsidR="00BE6140" w:rsidRPr="00290E2F" w:rsidTr="00002DF4">
        <w:trPr>
          <w:trHeight w:val="284"/>
          <w:jc w:val="center"/>
        </w:trPr>
        <w:tc>
          <w:tcPr>
            <w:tcW w:w="1251" w:type="dxa"/>
            <w:shd w:val="clear" w:color="auto" w:fill="DBE5F1"/>
            <w:vAlign w:val="center"/>
          </w:tcPr>
          <w:p w:rsidR="00BE6140" w:rsidRPr="00290E2F" w:rsidRDefault="00BE6140" w:rsidP="00002DF4">
            <w:pPr>
              <w:jc w:val="center"/>
              <w:rPr>
                <w:rFonts w:ascii="Century Gothic" w:hAnsi="Century Gothic" w:cs="Times New Roman"/>
                <w:b/>
                <w:bCs/>
                <w:i/>
                <w:iCs/>
                <w:color w:val="000000"/>
                <w:sz w:val="18"/>
                <w:szCs w:val="18"/>
              </w:rPr>
            </w:pPr>
          </w:p>
        </w:tc>
        <w:tc>
          <w:tcPr>
            <w:tcW w:w="912" w:type="dxa"/>
            <w:gridSpan w:val="2"/>
            <w:shd w:val="clear" w:color="auto" w:fill="D3DFEE"/>
            <w:vAlign w:val="center"/>
          </w:tcPr>
          <w:p w:rsidR="00BE6140" w:rsidRPr="00290E2F" w:rsidRDefault="00BE6140" w:rsidP="00002DF4">
            <w:pPr>
              <w:jc w:val="center"/>
              <w:rPr>
                <w:rFonts w:ascii="Century Gothic" w:hAnsi="Century Gothic" w:cs="Times New Roman"/>
                <w:b/>
                <w:bCs/>
                <w:color w:val="000000"/>
                <w:sz w:val="18"/>
                <w:szCs w:val="18"/>
                <w:lang w:val="en-US"/>
              </w:rPr>
            </w:pPr>
            <w:r w:rsidRPr="00290E2F">
              <w:rPr>
                <w:rFonts w:ascii="Century Gothic" w:hAnsi="Century Gothic" w:cs="Times New Roman"/>
                <w:b/>
                <w:bCs/>
                <w:color w:val="000000"/>
                <w:sz w:val="18"/>
                <w:szCs w:val="18"/>
                <w:lang w:val="en-US"/>
              </w:rPr>
              <w:t>Min</w:t>
            </w:r>
          </w:p>
        </w:tc>
        <w:tc>
          <w:tcPr>
            <w:tcW w:w="1095" w:type="dxa"/>
            <w:gridSpan w:val="2"/>
            <w:shd w:val="clear" w:color="auto" w:fill="DBE5F1"/>
            <w:vAlign w:val="center"/>
          </w:tcPr>
          <w:p w:rsidR="00BE6140" w:rsidRPr="00290E2F" w:rsidRDefault="00BE6140" w:rsidP="00002DF4">
            <w:pPr>
              <w:jc w:val="center"/>
              <w:rPr>
                <w:rFonts w:ascii="Century Gothic" w:hAnsi="Century Gothic" w:cs="Times New Roman"/>
                <w:b/>
                <w:bCs/>
                <w:color w:val="000000"/>
                <w:sz w:val="18"/>
                <w:szCs w:val="18"/>
                <w:lang w:val="en-US"/>
              </w:rPr>
            </w:pPr>
            <w:r w:rsidRPr="00290E2F">
              <w:rPr>
                <w:rFonts w:ascii="Century Gothic" w:hAnsi="Century Gothic" w:cs="Times New Roman"/>
                <w:b/>
                <w:bCs/>
                <w:color w:val="000000"/>
                <w:sz w:val="18"/>
                <w:szCs w:val="18"/>
                <w:lang w:val="en-US"/>
              </w:rPr>
              <w:t>Max</w:t>
            </w:r>
          </w:p>
        </w:tc>
        <w:tc>
          <w:tcPr>
            <w:tcW w:w="1207" w:type="dxa"/>
            <w:gridSpan w:val="3"/>
            <w:shd w:val="clear" w:color="auto" w:fill="D3DFEE"/>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lang w:val="en-US"/>
              </w:rPr>
              <w:t>200</w:t>
            </w:r>
            <w:r w:rsidRPr="00290E2F">
              <w:rPr>
                <w:rFonts w:ascii="Century Gothic" w:hAnsi="Century Gothic" w:cs="Times New Roman"/>
                <w:b/>
                <w:bCs/>
                <w:color w:val="000000"/>
                <w:sz w:val="18"/>
                <w:szCs w:val="18"/>
              </w:rPr>
              <w:t>1-2012</w:t>
            </w:r>
          </w:p>
        </w:tc>
        <w:tc>
          <w:tcPr>
            <w:tcW w:w="843" w:type="dxa"/>
            <w:gridSpan w:val="2"/>
            <w:shd w:val="clear" w:color="auto" w:fill="DBE5F1"/>
            <w:vAlign w:val="center"/>
          </w:tcPr>
          <w:p w:rsidR="00BE6140" w:rsidRPr="00290E2F" w:rsidRDefault="00BE6140" w:rsidP="00002DF4">
            <w:pPr>
              <w:pStyle w:val="2"/>
              <w:rPr>
                <w:rFonts w:ascii="Century Gothic" w:hAnsi="Century Gothic"/>
                <w:i w:val="0"/>
                <w:iCs w:val="0"/>
                <w:color w:val="000000"/>
              </w:rPr>
            </w:pPr>
            <w:r w:rsidRPr="00290E2F">
              <w:rPr>
                <w:rFonts w:ascii="Century Gothic" w:hAnsi="Century Gothic"/>
                <w:i w:val="0"/>
                <w:iCs w:val="0"/>
                <w:color w:val="000000"/>
              </w:rPr>
              <w:t>2008</w:t>
            </w:r>
          </w:p>
        </w:tc>
        <w:tc>
          <w:tcPr>
            <w:tcW w:w="964" w:type="dxa"/>
            <w:gridSpan w:val="3"/>
            <w:shd w:val="clear" w:color="auto" w:fill="D3DFEE"/>
            <w:vAlign w:val="center"/>
          </w:tcPr>
          <w:p w:rsidR="00BE6140" w:rsidRPr="00290E2F" w:rsidRDefault="00BE6140" w:rsidP="00002DF4">
            <w:pPr>
              <w:pStyle w:val="2"/>
              <w:rPr>
                <w:rFonts w:ascii="Century Gothic" w:hAnsi="Century Gothic"/>
                <w:i w:val="0"/>
                <w:iCs w:val="0"/>
                <w:color w:val="000000"/>
              </w:rPr>
            </w:pPr>
            <w:r w:rsidRPr="00290E2F">
              <w:rPr>
                <w:rFonts w:ascii="Century Gothic" w:hAnsi="Century Gothic"/>
                <w:i w:val="0"/>
                <w:iCs w:val="0"/>
                <w:color w:val="000000"/>
              </w:rPr>
              <w:t>2009</w:t>
            </w:r>
          </w:p>
        </w:tc>
        <w:tc>
          <w:tcPr>
            <w:tcW w:w="1063" w:type="dxa"/>
            <w:gridSpan w:val="2"/>
            <w:shd w:val="clear" w:color="auto" w:fill="DBE5F1"/>
            <w:vAlign w:val="center"/>
          </w:tcPr>
          <w:p w:rsidR="00BE6140" w:rsidRPr="00290E2F" w:rsidRDefault="00BE6140" w:rsidP="00002DF4">
            <w:pPr>
              <w:pStyle w:val="2"/>
              <w:rPr>
                <w:rFonts w:ascii="Century Gothic" w:hAnsi="Century Gothic"/>
                <w:i w:val="0"/>
                <w:iCs w:val="0"/>
                <w:color w:val="000000"/>
                <w:lang w:val="en-US"/>
              </w:rPr>
            </w:pPr>
            <w:r w:rsidRPr="00290E2F">
              <w:rPr>
                <w:rFonts w:ascii="Century Gothic" w:hAnsi="Century Gothic"/>
                <w:i w:val="0"/>
                <w:iCs w:val="0"/>
                <w:color w:val="000000"/>
                <w:lang w:val="en-US"/>
              </w:rPr>
              <w:t>2010</w:t>
            </w:r>
          </w:p>
        </w:tc>
        <w:tc>
          <w:tcPr>
            <w:tcW w:w="1047" w:type="dxa"/>
            <w:gridSpan w:val="2"/>
            <w:shd w:val="clear" w:color="auto" w:fill="D3DFEE"/>
            <w:vAlign w:val="center"/>
          </w:tcPr>
          <w:p w:rsidR="00BE6140" w:rsidRPr="00290E2F" w:rsidRDefault="00BE6140" w:rsidP="00002DF4">
            <w:pPr>
              <w:pStyle w:val="2"/>
              <w:rPr>
                <w:rFonts w:ascii="Century Gothic" w:hAnsi="Century Gothic"/>
                <w:i w:val="0"/>
                <w:iCs w:val="0"/>
                <w:color w:val="000000"/>
                <w:lang w:val="en-US"/>
              </w:rPr>
            </w:pPr>
            <w:r w:rsidRPr="00290E2F">
              <w:rPr>
                <w:rFonts w:ascii="Century Gothic" w:hAnsi="Century Gothic"/>
                <w:i w:val="0"/>
                <w:iCs w:val="0"/>
                <w:color w:val="000000"/>
                <w:lang w:val="en-US"/>
              </w:rPr>
              <w:t>2011</w:t>
            </w:r>
          </w:p>
        </w:tc>
        <w:tc>
          <w:tcPr>
            <w:tcW w:w="1382" w:type="dxa"/>
            <w:gridSpan w:val="2"/>
            <w:shd w:val="clear" w:color="auto" w:fill="DBE5F1"/>
            <w:vAlign w:val="center"/>
          </w:tcPr>
          <w:p w:rsidR="00BE6140" w:rsidRPr="00290E2F" w:rsidRDefault="00BE6140" w:rsidP="00002DF4">
            <w:pPr>
              <w:pStyle w:val="2"/>
              <w:rPr>
                <w:rFonts w:ascii="Century Gothic" w:hAnsi="Century Gothic"/>
                <w:i w:val="0"/>
                <w:iCs w:val="0"/>
                <w:color w:val="000000"/>
              </w:rPr>
            </w:pPr>
            <w:r w:rsidRPr="00290E2F">
              <w:rPr>
                <w:rFonts w:ascii="Century Gothic" w:hAnsi="Century Gothic"/>
                <w:i w:val="0"/>
                <w:iCs w:val="0"/>
                <w:color w:val="000000"/>
              </w:rPr>
              <w:t>2012</w:t>
            </w:r>
          </w:p>
        </w:tc>
      </w:tr>
      <w:tr w:rsidR="00BE6140" w:rsidRPr="00290E2F" w:rsidTr="00002DF4">
        <w:trPr>
          <w:trHeight w:val="284"/>
          <w:jc w:val="center"/>
        </w:trPr>
        <w:tc>
          <w:tcPr>
            <w:tcW w:w="1251" w:type="dxa"/>
            <w:shd w:val="clear" w:color="auto" w:fill="EDF2F8"/>
            <w:vAlign w:val="center"/>
          </w:tcPr>
          <w:p w:rsidR="00BE6140" w:rsidRPr="00290E2F" w:rsidRDefault="00BE6140" w:rsidP="00002DF4">
            <w:pPr>
              <w:pStyle w:val="7"/>
              <w:jc w:val="center"/>
              <w:rPr>
                <w:rFonts w:ascii="Century Gothic" w:hAnsi="Century Gothic"/>
                <w:color w:val="000000"/>
              </w:rPr>
            </w:pPr>
            <w:r w:rsidRPr="00290E2F">
              <w:rPr>
                <w:rFonts w:ascii="Century Gothic" w:hAnsi="Century Gothic"/>
                <w:color w:val="000000"/>
              </w:rPr>
              <w:t>ΕΕ-27</w:t>
            </w:r>
          </w:p>
        </w:tc>
        <w:tc>
          <w:tcPr>
            <w:tcW w:w="912" w:type="dxa"/>
            <w:gridSpan w:val="2"/>
            <w:shd w:val="clear" w:color="auto" w:fill="D3DFEE"/>
            <w:vAlign w:val="center"/>
          </w:tcPr>
          <w:p w:rsidR="00BE6140" w:rsidRPr="00290E2F" w:rsidRDefault="00BE6140" w:rsidP="00002DF4">
            <w:pPr>
              <w:jc w:val="center"/>
              <w:rPr>
                <w:rFonts w:ascii="Century Gothic" w:hAnsi="Century Gothic" w:cs="Times New Roman"/>
                <w:color w:val="000000"/>
                <w:sz w:val="18"/>
                <w:szCs w:val="18"/>
              </w:rPr>
            </w:pPr>
            <w:r w:rsidRPr="00290E2F">
              <w:rPr>
                <w:rFonts w:ascii="Century Gothic" w:hAnsi="Century Gothic" w:cs="Times New Roman"/>
                <w:color w:val="000000"/>
                <w:sz w:val="18"/>
                <w:szCs w:val="18"/>
              </w:rPr>
              <w:t>-31,9</w:t>
            </w:r>
          </w:p>
          <w:p w:rsidR="00BE6140" w:rsidRPr="00290E2F" w:rsidRDefault="00BE6140" w:rsidP="00002DF4">
            <w:pPr>
              <w:jc w:val="center"/>
              <w:rPr>
                <w:rFonts w:ascii="Century Gothic" w:hAnsi="Century Gothic" w:cs="Times New Roman"/>
                <w:color w:val="000000"/>
                <w:sz w:val="18"/>
                <w:szCs w:val="18"/>
              </w:rPr>
            </w:pPr>
            <w:r w:rsidRPr="00290E2F">
              <w:rPr>
                <w:rFonts w:ascii="Century Gothic" w:hAnsi="Century Gothic" w:cs="Times New Roman"/>
                <w:color w:val="000000"/>
                <w:sz w:val="18"/>
                <w:szCs w:val="18"/>
              </w:rPr>
              <w:t>Μαρ-09</w:t>
            </w:r>
          </w:p>
        </w:tc>
        <w:tc>
          <w:tcPr>
            <w:tcW w:w="1095" w:type="dxa"/>
            <w:gridSpan w:val="2"/>
            <w:shd w:val="clear" w:color="auto" w:fill="EDF2F8"/>
            <w:vAlign w:val="center"/>
          </w:tcPr>
          <w:p w:rsidR="00BE6140" w:rsidRPr="00290E2F" w:rsidRDefault="00BE6140" w:rsidP="00002DF4">
            <w:pPr>
              <w:jc w:val="center"/>
              <w:rPr>
                <w:rFonts w:ascii="Century Gothic" w:hAnsi="Century Gothic" w:cs="Times New Roman"/>
                <w:color w:val="000000"/>
                <w:sz w:val="18"/>
                <w:szCs w:val="18"/>
              </w:rPr>
            </w:pPr>
            <w:r w:rsidRPr="00290E2F">
              <w:rPr>
                <w:rFonts w:ascii="Century Gothic" w:hAnsi="Century Gothic" w:cs="Times New Roman"/>
                <w:color w:val="000000"/>
                <w:sz w:val="18"/>
                <w:szCs w:val="18"/>
              </w:rPr>
              <w:t>0,8</w:t>
            </w:r>
          </w:p>
          <w:p w:rsidR="00BE6140" w:rsidRPr="00290E2F" w:rsidRDefault="00BE6140" w:rsidP="00002DF4">
            <w:pPr>
              <w:jc w:val="center"/>
              <w:rPr>
                <w:rFonts w:ascii="Century Gothic" w:hAnsi="Century Gothic" w:cs="Times New Roman"/>
                <w:color w:val="000000"/>
                <w:sz w:val="18"/>
                <w:szCs w:val="18"/>
              </w:rPr>
            </w:pPr>
            <w:r w:rsidRPr="00290E2F">
              <w:rPr>
                <w:rFonts w:ascii="Century Gothic" w:hAnsi="Century Gothic" w:cs="Times New Roman"/>
                <w:color w:val="000000"/>
                <w:sz w:val="18"/>
                <w:szCs w:val="18"/>
              </w:rPr>
              <w:t>Ιαν-01</w:t>
            </w:r>
          </w:p>
        </w:tc>
        <w:tc>
          <w:tcPr>
            <w:tcW w:w="1207" w:type="dxa"/>
            <w:gridSpan w:val="3"/>
            <w:shd w:val="clear" w:color="auto" w:fill="D3DFEE"/>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-13,0</w:t>
            </w:r>
          </w:p>
        </w:tc>
        <w:tc>
          <w:tcPr>
            <w:tcW w:w="843" w:type="dxa"/>
            <w:gridSpan w:val="2"/>
            <w:shd w:val="clear" w:color="auto" w:fill="EDF2F8"/>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-17,7</w:t>
            </w:r>
          </w:p>
        </w:tc>
        <w:tc>
          <w:tcPr>
            <w:tcW w:w="964" w:type="dxa"/>
            <w:gridSpan w:val="3"/>
            <w:shd w:val="clear" w:color="auto" w:fill="D3DFEE"/>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-23,1</w:t>
            </w:r>
          </w:p>
        </w:tc>
        <w:tc>
          <w:tcPr>
            <w:tcW w:w="1063" w:type="dxa"/>
            <w:gridSpan w:val="2"/>
            <w:shd w:val="clear" w:color="auto" w:fill="EDF2F8"/>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-13,1</w:t>
            </w:r>
          </w:p>
        </w:tc>
        <w:tc>
          <w:tcPr>
            <w:tcW w:w="1047" w:type="dxa"/>
            <w:gridSpan w:val="2"/>
            <w:shd w:val="clear" w:color="auto" w:fill="D3DFEE"/>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-15,5</w:t>
            </w:r>
          </w:p>
        </w:tc>
        <w:tc>
          <w:tcPr>
            <w:tcW w:w="1382" w:type="dxa"/>
            <w:gridSpan w:val="2"/>
            <w:shd w:val="clear" w:color="auto" w:fill="EDF2F8"/>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-21,4</w:t>
            </w:r>
          </w:p>
        </w:tc>
      </w:tr>
      <w:tr w:rsidR="00BE6140" w:rsidRPr="00290E2F" w:rsidTr="00002DF4">
        <w:trPr>
          <w:trHeight w:val="171"/>
          <w:jc w:val="center"/>
        </w:trPr>
        <w:tc>
          <w:tcPr>
            <w:tcW w:w="1251" w:type="dxa"/>
            <w:shd w:val="clear" w:color="auto" w:fill="DBE5F1"/>
            <w:vAlign w:val="center"/>
          </w:tcPr>
          <w:p w:rsidR="00BE6140" w:rsidRPr="00290E2F" w:rsidRDefault="00BE6140" w:rsidP="00002DF4">
            <w:pPr>
              <w:pStyle w:val="7"/>
              <w:jc w:val="center"/>
              <w:rPr>
                <w:rFonts w:ascii="Century Gothic" w:hAnsi="Century Gothic"/>
                <w:color w:val="000000"/>
              </w:rPr>
            </w:pPr>
            <w:r w:rsidRPr="00290E2F">
              <w:rPr>
                <w:rFonts w:ascii="Century Gothic" w:hAnsi="Century Gothic"/>
                <w:color w:val="000000"/>
              </w:rPr>
              <w:t>Ευρωζώνη</w:t>
            </w:r>
          </w:p>
        </w:tc>
        <w:tc>
          <w:tcPr>
            <w:tcW w:w="912" w:type="dxa"/>
            <w:gridSpan w:val="2"/>
            <w:shd w:val="clear" w:color="auto" w:fill="D3DFEE"/>
            <w:vAlign w:val="center"/>
          </w:tcPr>
          <w:p w:rsidR="00BE6140" w:rsidRPr="00290E2F" w:rsidRDefault="00BE6140" w:rsidP="00002DF4">
            <w:pPr>
              <w:jc w:val="center"/>
              <w:rPr>
                <w:rFonts w:ascii="Century Gothic" w:hAnsi="Century Gothic" w:cs="Times New Roman"/>
                <w:color w:val="000000"/>
                <w:sz w:val="18"/>
                <w:szCs w:val="18"/>
              </w:rPr>
            </w:pPr>
            <w:r w:rsidRPr="00290E2F">
              <w:rPr>
                <w:rFonts w:ascii="Century Gothic" w:hAnsi="Century Gothic" w:cs="Times New Roman"/>
                <w:color w:val="000000"/>
                <w:sz w:val="18"/>
                <w:szCs w:val="18"/>
              </w:rPr>
              <w:t>-34,2</w:t>
            </w:r>
          </w:p>
          <w:p w:rsidR="00BE6140" w:rsidRPr="00290E2F" w:rsidRDefault="00BE6140" w:rsidP="00002DF4">
            <w:pPr>
              <w:jc w:val="center"/>
              <w:rPr>
                <w:rFonts w:ascii="Century Gothic" w:hAnsi="Century Gothic" w:cs="Times New Roman"/>
                <w:color w:val="000000"/>
                <w:sz w:val="18"/>
                <w:szCs w:val="18"/>
              </w:rPr>
            </w:pPr>
            <w:r w:rsidRPr="00290E2F">
              <w:rPr>
                <w:rFonts w:ascii="Century Gothic" w:hAnsi="Century Gothic" w:cs="Times New Roman"/>
                <w:color w:val="000000"/>
                <w:sz w:val="18"/>
                <w:szCs w:val="18"/>
              </w:rPr>
              <w:t>Μαρ-09</w:t>
            </w:r>
          </w:p>
        </w:tc>
        <w:tc>
          <w:tcPr>
            <w:tcW w:w="1095" w:type="dxa"/>
            <w:gridSpan w:val="2"/>
            <w:shd w:val="clear" w:color="auto" w:fill="DBE5F1"/>
            <w:vAlign w:val="center"/>
          </w:tcPr>
          <w:p w:rsidR="00BE6140" w:rsidRPr="00290E2F" w:rsidRDefault="00BE6140" w:rsidP="00002DF4">
            <w:pPr>
              <w:jc w:val="center"/>
              <w:rPr>
                <w:rFonts w:ascii="Century Gothic" w:hAnsi="Century Gothic" w:cs="Times New Roman"/>
                <w:color w:val="000000"/>
                <w:sz w:val="18"/>
                <w:szCs w:val="18"/>
              </w:rPr>
            </w:pPr>
            <w:r w:rsidRPr="00290E2F">
              <w:rPr>
                <w:rFonts w:ascii="Century Gothic" w:hAnsi="Century Gothic" w:cs="Times New Roman"/>
                <w:color w:val="000000"/>
                <w:sz w:val="18"/>
                <w:szCs w:val="18"/>
              </w:rPr>
              <w:t>1,0</w:t>
            </w:r>
          </w:p>
          <w:p w:rsidR="00BE6140" w:rsidRPr="00290E2F" w:rsidRDefault="00BE6140" w:rsidP="00002DF4">
            <w:pPr>
              <w:jc w:val="center"/>
              <w:rPr>
                <w:rFonts w:ascii="Century Gothic" w:hAnsi="Century Gothic" w:cs="Times New Roman"/>
                <w:color w:val="000000"/>
                <w:sz w:val="18"/>
                <w:szCs w:val="18"/>
              </w:rPr>
            </w:pPr>
            <w:r w:rsidRPr="00290E2F">
              <w:rPr>
                <w:rFonts w:ascii="Century Gothic" w:hAnsi="Century Gothic" w:cs="Times New Roman"/>
                <w:color w:val="000000"/>
                <w:sz w:val="18"/>
                <w:szCs w:val="18"/>
              </w:rPr>
              <w:t>Ιαν-01</w:t>
            </w:r>
          </w:p>
        </w:tc>
        <w:tc>
          <w:tcPr>
            <w:tcW w:w="1207" w:type="dxa"/>
            <w:gridSpan w:val="3"/>
            <w:shd w:val="clear" w:color="auto" w:fill="D3DFEE"/>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-14,2</w:t>
            </w:r>
          </w:p>
        </w:tc>
        <w:tc>
          <w:tcPr>
            <w:tcW w:w="843" w:type="dxa"/>
            <w:gridSpan w:val="2"/>
            <w:shd w:val="clear" w:color="auto" w:fill="DBE5F1"/>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-18,4</w:t>
            </w:r>
          </w:p>
        </w:tc>
        <w:tc>
          <w:tcPr>
            <w:tcW w:w="964" w:type="dxa"/>
            <w:gridSpan w:val="3"/>
            <w:shd w:val="clear" w:color="auto" w:fill="D3DFEE"/>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-24,8</w:t>
            </w:r>
          </w:p>
        </w:tc>
        <w:tc>
          <w:tcPr>
            <w:tcW w:w="1063" w:type="dxa"/>
            <w:gridSpan w:val="2"/>
            <w:shd w:val="clear" w:color="auto" w:fill="DBE5F1"/>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-14,2</w:t>
            </w:r>
          </w:p>
        </w:tc>
        <w:tc>
          <w:tcPr>
            <w:tcW w:w="1047" w:type="dxa"/>
            <w:gridSpan w:val="2"/>
            <w:shd w:val="clear" w:color="auto" w:fill="D3DFEE"/>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-14,5</w:t>
            </w:r>
          </w:p>
        </w:tc>
        <w:tc>
          <w:tcPr>
            <w:tcW w:w="1382" w:type="dxa"/>
            <w:gridSpan w:val="2"/>
            <w:shd w:val="clear" w:color="auto" w:fill="DBE5F1"/>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-22,3</w:t>
            </w:r>
          </w:p>
        </w:tc>
      </w:tr>
      <w:tr w:rsidR="00BE6140" w:rsidRPr="00290E2F" w:rsidTr="00002DF4">
        <w:trPr>
          <w:trHeight w:val="329"/>
          <w:jc w:val="center"/>
        </w:trPr>
        <w:tc>
          <w:tcPr>
            <w:tcW w:w="1251" w:type="dxa"/>
            <w:shd w:val="clear" w:color="auto" w:fill="EDF2F8"/>
            <w:vAlign w:val="center"/>
          </w:tcPr>
          <w:p w:rsidR="00BE6140" w:rsidRPr="00290E2F" w:rsidRDefault="00BE6140" w:rsidP="00002DF4">
            <w:pPr>
              <w:pStyle w:val="7"/>
              <w:jc w:val="center"/>
              <w:rPr>
                <w:rFonts w:ascii="Century Gothic" w:hAnsi="Century Gothic"/>
                <w:color w:val="000000"/>
              </w:rPr>
            </w:pPr>
            <w:r w:rsidRPr="00290E2F">
              <w:rPr>
                <w:rFonts w:ascii="Century Gothic" w:hAnsi="Century Gothic"/>
                <w:color w:val="000000"/>
              </w:rPr>
              <w:t>Ελλάδα</w:t>
            </w:r>
          </w:p>
        </w:tc>
        <w:tc>
          <w:tcPr>
            <w:tcW w:w="912" w:type="dxa"/>
            <w:gridSpan w:val="2"/>
            <w:shd w:val="clear" w:color="auto" w:fill="D3DFEE"/>
            <w:vAlign w:val="center"/>
          </w:tcPr>
          <w:p w:rsidR="00BE6140" w:rsidRPr="00290E2F" w:rsidRDefault="00BE6140" w:rsidP="00002DF4">
            <w:pPr>
              <w:jc w:val="center"/>
              <w:rPr>
                <w:rFonts w:ascii="Century Gothic" w:hAnsi="Century Gothic" w:cs="Times New Roman"/>
                <w:color w:val="000000"/>
                <w:sz w:val="18"/>
                <w:szCs w:val="18"/>
              </w:rPr>
            </w:pPr>
            <w:r w:rsidRPr="00290E2F">
              <w:rPr>
                <w:rFonts w:ascii="Century Gothic" w:hAnsi="Century Gothic" w:cs="Times New Roman"/>
                <w:color w:val="000000"/>
                <w:sz w:val="18"/>
                <w:szCs w:val="18"/>
              </w:rPr>
              <w:t>-83,8</w:t>
            </w:r>
          </w:p>
          <w:p w:rsidR="00BE6140" w:rsidRPr="00290E2F" w:rsidRDefault="00BE6140" w:rsidP="00002DF4">
            <w:pPr>
              <w:jc w:val="center"/>
              <w:rPr>
                <w:rFonts w:ascii="Century Gothic" w:hAnsi="Century Gothic" w:cs="Times New Roman"/>
                <w:color w:val="000000"/>
                <w:sz w:val="18"/>
                <w:szCs w:val="18"/>
              </w:rPr>
            </w:pPr>
            <w:r w:rsidRPr="00290E2F">
              <w:rPr>
                <w:rFonts w:ascii="Century Gothic" w:hAnsi="Century Gothic" w:cs="Times New Roman"/>
                <w:color w:val="000000"/>
                <w:sz w:val="18"/>
                <w:szCs w:val="18"/>
              </w:rPr>
              <w:t>Οκτ-11</w:t>
            </w:r>
          </w:p>
        </w:tc>
        <w:tc>
          <w:tcPr>
            <w:tcW w:w="1095" w:type="dxa"/>
            <w:gridSpan w:val="2"/>
            <w:shd w:val="clear" w:color="auto" w:fill="EDF2F8"/>
            <w:vAlign w:val="center"/>
          </w:tcPr>
          <w:p w:rsidR="00BE6140" w:rsidRPr="00290E2F" w:rsidRDefault="00BE6140" w:rsidP="00002DF4">
            <w:pPr>
              <w:jc w:val="center"/>
              <w:rPr>
                <w:rFonts w:ascii="Century Gothic" w:hAnsi="Century Gothic" w:cs="Times New Roman"/>
                <w:color w:val="000000"/>
                <w:sz w:val="18"/>
                <w:szCs w:val="18"/>
              </w:rPr>
            </w:pPr>
            <w:r w:rsidRPr="00290E2F">
              <w:rPr>
                <w:rFonts w:ascii="Century Gothic" w:hAnsi="Century Gothic" w:cs="Times New Roman"/>
                <w:color w:val="000000"/>
                <w:sz w:val="18"/>
                <w:szCs w:val="18"/>
              </w:rPr>
              <w:t>-16,9</w:t>
            </w:r>
          </w:p>
          <w:p w:rsidR="00BE6140" w:rsidRPr="00290E2F" w:rsidRDefault="00BE6140" w:rsidP="00002DF4">
            <w:pPr>
              <w:jc w:val="center"/>
              <w:rPr>
                <w:rFonts w:ascii="Century Gothic" w:hAnsi="Century Gothic" w:cs="Times New Roman"/>
                <w:color w:val="000000"/>
                <w:sz w:val="18"/>
                <w:szCs w:val="18"/>
              </w:rPr>
            </w:pPr>
            <w:r w:rsidRPr="00290E2F">
              <w:rPr>
                <w:rFonts w:ascii="Century Gothic" w:hAnsi="Century Gothic" w:cs="Times New Roman"/>
                <w:color w:val="000000"/>
                <w:sz w:val="18"/>
                <w:szCs w:val="18"/>
              </w:rPr>
              <w:t>Απρ-04</w:t>
            </w:r>
          </w:p>
        </w:tc>
        <w:tc>
          <w:tcPr>
            <w:tcW w:w="1207" w:type="dxa"/>
            <w:gridSpan w:val="3"/>
            <w:shd w:val="clear" w:color="auto" w:fill="D3DFEE"/>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-43,2</w:t>
            </w:r>
          </w:p>
        </w:tc>
        <w:tc>
          <w:tcPr>
            <w:tcW w:w="843" w:type="dxa"/>
            <w:gridSpan w:val="2"/>
            <w:shd w:val="clear" w:color="auto" w:fill="EDF2F8"/>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-46,0</w:t>
            </w:r>
          </w:p>
        </w:tc>
        <w:tc>
          <w:tcPr>
            <w:tcW w:w="964" w:type="dxa"/>
            <w:gridSpan w:val="3"/>
            <w:shd w:val="clear" w:color="auto" w:fill="D3DFEE"/>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-45,7</w:t>
            </w:r>
          </w:p>
        </w:tc>
        <w:tc>
          <w:tcPr>
            <w:tcW w:w="1063" w:type="dxa"/>
            <w:gridSpan w:val="2"/>
            <w:shd w:val="clear" w:color="auto" w:fill="EDF2F8"/>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-63,4</w:t>
            </w:r>
          </w:p>
        </w:tc>
        <w:tc>
          <w:tcPr>
            <w:tcW w:w="1047" w:type="dxa"/>
            <w:gridSpan w:val="2"/>
            <w:shd w:val="clear" w:color="auto" w:fill="D3DFEE"/>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-74,1</w:t>
            </w:r>
          </w:p>
        </w:tc>
        <w:tc>
          <w:tcPr>
            <w:tcW w:w="1382" w:type="dxa"/>
            <w:gridSpan w:val="2"/>
            <w:shd w:val="clear" w:color="auto" w:fill="EDF2F8"/>
            <w:vAlign w:val="center"/>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-74,8</w:t>
            </w:r>
          </w:p>
        </w:tc>
      </w:tr>
      <w:tr w:rsidR="00BE6140" w:rsidRPr="00290E2F" w:rsidTr="00002DF4">
        <w:trPr>
          <w:trHeight w:val="284"/>
          <w:jc w:val="center"/>
        </w:trPr>
        <w:tc>
          <w:tcPr>
            <w:tcW w:w="1251" w:type="dxa"/>
            <w:shd w:val="clear" w:color="auto" w:fill="943634"/>
            <w:vAlign w:val="center"/>
          </w:tcPr>
          <w:p w:rsidR="00BE6140" w:rsidRPr="00290E2F" w:rsidRDefault="00BE6140" w:rsidP="00002DF4">
            <w:pPr>
              <w:jc w:val="center"/>
              <w:rPr>
                <w:rFonts w:ascii="Century Gothic" w:hAnsi="Century Gothic" w:cs="Times New Roman"/>
                <w:b/>
                <w:bCs/>
                <w:color w:val="FFFFFF"/>
                <w:sz w:val="18"/>
                <w:szCs w:val="18"/>
              </w:rPr>
            </w:pPr>
            <w:r w:rsidRPr="00290E2F">
              <w:rPr>
                <w:rFonts w:ascii="Century Gothic" w:hAnsi="Century Gothic" w:cs="Times New Roman"/>
                <w:b/>
                <w:bCs/>
                <w:color w:val="FFFFFF"/>
                <w:sz w:val="18"/>
                <w:szCs w:val="18"/>
              </w:rPr>
              <w:t>Περιοχή</w:t>
            </w:r>
          </w:p>
        </w:tc>
        <w:tc>
          <w:tcPr>
            <w:tcW w:w="8513" w:type="dxa"/>
            <w:gridSpan w:val="18"/>
            <w:shd w:val="clear" w:color="auto" w:fill="943634"/>
            <w:vAlign w:val="center"/>
          </w:tcPr>
          <w:p w:rsidR="00BE6140" w:rsidRPr="00290E2F" w:rsidRDefault="00BE6140" w:rsidP="00002DF4">
            <w:pPr>
              <w:jc w:val="center"/>
              <w:rPr>
                <w:rFonts w:ascii="Century Gothic" w:hAnsi="Century Gothic" w:cs="Times New Roman"/>
                <w:b/>
                <w:bCs/>
                <w:color w:val="FFFFFF"/>
                <w:sz w:val="18"/>
                <w:szCs w:val="18"/>
              </w:rPr>
            </w:pPr>
            <w:r w:rsidRPr="00290E2F">
              <w:rPr>
                <w:rFonts w:ascii="Century Gothic" w:hAnsi="Century Gothic" w:cs="Times New Roman"/>
                <w:b/>
                <w:bCs/>
                <w:color w:val="FFFFFF"/>
                <w:sz w:val="18"/>
                <w:szCs w:val="18"/>
              </w:rPr>
              <w:t>2012</w:t>
            </w:r>
          </w:p>
        </w:tc>
      </w:tr>
      <w:tr w:rsidR="00BE6140" w:rsidRPr="00290E2F" w:rsidTr="00002DF4">
        <w:trPr>
          <w:trHeight w:val="284"/>
          <w:jc w:val="center"/>
        </w:trPr>
        <w:tc>
          <w:tcPr>
            <w:tcW w:w="1251" w:type="dxa"/>
            <w:shd w:val="clear" w:color="auto" w:fill="EDF2F8"/>
            <w:vAlign w:val="center"/>
          </w:tcPr>
          <w:p w:rsidR="00BE6140" w:rsidRPr="00290E2F" w:rsidRDefault="00BE6140" w:rsidP="00002DF4">
            <w:pPr>
              <w:jc w:val="center"/>
              <w:rPr>
                <w:rFonts w:ascii="Century Gothic" w:hAnsi="Century Gothic" w:cs="Times New Roman"/>
                <w:b/>
                <w:bCs/>
                <w:color w:val="000000"/>
                <w:sz w:val="18"/>
                <w:szCs w:val="18"/>
              </w:rPr>
            </w:pPr>
          </w:p>
        </w:tc>
        <w:tc>
          <w:tcPr>
            <w:tcW w:w="727" w:type="dxa"/>
            <w:shd w:val="clear" w:color="auto" w:fill="D3DFEE"/>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Ι</w:t>
            </w:r>
          </w:p>
        </w:tc>
        <w:tc>
          <w:tcPr>
            <w:tcW w:w="727" w:type="dxa"/>
            <w:gridSpan w:val="2"/>
            <w:shd w:val="clear" w:color="auto" w:fill="EDF2F8"/>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Φ</w:t>
            </w:r>
          </w:p>
        </w:tc>
        <w:tc>
          <w:tcPr>
            <w:tcW w:w="729" w:type="dxa"/>
            <w:gridSpan w:val="2"/>
            <w:shd w:val="clear" w:color="auto" w:fill="D3DFEE"/>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Μ</w:t>
            </w:r>
          </w:p>
        </w:tc>
        <w:tc>
          <w:tcPr>
            <w:tcW w:w="664" w:type="dxa"/>
            <w:shd w:val="clear" w:color="auto" w:fill="EDF2F8"/>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Α</w:t>
            </w:r>
          </w:p>
        </w:tc>
        <w:tc>
          <w:tcPr>
            <w:tcW w:w="725" w:type="dxa"/>
            <w:gridSpan w:val="2"/>
            <w:shd w:val="clear" w:color="auto" w:fill="D3DFEE"/>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Μ</w:t>
            </w:r>
          </w:p>
        </w:tc>
        <w:tc>
          <w:tcPr>
            <w:tcW w:w="720" w:type="dxa"/>
            <w:gridSpan w:val="2"/>
            <w:shd w:val="clear" w:color="auto" w:fill="EDF2F8"/>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Ι</w:t>
            </w:r>
          </w:p>
        </w:tc>
        <w:tc>
          <w:tcPr>
            <w:tcW w:w="664" w:type="dxa"/>
            <w:shd w:val="clear" w:color="auto" w:fill="D3DFEE"/>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Ι</w:t>
            </w:r>
          </w:p>
        </w:tc>
        <w:tc>
          <w:tcPr>
            <w:tcW w:w="725" w:type="dxa"/>
            <w:gridSpan w:val="2"/>
            <w:shd w:val="clear" w:color="auto" w:fill="EDF2F8"/>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Α</w:t>
            </w:r>
          </w:p>
        </w:tc>
        <w:tc>
          <w:tcPr>
            <w:tcW w:w="725" w:type="dxa"/>
            <w:gridSpan w:val="2"/>
            <w:shd w:val="clear" w:color="auto" w:fill="D3DFEE"/>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Σ</w:t>
            </w:r>
          </w:p>
        </w:tc>
        <w:tc>
          <w:tcPr>
            <w:tcW w:w="725" w:type="dxa"/>
            <w:shd w:val="clear" w:color="auto" w:fill="EDF2F8"/>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Ο</w:t>
            </w:r>
          </w:p>
        </w:tc>
        <w:tc>
          <w:tcPr>
            <w:tcW w:w="657" w:type="dxa"/>
            <w:shd w:val="clear" w:color="auto" w:fill="D3DFEE"/>
            <w:vAlign w:val="center"/>
          </w:tcPr>
          <w:p w:rsidR="00BE6140" w:rsidRPr="00290E2F" w:rsidRDefault="00BE6140" w:rsidP="00002DF4">
            <w:pPr>
              <w:pStyle w:val="2"/>
              <w:rPr>
                <w:rFonts w:ascii="Century Gothic" w:hAnsi="Century Gothic"/>
                <w:i w:val="0"/>
                <w:iCs w:val="0"/>
                <w:color w:val="000000"/>
              </w:rPr>
            </w:pPr>
            <w:r w:rsidRPr="00290E2F">
              <w:rPr>
                <w:rFonts w:ascii="Century Gothic" w:hAnsi="Century Gothic"/>
                <w:i w:val="0"/>
                <w:iCs w:val="0"/>
                <w:color w:val="000000"/>
              </w:rPr>
              <w:t>Ν</w:t>
            </w:r>
          </w:p>
        </w:tc>
        <w:tc>
          <w:tcPr>
            <w:tcW w:w="725" w:type="dxa"/>
            <w:shd w:val="clear" w:color="auto" w:fill="EDF2F8"/>
            <w:vAlign w:val="center"/>
          </w:tcPr>
          <w:p w:rsidR="00BE6140" w:rsidRPr="00290E2F" w:rsidRDefault="00BE6140" w:rsidP="00002DF4">
            <w:pPr>
              <w:pStyle w:val="2"/>
              <w:rPr>
                <w:rFonts w:ascii="Century Gothic" w:hAnsi="Century Gothic"/>
                <w:i w:val="0"/>
                <w:iCs w:val="0"/>
                <w:color w:val="000000"/>
              </w:rPr>
            </w:pPr>
            <w:r w:rsidRPr="00290E2F">
              <w:rPr>
                <w:rFonts w:ascii="Century Gothic" w:hAnsi="Century Gothic"/>
                <w:i w:val="0"/>
                <w:iCs w:val="0"/>
                <w:color w:val="000000"/>
              </w:rPr>
              <w:t>Δ</w:t>
            </w:r>
          </w:p>
        </w:tc>
      </w:tr>
      <w:tr w:rsidR="00BE6140" w:rsidRPr="00290E2F" w:rsidTr="00002DF4">
        <w:trPr>
          <w:trHeight w:val="284"/>
          <w:jc w:val="center"/>
        </w:trPr>
        <w:tc>
          <w:tcPr>
            <w:tcW w:w="1251" w:type="dxa"/>
            <w:shd w:val="clear" w:color="auto" w:fill="DBE5F1"/>
            <w:vAlign w:val="center"/>
          </w:tcPr>
          <w:p w:rsidR="00BE6140" w:rsidRPr="00290E2F" w:rsidRDefault="00BE6140" w:rsidP="00002DF4">
            <w:pPr>
              <w:pStyle w:val="7"/>
              <w:jc w:val="center"/>
              <w:rPr>
                <w:rFonts w:ascii="Century Gothic" w:hAnsi="Century Gothic"/>
                <w:color w:val="000000"/>
              </w:rPr>
            </w:pPr>
            <w:r w:rsidRPr="00290E2F">
              <w:rPr>
                <w:rFonts w:ascii="Century Gothic" w:hAnsi="Century Gothic"/>
                <w:color w:val="000000"/>
              </w:rPr>
              <w:t>ΕΕ-27</w:t>
            </w:r>
          </w:p>
        </w:tc>
        <w:tc>
          <w:tcPr>
            <w:tcW w:w="727" w:type="dxa"/>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-20,6</w:t>
            </w:r>
          </w:p>
        </w:tc>
        <w:tc>
          <w:tcPr>
            <w:tcW w:w="727" w:type="dxa"/>
            <w:gridSpan w:val="2"/>
            <w:shd w:val="clear" w:color="auto" w:fill="DBE5F1"/>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-20,0</w:t>
            </w:r>
          </w:p>
        </w:tc>
        <w:tc>
          <w:tcPr>
            <w:tcW w:w="729" w:type="dxa"/>
            <w:gridSpan w:val="2"/>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-19,2</w:t>
            </w:r>
          </w:p>
        </w:tc>
        <w:tc>
          <w:tcPr>
            <w:tcW w:w="664" w:type="dxa"/>
            <w:shd w:val="clear" w:color="auto" w:fill="DBE5F1"/>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-20,1</w:t>
            </w:r>
          </w:p>
        </w:tc>
        <w:tc>
          <w:tcPr>
            <w:tcW w:w="725" w:type="dxa"/>
            <w:gridSpan w:val="2"/>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-19,3</w:t>
            </w:r>
          </w:p>
        </w:tc>
        <w:tc>
          <w:tcPr>
            <w:tcW w:w="720" w:type="dxa"/>
            <w:gridSpan w:val="2"/>
            <w:shd w:val="clear" w:color="auto" w:fill="DBE5F1"/>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-19,6</w:t>
            </w:r>
          </w:p>
        </w:tc>
        <w:tc>
          <w:tcPr>
            <w:tcW w:w="664" w:type="dxa"/>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-20,1</w:t>
            </w:r>
          </w:p>
        </w:tc>
        <w:tc>
          <w:tcPr>
            <w:tcW w:w="725" w:type="dxa"/>
            <w:gridSpan w:val="2"/>
            <w:shd w:val="clear" w:color="auto" w:fill="DBE5F1"/>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-22,6</w:t>
            </w:r>
          </w:p>
        </w:tc>
        <w:tc>
          <w:tcPr>
            <w:tcW w:w="725" w:type="dxa"/>
            <w:gridSpan w:val="2"/>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-23,8</w:t>
            </w:r>
          </w:p>
        </w:tc>
        <w:tc>
          <w:tcPr>
            <w:tcW w:w="725" w:type="dxa"/>
            <w:shd w:val="clear" w:color="auto" w:fill="DBE5F1"/>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-24,2</w:t>
            </w:r>
          </w:p>
        </w:tc>
        <w:tc>
          <w:tcPr>
            <w:tcW w:w="657" w:type="dxa"/>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-23,6</w:t>
            </w:r>
          </w:p>
        </w:tc>
        <w:tc>
          <w:tcPr>
            <w:tcW w:w="725" w:type="dxa"/>
            <w:shd w:val="clear" w:color="auto" w:fill="DBE5F1"/>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-24,0</w:t>
            </w:r>
          </w:p>
        </w:tc>
      </w:tr>
      <w:tr w:rsidR="00BE6140" w:rsidRPr="00290E2F" w:rsidTr="00002DF4">
        <w:trPr>
          <w:trHeight w:val="284"/>
          <w:jc w:val="center"/>
        </w:trPr>
        <w:tc>
          <w:tcPr>
            <w:tcW w:w="1251" w:type="dxa"/>
            <w:shd w:val="clear" w:color="auto" w:fill="EDF2F8"/>
            <w:vAlign w:val="center"/>
          </w:tcPr>
          <w:p w:rsidR="00BE6140" w:rsidRPr="00290E2F" w:rsidRDefault="00BE6140" w:rsidP="00002DF4">
            <w:pPr>
              <w:pStyle w:val="7"/>
              <w:jc w:val="center"/>
              <w:rPr>
                <w:rFonts w:ascii="Century Gothic" w:hAnsi="Century Gothic"/>
                <w:color w:val="000000"/>
              </w:rPr>
            </w:pPr>
            <w:r w:rsidRPr="00290E2F">
              <w:rPr>
                <w:rFonts w:ascii="Century Gothic" w:hAnsi="Century Gothic"/>
                <w:color w:val="000000"/>
              </w:rPr>
              <w:t>Ευρωζώνη</w:t>
            </w:r>
          </w:p>
        </w:tc>
        <w:tc>
          <w:tcPr>
            <w:tcW w:w="727" w:type="dxa"/>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-20,6</w:t>
            </w:r>
          </w:p>
        </w:tc>
        <w:tc>
          <w:tcPr>
            <w:tcW w:w="727" w:type="dxa"/>
            <w:gridSpan w:val="2"/>
            <w:shd w:val="clear" w:color="auto" w:fill="EDF2F8"/>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-20,1</w:t>
            </w:r>
          </w:p>
        </w:tc>
        <w:tc>
          <w:tcPr>
            <w:tcW w:w="729" w:type="dxa"/>
            <w:gridSpan w:val="2"/>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-18,9</w:t>
            </w:r>
          </w:p>
        </w:tc>
        <w:tc>
          <w:tcPr>
            <w:tcW w:w="664" w:type="dxa"/>
            <w:shd w:val="clear" w:color="auto" w:fill="EDF2F8"/>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-19,7</w:t>
            </w:r>
          </w:p>
        </w:tc>
        <w:tc>
          <w:tcPr>
            <w:tcW w:w="725" w:type="dxa"/>
            <w:gridSpan w:val="2"/>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-19,1</w:t>
            </w:r>
          </w:p>
        </w:tc>
        <w:tc>
          <w:tcPr>
            <w:tcW w:w="720" w:type="dxa"/>
            <w:gridSpan w:val="2"/>
            <w:shd w:val="clear" w:color="auto" w:fill="EDF2F8"/>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-19,6</w:t>
            </w:r>
          </w:p>
        </w:tc>
        <w:tc>
          <w:tcPr>
            <w:tcW w:w="664" w:type="dxa"/>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-21,3</w:t>
            </w:r>
          </w:p>
        </w:tc>
        <w:tc>
          <w:tcPr>
            <w:tcW w:w="725" w:type="dxa"/>
            <w:gridSpan w:val="2"/>
            <w:shd w:val="clear" w:color="auto" w:fill="EDF2F8"/>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-24,4</w:t>
            </w:r>
          </w:p>
        </w:tc>
        <w:tc>
          <w:tcPr>
            <w:tcW w:w="725" w:type="dxa"/>
            <w:gridSpan w:val="2"/>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-25,7</w:t>
            </w:r>
          </w:p>
        </w:tc>
        <w:tc>
          <w:tcPr>
            <w:tcW w:w="725" w:type="dxa"/>
            <w:shd w:val="clear" w:color="auto" w:fill="EDF2F8"/>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-25,5</w:t>
            </w:r>
          </w:p>
        </w:tc>
        <w:tc>
          <w:tcPr>
            <w:tcW w:w="657" w:type="dxa"/>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-26,7</w:t>
            </w:r>
          </w:p>
        </w:tc>
        <w:tc>
          <w:tcPr>
            <w:tcW w:w="725" w:type="dxa"/>
            <w:shd w:val="clear" w:color="auto" w:fill="EDF2F8"/>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-26,3</w:t>
            </w:r>
          </w:p>
        </w:tc>
      </w:tr>
      <w:tr w:rsidR="00BE6140" w:rsidRPr="00290E2F" w:rsidTr="00002DF4">
        <w:trPr>
          <w:trHeight w:val="284"/>
          <w:jc w:val="center"/>
        </w:trPr>
        <w:tc>
          <w:tcPr>
            <w:tcW w:w="1251" w:type="dxa"/>
            <w:shd w:val="clear" w:color="auto" w:fill="DBE5F1"/>
            <w:vAlign w:val="center"/>
          </w:tcPr>
          <w:p w:rsidR="00BE6140" w:rsidRPr="00290E2F" w:rsidRDefault="00BE6140" w:rsidP="00002DF4">
            <w:pPr>
              <w:pStyle w:val="7"/>
              <w:jc w:val="center"/>
              <w:rPr>
                <w:rFonts w:ascii="Century Gothic" w:hAnsi="Century Gothic"/>
                <w:color w:val="000000"/>
              </w:rPr>
            </w:pPr>
            <w:r w:rsidRPr="00290E2F">
              <w:rPr>
                <w:rFonts w:ascii="Century Gothic" w:hAnsi="Century Gothic"/>
                <w:color w:val="000000"/>
              </w:rPr>
              <w:t>Ελλάδα</w:t>
            </w:r>
          </w:p>
        </w:tc>
        <w:tc>
          <w:tcPr>
            <w:tcW w:w="727" w:type="dxa"/>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-80,1</w:t>
            </w:r>
          </w:p>
        </w:tc>
        <w:tc>
          <w:tcPr>
            <w:tcW w:w="727" w:type="dxa"/>
            <w:gridSpan w:val="2"/>
            <w:shd w:val="clear" w:color="auto" w:fill="DBE5F1"/>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-83,5</w:t>
            </w:r>
          </w:p>
        </w:tc>
        <w:tc>
          <w:tcPr>
            <w:tcW w:w="729" w:type="dxa"/>
            <w:gridSpan w:val="2"/>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-79,3</w:t>
            </w:r>
          </w:p>
        </w:tc>
        <w:tc>
          <w:tcPr>
            <w:tcW w:w="664" w:type="dxa"/>
            <w:shd w:val="clear" w:color="auto" w:fill="DBE5F1"/>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-78,7</w:t>
            </w:r>
          </w:p>
        </w:tc>
        <w:tc>
          <w:tcPr>
            <w:tcW w:w="725" w:type="dxa"/>
            <w:gridSpan w:val="2"/>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-75,8</w:t>
            </w:r>
          </w:p>
        </w:tc>
        <w:tc>
          <w:tcPr>
            <w:tcW w:w="720" w:type="dxa"/>
            <w:gridSpan w:val="2"/>
            <w:shd w:val="clear" w:color="auto" w:fill="DBE5F1"/>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-70,4</w:t>
            </w:r>
          </w:p>
        </w:tc>
        <w:tc>
          <w:tcPr>
            <w:tcW w:w="664" w:type="dxa"/>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-64,7</w:t>
            </w:r>
          </w:p>
        </w:tc>
        <w:tc>
          <w:tcPr>
            <w:tcW w:w="725" w:type="dxa"/>
            <w:gridSpan w:val="2"/>
            <w:shd w:val="clear" w:color="auto" w:fill="DBE5F1"/>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-65,2</w:t>
            </w:r>
          </w:p>
        </w:tc>
        <w:tc>
          <w:tcPr>
            <w:tcW w:w="725" w:type="dxa"/>
            <w:gridSpan w:val="2"/>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-75,6</w:t>
            </w:r>
          </w:p>
        </w:tc>
        <w:tc>
          <w:tcPr>
            <w:tcW w:w="725" w:type="dxa"/>
            <w:shd w:val="clear" w:color="auto" w:fill="DBE5F1"/>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-77,5</w:t>
            </w:r>
          </w:p>
        </w:tc>
        <w:tc>
          <w:tcPr>
            <w:tcW w:w="657" w:type="dxa"/>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-74,1</w:t>
            </w:r>
          </w:p>
        </w:tc>
        <w:tc>
          <w:tcPr>
            <w:tcW w:w="725" w:type="dxa"/>
            <w:shd w:val="clear" w:color="auto" w:fill="DBE5F1"/>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-72,1</w:t>
            </w:r>
          </w:p>
        </w:tc>
      </w:tr>
      <w:tr w:rsidR="00BE6140" w:rsidRPr="00290E2F" w:rsidTr="00002DF4">
        <w:trPr>
          <w:trHeight w:val="284"/>
          <w:jc w:val="center"/>
        </w:trPr>
        <w:tc>
          <w:tcPr>
            <w:tcW w:w="1251" w:type="dxa"/>
            <w:shd w:val="clear" w:color="auto" w:fill="943634"/>
            <w:vAlign w:val="center"/>
          </w:tcPr>
          <w:p w:rsidR="00BE6140" w:rsidRPr="00290E2F" w:rsidRDefault="00BE6140" w:rsidP="00002DF4">
            <w:pPr>
              <w:jc w:val="center"/>
              <w:rPr>
                <w:rFonts w:ascii="Century Gothic" w:hAnsi="Century Gothic" w:cs="Times New Roman"/>
                <w:b/>
                <w:bCs/>
                <w:color w:val="FFFFFF"/>
                <w:sz w:val="18"/>
                <w:szCs w:val="18"/>
              </w:rPr>
            </w:pPr>
            <w:r w:rsidRPr="00290E2F">
              <w:rPr>
                <w:rFonts w:ascii="Century Gothic" w:hAnsi="Century Gothic" w:cs="Times New Roman"/>
                <w:b/>
                <w:bCs/>
                <w:color w:val="FFFFFF"/>
                <w:sz w:val="18"/>
                <w:szCs w:val="18"/>
              </w:rPr>
              <w:t>Περιοχή</w:t>
            </w:r>
          </w:p>
        </w:tc>
        <w:tc>
          <w:tcPr>
            <w:tcW w:w="8513" w:type="dxa"/>
            <w:gridSpan w:val="18"/>
            <w:shd w:val="clear" w:color="auto" w:fill="943634"/>
            <w:vAlign w:val="bottom"/>
          </w:tcPr>
          <w:p w:rsidR="00BE6140" w:rsidRPr="00290E2F" w:rsidRDefault="00BE6140" w:rsidP="00002DF4">
            <w:pPr>
              <w:jc w:val="center"/>
              <w:rPr>
                <w:rFonts w:ascii="Century Gothic" w:hAnsi="Century Gothic"/>
                <w:color w:val="FFFFFF"/>
                <w:sz w:val="18"/>
                <w:szCs w:val="18"/>
              </w:rPr>
            </w:pPr>
            <w:r w:rsidRPr="00290E2F">
              <w:rPr>
                <w:rFonts w:ascii="Century Gothic" w:hAnsi="Century Gothic"/>
                <w:color w:val="FFFFFF"/>
                <w:sz w:val="18"/>
                <w:szCs w:val="18"/>
              </w:rPr>
              <w:t>2013</w:t>
            </w:r>
          </w:p>
        </w:tc>
      </w:tr>
      <w:tr w:rsidR="00BE6140" w:rsidRPr="00290E2F" w:rsidTr="00002DF4">
        <w:trPr>
          <w:trHeight w:val="183"/>
          <w:jc w:val="center"/>
        </w:trPr>
        <w:tc>
          <w:tcPr>
            <w:tcW w:w="1251" w:type="dxa"/>
            <w:shd w:val="clear" w:color="auto" w:fill="DBE5F1"/>
            <w:vAlign w:val="center"/>
          </w:tcPr>
          <w:p w:rsidR="00BE6140" w:rsidRPr="00290E2F" w:rsidRDefault="00BE6140" w:rsidP="00002DF4">
            <w:pPr>
              <w:pStyle w:val="7"/>
              <w:jc w:val="center"/>
              <w:rPr>
                <w:rFonts w:ascii="Century Gothic" w:hAnsi="Century Gothic"/>
                <w:color w:val="000000"/>
              </w:rPr>
            </w:pPr>
          </w:p>
        </w:tc>
        <w:tc>
          <w:tcPr>
            <w:tcW w:w="727" w:type="dxa"/>
            <w:shd w:val="clear" w:color="auto" w:fill="D3DFEE"/>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Ι</w:t>
            </w:r>
          </w:p>
        </w:tc>
        <w:tc>
          <w:tcPr>
            <w:tcW w:w="727" w:type="dxa"/>
            <w:gridSpan w:val="2"/>
            <w:shd w:val="clear" w:color="auto" w:fill="DBE5F1"/>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Φ</w:t>
            </w:r>
          </w:p>
        </w:tc>
        <w:tc>
          <w:tcPr>
            <w:tcW w:w="729" w:type="dxa"/>
            <w:gridSpan w:val="2"/>
            <w:shd w:val="clear" w:color="auto" w:fill="D3DFEE"/>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Μ</w:t>
            </w:r>
          </w:p>
        </w:tc>
        <w:tc>
          <w:tcPr>
            <w:tcW w:w="664" w:type="dxa"/>
            <w:shd w:val="clear" w:color="auto" w:fill="DBE5F1"/>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Α</w:t>
            </w:r>
          </w:p>
        </w:tc>
        <w:tc>
          <w:tcPr>
            <w:tcW w:w="725" w:type="dxa"/>
            <w:gridSpan w:val="2"/>
            <w:shd w:val="clear" w:color="auto" w:fill="D3DFEE"/>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Μ</w:t>
            </w:r>
          </w:p>
        </w:tc>
        <w:tc>
          <w:tcPr>
            <w:tcW w:w="720" w:type="dxa"/>
            <w:gridSpan w:val="2"/>
            <w:shd w:val="clear" w:color="auto" w:fill="DBE5F1"/>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Ι</w:t>
            </w:r>
          </w:p>
        </w:tc>
        <w:tc>
          <w:tcPr>
            <w:tcW w:w="664" w:type="dxa"/>
            <w:shd w:val="clear" w:color="auto" w:fill="D3DFEE"/>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Ι</w:t>
            </w:r>
          </w:p>
        </w:tc>
        <w:tc>
          <w:tcPr>
            <w:tcW w:w="725" w:type="dxa"/>
            <w:gridSpan w:val="2"/>
            <w:shd w:val="clear" w:color="auto" w:fill="DBE5F1"/>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Α</w:t>
            </w:r>
          </w:p>
        </w:tc>
        <w:tc>
          <w:tcPr>
            <w:tcW w:w="725" w:type="dxa"/>
            <w:gridSpan w:val="2"/>
            <w:shd w:val="clear" w:color="auto" w:fill="D3DFEE"/>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Σ</w:t>
            </w:r>
          </w:p>
        </w:tc>
        <w:tc>
          <w:tcPr>
            <w:tcW w:w="725" w:type="dxa"/>
            <w:shd w:val="clear" w:color="auto" w:fill="DBE5F1"/>
            <w:vAlign w:val="center"/>
          </w:tcPr>
          <w:p w:rsidR="00BE6140" w:rsidRPr="00290E2F" w:rsidRDefault="00BE6140" w:rsidP="00002DF4">
            <w:pPr>
              <w:jc w:val="center"/>
              <w:rPr>
                <w:rFonts w:ascii="Century Gothic" w:hAnsi="Century Gothic" w:cs="Times New Roman"/>
                <w:b/>
                <w:bCs/>
                <w:color w:val="000000"/>
                <w:sz w:val="18"/>
                <w:szCs w:val="18"/>
              </w:rPr>
            </w:pPr>
            <w:r w:rsidRPr="00290E2F">
              <w:rPr>
                <w:rFonts w:ascii="Century Gothic" w:hAnsi="Century Gothic" w:cs="Times New Roman"/>
                <w:b/>
                <w:bCs/>
                <w:color w:val="000000"/>
                <w:sz w:val="18"/>
                <w:szCs w:val="18"/>
              </w:rPr>
              <w:t>Ο</w:t>
            </w:r>
          </w:p>
        </w:tc>
        <w:tc>
          <w:tcPr>
            <w:tcW w:w="657" w:type="dxa"/>
            <w:shd w:val="clear" w:color="auto" w:fill="D3DFEE"/>
            <w:vAlign w:val="center"/>
          </w:tcPr>
          <w:p w:rsidR="00BE6140" w:rsidRPr="00290E2F" w:rsidRDefault="00BE6140" w:rsidP="00002DF4">
            <w:pPr>
              <w:pStyle w:val="2"/>
              <w:rPr>
                <w:rFonts w:ascii="Century Gothic" w:hAnsi="Century Gothic"/>
                <w:i w:val="0"/>
                <w:iCs w:val="0"/>
                <w:color w:val="000000"/>
              </w:rPr>
            </w:pPr>
            <w:r w:rsidRPr="00290E2F">
              <w:rPr>
                <w:rFonts w:ascii="Century Gothic" w:hAnsi="Century Gothic"/>
                <w:i w:val="0"/>
                <w:iCs w:val="0"/>
                <w:color w:val="000000"/>
              </w:rPr>
              <w:t>Ν</w:t>
            </w:r>
          </w:p>
        </w:tc>
        <w:tc>
          <w:tcPr>
            <w:tcW w:w="725" w:type="dxa"/>
            <w:shd w:val="clear" w:color="auto" w:fill="DBE5F1"/>
            <w:vAlign w:val="center"/>
          </w:tcPr>
          <w:p w:rsidR="00BE6140" w:rsidRPr="00290E2F" w:rsidRDefault="00BE6140" w:rsidP="00002DF4">
            <w:pPr>
              <w:pStyle w:val="2"/>
              <w:rPr>
                <w:rFonts w:ascii="Century Gothic" w:hAnsi="Century Gothic"/>
                <w:i w:val="0"/>
                <w:iCs w:val="0"/>
                <w:color w:val="000000"/>
              </w:rPr>
            </w:pPr>
            <w:r w:rsidRPr="00290E2F">
              <w:rPr>
                <w:rFonts w:ascii="Century Gothic" w:hAnsi="Century Gothic"/>
                <w:i w:val="0"/>
                <w:iCs w:val="0"/>
                <w:color w:val="000000"/>
              </w:rPr>
              <w:t>Δ</w:t>
            </w:r>
          </w:p>
        </w:tc>
      </w:tr>
      <w:tr w:rsidR="00BE6140" w:rsidRPr="00290E2F" w:rsidTr="00002DF4">
        <w:trPr>
          <w:trHeight w:val="284"/>
          <w:jc w:val="center"/>
        </w:trPr>
        <w:tc>
          <w:tcPr>
            <w:tcW w:w="1251" w:type="dxa"/>
            <w:shd w:val="clear" w:color="auto" w:fill="EDF2F8"/>
            <w:vAlign w:val="center"/>
          </w:tcPr>
          <w:p w:rsidR="00BE6140" w:rsidRPr="00290E2F" w:rsidRDefault="00BE6140" w:rsidP="00002DF4">
            <w:pPr>
              <w:pStyle w:val="7"/>
              <w:jc w:val="center"/>
              <w:rPr>
                <w:rFonts w:ascii="Century Gothic" w:hAnsi="Century Gothic"/>
                <w:color w:val="000000"/>
              </w:rPr>
            </w:pPr>
            <w:r w:rsidRPr="00290E2F">
              <w:rPr>
                <w:rFonts w:ascii="Century Gothic" w:hAnsi="Century Gothic"/>
                <w:color w:val="000000"/>
              </w:rPr>
              <w:t>ΕΕ-27</w:t>
            </w:r>
          </w:p>
        </w:tc>
        <w:tc>
          <w:tcPr>
            <w:tcW w:w="727" w:type="dxa"/>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-21,9</w:t>
            </w:r>
          </w:p>
        </w:tc>
        <w:tc>
          <w:tcPr>
            <w:tcW w:w="727" w:type="dxa"/>
            <w:gridSpan w:val="2"/>
            <w:shd w:val="clear" w:color="auto" w:fill="EDF2F8"/>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-21,6</w:t>
            </w:r>
          </w:p>
        </w:tc>
        <w:tc>
          <w:tcPr>
            <w:tcW w:w="729" w:type="dxa"/>
            <w:gridSpan w:val="2"/>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-21,6</w:t>
            </w:r>
          </w:p>
        </w:tc>
        <w:tc>
          <w:tcPr>
            <w:tcW w:w="664" w:type="dxa"/>
            <w:shd w:val="clear" w:color="auto" w:fill="EDF2F8"/>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-20,4</w:t>
            </w:r>
          </w:p>
        </w:tc>
        <w:tc>
          <w:tcPr>
            <w:tcW w:w="725" w:type="dxa"/>
            <w:gridSpan w:val="2"/>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-20,2</w:t>
            </w:r>
          </w:p>
        </w:tc>
        <w:tc>
          <w:tcPr>
            <w:tcW w:w="720" w:type="dxa"/>
            <w:gridSpan w:val="2"/>
            <w:shd w:val="clear" w:color="auto" w:fill="EDF2F8"/>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-17,5</w:t>
            </w:r>
          </w:p>
        </w:tc>
        <w:tc>
          <w:tcPr>
            <w:tcW w:w="664" w:type="dxa"/>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-14,8</w:t>
            </w:r>
          </w:p>
        </w:tc>
        <w:tc>
          <w:tcPr>
            <w:tcW w:w="725" w:type="dxa"/>
            <w:gridSpan w:val="2"/>
            <w:shd w:val="clear" w:color="auto" w:fill="EDF2F8"/>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-12,8</w:t>
            </w:r>
          </w:p>
        </w:tc>
        <w:tc>
          <w:tcPr>
            <w:tcW w:w="725" w:type="dxa"/>
            <w:gridSpan w:val="2"/>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-11,7</w:t>
            </w:r>
          </w:p>
        </w:tc>
        <w:tc>
          <w:tcPr>
            <w:tcW w:w="725" w:type="dxa"/>
            <w:shd w:val="clear" w:color="auto" w:fill="EDF2F8"/>
            <w:vAlign w:val="center"/>
          </w:tcPr>
          <w:p w:rsidR="00BE6140" w:rsidRPr="00290E2F" w:rsidRDefault="00BE6140" w:rsidP="00002DF4">
            <w:pPr>
              <w:jc w:val="center"/>
              <w:rPr>
                <w:rFonts w:ascii="Century Gothic" w:hAnsi="Century Gothic" w:cs="Times New Roman"/>
                <w:sz w:val="18"/>
                <w:szCs w:val="18"/>
              </w:rPr>
            </w:pPr>
          </w:p>
        </w:tc>
        <w:tc>
          <w:tcPr>
            <w:tcW w:w="657" w:type="dxa"/>
            <w:shd w:val="clear" w:color="auto" w:fill="D3DFEE"/>
            <w:vAlign w:val="center"/>
          </w:tcPr>
          <w:p w:rsidR="00BE6140" w:rsidRPr="00290E2F" w:rsidRDefault="00BE6140" w:rsidP="00002DF4">
            <w:pPr>
              <w:jc w:val="center"/>
              <w:rPr>
                <w:rFonts w:ascii="Century Gothic" w:hAnsi="Century Gothic" w:cs="Times New Roman"/>
                <w:sz w:val="18"/>
                <w:szCs w:val="18"/>
              </w:rPr>
            </w:pPr>
          </w:p>
        </w:tc>
        <w:tc>
          <w:tcPr>
            <w:tcW w:w="725" w:type="dxa"/>
            <w:shd w:val="clear" w:color="auto" w:fill="EDF2F8"/>
            <w:vAlign w:val="center"/>
          </w:tcPr>
          <w:p w:rsidR="00BE6140" w:rsidRPr="00290E2F" w:rsidRDefault="00BE6140" w:rsidP="00002DF4">
            <w:pPr>
              <w:jc w:val="center"/>
              <w:rPr>
                <w:rFonts w:ascii="Century Gothic" w:hAnsi="Century Gothic" w:cs="Times New Roman"/>
                <w:sz w:val="18"/>
                <w:szCs w:val="18"/>
              </w:rPr>
            </w:pPr>
          </w:p>
        </w:tc>
      </w:tr>
      <w:tr w:rsidR="00BE6140" w:rsidRPr="00290E2F" w:rsidTr="00002DF4">
        <w:trPr>
          <w:trHeight w:val="284"/>
          <w:jc w:val="center"/>
        </w:trPr>
        <w:tc>
          <w:tcPr>
            <w:tcW w:w="1251" w:type="dxa"/>
            <w:shd w:val="clear" w:color="auto" w:fill="DBE5F1"/>
            <w:vAlign w:val="center"/>
          </w:tcPr>
          <w:p w:rsidR="00BE6140" w:rsidRPr="00290E2F" w:rsidRDefault="00BE6140" w:rsidP="00002DF4">
            <w:pPr>
              <w:pStyle w:val="7"/>
              <w:jc w:val="center"/>
              <w:rPr>
                <w:rFonts w:ascii="Century Gothic" w:hAnsi="Century Gothic"/>
                <w:color w:val="000000"/>
              </w:rPr>
            </w:pPr>
            <w:r w:rsidRPr="00290E2F">
              <w:rPr>
                <w:rFonts w:ascii="Century Gothic" w:hAnsi="Century Gothic"/>
                <w:color w:val="000000"/>
              </w:rPr>
              <w:t>Ευρωζώνη</w:t>
            </w:r>
          </w:p>
        </w:tc>
        <w:tc>
          <w:tcPr>
            <w:tcW w:w="727" w:type="dxa"/>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-23,9</w:t>
            </w:r>
          </w:p>
        </w:tc>
        <w:tc>
          <w:tcPr>
            <w:tcW w:w="727" w:type="dxa"/>
            <w:gridSpan w:val="2"/>
            <w:shd w:val="clear" w:color="auto" w:fill="DBE5F1"/>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-23,6</w:t>
            </w:r>
          </w:p>
        </w:tc>
        <w:tc>
          <w:tcPr>
            <w:tcW w:w="729" w:type="dxa"/>
            <w:gridSpan w:val="2"/>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-23,5</w:t>
            </w:r>
          </w:p>
        </w:tc>
        <w:tc>
          <w:tcPr>
            <w:tcW w:w="664" w:type="dxa"/>
            <w:shd w:val="clear" w:color="auto" w:fill="DBE5F1"/>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-22,2</w:t>
            </w:r>
          </w:p>
        </w:tc>
        <w:tc>
          <w:tcPr>
            <w:tcW w:w="725" w:type="dxa"/>
            <w:gridSpan w:val="2"/>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-21,8</w:t>
            </w:r>
          </w:p>
        </w:tc>
        <w:tc>
          <w:tcPr>
            <w:tcW w:w="720" w:type="dxa"/>
            <w:gridSpan w:val="2"/>
            <w:shd w:val="clear" w:color="auto" w:fill="DBE5F1"/>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-18,8</w:t>
            </w:r>
          </w:p>
        </w:tc>
        <w:tc>
          <w:tcPr>
            <w:tcW w:w="664" w:type="dxa"/>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-17,4</w:t>
            </w:r>
          </w:p>
        </w:tc>
        <w:tc>
          <w:tcPr>
            <w:tcW w:w="725" w:type="dxa"/>
            <w:gridSpan w:val="2"/>
            <w:shd w:val="clear" w:color="auto" w:fill="DBE5F1"/>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-15,6</w:t>
            </w:r>
          </w:p>
        </w:tc>
        <w:tc>
          <w:tcPr>
            <w:tcW w:w="725" w:type="dxa"/>
            <w:gridSpan w:val="2"/>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-14,9</w:t>
            </w:r>
          </w:p>
        </w:tc>
        <w:tc>
          <w:tcPr>
            <w:tcW w:w="725" w:type="dxa"/>
            <w:shd w:val="clear" w:color="auto" w:fill="DBE5F1"/>
            <w:vAlign w:val="center"/>
          </w:tcPr>
          <w:p w:rsidR="00BE6140" w:rsidRPr="00290E2F" w:rsidRDefault="00BE6140" w:rsidP="00002DF4">
            <w:pPr>
              <w:jc w:val="center"/>
              <w:rPr>
                <w:rFonts w:ascii="Century Gothic" w:hAnsi="Century Gothic" w:cs="Times New Roman"/>
                <w:sz w:val="18"/>
                <w:szCs w:val="18"/>
              </w:rPr>
            </w:pPr>
          </w:p>
        </w:tc>
        <w:tc>
          <w:tcPr>
            <w:tcW w:w="657" w:type="dxa"/>
            <w:shd w:val="clear" w:color="auto" w:fill="D3DFEE"/>
            <w:vAlign w:val="center"/>
          </w:tcPr>
          <w:p w:rsidR="00BE6140" w:rsidRPr="00290E2F" w:rsidRDefault="00BE6140" w:rsidP="00002DF4">
            <w:pPr>
              <w:jc w:val="center"/>
              <w:rPr>
                <w:rFonts w:ascii="Century Gothic" w:hAnsi="Century Gothic" w:cs="Times New Roman"/>
                <w:sz w:val="18"/>
                <w:szCs w:val="18"/>
              </w:rPr>
            </w:pPr>
          </w:p>
        </w:tc>
        <w:tc>
          <w:tcPr>
            <w:tcW w:w="725" w:type="dxa"/>
            <w:shd w:val="clear" w:color="auto" w:fill="DBE5F1"/>
            <w:vAlign w:val="center"/>
          </w:tcPr>
          <w:p w:rsidR="00BE6140" w:rsidRPr="00290E2F" w:rsidRDefault="00BE6140" w:rsidP="00002DF4">
            <w:pPr>
              <w:jc w:val="center"/>
              <w:rPr>
                <w:rFonts w:ascii="Century Gothic" w:hAnsi="Century Gothic" w:cs="Times New Roman"/>
                <w:sz w:val="18"/>
                <w:szCs w:val="18"/>
              </w:rPr>
            </w:pPr>
          </w:p>
        </w:tc>
      </w:tr>
      <w:tr w:rsidR="00BE6140" w:rsidRPr="00290E2F" w:rsidTr="00002DF4">
        <w:trPr>
          <w:trHeight w:val="284"/>
          <w:jc w:val="center"/>
        </w:trPr>
        <w:tc>
          <w:tcPr>
            <w:tcW w:w="1251" w:type="dxa"/>
            <w:tcBorders>
              <w:bottom w:val="single" w:sz="4" w:space="0" w:color="943634"/>
            </w:tcBorders>
            <w:shd w:val="clear" w:color="auto" w:fill="FFFFFF"/>
            <w:vAlign w:val="center"/>
          </w:tcPr>
          <w:p w:rsidR="00BE6140" w:rsidRPr="00290E2F" w:rsidRDefault="00BE6140" w:rsidP="00002DF4">
            <w:pPr>
              <w:pStyle w:val="7"/>
              <w:jc w:val="center"/>
              <w:rPr>
                <w:rFonts w:ascii="Century Gothic" w:hAnsi="Century Gothic"/>
                <w:color w:val="000000"/>
              </w:rPr>
            </w:pPr>
            <w:r w:rsidRPr="00290E2F">
              <w:rPr>
                <w:rFonts w:ascii="Century Gothic" w:hAnsi="Century Gothic"/>
                <w:color w:val="000000"/>
              </w:rPr>
              <w:t>Ελλάδα</w:t>
            </w:r>
          </w:p>
        </w:tc>
        <w:tc>
          <w:tcPr>
            <w:tcW w:w="727" w:type="dxa"/>
            <w:tcBorders>
              <w:bottom w:val="single" w:sz="4" w:space="0" w:color="943634"/>
            </w:tcBorders>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-71,9</w:t>
            </w:r>
          </w:p>
        </w:tc>
        <w:tc>
          <w:tcPr>
            <w:tcW w:w="727" w:type="dxa"/>
            <w:gridSpan w:val="2"/>
            <w:tcBorders>
              <w:bottom w:val="single" w:sz="4" w:space="0" w:color="943634"/>
            </w:tcBorders>
            <w:shd w:val="clear" w:color="auto" w:fill="FFFFFF"/>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-71,4</w:t>
            </w:r>
          </w:p>
        </w:tc>
        <w:tc>
          <w:tcPr>
            <w:tcW w:w="729" w:type="dxa"/>
            <w:gridSpan w:val="2"/>
            <w:tcBorders>
              <w:bottom w:val="single" w:sz="4" w:space="0" w:color="943634"/>
            </w:tcBorders>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-71,2</w:t>
            </w:r>
          </w:p>
        </w:tc>
        <w:tc>
          <w:tcPr>
            <w:tcW w:w="664" w:type="dxa"/>
            <w:tcBorders>
              <w:bottom w:val="single" w:sz="4" w:space="0" w:color="943634"/>
            </w:tcBorders>
            <w:shd w:val="clear" w:color="auto" w:fill="FFFFFF"/>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-71,8</w:t>
            </w:r>
          </w:p>
        </w:tc>
        <w:tc>
          <w:tcPr>
            <w:tcW w:w="725" w:type="dxa"/>
            <w:gridSpan w:val="2"/>
            <w:tcBorders>
              <w:bottom w:val="single" w:sz="4" w:space="0" w:color="943634"/>
            </w:tcBorders>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-63,4</w:t>
            </w:r>
          </w:p>
        </w:tc>
        <w:tc>
          <w:tcPr>
            <w:tcW w:w="720" w:type="dxa"/>
            <w:gridSpan w:val="2"/>
            <w:tcBorders>
              <w:bottom w:val="single" w:sz="4" w:space="0" w:color="943634"/>
            </w:tcBorders>
            <w:shd w:val="clear" w:color="auto" w:fill="FFFFFF"/>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-66,5</w:t>
            </w:r>
          </w:p>
        </w:tc>
        <w:tc>
          <w:tcPr>
            <w:tcW w:w="664" w:type="dxa"/>
            <w:tcBorders>
              <w:bottom w:val="single" w:sz="4" w:space="0" w:color="943634"/>
            </w:tcBorders>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-70,9</w:t>
            </w:r>
          </w:p>
        </w:tc>
        <w:tc>
          <w:tcPr>
            <w:tcW w:w="725" w:type="dxa"/>
            <w:gridSpan w:val="2"/>
            <w:tcBorders>
              <w:bottom w:val="single" w:sz="4" w:space="0" w:color="943634"/>
            </w:tcBorders>
            <w:shd w:val="clear" w:color="auto" w:fill="FFFFFF"/>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-76,6</w:t>
            </w:r>
          </w:p>
        </w:tc>
        <w:tc>
          <w:tcPr>
            <w:tcW w:w="725" w:type="dxa"/>
            <w:gridSpan w:val="2"/>
            <w:tcBorders>
              <w:bottom w:val="single" w:sz="4" w:space="0" w:color="943634"/>
            </w:tcBorders>
            <w:shd w:val="clear" w:color="auto" w:fill="D3DFEE"/>
            <w:vAlign w:val="bottom"/>
          </w:tcPr>
          <w:p w:rsidR="00BE6140" w:rsidRPr="00290E2F" w:rsidRDefault="00BE6140" w:rsidP="00002DF4">
            <w:pPr>
              <w:jc w:val="center"/>
              <w:rPr>
                <w:rFonts w:ascii="Century Gothic" w:hAnsi="Century Gothic" w:cs="Times New Roman"/>
                <w:sz w:val="18"/>
                <w:szCs w:val="18"/>
              </w:rPr>
            </w:pPr>
            <w:r w:rsidRPr="00290E2F">
              <w:rPr>
                <w:rFonts w:ascii="Century Gothic" w:hAnsi="Century Gothic" w:cs="Times New Roman"/>
                <w:sz w:val="18"/>
                <w:szCs w:val="18"/>
              </w:rPr>
              <w:t>-72,2</w:t>
            </w:r>
          </w:p>
        </w:tc>
        <w:tc>
          <w:tcPr>
            <w:tcW w:w="725" w:type="dxa"/>
            <w:tcBorders>
              <w:bottom w:val="single" w:sz="4" w:space="0" w:color="943634"/>
            </w:tcBorders>
            <w:shd w:val="clear" w:color="auto" w:fill="FFFFFF"/>
            <w:vAlign w:val="center"/>
          </w:tcPr>
          <w:p w:rsidR="00BE6140" w:rsidRPr="00290E2F" w:rsidRDefault="00BE6140" w:rsidP="00002DF4">
            <w:pPr>
              <w:jc w:val="center"/>
              <w:rPr>
                <w:rFonts w:ascii="Century Gothic" w:hAnsi="Century Gothic" w:cs="Times New Roman"/>
                <w:sz w:val="18"/>
                <w:szCs w:val="18"/>
              </w:rPr>
            </w:pPr>
          </w:p>
        </w:tc>
        <w:tc>
          <w:tcPr>
            <w:tcW w:w="657" w:type="dxa"/>
            <w:tcBorders>
              <w:bottom w:val="single" w:sz="4" w:space="0" w:color="943634"/>
            </w:tcBorders>
            <w:shd w:val="clear" w:color="auto" w:fill="D3DFEE"/>
            <w:vAlign w:val="center"/>
          </w:tcPr>
          <w:p w:rsidR="00BE6140" w:rsidRPr="00290E2F" w:rsidRDefault="00BE6140" w:rsidP="00002DF4">
            <w:pPr>
              <w:jc w:val="center"/>
              <w:rPr>
                <w:rFonts w:ascii="Century Gothic" w:hAnsi="Century Gothic" w:cs="Times New Roman"/>
                <w:sz w:val="18"/>
                <w:szCs w:val="18"/>
              </w:rPr>
            </w:pPr>
          </w:p>
        </w:tc>
        <w:tc>
          <w:tcPr>
            <w:tcW w:w="725" w:type="dxa"/>
            <w:tcBorders>
              <w:bottom w:val="single" w:sz="4" w:space="0" w:color="943634"/>
            </w:tcBorders>
            <w:shd w:val="clear" w:color="auto" w:fill="FFFFFF"/>
            <w:vAlign w:val="center"/>
          </w:tcPr>
          <w:p w:rsidR="00BE6140" w:rsidRPr="00290E2F" w:rsidRDefault="00BE6140" w:rsidP="00002DF4">
            <w:pPr>
              <w:jc w:val="center"/>
              <w:rPr>
                <w:rFonts w:ascii="Century Gothic" w:hAnsi="Century Gothic" w:cs="Times New Roman"/>
                <w:sz w:val="18"/>
                <w:szCs w:val="18"/>
              </w:rPr>
            </w:pPr>
          </w:p>
        </w:tc>
      </w:tr>
    </w:tbl>
    <w:p w:rsidR="00BE6140" w:rsidRPr="00290E2F" w:rsidRDefault="00BE6140" w:rsidP="00D511D3">
      <w:pPr>
        <w:pStyle w:val="a7"/>
        <w:spacing w:line="240" w:lineRule="auto"/>
        <w:rPr>
          <w:rFonts w:ascii="Century Gothic" w:hAnsi="Century Gothic"/>
          <w:sz w:val="16"/>
          <w:szCs w:val="16"/>
          <w:u w:val="none"/>
        </w:rPr>
      </w:pPr>
      <w:r w:rsidRPr="00290E2F">
        <w:rPr>
          <w:rFonts w:ascii="Century Gothic" w:hAnsi="Century Gothic"/>
          <w:b/>
          <w:bCs/>
          <w:sz w:val="16"/>
          <w:szCs w:val="16"/>
          <w:u w:val="none"/>
        </w:rPr>
        <w:t xml:space="preserve">Σημείωση: </w:t>
      </w:r>
      <w:r w:rsidRPr="00290E2F">
        <w:rPr>
          <w:rFonts w:ascii="Century Gothic" w:hAnsi="Century Gothic"/>
          <w:sz w:val="16"/>
          <w:szCs w:val="16"/>
          <w:u w:val="none"/>
        </w:rPr>
        <w:t>ο Δείκτης Εμπιστοσύνης Καταναλωτών υπολογίζεται με βάση τις</w:t>
      </w:r>
      <w:r w:rsidRPr="00290E2F">
        <w:rPr>
          <w:rFonts w:ascii="Century Gothic" w:hAnsi="Century Gothic"/>
          <w:sz w:val="16"/>
          <w:szCs w:val="16"/>
        </w:rPr>
        <w:t xml:space="preserve"> </w:t>
      </w:r>
      <w:r w:rsidRPr="00290E2F">
        <w:rPr>
          <w:rFonts w:ascii="Century Gothic" w:hAnsi="Century Gothic"/>
          <w:sz w:val="16"/>
          <w:szCs w:val="16"/>
          <w:u w:val="none"/>
        </w:rPr>
        <w:t xml:space="preserve">προβλέψεις για τη γενικότερη οικονομική κατάσταση της χώρας, την οικονομική κατάσταση του νοικοκυριού τους, την πρόθεση αποταμίευσης και την πρόβλεψη για την ανεργία. Οι προβλέψεις κινούνται στο διάστημα +100 (όλοι προβλέπουν αύξηση) έως –100 (όλοι προβλέπουν μείωση) και εμφανίζονται ως διαφορές των θετικών-αρνητικών απαντήσεων. Αρνητική διαφορά σημαίνει ότι το ποσοστό αυτών που προβλέπουν μείωση του συγκεκριμένου μεγέθους είναι υψηλότερο του ποσοστού όσων προσδοκούν αύξηση και αντίστροφα. </w:t>
      </w:r>
    </w:p>
    <w:p w:rsidR="00BE6140" w:rsidRPr="00290E2F" w:rsidRDefault="00BE6140" w:rsidP="00D511D3">
      <w:pPr>
        <w:pStyle w:val="a7"/>
        <w:spacing w:line="240" w:lineRule="auto"/>
        <w:rPr>
          <w:rFonts w:ascii="Century Gothic" w:hAnsi="Century Gothic"/>
          <w:sz w:val="18"/>
          <w:szCs w:val="18"/>
          <w:u w:val="none"/>
        </w:rPr>
      </w:pPr>
      <w:r w:rsidRPr="00290E2F">
        <w:rPr>
          <w:rFonts w:ascii="Century Gothic" w:hAnsi="Century Gothic"/>
          <w:b/>
          <w:bCs/>
          <w:sz w:val="18"/>
          <w:szCs w:val="18"/>
          <w:u w:val="none"/>
        </w:rPr>
        <w:t xml:space="preserve">Πηγή: </w:t>
      </w:r>
      <w:r w:rsidRPr="00290E2F">
        <w:rPr>
          <w:rFonts w:ascii="Century Gothic" w:hAnsi="Century Gothic"/>
          <w:sz w:val="18"/>
          <w:szCs w:val="18"/>
          <w:u w:val="none"/>
        </w:rPr>
        <w:t>Ευρωπαϊκή Επιτροπή, DG Ecfin</w:t>
      </w:r>
    </w:p>
    <w:p w:rsidR="00BE6140" w:rsidRDefault="00BE6140" w:rsidP="00D511D3">
      <w:pPr>
        <w:numPr>
          <w:ilvl w:val="12"/>
          <w:numId w:val="0"/>
        </w:numPr>
        <w:ind w:left="1985" w:hanging="1985"/>
        <w:jc w:val="center"/>
        <w:rPr>
          <w:rFonts w:ascii="Century Gothic" w:hAnsi="Century Gothic" w:cs="Times New Roman"/>
          <w:b/>
          <w:bCs/>
          <w:sz w:val="18"/>
          <w:szCs w:val="18"/>
        </w:rPr>
      </w:pPr>
    </w:p>
    <w:p w:rsidR="00BE6140" w:rsidRPr="00290E2F" w:rsidRDefault="00BE6140" w:rsidP="00D511D3">
      <w:pPr>
        <w:numPr>
          <w:ilvl w:val="12"/>
          <w:numId w:val="0"/>
        </w:numPr>
        <w:ind w:left="1985" w:hanging="1985"/>
        <w:jc w:val="center"/>
        <w:rPr>
          <w:rFonts w:ascii="Century Gothic" w:hAnsi="Century Gothic" w:cs="Times New Roman"/>
          <w:sz w:val="18"/>
          <w:szCs w:val="18"/>
        </w:rPr>
      </w:pPr>
      <w:r w:rsidRPr="00290E2F">
        <w:rPr>
          <w:rFonts w:ascii="Century Gothic" w:hAnsi="Century Gothic" w:cs="Times New Roman"/>
          <w:b/>
          <w:bCs/>
          <w:sz w:val="18"/>
          <w:szCs w:val="18"/>
        </w:rPr>
        <w:t xml:space="preserve">Διάγραμμα 6: </w:t>
      </w:r>
      <w:r w:rsidRPr="00290E2F">
        <w:rPr>
          <w:rFonts w:ascii="Century Gothic" w:hAnsi="Century Gothic" w:cs="Times New Roman"/>
          <w:sz w:val="18"/>
          <w:szCs w:val="18"/>
        </w:rPr>
        <w:t>Δείκτης Εμπιστοσύνης Καταναλωτών (εποχικά εξομαλυμένα στοιχεία)</w:t>
      </w:r>
    </w:p>
    <w:p w:rsidR="00BE6140" w:rsidRPr="00B448F1" w:rsidRDefault="005C53FF" w:rsidP="00D511D3">
      <w:pPr>
        <w:numPr>
          <w:ilvl w:val="12"/>
          <w:numId w:val="0"/>
        </w:numPr>
        <w:ind w:left="1985" w:hanging="1985"/>
        <w:jc w:val="center"/>
        <w:rPr>
          <w:rFonts w:ascii="Century Gothic" w:hAnsi="Century Gothic" w:cs="Times New Roman"/>
          <w:sz w:val="18"/>
          <w:szCs w:val="18"/>
        </w:rPr>
      </w:pPr>
      <w:r>
        <w:rPr>
          <w:noProof/>
          <w:szCs w:val="18"/>
        </w:rPr>
        <w:drawing>
          <wp:inline distT="0" distB="0" distL="0" distR="0">
            <wp:extent cx="5287645" cy="2926080"/>
            <wp:effectExtent l="19050" t="0" r="8255" b="0"/>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287645" cy="2926080"/>
                    </a:xfrm>
                    <a:prstGeom prst="rect">
                      <a:avLst/>
                    </a:prstGeom>
                    <a:noFill/>
                    <a:ln w="9525">
                      <a:noFill/>
                      <a:miter lim="800000"/>
                      <a:headEnd/>
                      <a:tailEnd/>
                    </a:ln>
                  </pic:spPr>
                </pic:pic>
              </a:graphicData>
            </a:graphic>
          </wp:inline>
        </w:drawing>
      </w:r>
    </w:p>
    <w:p w:rsidR="00BE6140" w:rsidRDefault="00BE6140" w:rsidP="00D511D3">
      <w:pPr>
        <w:spacing w:after="80" w:line="288" w:lineRule="auto"/>
        <w:ind w:right="-428"/>
        <w:jc w:val="both"/>
        <w:outlineLvl w:val="0"/>
        <w:rPr>
          <w:rFonts w:ascii="Century Gothic" w:hAnsi="Century Gothic" w:cs="Times New Roman"/>
          <w:sz w:val="18"/>
          <w:szCs w:val="18"/>
        </w:rPr>
      </w:pPr>
      <w:r w:rsidRPr="00290E2F">
        <w:rPr>
          <w:rFonts w:ascii="Century Gothic" w:hAnsi="Century Gothic" w:cs="Times New Roman"/>
          <w:b/>
          <w:bCs/>
          <w:sz w:val="18"/>
          <w:szCs w:val="18"/>
        </w:rPr>
        <w:t>Πηγή:</w:t>
      </w:r>
      <w:r w:rsidRPr="00290E2F">
        <w:rPr>
          <w:rFonts w:ascii="Century Gothic" w:hAnsi="Century Gothic" w:cs="Times New Roman"/>
          <w:sz w:val="18"/>
          <w:szCs w:val="18"/>
        </w:rPr>
        <w:t xml:space="preserve"> Ευρωπαϊκή Επιτροπή, </w:t>
      </w:r>
      <w:r w:rsidRPr="00290E2F">
        <w:rPr>
          <w:rFonts w:ascii="Century Gothic" w:hAnsi="Century Gothic" w:cs="Times New Roman"/>
          <w:sz w:val="18"/>
          <w:szCs w:val="18"/>
          <w:lang w:val="en-US"/>
        </w:rPr>
        <w:t>DG</w:t>
      </w:r>
      <w:r w:rsidRPr="00290E2F">
        <w:rPr>
          <w:rFonts w:ascii="Century Gothic" w:hAnsi="Century Gothic" w:cs="Times New Roman"/>
          <w:sz w:val="18"/>
          <w:szCs w:val="18"/>
        </w:rPr>
        <w:t xml:space="preserve"> </w:t>
      </w:r>
      <w:r w:rsidRPr="00290E2F">
        <w:rPr>
          <w:rFonts w:ascii="Century Gothic" w:hAnsi="Century Gothic" w:cs="Times New Roman"/>
          <w:sz w:val="18"/>
          <w:szCs w:val="18"/>
          <w:lang w:val="en-US"/>
        </w:rPr>
        <w:t>Ecfin</w:t>
      </w:r>
    </w:p>
    <w:p w:rsidR="00BE6140" w:rsidRPr="006D3D16" w:rsidRDefault="00BE6140" w:rsidP="00D511D3">
      <w:pPr>
        <w:spacing w:after="80" w:line="288" w:lineRule="auto"/>
        <w:ind w:right="-428"/>
        <w:jc w:val="both"/>
        <w:outlineLvl w:val="0"/>
        <w:rPr>
          <w:rFonts w:ascii="Century Gothic" w:hAnsi="Century Gothic" w:cs="Times New Roman"/>
          <w:sz w:val="18"/>
          <w:szCs w:val="18"/>
        </w:rPr>
      </w:pPr>
    </w:p>
    <w:p w:rsidR="00BE6140" w:rsidRPr="00290E2F" w:rsidRDefault="00BE6140" w:rsidP="00D511D3">
      <w:pPr>
        <w:numPr>
          <w:ilvl w:val="0"/>
          <w:numId w:val="4"/>
        </w:numPr>
        <w:spacing w:after="80" w:line="288" w:lineRule="auto"/>
        <w:ind w:left="357" w:hanging="357"/>
        <w:jc w:val="both"/>
        <w:rPr>
          <w:rFonts w:ascii="Century Gothic" w:hAnsi="Century Gothic" w:cs="Times New Roman"/>
          <w:b/>
          <w:bCs/>
          <w:sz w:val="20"/>
          <w:szCs w:val="20"/>
        </w:rPr>
      </w:pPr>
      <w:bookmarkStart w:id="0" w:name="_GoBack"/>
      <w:bookmarkEnd w:id="0"/>
      <w:r w:rsidRPr="00290E2F">
        <w:rPr>
          <w:rFonts w:ascii="Century Gothic" w:hAnsi="Century Gothic" w:cs="Times New Roman"/>
          <w:b/>
          <w:bCs/>
          <w:sz w:val="20"/>
          <w:szCs w:val="20"/>
        </w:rPr>
        <w:t>Εξασθένηση στις προβλέψεις για μείζονες αγορές</w:t>
      </w:r>
    </w:p>
    <w:p w:rsidR="00BE6140" w:rsidRPr="00290E2F" w:rsidRDefault="00BE6140" w:rsidP="00D511D3">
      <w:pPr>
        <w:spacing w:after="80" w:line="288" w:lineRule="auto"/>
        <w:jc w:val="both"/>
        <w:rPr>
          <w:rFonts w:ascii="Century Gothic" w:hAnsi="Century Gothic" w:cs="Times New Roman"/>
          <w:sz w:val="20"/>
          <w:szCs w:val="20"/>
        </w:rPr>
      </w:pPr>
      <w:r w:rsidRPr="00290E2F">
        <w:rPr>
          <w:rFonts w:ascii="Century Gothic" w:hAnsi="Century Gothic" w:cs="Times New Roman"/>
          <w:sz w:val="20"/>
          <w:szCs w:val="20"/>
        </w:rPr>
        <w:t xml:space="preserve">Η πρόθεση των καταναλωτών για </w:t>
      </w:r>
      <w:r w:rsidRPr="00290E2F">
        <w:rPr>
          <w:rFonts w:ascii="Century Gothic" w:hAnsi="Century Gothic" w:cs="Times New Roman"/>
          <w:sz w:val="20"/>
          <w:szCs w:val="20"/>
          <w:u w:val="single"/>
        </w:rPr>
        <w:t>σημαντικές αγορές τους προσεχείς 12 μήνες</w:t>
      </w:r>
      <w:r w:rsidRPr="00290E2F">
        <w:rPr>
          <w:rFonts w:ascii="Century Gothic" w:hAnsi="Century Gothic" w:cs="Times New Roman"/>
          <w:sz w:val="20"/>
          <w:szCs w:val="20"/>
        </w:rPr>
        <w:t xml:space="preserve"> (επίπλων, ηλεκτρικών συσκευών κ.λπ.) επιδεινώνεται, με το σχετικό δείκτη να κινείται στις -78 μονάδες(από -</w:t>
      </w:r>
      <w:r w:rsidRPr="00290E2F">
        <w:rPr>
          <w:rFonts w:ascii="Century Gothic" w:hAnsi="Century Gothic" w:cs="Times New Roman"/>
          <w:sz w:val="20"/>
          <w:szCs w:val="20"/>
        </w:rPr>
        <w:lastRenderedPageBreak/>
        <w:t>73,8). Το 85% (από 81%) των καταναλωτών προβλέπει ότι θα προβούν σε λίγο ή πολύ λιγότερες δαπάνες, ενώ μόλις το 1% (από 2%) αναμένει ότι οι δαπάνες του θα αυξηθούν λίγο ή πολύ. Οι ευρωπαϊκοί αρνητικοί δείκτες διαμορφώνονται στις -23,4 και -25,0 μονάδες σε ΕΕ και Ευρωζώνη αντίστοιχα.</w:t>
      </w:r>
    </w:p>
    <w:p w:rsidR="00BE6140" w:rsidRPr="00290E2F" w:rsidRDefault="00BE6140" w:rsidP="00D511D3">
      <w:pPr>
        <w:numPr>
          <w:ilvl w:val="0"/>
          <w:numId w:val="4"/>
        </w:numPr>
        <w:spacing w:after="120" w:line="276" w:lineRule="auto"/>
        <w:jc w:val="both"/>
        <w:rPr>
          <w:rFonts w:ascii="Century Gothic" w:hAnsi="Century Gothic" w:cs="Times New Roman"/>
          <w:b/>
          <w:bCs/>
          <w:sz w:val="20"/>
          <w:szCs w:val="20"/>
        </w:rPr>
      </w:pPr>
      <w:r w:rsidRPr="00290E2F">
        <w:rPr>
          <w:rFonts w:ascii="Century Gothic" w:hAnsi="Century Gothic" w:cs="Times New Roman"/>
          <w:b/>
          <w:bCs/>
          <w:sz w:val="20"/>
          <w:szCs w:val="20"/>
        </w:rPr>
        <w:t>Εντείνονται οι αποπληθωριστικές προσδοκίες</w:t>
      </w:r>
    </w:p>
    <w:p w:rsidR="00BE6140" w:rsidRPr="00290E2F" w:rsidRDefault="00BE6140" w:rsidP="00D511D3">
      <w:pPr>
        <w:spacing w:after="120" w:line="276" w:lineRule="auto"/>
        <w:jc w:val="both"/>
        <w:rPr>
          <w:rFonts w:ascii="Century Gothic" w:hAnsi="Century Gothic" w:cs="Times New Roman"/>
          <w:sz w:val="20"/>
          <w:szCs w:val="20"/>
        </w:rPr>
      </w:pPr>
      <w:r w:rsidRPr="00290E2F">
        <w:rPr>
          <w:rFonts w:ascii="Century Gothic" w:hAnsi="Century Gothic" w:cs="Times New Roman"/>
          <w:sz w:val="20"/>
          <w:szCs w:val="20"/>
        </w:rPr>
        <w:t xml:space="preserve">Ο δείκτης </w:t>
      </w:r>
      <w:r w:rsidRPr="00290E2F">
        <w:rPr>
          <w:rFonts w:ascii="Century Gothic" w:hAnsi="Century Gothic" w:cs="Times New Roman"/>
          <w:sz w:val="20"/>
          <w:szCs w:val="20"/>
          <w:u w:val="single"/>
        </w:rPr>
        <w:t>πρόβλεψης μεταβολών των τιμών τους προσεχείς 12 μήνες</w:t>
      </w:r>
      <w:r w:rsidRPr="00290E2F">
        <w:rPr>
          <w:rFonts w:ascii="Century Gothic" w:hAnsi="Century Gothic" w:cs="Times New Roman"/>
          <w:sz w:val="20"/>
          <w:szCs w:val="20"/>
        </w:rPr>
        <w:t xml:space="preserve"> μεταβάλλεται αρνητικά τον Σεπτέμβριο, υποχωρώντας στις -3,9 από -2,8 μονάδες, με το ποσοστό εκείνων που προβλέπουν αύξηση τιμών με τον ίδιο ή ταχύτερο ρυθμό να διαμορφώνεται στο 37% και το ποσοστό εκείνων που αναμένουν μείωση να κινείται στο 4%. Οι αντίστοιχοι δείκτες σε ΕΕ και Ευρωζώνη βρίσκονται στις +16,7 και +14,9 μονάδες.</w:t>
      </w:r>
    </w:p>
    <w:p w:rsidR="00BE6140" w:rsidRPr="00290E2F" w:rsidRDefault="00BE6140" w:rsidP="00D511D3">
      <w:pPr>
        <w:numPr>
          <w:ilvl w:val="0"/>
          <w:numId w:val="4"/>
        </w:numPr>
        <w:spacing w:after="120" w:line="276" w:lineRule="auto"/>
        <w:ind w:left="357" w:hanging="357"/>
        <w:jc w:val="both"/>
        <w:rPr>
          <w:rFonts w:ascii="Century Gothic" w:hAnsi="Century Gothic" w:cs="Times New Roman"/>
          <w:b/>
          <w:bCs/>
          <w:sz w:val="20"/>
          <w:szCs w:val="20"/>
        </w:rPr>
      </w:pPr>
      <w:r w:rsidRPr="00290E2F">
        <w:rPr>
          <w:rFonts w:ascii="Century Gothic" w:hAnsi="Century Gothic" w:cs="Times New Roman"/>
          <w:b/>
          <w:bCs/>
          <w:sz w:val="20"/>
          <w:szCs w:val="20"/>
        </w:rPr>
        <w:t>Αύξηση του ποσοστού εκείνων που δηλώνουν ότι «</w:t>
      </w:r>
      <w:r w:rsidRPr="00290E2F">
        <w:rPr>
          <w:rFonts w:ascii="Century Gothic" w:hAnsi="Century Gothic" w:cs="Times New Roman"/>
          <w:b/>
          <w:sz w:val="20"/>
          <w:szCs w:val="20"/>
        </w:rPr>
        <w:t>μόλις τα βγάζουν πέρα»</w:t>
      </w:r>
    </w:p>
    <w:p w:rsidR="00BE6140" w:rsidRPr="00290E2F" w:rsidRDefault="00BE6140" w:rsidP="00D511D3">
      <w:pPr>
        <w:spacing w:after="120" w:line="276" w:lineRule="auto"/>
        <w:jc w:val="both"/>
        <w:rPr>
          <w:rFonts w:ascii="Century Gothic" w:hAnsi="Century Gothic" w:cs="Times New Roman"/>
          <w:sz w:val="20"/>
          <w:szCs w:val="20"/>
        </w:rPr>
      </w:pPr>
      <w:r w:rsidRPr="00290E2F">
        <w:rPr>
          <w:rFonts w:ascii="Century Gothic" w:hAnsi="Century Gothic" w:cs="Times New Roman"/>
          <w:sz w:val="20"/>
          <w:szCs w:val="20"/>
        </w:rPr>
        <w:t xml:space="preserve">Ως προς τις εκτιμήσεις για την </w:t>
      </w:r>
      <w:r w:rsidRPr="00290E2F">
        <w:rPr>
          <w:rFonts w:ascii="Century Gothic" w:hAnsi="Century Gothic" w:cs="Times New Roman"/>
          <w:sz w:val="20"/>
          <w:szCs w:val="20"/>
          <w:u w:val="single"/>
        </w:rPr>
        <w:t>τρέχουσα οικονομική κατάσταση του νοικοκυριού</w:t>
      </w:r>
      <w:r w:rsidRPr="00290E2F">
        <w:rPr>
          <w:rFonts w:ascii="Century Gothic" w:hAnsi="Century Gothic" w:cs="Times New Roman"/>
          <w:sz w:val="20"/>
          <w:szCs w:val="20"/>
        </w:rPr>
        <w:t>, το ποσοστό των καταναλωτών που δηλώνει ότι «μόλις τα βγάζει πέρα» αυξάνεται στο 66% (από 60%), ενώ το ποσοστό εκείνων που αναφέρουν ότι αντλούν από τις αποταμιεύσεις τους διαμορφώνεται στο 14% (από 16%). Το ποσοστό των καταναλωτών που δηλώνει ότι αποταμιεύει λίγο ή πολύ μειώνεται ελαφρά, στο 9% (από 11%), ενώ τέλος, το ποσοστό όσων αναφέρουν ότι έχουν χρεωθεί παραμένει στο 12-13%.</w:t>
      </w:r>
    </w:p>
    <w:p w:rsidR="00BE6140" w:rsidRDefault="00BE6140" w:rsidP="00D511D3">
      <w:pPr>
        <w:jc w:val="center"/>
        <w:rPr>
          <w:rFonts w:ascii="Century Gothic" w:hAnsi="Century Gothic" w:cs="Times New Roman"/>
          <w:b/>
          <w:bCs/>
          <w:sz w:val="18"/>
          <w:szCs w:val="18"/>
        </w:rPr>
      </w:pPr>
    </w:p>
    <w:p w:rsidR="00BE6140" w:rsidRPr="00290E2F" w:rsidRDefault="00BE6140" w:rsidP="00D511D3">
      <w:pPr>
        <w:jc w:val="center"/>
        <w:rPr>
          <w:rFonts w:ascii="Century Gothic" w:hAnsi="Century Gothic" w:cs="Times New Roman"/>
          <w:sz w:val="18"/>
          <w:szCs w:val="18"/>
        </w:rPr>
      </w:pPr>
      <w:r w:rsidRPr="00290E2F">
        <w:rPr>
          <w:rFonts w:ascii="Century Gothic" w:hAnsi="Century Gothic" w:cs="Times New Roman"/>
          <w:b/>
          <w:bCs/>
          <w:sz w:val="18"/>
          <w:szCs w:val="18"/>
        </w:rPr>
        <w:t xml:space="preserve">Διάγραμμα 7: </w:t>
      </w:r>
      <w:r w:rsidRPr="00290E2F">
        <w:rPr>
          <w:rFonts w:ascii="Century Gothic" w:hAnsi="Century Gothic" w:cs="Times New Roman"/>
          <w:sz w:val="18"/>
          <w:szCs w:val="18"/>
        </w:rPr>
        <w:t>Βασικοί Δείκτες έρευνας καταναλωτών το επόμενο 12μηνο</w:t>
      </w:r>
    </w:p>
    <w:tbl>
      <w:tblPr>
        <w:tblW w:w="9439" w:type="dxa"/>
        <w:jc w:val="center"/>
        <w:tblBorders>
          <w:top w:val="single" w:sz="8" w:space="0" w:color="C0504D"/>
          <w:bottom w:val="single" w:sz="8" w:space="0" w:color="C0504D"/>
        </w:tblBorders>
        <w:tblLayout w:type="fixed"/>
        <w:tblLook w:val="01E0"/>
      </w:tblPr>
      <w:tblGrid>
        <w:gridCol w:w="4911"/>
        <w:gridCol w:w="4528"/>
      </w:tblGrid>
      <w:tr w:rsidR="00BE6140" w:rsidRPr="00290E2F" w:rsidTr="00B10B4F">
        <w:trPr>
          <w:trHeight w:val="3600"/>
          <w:jc w:val="center"/>
        </w:trPr>
        <w:tc>
          <w:tcPr>
            <w:tcW w:w="4911" w:type="dxa"/>
            <w:tcBorders>
              <w:top w:val="single" w:sz="8" w:space="0" w:color="C0504D"/>
              <w:left w:val="nil"/>
              <w:bottom w:val="single" w:sz="8" w:space="0" w:color="C0504D"/>
              <w:right w:val="nil"/>
            </w:tcBorders>
          </w:tcPr>
          <w:p w:rsidR="00BE6140" w:rsidRPr="00290E2F" w:rsidRDefault="00BE6140" w:rsidP="00002DF4">
            <w:pPr>
              <w:spacing w:before="100" w:beforeAutospacing="1" w:after="100" w:afterAutospacing="1"/>
              <w:jc w:val="center"/>
              <w:rPr>
                <w:rFonts w:ascii="Century Gothic" w:hAnsi="Century Gothic" w:cs="Times New Roman"/>
                <w:b/>
                <w:bCs/>
                <w:smallCaps/>
                <w:sz w:val="20"/>
                <w:szCs w:val="20"/>
              </w:rPr>
            </w:pPr>
            <w:r w:rsidRPr="00290E2F">
              <w:rPr>
                <w:rFonts w:ascii="Century Gothic" w:hAnsi="Century Gothic" w:cs="Times New Roman"/>
                <w:b/>
                <w:bCs/>
                <w:smallCaps/>
                <w:sz w:val="20"/>
                <w:szCs w:val="20"/>
              </w:rPr>
              <w:t>Πρόθεση αποταμίευσησ</w:t>
            </w:r>
          </w:p>
          <w:p w:rsidR="00BE6140" w:rsidRPr="00290E2F" w:rsidRDefault="005C53FF" w:rsidP="00002DF4">
            <w:pPr>
              <w:spacing w:before="100" w:beforeAutospacing="1" w:after="100" w:afterAutospacing="1"/>
              <w:jc w:val="center"/>
              <w:rPr>
                <w:rFonts w:ascii="Century Gothic" w:hAnsi="Century Gothic" w:cs="Times New Roman"/>
                <w:b/>
                <w:bCs/>
                <w:i/>
                <w:iCs/>
                <w:smallCaps/>
                <w:noProof/>
                <w:sz w:val="20"/>
                <w:szCs w:val="20"/>
              </w:rPr>
            </w:pPr>
            <w:r>
              <w:rPr>
                <w:rFonts w:ascii="Century Gothic" w:hAnsi="Century Gothic" w:cs="Times New Roman"/>
                <w:b/>
                <w:i/>
                <w:smallCaps/>
                <w:noProof/>
                <w:sz w:val="20"/>
                <w:szCs w:val="20"/>
              </w:rPr>
              <w:drawing>
                <wp:inline distT="0" distB="0" distL="0" distR="0">
                  <wp:extent cx="2886075" cy="1772920"/>
                  <wp:effectExtent l="19050" t="0" r="9525"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2886075" cy="1772920"/>
                          </a:xfrm>
                          <a:prstGeom prst="rect">
                            <a:avLst/>
                          </a:prstGeom>
                          <a:noFill/>
                          <a:ln w="9525">
                            <a:noFill/>
                            <a:miter lim="800000"/>
                            <a:headEnd/>
                            <a:tailEnd/>
                          </a:ln>
                        </pic:spPr>
                      </pic:pic>
                    </a:graphicData>
                  </a:graphic>
                </wp:inline>
              </w:drawing>
            </w:r>
          </w:p>
        </w:tc>
        <w:tc>
          <w:tcPr>
            <w:tcW w:w="4528" w:type="dxa"/>
            <w:tcBorders>
              <w:top w:val="single" w:sz="8" w:space="0" w:color="C0504D"/>
              <w:left w:val="nil"/>
              <w:bottom w:val="single" w:sz="8" w:space="0" w:color="C0504D"/>
              <w:right w:val="nil"/>
            </w:tcBorders>
          </w:tcPr>
          <w:p w:rsidR="00BE6140" w:rsidRPr="00290E2F" w:rsidRDefault="00BE6140" w:rsidP="00002DF4">
            <w:pPr>
              <w:spacing w:before="100" w:beforeAutospacing="1" w:after="100" w:afterAutospacing="1"/>
              <w:jc w:val="center"/>
              <w:rPr>
                <w:rFonts w:ascii="Century Gothic" w:hAnsi="Century Gothic" w:cs="Times New Roman"/>
                <w:b/>
                <w:bCs/>
                <w:smallCaps/>
                <w:sz w:val="20"/>
                <w:szCs w:val="20"/>
              </w:rPr>
            </w:pPr>
            <w:r w:rsidRPr="00290E2F">
              <w:rPr>
                <w:rFonts w:ascii="Century Gothic" w:hAnsi="Century Gothic" w:cs="Times New Roman"/>
                <w:b/>
                <w:bCs/>
                <w:smallCaps/>
                <w:sz w:val="20"/>
                <w:szCs w:val="20"/>
              </w:rPr>
              <w:t>Προβλέψε</w:t>
            </w:r>
            <w:r>
              <w:rPr>
                <w:rFonts w:ascii="Century Gothic" w:hAnsi="Century Gothic" w:cs="Times New Roman"/>
                <w:b/>
                <w:bCs/>
                <w:smallCaps/>
                <w:sz w:val="20"/>
                <w:szCs w:val="20"/>
              </w:rPr>
              <w:t>ις για την εξέλιξη της ανεργίας</w:t>
            </w:r>
          </w:p>
          <w:p w:rsidR="00BE6140" w:rsidRPr="00290E2F" w:rsidRDefault="005C53FF" w:rsidP="00002DF4">
            <w:pPr>
              <w:spacing w:before="100" w:beforeAutospacing="1" w:after="100" w:afterAutospacing="1"/>
              <w:jc w:val="center"/>
              <w:rPr>
                <w:rFonts w:ascii="Century Gothic" w:hAnsi="Century Gothic" w:cs="Times New Roman"/>
                <w:b/>
                <w:bCs/>
                <w:i/>
                <w:iCs/>
                <w:smallCaps/>
                <w:noProof/>
                <w:sz w:val="20"/>
                <w:szCs w:val="20"/>
              </w:rPr>
            </w:pPr>
            <w:r>
              <w:rPr>
                <w:rFonts w:ascii="Century Gothic" w:hAnsi="Century Gothic" w:cs="Times New Roman"/>
                <w:b/>
                <w:i/>
                <w:smallCaps/>
                <w:noProof/>
                <w:sz w:val="20"/>
                <w:szCs w:val="20"/>
              </w:rPr>
              <w:drawing>
                <wp:inline distT="0" distB="0" distL="0" distR="0">
                  <wp:extent cx="2846705" cy="1820545"/>
                  <wp:effectExtent l="1905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2846705" cy="1820545"/>
                          </a:xfrm>
                          <a:prstGeom prst="rect">
                            <a:avLst/>
                          </a:prstGeom>
                          <a:noFill/>
                          <a:ln w="9525">
                            <a:noFill/>
                            <a:miter lim="800000"/>
                            <a:headEnd/>
                            <a:tailEnd/>
                          </a:ln>
                        </pic:spPr>
                      </pic:pic>
                    </a:graphicData>
                  </a:graphic>
                </wp:inline>
              </w:drawing>
            </w:r>
          </w:p>
        </w:tc>
      </w:tr>
      <w:tr w:rsidR="00BE6140" w:rsidRPr="00290E2F" w:rsidTr="00B10B4F">
        <w:trPr>
          <w:trHeight w:val="3441"/>
          <w:jc w:val="center"/>
        </w:trPr>
        <w:tc>
          <w:tcPr>
            <w:tcW w:w="4911" w:type="dxa"/>
            <w:tcBorders>
              <w:top w:val="single" w:sz="8" w:space="0" w:color="C0504D"/>
              <w:left w:val="nil"/>
              <w:bottom w:val="single" w:sz="8" w:space="0" w:color="C0504D"/>
              <w:right w:val="nil"/>
            </w:tcBorders>
          </w:tcPr>
          <w:p w:rsidR="00BE6140" w:rsidRPr="00290E2F" w:rsidRDefault="00BE6140" w:rsidP="00002DF4">
            <w:pPr>
              <w:spacing w:before="100" w:beforeAutospacing="1" w:after="100" w:afterAutospacing="1"/>
              <w:jc w:val="center"/>
              <w:rPr>
                <w:rFonts w:ascii="Century Gothic" w:hAnsi="Century Gothic" w:cs="Times New Roman"/>
                <w:b/>
                <w:bCs/>
                <w:smallCaps/>
                <w:sz w:val="20"/>
                <w:szCs w:val="20"/>
              </w:rPr>
            </w:pPr>
            <w:r w:rsidRPr="00290E2F">
              <w:rPr>
                <w:rFonts w:ascii="Century Gothic" w:hAnsi="Century Gothic" w:cs="Times New Roman"/>
                <w:b/>
                <w:bCs/>
                <w:smallCaps/>
                <w:sz w:val="20"/>
                <w:szCs w:val="20"/>
              </w:rPr>
              <w:t>Προβλέψεις για την εξέλιξη των τιμών</w:t>
            </w:r>
          </w:p>
          <w:p w:rsidR="00BE6140" w:rsidRPr="00290E2F" w:rsidRDefault="005C53FF" w:rsidP="00002DF4">
            <w:pPr>
              <w:spacing w:before="100" w:beforeAutospacing="1" w:after="100" w:afterAutospacing="1"/>
              <w:jc w:val="center"/>
              <w:rPr>
                <w:rFonts w:ascii="Century Gothic" w:hAnsi="Century Gothic" w:cs="Times New Roman"/>
                <w:b/>
                <w:bCs/>
                <w:smallCaps/>
                <w:sz w:val="20"/>
                <w:szCs w:val="20"/>
              </w:rPr>
            </w:pPr>
            <w:r>
              <w:rPr>
                <w:rFonts w:ascii="Century Gothic" w:hAnsi="Century Gothic" w:cs="Times New Roman"/>
                <w:b/>
                <w:smallCaps/>
                <w:noProof/>
                <w:sz w:val="20"/>
                <w:szCs w:val="20"/>
              </w:rPr>
              <w:drawing>
                <wp:inline distT="0" distB="0" distL="0" distR="0">
                  <wp:extent cx="3108960" cy="1964055"/>
                  <wp:effectExtent l="1905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srcRect/>
                          <a:stretch>
                            <a:fillRect/>
                          </a:stretch>
                        </pic:blipFill>
                        <pic:spPr bwMode="auto">
                          <a:xfrm>
                            <a:off x="0" y="0"/>
                            <a:ext cx="3108960" cy="1964055"/>
                          </a:xfrm>
                          <a:prstGeom prst="rect">
                            <a:avLst/>
                          </a:prstGeom>
                          <a:noFill/>
                          <a:ln w="9525">
                            <a:noFill/>
                            <a:miter lim="800000"/>
                            <a:headEnd/>
                            <a:tailEnd/>
                          </a:ln>
                        </pic:spPr>
                      </pic:pic>
                    </a:graphicData>
                  </a:graphic>
                </wp:inline>
              </w:drawing>
            </w:r>
          </w:p>
        </w:tc>
        <w:tc>
          <w:tcPr>
            <w:tcW w:w="4528" w:type="dxa"/>
            <w:tcBorders>
              <w:top w:val="single" w:sz="8" w:space="0" w:color="C0504D"/>
              <w:left w:val="nil"/>
              <w:bottom w:val="single" w:sz="8" w:space="0" w:color="C0504D"/>
              <w:right w:val="nil"/>
            </w:tcBorders>
          </w:tcPr>
          <w:p w:rsidR="00BE6140" w:rsidRPr="00290E2F" w:rsidRDefault="00BE6140" w:rsidP="00002DF4">
            <w:pPr>
              <w:spacing w:before="100" w:beforeAutospacing="1" w:after="100" w:afterAutospacing="1"/>
              <w:jc w:val="center"/>
              <w:rPr>
                <w:rFonts w:ascii="Century Gothic" w:hAnsi="Century Gothic" w:cs="Times New Roman"/>
                <w:b/>
                <w:bCs/>
                <w:smallCaps/>
                <w:sz w:val="20"/>
                <w:szCs w:val="20"/>
              </w:rPr>
            </w:pPr>
            <w:r>
              <w:rPr>
                <w:rFonts w:ascii="Century Gothic" w:hAnsi="Century Gothic" w:cs="Times New Roman"/>
                <w:b/>
                <w:bCs/>
                <w:smallCaps/>
                <w:sz w:val="20"/>
                <w:szCs w:val="20"/>
              </w:rPr>
              <w:t>Πρόθεση για μείζονες αγορές</w:t>
            </w:r>
          </w:p>
          <w:p w:rsidR="00BE6140" w:rsidRPr="00290E2F" w:rsidRDefault="005C53FF" w:rsidP="00002DF4">
            <w:pPr>
              <w:spacing w:before="100" w:beforeAutospacing="1" w:after="100" w:afterAutospacing="1"/>
              <w:jc w:val="center"/>
              <w:rPr>
                <w:rFonts w:ascii="Century Gothic" w:hAnsi="Century Gothic" w:cs="Times New Roman"/>
                <w:b/>
                <w:bCs/>
                <w:smallCaps/>
                <w:sz w:val="20"/>
                <w:szCs w:val="20"/>
                <w:lang w:val="en-US"/>
              </w:rPr>
            </w:pPr>
            <w:r>
              <w:rPr>
                <w:rFonts w:ascii="Century Gothic" w:hAnsi="Century Gothic" w:cs="Times New Roman"/>
                <w:b/>
                <w:smallCaps/>
                <w:noProof/>
                <w:sz w:val="20"/>
                <w:szCs w:val="20"/>
              </w:rPr>
              <w:drawing>
                <wp:inline distT="0" distB="0" distL="0" distR="0">
                  <wp:extent cx="2711450" cy="1637665"/>
                  <wp:effectExtent l="19050" t="0" r="0"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srcRect t="12752" r="16237" b="6592"/>
                          <a:stretch>
                            <a:fillRect/>
                          </a:stretch>
                        </pic:blipFill>
                        <pic:spPr bwMode="auto">
                          <a:xfrm>
                            <a:off x="0" y="0"/>
                            <a:ext cx="2711450" cy="1637665"/>
                          </a:xfrm>
                          <a:prstGeom prst="rect">
                            <a:avLst/>
                          </a:prstGeom>
                          <a:noFill/>
                          <a:ln w="9525">
                            <a:noFill/>
                            <a:miter lim="800000"/>
                            <a:headEnd/>
                            <a:tailEnd/>
                          </a:ln>
                        </pic:spPr>
                      </pic:pic>
                    </a:graphicData>
                  </a:graphic>
                </wp:inline>
              </w:drawing>
            </w:r>
          </w:p>
        </w:tc>
      </w:tr>
    </w:tbl>
    <w:p w:rsidR="00BE6140" w:rsidRPr="006D3D16" w:rsidRDefault="00BE6140" w:rsidP="006D3D16">
      <w:pPr>
        <w:jc w:val="both"/>
        <w:rPr>
          <w:rFonts w:ascii="Century Gothic" w:hAnsi="Century Gothic" w:cs="Times New Roman"/>
          <w:sz w:val="18"/>
          <w:szCs w:val="18"/>
        </w:rPr>
      </w:pPr>
      <w:r w:rsidRPr="00290E2F">
        <w:rPr>
          <w:rFonts w:ascii="Century Gothic" w:hAnsi="Century Gothic" w:cs="Times New Roman"/>
          <w:b/>
          <w:bCs/>
          <w:sz w:val="18"/>
          <w:szCs w:val="18"/>
        </w:rPr>
        <w:t>Πηγή</w:t>
      </w:r>
      <w:r w:rsidRPr="00290E2F">
        <w:rPr>
          <w:rFonts w:ascii="Century Gothic" w:hAnsi="Century Gothic" w:cs="Times New Roman"/>
          <w:sz w:val="18"/>
          <w:szCs w:val="18"/>
        </w:rPr>
        <w:t>: ΙΟΒΕ</w:t>
      </w:r>
    </w:p>
    <w:sectPr w:rsidR="00BE6140" w:rsidRPr="006D3D16" w:rsidSect="006F4301">
      <w:headerReference w:type="default" r:id="rId18"/>
      <w:footerReference w:type="default" r:id="rId19"/>
      <w:footerReference w:type="first" r:id="rId20"/>
      <w:type w:val="continuous"/>
      <w:pgSz w:w="11906" w:h="16838" w:code="9"/>
      <w:pgMar w:top="1438" w:right="1274" w:bottom="1418" w:left="1418" w:header="720" w:footer="720" w:gutter="0"/>
      <w:cols w:space="720"/>
      <w:titlePg/>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4729" w:rsidRDefault="00C64729" w:rsidP="007962C5">
      <w:pPr>
        <w:pStyle w:val="2"/>
        <w:rPr>
          <w:rFonts w:cs="Arial"/>
        </w:rPr>
      </w:pPr>
      <w:r>
        <w:rPr>
          <w:rFonts w:cs="Arial"/>
        </w:rPr>
        <w:separator/>
      </w:r>
    </w:p>
  </w:endnote>
  <w:endnote w:type="continuationSeparator" w:id="0">
    <w:p w:rsidR="00C64729" w:rsidRDefault="00C64729" w:rsidP="007962C5">
      <w:pPr>
        <w:pStyle w:val="2"/>
        <w:rPr>
          <w:rFonts w:cs="Arial"/>
        </w:rPr>
      </w:pPr>
      <w:r>
        <w:rPr>
          <w:rFonts w:cs="Arial"/>
        </w:rP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10006FF" w:usb1="4000205B" w:usb2="00000010" w:usb3="00000000" w:csb0="0000019F" w:csb1="00000000"/>
  </w:font>
  <w:font w:name="Century Gothic">
    <w:panose1 w:val="020B0502020202020204"/>
    <w:charset w:val="A1"/>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140" w:rsidRDefault="00AF6BFA" w:rsidP="007962C5">
    <w:pPr>
      <w:pStyle w:val="a9"/>
      <w:framePr w:wrap="auto" w:vAnchor="text" w:hAnchor="margin" w:xAlign="right" w:y="1"/>
      <w:rPr>
        <w:rStyle w:val="a6"/>
        <w:rFonts w:ascii="Tahoma" w:hAnsi="Tahoma" w:cs="Tahoma"/>
        <w:sz w:val="18"/>
        <w:szCs w:val="18"/>
      </w:rPr>
    </w:pPr>
    <w:r w:rsidRPr="00132FD9">
      <w:rPr>
        <w:rStyle w:val="a6"/>
        <w:rFonts w:ascii="Century Gothic" w:hAnsi="Century Gothic" w:cs="Tahoma"/>
        <w:sz w:val="18"/>
        <w:szCs w:val="18"/>
      </w:rPr>
      <w:fldChar w:fldCharType="begin"/>
    </w:r>
    <w:r w:rsidR="00BE6140" w:rsidRPr="00132FD9">
      <w:rPr>
        <w:rStyle w:val="a6"/>
        <w:rFonts w:ascii="Century Gothic" w:hAnsi="Century Gothic" w:cs="Tahoma"/>
        <w:sz w:val="18"/>
        <w:szCs w:val="18"/>
      </w:rPr>
      <w:instrText xml:space="preserve">PAGE  </w:instrText>
    </w:r>
    <w:r w:rsidRPr="00132FD9">
      <w:rPr>
        <w:rStyle w:val="a6"/>
        <w:rFonts w:ascii="Century Gothic" w:hAnsi="Century Gothic" w:cs="Tahoma"/>
        <w:sz w:val="18"/>
        <w:szCs w:val="18"/>
      </w:rPr>
      <w:fldChar w:fldCharType="separate"/>
    </w:r>
    <w:r w:rsidR="005C53FF">
      <w:rPr>
        <w:rStyle w:val="a6"/>
        <w:rFonts w:ascii="Century Gothic" w:hAnsi="Century Gothic" w:cs="Tahoma"/>
        <w:noProof/>
        <w:sz w:val="18"/>
        <w:szCs w:val="18"/>
      </w:rPr>
      <w:t>2</w:t>
    </w:r>
    <w:r w:rsidRPr="00132FD9">
      <w:rPr>
        <w:rStyle w:val="a6"/>
        <w:rFonts w:ascii="Century Gothic" w:hAnsi="Century Gothic" w:cs="Tahoma"/>
        <w:sz w:val="18"/>
        <w:szCs w:val="18"/>
      </w:rPr>
      <w:fldChar w:fldCharType="end"/>
    </w:r>
  </w:p>
  <w:p w:rsidR="00BE6140" w:rsidRDefault="00BE6140" w:rsidP="007962C5">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140" w:rsidRDefault="00BE6140" w:rsidP="007962C5">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4729" w:rsidRDefault="00C64729" w:rsidP="007962C5">
      <w:pPr>
        <w:pStyle w:val="2"/>
        <w:rPr>
          <w:rFonts w:cs="Arial"/>
        </w:rPr>
      </w:pPr>
      <w:r>
        <w:rPr>
          <w:rFonts w:cs="Arial"/>
        </w:rPr>
        <w:separator/>
      </w:r>
    </w:p>
  </w:footnote>
  <w:footnote w:type="continuationSeparator" w:id="0">
    <w:p w:rsidR="00C64729" w:rsidRDefault="00C64729" w:rsidP="007962C5">
      <w:pPr>
        <w:pStyle w:val="2"/>
        <w:rPr>
          <w:rFonts w:cs="Arial"/>
        </w:rPr>
      </w:pPr>
      <w:r>
        <w:rPr>
          <w:rFonts w:cs="Arial"/>
        </w:rPr>
        <w:continuationSeparator/>
      </w:r>
    </w:p>
  </w:footnote>
  <w:footnote w:id="1">
    <w:p w:rsidR="00BE6140" w:rsidRPr="005C53FF" w:rsidRDefault="00BE6140" w:rsidP="00A80175">
      <w:pPr>
        <w:pStyle w:val="aa"/>
        <w:jc w:val="both"/>
        <w:rPr>
          <w:lang w:val="el-GR"/>
        </w:rPr>
      </w:pPr>
      <w:r w:rsidRPr="00B80C41">
        <w:rPr>
          <w:rStyle w:val="ab"/>
          <w:rFonts w:ascii="Century Gothic" w:hAnsi="Century Gothic"/>
          <w:sz w:val="16"/>
          <w:szCs w:val="16"/>
        </w:rPr>
        <w:footnoteRef/>
      </w:r>
      <w:r w:rsidRPr="00B80C41">
        <w:rPr>
          <w:rFonts w:ascii="Century Gothic" w:hAnsi="Century Gothic"/>
          <w:sz w:val="16"/>
          <w:szCs w:val="16"/>
          <w:lang w:val="el-GR"/>
        </w:rPr>
        <w:t xml:space="preserve"> Οι χρονοσειρές και οι σταθμίσεις των χωρών έχουν αναθεωρηθεί από τον Ιούλιο 2013 λόγω της ένταξης στο δείκτη της ΕΕ της Κροατίας.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0A0"/>
    </w:tblPr>
    <w:tblGrid>
      <w:gridCol w:w="2833"/>
      <w:gridCol w:w="6611"/>
    </w:tblGrid>
    <w:tr w:rsidR="00BE6140">
      <w:tc>
        <w:tcPr>
          <w:tcW w:w="1500" w:type="pct"/>
          <w:tcBorders>
            <w:bottom w:val="single" w:sz="4" w:space="0" w:color="943634"/>
          </w:tcBorders>
          <w:shd w:val="clear" w:color="auto" w:fill="943634"/>
          <w:vAlign w:val="bottom"/>
        </w:tcPr>
        <w:p w:rsidR="00BE6140" w:rsidRPr="00AF2C28" w:rsidRDefault="00BE6140" w:rsidP="008913E6">
          <w:pPr>
            <w:pStyle w:val="a5"/>
            <w:jc w:val="center"/>
            <w:rPr>
              <w:rFonts w:ascii="Century Gothic" w:hAnsi="Century Gothic"/>
              <w:b/>
              <w:color w:val="FFFFFF"/>
              <w:sz w:val="20"/>
              <w:szCs w:val="20"/>
            </w:rPr>
          </w:pPr>
          <w:r>
            <w:rPr>
              <w:rFonts w:ascii="Century Gothic" w:hAnsi="Century Gothic"/>
              <w:b/>
              <w:color w:val="FFFFFF"/>
              <w:sz w:val="20"/>
              <w:szCs w:val="20"/>
            </w:rPr>
            <w:t>Σεπτέμβριος</w:t>
          </w:r>
          <w:r w:rsidRPr="00AF2C28">
            <w:rPr>
              <w:rFonts w:ascii="Century Gothic" w:hAnsi="Century Gothic"/>
              <w:b/>
              <w:color w:val="FFFFFF"/>
              <w:sz w:val="20"/>
              <w:szCs w:val="20"/>
            </w:rPr>
            <w:t xml:space="preserve"> 2013</w:t>
          </w:r>
        </w:p>
      </w:tc>
      <w:tc>
        <w:tcPr>
          <w:tcW w:w="4000" w:type="pct"/>
          <w:tcBorders>
            <w:bottom w:val="single" w:sz="4" w:space="0" w:color="auto"/>
          </w:tcBorders>
          <w:shd w:val="clear" w:color="auto" w:fill="FFFFFF"/>
          <w:vAlign w:val="bottom"/>
        </w:tcPr>
        <w:p w:rsidR="00BE6140" w:rsidRDefault="00BE6140" w:rsidP="0002538C">
          <w:pPr>
            <w:pStyle w:val="a5"/>
            <w:rPr>
              <w:bCs/>
              <w:color w:val="76923C"/>
            </w:rPr>
          </w:pPr>
          <w:r w:rsidRPr="000525DD">
            <w:rPr>
              <w:rFonts w:ascii="Century Gothic" w:hAnsi="Century Gothic" w:cs="Tahoma"/>
              <w:b/>
              <w:bCs/>
              <w:color w:val="943634"/>
              <w:sz w:val="18"/>
              <w:szCs w:val="18"/>
            </w:rPr>
            <w:t>ΙΟΒΕ - DG ECFIN</w:t>
          </w:r>
          <w:r>
            <w:rPr>
              <w:rFonts w:ascii="Century Gothic" w:hAnsi="Century Gothic" w:cs="Tahoma"/>
              <w:b/>
              <w:bCs/>
              <w:color w:val="943634"/>
              <w:sz w:val="18"/>
              <w:szCs w:val="18"/>
            </w:rPr>
            <w:t>: Έρευνα Οικονομικής Συγκυρίας</w:t>
          </w:r>
        </w:p>
      </w:tc>
    </w:tr>
  </w:tbl>
  <w:p w:rsidR="00BE6140" w:rsidRPr="0046747D" w:rsidRDefault="00BE6140" w:rsidP="00F43187">
    <w:pPr>
      <w:pStyle w:val="a5"/>
      <w:rPr>
        <w:rFonts w:ascii="Century Gothic" w:hAnsi="Century Gothic" w:cs="Tahoma"/>
        <w:b/>
        <w:bCs/>
        <w:color w:val="943634"/>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961A41"/>
    <w:multiLevelType w:val="hybridMultilevel"/>
    <w:tmpl w:val="B114CDD2"/>
    <w:lvl w:ilvl="0" w:tplc="33CA1BEC">
      <w:start w:val="1"/>
      <w:numFmt w:val="bullet"/>
      <w:lvlText w:val=""/>
      <w:lvlJc w:val="left"/>
      <w:pPr>
        <w:tabs>
          <w:tab w:val="num" w:pos="720"/>
        </w:tabs>
        <w:ind w:left="720" w:hanging="360"/>
      </w:pPr>
      <w:rPr>
        <w:rFonts w:ascii="Wingdings" w:hAnsi="Wingdings" w:hint="default"/>
      </w:rPr>
    </w:lvl>
    <w:lvl w:ilvl="1" w:tplc="04080003">
      <w:start w:val="1"/>
      <w:numFmt w:val="bullet"/>
      <w:lvlText w:val="o"/>
      <w:lvlJc w:val="left"/>
      <w:pPr>
        <w:tabs>
          <w:tab w:val="num" w:pos="1440"/>
        </w:tabs>
        <w:ind w:left="1440" w:hanging="360"/>
      </w:pPr>
      <w:rPr>
        <w:rFonts w:ascii="Courier New" w:hAnsi="Courier New"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start w:val="1"/>
      <w:numFmt w:val="bullet"/>
      <w:lvlText w:val="o"/>
      <w:lvlJc w:val="left"/>
      <w:pPr>
        <w:tabs>
          <w:tab w:val="num" w:pos="3600"/>
        </w:tabs>
        <w:ind w:left="3600" w:hanging="360"/>
      </w:pPr>
      <w:rPr>
        <w:rFonts w:ascii="Courier New" w:hAnsi="Courier New" w:hint="default"/>
      </w:rPr>
    </w:lvl>
    <w:lvl w:ilvl="5" w:tplc="04080005">
      <w:start w:val="1"/>
      <w:numFmt w:val="bullet"/>
      <w:lvlText w:val=""/>
      <w:lvlJc w:val="left"/>
      <w:pPr>
        <w:tabs>
          <w:tab w:val="num" w:pos="4320"/>
        </w:tabs>
        <w:ind w:left="4320" w:hanging="360"/>
      </w:pPr>
      <w:rPr>
        <w:rFonts w:ascii="Wingdings" w:hAnsi="Wingdings" w:hint="default"/>
      </w:rPr>
    </w:lvl>
    <w:lvl w:ilvl="6" w:tplc="04080001">
      <w:start w:val="1"/>
      <w:numFmt w:val="bullet"/>
      <w:lvlText w:val=""/>
      <w:lvlJc w:val="left"/>
      <w:pPr>
        <w:tabs>
          <w:tab w:val="num" w:pos="5040"/>
        </w:tabs>
        <w:ind w:left="5040" w:hanging="360"/>
      </w:pPr>
      <w:rPr>
        <w:rFonts w:ascii="Symbol" w:hAnsi="Symbol" w:hint="default"/>
      </w:rPr>
    </w:lvl>
    <w:lvl w:ilvl="7" w:tplc="04080003">
      <w:start w:val="1"/>
      <w:numFmt w:val="bullet"/>
      <w:lvlText w:val="o"/>
      <w:lvlJc w:val="left"/>
      <w:pPr>
        <w:tabs>
          <w:tab w:val="num" w:pos="5760"/>
        </w:tabs>
        <w:ind w:left="5760" w:hanging="360"/>
      </w:pPr>
      <w:rPr>
        <w:rFonts w:ascii="Courier New" w:hAnsi="Courier New" w:hint="default"/>
      </w:rPr>
    </w:lvl>
    <w:lvl w:ilvl="8" w:tplc="04080005">
      <w:start w:val="1"/>
      <w:numFmt w:val="bullet"/>
      <w:lvlText w:val=""/>
      <w:lvlJc w:val="left"/>
      <w:pPr>
        <w:tabs>
          <w:tab w:val="num" w:pos="6480"/>
        </w:tabs>
        <w:ind w:left="6480" w:hanging="360"/>
      </w:pPr>
      <w:rPr>
        <w:rFonts w:ascii="Wingdings" w:hAnsi="Wingdings" w:hint="default"/>
      </w:rPr>
    </w:lvl>
  </w:abstractNum>
  <w:abstractNum w:abstractNumId="1">
    <w:nsid w:val="30210C3C"/>
    <w:multiLevelType w:val="hybridMultilevel"/>
    <w:tmpl w:val="58DA3510"/>
    <w:lvl w:ilvl="0" w:tplc="1E540320">
      <w:start w:val="1"/>
      <w:numFmt w:val="bullet"/>
      <w:lvlText w:val=""/>
      <w:lvlJc w:val="left"/>
      <w:pPr>
        <w:tabs>
          <w:tab w:val="num" w:pos="360"/>
        </w:tabs>
        <w:ind w:left="360" w:hanging="360"/>
      </w:pPr>
      <w:rPr>
        <w:rFonts w:ascii="Symbol" w:hAnsi="Symbol" w:hint="default"/>
        <w:color w:val="auto"/>
      </w:rPr>
    </w:lvl>
    <w:lvl w:ilvl="1" w:tplc="04080003">
      <w:start w:val="1"/>
      <w:numFmt w:val="bullet"/>
      <w:lvlText w:val="o"/>
      <w:lvlJc w:val="left"/>
      <w:pPr>
        <w:tabs>
          <w:tab w:val="num" w:pos="853"/>
        </w:tabs>
        <w:ind w:left="853" w:hanging="360"/>
      </w:pPr>
      <w:rPr>
        <w:rFonts w:ascii="Courier New" w:hAnsi="Courier New" w:hint="default"/>
      </w:rPr>
    </w:lvl>
    <w:lvl w:ilvl="2" w:tplc="04080005">
      <w:start w:val="1"/>
      <w:numFmt w:val="bullet"/>
      <w:lvlText w:val=""/>
      <w:lvlJc w:val="left"/>
      <w:pPr>
        <w:tabs>
          <w:tab w:val="num" w:pos="1573"/>
        </w:tabs>
        <w:ind w:left="1573" w:hanging="360"/>
      </w:pPr>
      <w:rPr>
        <w:rFonts w:ascii="Wingdings" w:hAnsi="Wingdings" w:hint="default"/>
      </w:rPr>
    </w:lvl>
    <w:lvl w:ilvl="3" w:tplc="04080001">
      <w:start w:val="1"/>
      <w:numFmt w:val="bullet"/>
      <w:lvlText w:val=""/>
      <w:lvlJc w:val="left"/>
      <w:pPr>
        <w:tabs>
          <w:tab w:val="num" w:pos="2293"/>
        </w:tabs>
        <w:ind w:left="2293" w:hanging="360"/>
      </w:pPr>
      <w:rPr>
        <w:rFonts w:ascii="Symbol" w:hAnsi="Symbol" w:hint="default"/>
      </w:rPr>
    </w:lvl>
    <w:lvl w:ilvl="4" w:tplc="04080003">
      <w:start w:val="1"/>
      <w:numFmt w:val="bullet"/>
      <w:lvlText w:val="o"/>
      <w:lvlJc w:val="left"/>
      <w:pPr>
        <w:tabs>
          <w:tab w:val="num" w:pos="3013"/>
        </w:tabs>
        <w:ind w:left="3013" w:hanging="360"/>
      </w:pPr>
      <w:rPr>
        <w:rFonts w:ascii="Courier New" w:hAnsi="Courier New" w:hint="default"/>
      </w:rPr>
    </w:lvl>
    <w:lvl w:ilvl="5" w:tplc="04080005">
      <w:start w:val="1"/>
      <w:numFmt w:val="bullet"/>
      <w:lvlText w:val=""/>
      <w:lvlJc w:val="left"/>
      <w:pPr>
        <w:tabs>
          <w:tab w:val="num" w:pos="3733"/>
        </w:tabs>
        <w:ind w:left="3733" w:hanging="360"/>
      </w:pPr>
      <w:rPr>
        <w:rFonts w:ascii="Wingdings" w:hAnsi="Wingdings" w:hint="default"/>
      </w:rPr>
    </w:lvl>
    <w:lvl w:ilvl="6" w:tplc="04080001">
      <w:start w:val="1"/>
      <w:numFmt w:val="bullet"/>
      <w:lvlText w:val=""/>
      <w:lvlJc w:val="left"/>
      <w:pPr>
        <w:tabs>
          <w:tab w:val="num" w:pos="4453"/>
        </w:tabs>
        <w:ind w:left="4453" w:hanging="360"/>
      </w:pPr>
      <w:rPr>
        <w:rFonts w:ascii="Symbol" w:hAnsi="Symbol" w:hint="default"/>
      </w:rPr>
    </w:lvl>
    <w:lvl w:ilvl="7" w:tplc="04080003">
      <w:start w:val="1"/>
      <w:numFmt w:val="bullet"/>
      <w:lvlText w:val="o"/>
      <w:lvlJc w:val="left"/>
      <w:pPr>
        <w:tabs>
          <w:tab w:val="num" w:pos="5173"/>
        </w:tabs>
        <w:ind w:left="5173" w:hanging="360"/>
      </w:pPr>
      <w:rPr>
        <w:rFonts w:ascii="Courier New" w:hAnsi="Courier New" w:hint="default"/>
      </w:rPr>
    </w:lvl>
    <w:lvl w:ilvl="8" w:tplc="04080005">
      <w:start w:val="1"/>
      <w:numFmt w:val="bullet"/>
      <w:lvlText w:val=""/>
      <w:lvlJc w:val="left"/>
      <w:pPr>
        <w:tabs>
          <w:tab w:val="num" w:pos="5893"/>
        </w:tabs>
        <w:ind w:left="5893" w:hanging="360"/>
      </w:pPr>
      <w:rPr>
        <w:rFonts w:ascii="Wingdings" w:hAnsi="Wingdings" w:hint="default"/>
      </w:rPr>
    </w:lvl>
  </w:abstractNum>
  <w:abstractNum w:abstractNumId="2">
    <w:nsid w:val="448E35D7"/>
    <w:multiLevelType w:val="hybridMultilevel"/>
    <w:tmpl w:val="5F826D86"/>
    <w:lvl w:ilvl="0" w:tplc="83CA6408">
      <w:start w:val="1"/>
      <w:numFmt w:val="bullet"/>
      <w:lvlText w:val=""/>
      <w:lvlJc w:val="left"/>
      <w:pPr>
        <w:tabs>
          <w:tab w:val="num" w:pos="360"/>
        </w:tabs>
        <w:ind w:left="360" w:hanging="360"/>
      </w:pPr>
      <w:rPr>
        <w:rFonts w:ascii="Symbol" w:hAnsi="Symbol" w:hint="default"/>
        <w:color w:val="auto"/>
      </w:rPr>
    </w:lvl>
    <w:lvl w:ilvl="1" w:tplc="04080003">
      <w:start w:val="1"/>
      <w:numFmt w:val="bullet"/>
      <w:lvlText w:val="o"/>
      <w:lvlJc w:val="left"/>
      <w:pPr>
        <w:tabs>
          <w:tab w:val="num" w:pos="853"/>
        </w:tabs>
        <w:ind w:left="853" w:hanging="360"/>
      </w:pPr>
      <w:rPr>
        <w:rFonts w:ascii="Courier New" w:hAnsi="Courier New" w:hint="default"/>
      </w:rPr>
    </w:lvl>
    <w:lvl w:ilvl="2" w:tplc="04080005">
      <w:start w:val="1"/>
      <w:numFmt w:val="bullet"/>
      <w:lvlText w:val=""/>
      <w:lvlJc w:val="left"/>
      <w:pPr>
        <w:tabs>
          <w:tab w:val="num" w:pos="1573"/>
        </w:tabs>
        <w:ind w:left="1573" w:hanging="360"/>
      </w:pPr>
      <w:rPr>
        <w:rFonts w:ascii="Wingdings" w:hAnsi="Wingdings" w:hint="default"/>
      </w:rPr>
    </w:lvl>
    <w:lvl w:ilvl="3" w:tplc="04080001">
      <w:start w:val="1"/>
      <w:numFmt w:val="bullet"/>
      <w:lvlText w:val=""/>
      <w:lvlJc w:val="left"/>
      <w:pPr>
        <w:tabs>
          <w:tab w:val="num" w:pos="2293"/>
        </w:tabs>
        <w:ind w:left="2293" w:hanging="360"/>
      </w:pPr>
      <w:rPr>
        <w:rFonts w:ascii="Symbol" w:hAnsi="Symbol" w:hint="default"/>
      </w:rPr>
    </w:lvl>
    <w:lvl w:ilvl="4" w:tplc="04080003">
      <w:start w:val="1"/>
      <w:numFmt w:val="bullet"/>
      <w:lvlText w:val="o"/>
      <w:lvlJc w:val="left"/>
      <w:pPr>
        <w:tabs>
          <w:tab w:val="num" w:pos="3013"/>
        </w:tabs>
        <w:ind w:left="3013" w:hanging="360"/>
      </w:pPr>
      <w:rPr>
        <w:rFonts w:ascii="Courier New" w:hAnsi="Courier New" w:hint="default"/>
      </w:rPr>
    </w:lvl>
    <w:lvl w:ilvl="5" w:tplc="04080005">
      <w:start w:val="1"/>
      <w:numFmt w:val="bullet"/>
      <w:lvlText w:val=""/>
      <w:lvlJc w:val="left"/>
      <w:pPr>
        <w:tabs>
          <w:tab w:val="num" w:pos="3733"/>
        </w:tabs>
        <w:ind w:left="3733" w:hanging="360"/>
      </w:pPr>
      <w:rPr>
        <w:rFonts w:ascii="Wingdings" w:hAnsi="Wingdings" w:hint="default"/>
      </w:rPr>
    </w:lvl>
    <w:lvl w:ilvl="6" w:tplc="04080001">
      <w:start w:val="1"/>
      <w:numFmt w:val="bullet"/>
      <w:lvlText w:val=""/>
      <w:lvlJc w:val="left"/>
      <w:pPr>
        <w:tabs>
          <w:tab w:val="num" w:pos="4453"/>
        </w:tabs>
        <w:ind w:left="4453" w:hanging="360"/>
      </w:pPr>
      <w:rPr>
        <w:rFonts w:ascii="Symbol" w:hAnsi="Symbol" w:hint="default"/>
      </w:rPr>
    </w:lvl>
    <w:lvl w:ilvl="7" w:tplc="04080003">
      <w:start w:val="1"/>
      <w:numFmt w:val="bullet"/>
      <w:lvlText w:val="o"/>
      <w:lvlJc w:val="left"/>
      <w:pPr>
        <w:tabs>
          <w:tab w:val="num" w:pos="5173"/>
        </w:tabs>
        <w:ind w:left="5173" w:hanging="360"/>
      </w:pPr>
      <w:rPr>
        <w:rFonts w:ascii="Courier New" w:hAnsi="Courier New" w:hint="default"/>
      </w:rPr>
    </w:lvl>
    <w:lvl w:ilvl="8" w:tplc="04080005">
      <w:start w:val="1"/>
      <w:numFmt w:val="bullet"/>
      <w:lvlText w:val=""/>
      <w:lvlJc w:val="left"/>
      <w:pPr>
        <w:tabs>
          <w:tab w:val="num" w:pos="5893"/>
        </w:tabs>
        <w:ind w:left="5893" w:hanging="360"/>
      </w:pPr>
      <w:rPr>
        <w:rFonts w:ascii="Wingdings" w:hAnsi="Wingdings" w:hint="default"/>
      </w:rPr>
    </w:lvl>
  </w:abstractNum>
  <w:abstractNum w:abstractNumId="3">
    <w:nsid w:val="6288483C"/>
    <w:multiLevelType w:val="hybridMultilevel"/>
    <w:tmpl w:val="DFA2E118"/>
    <w:lvl w:ilvl="0" w:tplc="04080001">
      <w:start w:val="1"/>
      <w:numFmt w:val="bullet"/>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start w:val="1"/>
      <w:numFmt w:val="bullet"/>
      <w:lvlText w:val="o"/>
      <w:lvlJc w:val="left"/>
      <w:pPr>
        <w:tabs>
          <w:tab w:val="num" w:pos="3600"/>
        </w:tabs>
        <w:ind w:left="3600" w:hanging="360"/>
      </w:pPr>
      <w:rPr>
        <w:rFonts w:ascii="Courier New" w:hAnsi="Courier New" w:hint="default"/>
      </w:rPr>
    </w:lvl>
    <w:lvl w:ilvl="5" w:tplc="04080005">
      <w:start w:val="1"/>
      <w:numFmt w:val="bullet"/>
      <w:lvlText w:val=""/>
      <w:lvlJc w:val="left"/>
      <w:pPr>
        <w:tabs>
          <w:tab w:val="num" w:pos="4320"/>
        </w:tabs>
        <w:ind w:left="4320" w:hanging="360"/>
      </w:pPr>
      <w:rPr>
        <w:rFonts w:ascii="Wingdings" w:hAnsi="Wingdings" w:hint="default"/>
      </w:rPr>
    </w:lvl>
    <w:lvl w:ilvl="6" w:tplc="04080001">
      <w:start w:val="1"/>
      <w:numFmt w:val="bullet"/>
      <w:lvlText w:val=""/>
      <w:lvlJc w:val="left"/>
      <w:pPr>
        <w:tabs>
          <w:tab w:val="num" w:pos="5040"/>
        </w:tabs>
        <w:ind w:left="5040" w:hanging="360"/>
      </w:pPr>
      <w:rPr>
        <w:rFonts w:ascii="Symbol" w:hAnsi="Symbol" w:hint="default"/>
      </w:rPr>
    </w:lvl>
    <w:lvl w:ilvl="7" w:tplc="04080003">
      <w:start w:val="1"/>
      <w:numFmt w:val="bullet"/>
      <w:lvlText w:val="o"/>
      <w:lvlJc w:val="left"/>
      <w:pPr>
        <w:tabs>
          <w:tab w:val="num" w:pos="5760"/>
        </w:tabs>
        <w:ind w:left="5760" w:hanging="360"/>
      </w:pPr>
      <w:rPr>
        <w:rFonts w:ascii="Courier New" w:hAnsi="Courier New" w:hint="default"/>
      </w:rPr>
    </w:lvl>
    <w:lvl w:ilvl="8" w:tplc="04080005">
      <w:start w:val="1"/>
      <w:numFmt w:val="bullet"/>
      <w:lvlText w:val=""/>
      <w:lvlJc w:val="left"/>
      <w:pPr>
        <w:tabs>
          <w:tab w:val="num" w:pos="6480"/>
        </w:tabs>
        <w:ind w:left="6480" w:hanging="360"/>
      </w:pPr>
      <w:rPr>
        <w:rFonts w:ascii="Wingdings" w:hAnsi="Wingdings" w:hint="default"/>
      </w:rPr>
    </w:lvl>
  </w:abstractNum>
  <w:abstractNum w:abstractNumId="4">
    <w:nsid w:val="74507EE8"/>
    <w:multiLevelType w:val="hybridMultilevel"/>
    <w:tmpl w:val="5CF48226"/>
    <w:lvl w:ilvl="0" w:tplc="2AA0C1AC">
      <w:start w:val="1"/>
      <w:numFmt w:val="decimal"/>
      <w:lvlText w:val="%1."/>
      <w:lvlJc w:val="left"/>
      <w:pPr>
        <w:tabs>
          <w:tab w:val="num" w:pos="720"/>
        </w:tabs>
        <w:ind w:left="720" w:hanging="360"/>
      </w:pPr>
      <w:rPr>
        <w:rFonts w:cs="Times New Roman" w:hint="default"/>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num w:numId="1">
    <w:abstractNumId w:val="3"/>
  </w:num>
  <w:num w:numId="2">
    <w:abstractNumId w:val="4"/>
  </w:num>
  <w:num w:numId="3">
    <w:abstractNumId w:val="0"/>
  </w:num>
  <w:num w:numId="4">
    <w:abstractNumId w:val="1"/>
  </w:num>
  <w:num w:numId="5">
    <w:abstractNumId w:val="2"/>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doNotHyphenateCaps/>
  <w:characterSpacingControl w:val="doNotCompress"/>
  <w:doNotValidateAgainstSchema/>
  <w:doNotDemarcateInvalidXml/>
  <w:footnotePr>
    <w:footnote w:id="-1"/>
    <w:footnote w:id="0"/>
  </w:footnotePr>
  <w:endnotePr>
    <w:endnote w:id="-1"/>
    <w:endnote w:id="0"/>
  </w:endnotePr>
  <w:compat/>
  <w:rsids>
    <w:rsidRoot w:val="00A02078"/>
    <w:rsid w:val="00000732"/>
    <w:rsid w:val="00000D67"/>
    <w:rsid w:val="00000EDE"/>
    <w:rsid w:val="0000186F"/>
    <w:rsid w:val="0000187C"/>
    <w:rsid w:val="00002A2F"/>
    <w:rsid w:val="00002DF4"/>
    <w:rsid w:val="000035C0"/>
    <w:rsid w:val="00003B97"/>
    <w:rsid w:val="00003BFB"/>
    <w:rsid w:val="00003CBF"/>
    <w:rsid w:val="00003FDE"/>
    <w:rsid w:val="000044CF"/>
    <w:rsid w:val="00004CE4"/>
    <w:rsid w:val="00004F84"/>
    <w:rsid w:val="00005321"/>
    <w:rsid w:val="0000549C"/>
    <w:rsid w:val="000058A9"/>
    <w:rsid w:val="00005BD1"/>
    <w:rsid w:val="00006049"/>
    <w:rsid w:val="000061EA"/>
    <w:rsid w:val="0000637F"/>
    <w:rsid w:val="00006D30"/>
    <w:rsid w:val="00006DB1"/>
    <w:rsid w:val="00006F14"/>
    <w:rsid w:val="00007573"/>
    <w:rsid w:val="0001014C"/>
    <w:rsid w:val="00010450"/>
    <w:rsid w:val="00010B90"/>
    <w:rsid w:val="00011152"/>
    <w:rsid w:val="0001115E"/>
    <w:rsid w:val="000113B0"/>
    <w:rsid w:val="00011578"/>
    <w:rsid w:val="00011BF6"/>
    <w:rsid w:val="00011C5A"/>
    <w:rsid w:val="00011D70"/>
    <w:rsid w:val="00011F29"/>
    <w:rsid w:val="00011FDB"/>
    <w:rsid w:val="000129E7"/>
    <w:rsid w:val="00012AEE"/>
    <w:rsid w:val="00012BAC"/>
    <w:rsid w:val="0001314E"/>
    <w:rsid w:val="00013D51"/>
    <w:rsid w:val="00013F98"/>
    <w:rsid w:val="00014257"/>
    <w:rsid w:val="00014431"/>
    <w:rsid w:val="000144C6"/>
    <w:rsid w:val="0001477D"/>
    <w:rsid w:val="000147A0"/>
    <w:rsid w:val="000153F3"/>
    <w:rsid w:val="0001569C"/>
    <w:rsid w:val="000158D6"/>
    <w:rsid w:val="000162FB"/>
    <w:rsid w:val="00016C9B"/>
    <w:rsid w:val="00016DC9"/>
    <w:rsid w:val="00017349"/>
    <w:rsid w:val="00020275"/>
    <w:rsid w:val="00020D24"/>
    <w:rsid w:val="00021806"/>
    <w:rsid w:val="00021B86"/>
    <w:rsid w:val="00021C32"/>
    <w:rsid w:val="00021E30"/>
    <w:rsid w:val="00021F0A"/>
    <w:rsid w:val="000222B9"/>
    <w:rsid w:val="0002241F"/>
    <w:rsid w:val="00022C99"/>
    <w:rsid w:val="00022E78"/>
    <w:rsid w:val="00023D33"/>
    <w:rsid w:val="00024932"/>
    <w:rsid w:val="00024A9A"/>
    <w:rsid w:val="000250B8"/>
    <w:rsid w:val="0002538C"/>
    <w:rsid w:val="000257E2"/>
    <w:rsid w:val="000271DA"/>
    <w:rsid w:val="00027A58"/>
    <w:rsid w:val="000303FD"/>
    <w:rsid w:val="00030A70"/>
    <w:rsid w:val="00031035"/>
    <w:rsid w:val="00031CE4"/>
    <w:rsid w:val="00032458"/>
    <w:rsid w:val="00032804"/>
    <w:rsid w:val="00033211"/>
    <w:rsid w:val="000333AC"/>
    <w:rsid w:val="00034010"/>
    <w:rsid w:val="00034344"/>
    <w:rsid w:val="00034945"/>
    <w:rsid w:val="000354B9"/>
    <w:rsid w:val="00035E57"/>
    <w:rsid w:val="00036013"/>
    <w:rsid w:val="000361C5"/>
    <w:rsid w:val="00036536"/>
    <w:rsid w:val="0003713E"/>
    <w:rsid w:val="00037A16"/>
    <w:rsid w:val="00037B25"/>
    <w:rsid w:val="00042366"/>
    <w:rsid w:val="0004263F"/>
    <w:rsid w:val="00042A6E"/>
    <w:rsid w:val="0004308B"/>
    <w:rsid w:val="00043A9F"/>
    <w:rsid w:val="00043FCD"/>
    <w:rsid w:val="000449BD"/>
    <w:rsid w:val="0004569C"/>
    <w:rsid w:val="00046605"/>
    <w:rsid w:val="00047B1E"/>
    <w:rsid w:val="00050CC5"/>
    <w:rsid w:val="00050F98"/>
    <w:rsid w:val="00051C0C"/>
    <w:rsid w:val="000525DD"/>
    <w:rsid w:val="00053704"/>
    <w:rsid w:val="00053CD6"/>
    <w:rsid w:val="000540A4"/>
    <w:rsid w:val="00054D5D"/>
    <w:rsid w:val="0005566D"/>
    <w:rsid w:val="000558E1"/>
    <w:rsid w:val="00055A45"/>
    <w:rsid w:val="00055C10"/>
    <w:rsid w:val="00056A32"/>
    <w:rsid w:val="00056C5E"/>
    <w:rsid w:val="00056E5C"/>
    <w:rsid w:val="00057142"/>
    <w:rsid w:val="000572AC"/>
    <w:rsid w:val="00060D16"/>
    <w:rsid w:val="00060E85"/>
    <w:rsid w:val="000614FF"/>
    <w:rsid w:val="000624BD"/>
    <w:rsid w:val="00062C24"/>
    <w:rsid w:val="00062DD5"/>
    <w:rsid w:val="0006325E"/>
    <w:rsid w:val="000632DD"/>
    <w:rsid w:val="00063355"/>
    <w:rsid w:val="000635A6"/>
    <w:rsid w:val="000635AD"/>
    <w:rsid w:val="000636D7"/>
    <w:rsid w:val="000638B3"/>
    <w:rsid w:val="00063C28"/>
    <w:rsid w:val="0006417D"/>
    <w:rsid w:val="000646F9"/>
    <w:rsid w:val="00064F0C"/>
    <w:rsid w:val="00065753"/>
    <w:rsid w:val="000657E3"/>
    <w:rsid w:val="00065B42"/>
    <w:rsid w:val="00065E0C"/>
    <w:rsid w:val="00066196"/>
    <w:rsid w:val="00066236"/>
    <w:rsid w:val="00066C84"/>
    <w:rsid w:val="00067386"/>
    <w:rsid w:val="000707A7"/>
    <w:rsid w:val="00070A0D"/>
    <w:rsid w:val="00070D20"/>
    <w:rsid w:val="0007166F"/>
    <w:rsid w:val="000716AF"/>
    <w:rsid w:val="00071895"/>
    <w:rsid w:val="00071A11"/>
    <w:rsid w:val="00071DAB"/>
    <w:rsid w:val="00072675"/>
    <w:rsid w:val="000728AA"/>
    <w:rsid w:val="00072C3C"/>
    <w:rsid w:val="00073F3C"/>
    <w:rsid w:val="00074D03"/>
    <w:rsid w:val="00075487"/>
    <w:rsid w:val="0007555F"/>
    <w:rsid w:val="00075AEE"/>
    <w:rsid w:val="00076C7C"/>
    <w:rsid w:val="00077145"/>
    <w:rsid w:val="000804D8"/>
    <w:rsid w:val="00080F2C"/>
    <w:rsid w:val="000811B0"/>
    <w:rsid w:val="00082E76"/>
    <w:rsid w:val="000836BA"/>
    <w:rsid w:val="000837B3"/>
    <w:rsid w:val="000837F6"/>
    <w:rsid w:val="00083940"/>
    <w:rsid w:val="00083D9A"/>
    <w:rsid w:val="00084058"/>
    <w:rsid w:val="00084088"/>
    <w:rsid w:val="000849ED"/>
    <w:rsid w:val="00085442"/>
    <w:rsid w:val="000856FC"/>
    <w:rsid w:val="00085931"/>
    <w:rsid w:val="000860DD"/>
    <w:rsid w:val="0008682E"/>
    <w:rsid w:val="00086B49"/>
    <w:rsid w:val="000871F0"/>
    <w:rsid w:val="00090F9E"/>
    <w:rsid w:val="00091542"/>
    <w:rsid w:val="0009173E"/>
    <w:rsid w:val="00091B62"/>
    <w:rsid w:val="00092F10"/>
    <w:rsid w:val="000937A2"/>
    <w:rsid w:val="000937CB"/>
    <w:rsid w:val="00094E50"/>
    <w:rsid w:val="00095760"/>
    <w:rsid w:val="00095944"/>
    <w:rsid w:val="000959E1"/>
    <w:rsid w:val="00095B77"/>
    <w:rsid w:val="00096890"/>
    <w:rsid w:val="00096B44"/>
    <w:rsid w:val="00096FAE"/>
    <w:rsid w:val="00097366"/>
    <w:rsid w:val="0009740B"/>
    <w:rsid w:val="00097837"/>
    <w:rsid w:val="00097B99"/>
    <w:rsid w:val="00097BA3"/>
    <w:rsid w:val="00097DCF"/>
    <w:rsid w:val="000A0F04"/>
    <w:rsid w:val="000A19C0"/>
    <w:rsid w:val="000A1A66"/>
    <w:rsid w:val="000A1A9C"/>
    <w:rsid w:val="000A1BAC"/>
    <w:rsid w:val="000A1EA3"/>
    <w:rsid w:val="000A228B"/>
    <w:rsid w:val="000A2930"/>
    <w:rsid w:val="000A2DF1"/>
    <w:rsid w:val="000A2DFD"/>
    <w:rsid w:val="000A3155"/>
    <w:rsid w:val="000A3533"/>
    <w:rsid w:val="000A45A7"/>
    <w:rsid w:val="000A47D6"/>
    <w:rsid w:val="000A484B"/>
    <w:rsid w:val="000A4A3D"/>
    <w:rsid w:val="000A4D35"/>
    <w:rsid w:val="000A526D"/>
    <w:rsid w:val="000A5882"/>
    <w:rsid w:val="000A5F3B"/>
    <w:rsid w:val="000A6325"/>
    <w:rsid w:val="000A6612"/>
    <w:rsid w:val="000A6CAC"/>
    <w:rsid w:val="000A70FE"/>
    <w:rsid w:val="000A7517"/>
    <w:rsid w:val="000A7B78"/>
    <w:rsid w:val="000A7CBA"/>
    <w:rsid w:val="000A7EFE"/>
    <w:rsid w:val="000B0CAD"/>
    <w:rsid w:val="000B0D1C"/>
    <w:rsid w:val="000B1783"/>
    <w:rsid w:val="000B2C0A"/>
    <w:rsid w:val="000B2CFA"/>
    <w:rsid w:val="000B2D11"/>
    <w:rsid w:val="000B30C7"/>
    <w:rsid w:val="000B32B1"/>
    <w:rsid w:val="000B352A"/>
    <w:rsid w:val="000B364D"/>
    <w:rsid w:val="000B3D94"/>
    <w:rsid w:val="000B4CCA"/>
    <w:rsid w:val="000B604E"/>
    <w:rsid w:val="000B64D6"/>
    <w:rsid w:val="000B7037"/>
    <w:rsid w:val="000B704A"/>
    <w:rsid w:val="000B752B"/>
    <w:rsid w:val="000B792C"/>
    <w:rsid w:val="000C08E4"/>
    <w:rsid w:val="000C0D33"/>
    <w:rsid w:val="000C1112"/>
    <w:rsid w:val="000C11A1"/>
    <w:rsid w:val="000C1F80"/>
    <w:rsid w:val="000C3D34"/>
    <w:rsid w:val="000C4B22"/>
    <w:rsid w:val="000C4BBA"/>
    <w:rsid w:val="000C4C0F"/>
    <w:rsid w:val="000C4D50"/>
    <w:rsid w:val="000C4FE1"/>
    <w:rsid w:val="000C587A"/>
    <w:rsid w:val="000C5AEC"/>
    <w:rsid w:val="000C5F6B"/>
    <w:rsid w:val="000C5FC6"/>
    <w:rsid w:val="000C639F"/>
    <w:rsid w:val="000C6BD1"/>
    <w:rsid w:val="000C7029"/>
    <w:rsid w:val="000C7BE2"/>
    <w:rsid w:val="000D0CBE"/>
    <w:rsid w:val="000D0F4B"/>
    <w:rsid w:val="000D10BD"/>
    <w:rsid w:val="000D1AF9"/>
    <w:rsid w:val="000D234B"/>
    <w:rsid w:val="000D2B26"/>
    <w:rsid w:val="000D2F15"/>
    <w:rsid w:val="000D3115"/>
    <w:rsid w:val="000D3FCE"/>
    <w:rsid w:val="000D4117"/>
    <w:rsid w:val="000D476C"/>
    <w:rsid w:val="000D4F0D"/>
    <w:rsid w:val="000D4F93"/>
    <w:rsid w:val="000D529D"/>
    <w:rsid w:val="000D5564"/>
    <w:rsid w:val="000D5789"/>
    <w:rsid w:val="000D5EEA"/>
    <w:rsid w:val="000D659E"/>
    <w:rsid w:val="000D65F5"/>
    <w:rsid w:val="000D666E"/>
    <w:rsid w:val="000D6DDD"/>
    <w:rsid w:val="000D6F1A"/>
    <w:rsid w:val="000E0FF2"/>
    <w:rsid w:val="000E126E"/>
    <w:rsid w:val="000E2524"/>
    <w:rsid w:val="000E2AFC"/>
    <w:rsid w:val="000E2E24"/>
    <w:rsid w:val="000E372B"/>
    <w:rsid w:val="000E4B9A"/>
    <w:rsid w:val="000E4D2D"/>
    <w:rsid w:val="000E4E0B"/>
    <w:rsid w:val="000E50D1"/>
    <w:rsid w:val="000E5859"/>
    <w:rsid w:val="000E6502"/>
    <w:rsid w:val="000E77EA"/>
    <w:rsid w:val="000E7F0B"/>
    <w:rsid w:val="000E7FCA"/>
    <w:rsid w:val="000F03A7"/>
    <w:rsid w:val="000F0508"/>
    <w:rsid w:val="000F0F64"/>
    <w:rsid w:val="000F1A6C"/>
    <w:rsid w:val="000F223D"/>
    <w:rsid w:val="000F2ADC"/>
    <w:rsid w:val="000F2CE4"/>
    <w:rsid w:val="000F3F04"/>
    <w:rsid w:val="000F4154"/>
    <w:rsid w:val="000F42E4"/>
    <w:rsid w:val="000F450A"/>
    <w:rsid w:val="000F4661"/>
    <w:rsid w:val="000F4676"/>
    <w:rsid w:val="000F4832"/>
    <w:rsid w:val="000F4AB7"/>
    <w:rsid w:val="000F5C28"/>
    <w:rsid w:val="000F5F2D"/>
    <w:rsid w:val="000F6192"/>
    <w:rsid w:val="000F635B"/>
    <w:rsid w:val="000F63CF"/>
    <w:rsid w:val="000F7209"/>
    <w:rsid w:val="000F7D57"/>
    <w:rsid w:val="00100D59"/>
    <w:rsid w:val="001014D7"/>
    <w:rsid w:val="00101FD9"/>
    <w:rsid w:val="00104B5B"/>
    <w:rsid w:val="00105569"/>
    <w:rsid w:val="00105985"/>
    <w:rsid w:val="00105ABA"/>
    <w:rsid w:val="00105B41"/>
    <w:rsid w:val="00105FDB"/>
    <w:rsid w:val="00106E4E"/>
    <w:rsid w:val="00107C62"/>
    <w:rsid w:val="00107D72"/>
    <w:rsid w:val="00107FFC"/>
    <w:rsid w:val="00110460"/>
    <w:rsid w:val="001107F7"/>
    <w:rsid w:val="0011083A"/>
    <w:rsid w:val="00110E4B"/>
    <w:rsid w:val="00110F21"/>
    <w:rsid w:val="00111A5D"/>
    <w:rsid w:val="001126A9"/>
    <w:rsid w:val="001132C7"/>
    <w:rsid w:val="0011392A"/>
    <w:rsid w:val="00113B45"/>
    <w:rsid w:val="00113C46"/>
    <w:rsid w:val="00114438"/>
    <w:rsid w:val="001146C4"/>
    <w:rsid w:val="00114ACF"/>
    <w:rsid w:val="001151F4"/>
    <w:rsid w:val="00115ADE"/>
    <w:rsid w:val="00115BEC"/>
    <w:rsid w:val="00115DC6"/>
    <w:rsid w:val="0011613A"/>
    <w:rsid w:val="0011724E"/>
    <w:rsid w:val="00117252"/>
    <w:rsid w:val="00117596"/>
    <w:rsid w:val="00122285"/>
    <w:rsid w:val="00122723"/>
    <w:rsid w:val="00122BF1"/>
    <w:rsid w:val="001231B0"/>
    <w:rsid w:val="00123644"/>
    <w:rsid w:val="00124A8A"/>
    <w:rsid w:val="00125010"/>
    <w:rsid w:val="0012653D"/>
    <w:rsid w:val="001267D0"/>
    <w:rsid w:val="00126834"/>
    <w:rsid w:val="001269D8"/>
    <w:rsid w:val="00127088"/>
    <w:rsid w:val="00127234"/>
    <w:rsid w:val="00127CB8"/>
    <w:rsid w:val="00127FFC"/>
    <w:rsid w:val="00130515"/>
    <w:rsid w:val="00130683"/>
    <w:rsid w:val="00130D9F"/>
    <w:rsid w:val="001312C3"/>
    <w:rsid w:val="00131511"/>
    <w:rsid w:val="0013158B"/>
    <w:rsid w:val="00131EF4"/>
    <w:rsid w:val="0013291E"/>
    <w:rsid w:val="00132FD9"/>
    <w:rsid w:val="00133C07"/>
    <w:rsid w:val="00133F9B"/>
    <w:rsid w:val="00134090"/>
    <w:rsid w:val="00134677"/>
    <w:rsid w:val="00134EBA"/>
    <w:rsid w:val="00134EDC"/>
    <w:rsid w:val="00136272"/>
    <w:rsid w:val="0013664E"/>
    <w:rsid w:val="00136B7E"/>
    <w:rsid w:val="00136DC3"/>
    <w:rsid w:val="00136EED"/>
    <w:rsid w:val="00137979"/>
    <w:rsid w:val="00137A4E"/>
    <w:rsid w:val="00137A55"/>
    <w:rsid w:val="00140544"/>
    <w:rsid w:val="00140F6A"/>
    <w:rsid w:val="001415AB"/>
    <w:rsid w:val="00141FFC"/>
    <w:rsid w:val="00142A21"/>
    <w:rsid w:val="00142CA7"/>
    <w:rsid w:val="0014379D"/>
    <w:rsid w:val="00143856"/>
    <w:rsid w:val="00143C48"/>
    <w:rsid w:val="00143FA0"/>
    <w:rsid w:val="00144074"/>
    <w:rsid w:val="00144111"/>
    <w:rsid w:val="001450E9"/>
    <w:rsid w:val="001452F9"/>
    <w:rsid w:val="00145C49"/>
    <w:rsid w:val="00146181"/>
    <w:rsid w:val="0014642E"/>
    <w:rsid w:val="00146624"/>
    <w:rsid w:val="0014662A"/>
    <w:rsid w:val="00147317"/>
    <w:rsid w:val="001473AA"/>
    <w:rsid w:val="00147E94"/>
    <w:rsid w:val="001501E2"/>
    <w:rsid w:val="00150A9A"/>
    <w:rsid w:val="00150ABF"/>
    <w:rsid w:val="00151DAF"/>
    <w:rsid w:val="00151FBC"/>
    <w:rsid w:val="00152113"/>
    <w:rsid w:val="00152254"/>
    <w:rsid w:val="001535E0"/>
    <w:rsid w:val="0015416A"/>
    <w:rsid w:val="001546CC"/>
    <w:rsid w:val="00154DBB"/>
    <w:rsid w:val="00155B25"/>
    <w:rsid w:val="00155B27"/>
    <w:rsid w:val="00155E3E"/>
    <w:rsid w:val="001566A3"/>
    <w:rsid w:val="001576FD"/>
    <w:rsid w:val="00160291"/>
    <w:rsid w:val="00160400"/>
    <w:rsid w:val="001610B0"/>
    <w:rsid w:val="00162667"/>
    <w:rsid w:val="0016276B"/>
    <w:rsid w:val="001634C0"/>
    <w:rsid w:val="001642E1"/>
    <w:rsid w:val="001647E8"/>
    <w:rsid w:val="0016486D"/>
    <w:rsid w:val="00164965"/>
    <w:rsid w:val="00164C79"/>
    <w:rsid w:val="00164E35"/>
    <w:rsid w:val="00165F29"/>
    <w:rsid w:val="0016615C"/>
    <w:rsid w:val="001664DE"/>
    <w:rsid w:val="00166A7A"/>
    <w:rsid w:val="00166B57"/>
    <w:rsid w:val="00167184"/>
    <w:rsid w:val="00167727"/>
    <w:rsid w:val="0017008E"/>
    <w:rsid w:val="00170F13"/>
    <w:rsid w:val="00171999"/>
    <w:rsid w:val="001720EE"/>
    <w:rsid w:val="00172A9A"/>
    <w:rsid w:val="00172B12"/>
    <w:rsid w:val="00172CB8"/>
    <w:rsid w:val="00173627"/>
    <w:rsid w:val="001746C9"/>
    <w:rsid w:val="00174DF4"/>
    <w:rsid w:val="00175564"/>
    <w:rsid w:val="001758B8"/>
    <w:rsid w:val="00176011"/>
    <w:rsid w:val="00176A79"/>
    <w:rsid w:val="00176BCB"/>
    <w:rsid w:val="00176C03"/>
    <w:rsid w:val="00177C45"/>
    <w:rsid w:val="00177CAC"/>
    <w:rsid w:val="00180FA6"/>
    <w:rsid w:val="00181864"/>
    <w:rsid w:val="00181B9A"/>
    <w:rsid w:val="00181C82"/>
    <w:rsid w:val="00182E38"/>
    <w:rsid w:val="00183986"/>
    <w:rsid w:val="00183C52"/>
    <w:rsid w:val="001846CE"/>
    <w:rsid w:val="001849C7"/>
    <w:rsid w:val="00184D02"/>
    <w:rsid w:val="001851CD"/>
    <w:rsid w:val="001853EC"/>
    <w:rsid w:val="0018544E"/>
    <w:rsid w:val="001862E4"/>
    <w:rsid w:val="0018702F"/>
    <w:rsid w:val="001877A3"/>
    <w:rsid w:val="00190FA2"/>
    <w:rsid w:val="00191A8E"/>
    <w:rsid w:val="00192649"/>
    <w:rsid w:val="00192862"/>
    <w:rsid w:val="00193CB6"/>
    <w:rsid w:val="00194123"/>
    <w:rsid w:val="001942CA"/>
    <w:rsid w:val="0019477A"/>
    <w:rsid w:val="00194EAC"/>
    <w:rsid w:val="00196C45"/>
    <w:rsid w:val="001971F6"/>
    <w:rsid w:val="001A016F"/>
    <w:rsid w:val="001A031A"/>
    <w:rsid w:val="001A07DC"/>
    <w:rsid w:val="001A0EDD"/>
    <w:rsid w:val="001A20F3"/>
    <w:rsid w:val="001A2F94"/>
    <w:rsid w:val="001A344A"/>
    <w:rsid w:val="001A3D2C"/>
    <w:rsid w:val="001A4142"/>
    <w:rsid w:val="001A43A3"/>
    <w:rsid w:val="001A4401"/>
    <w:rsid w:val="001A474A"/>
    <w:rsid w:val="001A4E82"/>
    <w:rsid w:val="001A56E3"/>
    <w:rsid w:val="001A637F"/>
    <w:rsid w:val="001A6B40"/>
    <w:rsid w:val="001A6C8B"/>
    <w:rsid w:val="001A73DC"/>
    <w:rsid w:val="001A79A4"/>
    <w:rsid w:val="001A79BF"/>
    <w:rsid w:val="001B0189"/>
    <w:rsid w:val="001B0413"/>
    <w:rsid w:val="001B048B"/>
    <w:rsid w:val="001B0A1E"/>
    <w:rsid w:val="001B0FAC"/>
    <w:rsid w:val="001B1751"/>
    <w:rsid w:val="001B189A"/>
    <w:rsid w:val="001B24C8"/>
    <w:rsid w:val="001B34A3"/>
    <w:rsid w:val="001B3C8C"/>
    <w:rsid w:val="001B3DC0"/>
    <w:rsid w:val="001B3F04"/>
    <w:rsid w:val="001B40A5"/>
    <w:rsid w:val="001B4F67"/>
    <w:rsid w:val="001B4FF3"/>
    <w:rsid w:val="001B52E0"/>
    <w:rsid w:val="001B55E4"/>
    <w:rsid w:val="001B56D3"/>
    <w:rsid w:val="001B5763"/>
    <w:rsid w:val="001B5A58"/>
    <w:rsid w:val="001B6075"/>
    <w:rsid w:val="001B611A"/>
    <w:rsid w:val="001B680C"/>
    <w:rsid w:val="001B6BA2"/>
    <w:rsid w:val="001B6DA8"/>
    <w:rsid w:val="001B70A6"/>
    <w:rsid w:val="001B7615"/>
    <w:rsid w:val="001C0583"/>
    <w:rsid w:val="001C0E99"/>
    <w:rsid w:val="001C10A2"/>
    <w:rsid w:val="001C1268"/>
    <w:rsid w:val="001C1A47"/>
    <w:rsid w:val="001C1CFC"/>
    <w:rsid w:val="001C1D79"/>
    <w:rsid w:val="001C21DD"/>
    <w:rsid w:val="001C2208"/>
    <w:rsid w:val="001C2342"/>
    <w:rsid w:val="001C350F"/>
    <w:rsid w:val="001C3C91"/>
    <w:rsid w:val="001C3ED0"/>
    <w:rsid w:val="001C4143"/>
    <w:rsid w:val="001C4184"/>
    <w:rsid w:val="001C428E"/>
    <w:rsid w:val="001C4557"/>
    <w:rsid w:val="001C4F76"/>
    <w:rsid w:val="001C6F97"/>
    <w:rsid w:val="001C7330"/>
    <w:rsid w:val="001C740B"/>
    <w:rsid w:val="001D0484"/>
    <w:rsid w:val="001D0A35"/>
    <w:rsid w:val="001D1042"/>
    <w:rsid w:val="001D1481"/>
    <w:rsid w:val="001D2461"/>
    <w:rsid w:val="001D3409"/>
    <w:rsid w:val="001D3435"/>
    <w:rsid w:val="001D36B3"/>
    <w:rsid w:val="001D3836"/>
    <w:rsid w:val="001D41F1"/>
    <w:rsid w:val="001D50B8"/>
    <w:rsid w:val="001D5961"/>
    <w:rsid w:val="001D629F"/>
    <w:rsid w:val="001D6EFB"/>
    <w:rsid w:val="001D7092"/>
    <w:rsid w:val="001D78F0"/>
    <w:rsid w:val="001D7A3E"/>
    <w:rsid w:val="001D7A68"/>
    <w:rsid w:val="001D7A7B"/>
    <w:rsid w:val="001D7C7A"/>
    <w:rsid w:val="001E009F"/>
    <w:rsid w:val="001E016E"/>
    <w:rsid w:val="001E08BF"/>
    <w:rsid w:val="001E0B1E"/>
    <w:rsid w:val="001E0BF3"/>
    <w:rsid w:val="001E10FA"/>
    <w:rsid w:val="001E1AE8"/>
    <w:rsid w:val="001E1D9B"/>
    <w:rsid w:val="001E1F3E"/>
    <w:rsid w:val="001E2205"/>
    <w:rsid w:val="001E2A36"/>
    <w:rsid w:val="001E2D00"/>
    <w:rsid w:val="001E2F5F"/>
    <w:rsid w:val="001E567D"/>
    <w:rsid w:val="001E5750"/>
    <w:rsid w:val="001E5D2F"/>
    <w:rsid w:val="001E67A2"/>
    <w:rsid w:val="001E70ED"/>
    <w:rsid w:val="001E7219"/>
    <w:rsid w:val="001E7C1C"/>
    <w:rsid w:val="001F05D4"/>
    <w:rsid w:val="001F0B01"/>
    <w:rsid w:val="001F1437"/>
    <w:rsid w:val="001F1CB1"/>
    <w:rsid w:val="001F2060"/>
    <w:rsid w:val="001F29B9"/>
    <w:rsid w:val="001F35B8"/>
    <w:rsid w:val="001F3780"/>
    <w:rsid w:val="001F4812"/>
    <w:rsid w:val="001F4BA9"/>
    <w:rsid w:val="001F5641"/>
    <w:rsid w:val="001F5872"/>
    <w:rsid w:val="001F5C43"/>
    <w:rsid w:val="001F65DC"/>
    <w:rsid w:val="001F6603"/>
    <w:rsid w:val="001F66AF"/>
    <w:rsid w:val="001F68D0"/>
    <w:rsid w:val="001F6A85"/>
    <w:rsid w:val="001F726C"/>
    <w:rsid w:val="001F7305"/>
    <w:rsid w:val="001F78DF"/>
    <w:rsid w:val="001F7B36"/>
    <w:rsid w:val="001F7C0C"/>
    <w:rsid w:val="0020000E"/>
    <w:rsid w:val="0020012E"/>
    <w:rsid w:val="00200551"/>
    <w:rsid w:val="002011D3"/>
    <w:rsid w:val="00201389"/>
    <w:rsid w:val="00201444"/>
    <w:rsid w:val="00201D19"/>
    <w:rsid w:val="00201EBC"/>
    <w:rsid w:val="00202322"/>
    <w:rsid w:val="00202C92"/>
    <w:rsid w:val="00203182"/>
    <w:rsid w:val="00203385"/>
    <w:rsid w:val="00203865"/>
    <w:rsid w:val="00203A91"/>
    <w:rsid w:val="00204DC8"/>
    <w:rsid w:val="00205222"/>
    <w:rsid w:val="002059EF"/>
    <w:rsid w:val="00205A23"/>
    <w:rsid w:val="00205DFE"/>
    <w:rsid w:val="00205E9D"/>
    <w:rsid w:val="00206570"/>
    <w:rsid w:val="00206C31"/>
    <w:rsid w:val="0021014F"/>
    <w:rsid w:val="00210B3C"/>
    <w:rsid w:val="00211AC8"/>
    <w:rsid w:val="00211B54"/>
    <w:rsid w:val="002124F5"/>
    <w:rsid w:val="00212719"/>
    <w:rsid w:val="00212F1B"/>
    <w:rsid w:val="002138C0"/>
    <w:rsid w:val="002142AC"/>
    <w:rsid w:val="0021499A"/>
    <w:rsid w:val="00216591"/>
    <w:rsid w:val="0021666B"/>
    <w:rsid w:val="00216846"/>
    <w:rsid w:val="00216B7B"/>
    <w:rsid w:val="002173F5"/>
    <w:rsid w:val="002179E4"/>
    <w:rsid w:val="00217BA4"/>
    <w:rsid w:val="00220AB5"/>
    <w:rsid w:val="00221683"/>
    <w:rsid w:val="00222058"/>
    <w:rsid w:val="002222D6"/>
    <w:rsid w:val="0022238F"/>
    <w:rsid w:val="00222728"/>
    <w:rsid w:val="0022280A"/>
    <w:rsid w:val="002228BD"/>
    <w:rsid w:val="00222A77"/>
    <w:rsid w:val="00223830"/>
    <w:rsid w:val="0022492D"/>
    <w:rsid w:val="00224989"/>
    <w:rsid w:val="00224CE7"/>
    <w:rsid w:val="00225A95"/>
    <w:rsid w:val="00225D46"/>
    <w:rsid w:val="002261EC"/>
    <w:rsid w:val="00226B57"/>
    <w:rsid w:val="0022797A"/>
    <w:rsid w:val="002307A7"/>
    <w:rsid w:val="00230F44"/>
    <w:rsid w:val="002310A7"/>
    <w:rsid w:val="002316A3"/>
    <w:rsid w:val="00231D8A"/>
    <w:rsid w:val="00231FA8"/>
    <w:rsid w:val="002322ED"/>
    <w:rsid w:val="002326A1"/>
    <w:rsid w:val="00233B86"/>
    <w:rsid w:val="00233C21"/>
    <w:rsid w:val="00233F57"/>
    <w:rsid w:val="002340C5"/>
    <w:rsid w:val="002344BE"/>
    <w:rsid w:val="00234660"/>
    <w:rsid w:val="0023490A"/>
    <w:rsid w:val="00234D9D"/>
    <w:rsid w:val="00235454"/>
    <w:rsid w:val="002356CF"/>
    <w:rsid w:val="00235712"/>
    <w:rsid w:val="00236850"/>
    <w:rsid w:val="00237025"/>
    <w:rsid w:val="00237492"/>
    <w:rsid w:val="00237B7F"/>
    <w:rsid w:val="00237C88"/>
    <w:rsid w:val="00237F21"/>
    <w:rsid w:val="00240299"/>
    <w:rsid w:val="002406D5"/>
    <w:rsid w:val="00240FAC"/>
    <w:rsid w:val="002415ED"/>
    <w:rsid w:val="00241CC9"/>
    <w:rsid w:val="00241DF5"/>
    <w:rsid w:val="00242861"/>
    <w:rsid w:val="00242D64"/>
    <w:rsid w:val="00243A1A"/>
    <w:rsid w:val="00244477"/>
    <w:rsid w:val="002447D1"/>
    <w:rsid w:val="002448D3"/>
    <w:rsid w:val="00244FFE"/>
    <w:rsid w:val="00245CD0"/>
    <w:rsid w:val="002460BA"/>
    <w:rsid w:val="002462B5"/>
    <w:rsid w:val="002462ED"/>
    <w:rsid w:val="0024669C"/>
    <w:rsid w:val="002469C4"/>
    <w:rsid w:val="00247774"/>
    <w:rsid w:val="0025102E"/>
    <w:rsid w:val="00251FE1"/>
    <w:rsid w:val="00251FF7"/>
    <w:rsid w:val="00252132"/>
    <w:rsid w:val="002522E1"/>
    <w:rsid w:val="002526D3"/>
    <w:rsid w:val="002527A2"/>
    <w:rsid w:val="002531AB"/>
    <w:rsid w:val="00254035"/>
    <w:rsid w:val="0025460D"/>
    <w:rsid w:val="0025485E"/>
    <w:rsid w:val="002549A9"/>
    <w:rsid w:val="002553AE"/>
    <w:rsid w:val="00256025"/>
    <w:rsid w:val="0025667F"/>
    <w:rsid w:val="00256D2A"/>
    <w:rsid w:val="00256FAF"/>
    <w:rsid w:val="00257734"/>
    <w:rsid w:val="00257AE7"/>
    <w:rsid w:val="0026025A"/>
    <w:rsid w:val="00260453"/>
    <w:rsid w:val="00261273"/>
    <w:rsid w:val="002614FF"/>
    <w:rsid w:val="00261FFF"/>
    <w:rsid w:val="002629EA"/>
    <w:rsid w:val="00262B3F"/>
    <w:rsid w:val="002638DA"/>
    <w:rsid w:val="00263904"/>
    <w:rsid w:val="00264012"/>
    <w:rsid w:val="00264131"/>
    <w:rsid w:val="0026443C"/>
    <w:rsid w:val="002645D6"/>
    <w:rsid w:val="002647FD"/>
    <w:rsid w:val="002660DA"/>
    <w:rsid w:val="00266797"/>
    <w:rsid w:val="00266B2A"/>
    <w:rsid w:val="002673CE"/>
    <w:rsid w:val="00267670"/>
    <w:rsid w:val="0026771C"/>
    <w:rsid w:val="00267FBB"/>
    <w:rsid w:val="00267FC4"/>
    <w:rsid w:val="002705AC"/>
    <w:rsid w:val="002717E7"/>
    <w:rsid w:val="00271D28"/>
    <w:rsid w:val="0027294A"/>
    <w:rsid w:val="002729C2"/>
    <w:rsid w:val="00272F3B"/>
    <w:rsid w:val="00273C45"/>
    <w:rsid w:val="00273CD1"/>
    <w:rsid w:val="00274F6C"/>
    <w:rsid w:val="002761EA"/>
    <w:rsid w:val="002762E4"/>
    <w:rsid w:val="002763B3"/>
    <w:rsid w:val="00276965"/>
    <w:rsid w:val="0027696C"/>
    <w:rsid w:val="00276BD1"/>
    <w:rsid w:val="00277080"/>
    <w:rsid w:val="00277465"/>
    <w:rsid w:val="00277AB3"/>
    <w:rsid w:val="00277F79"/>
    <w:rsid w:val="0028061B"/>
    <w:rsid w:val="00280783"/>
    <w:rsid w:val="002809CA"/>
    <w:rsid w:val="00280E8C"/>
    <w:rsid w:val="0028105C"/>
    <w:rsid w:val="00281184"/>
    <w:rsid w:val="002812CB"/>
    <w:rsid w:val="00281D2A"/>
    <w:rsid w:val="00281EA4"/>
    <w:rsid w:val="00282446"/>
    <w:rsid w:val="0028284C"/>
    <w:rsid w:val="00282F6C"/>
    <w:rsid w:val="00282FEA"/>
    <w:rsid w:val="00283ACD"/>
    <w:rsid w:val="00283B6D"/>
    <w:rsid w:val="00283F26"/>
    <w:rsid w:val="002845E4"/>
    <w:rsid w:val="002846E8"/>
    <w:rsid w:val="002847B6"/>
    <w:rsid w:val="00284D18"/>
    <w:rsid w:val="00284E38"/>
    <w:rsid w:val="00285125"/>
    <w:rsid w:val="00285279"/>
    <w:rsid w:val="00287372"/>
    <w:rsid w:val="00287631"/>
    <w:rsid w:val="00287A15"/>
    <w:rsid w:val="00290A88"/>
    <w:rsid w:val="00290C30"/>
    <w:rsid w:val="00290E2F"/>
    <w:rsid w:val="00291096"/>
    <w:rsid w:val="0029147B"/>
    <w:rsid w:val="002914A6"/>
    <w:rsid w:val="00291894"/>
    <w:rsid w:val="00291970"/>
    <w:rsid w:val="00291E9D"/>
    <w:rsid w:val="00292E5F"/>
    <w:rsid w:val="0029354A"/>
    <w:rsid w:val="002940FD"/>
    <w:rsid w:val="002941D3"/>
    <w:rsid w:val="00294716"/>
    <w:rsid w:val="0029499D"/>
    <w:rsid w:val="002951D6"/>
    <w:rsid w:val="00295336"/>
    <w:rsid w:val="002959C2"/>
    <w:rsid w:val="00295B19"/>
    <w:rsid w:val="00296701"/>
    <w:rsid w:val="00296FBC"/>
    <w:rsid w:val="002970AF"/>
    <w:rsid w:val="00297284"/>
    <w:rsid w:val="002977FA"/>
    <w:rsid w:val="00297CC2"/>
    <w:rsid w:val="00297D9F"/>
    <w:rsid w:val="002A03C7"/>
    <w:rsid w:val="002A0EBC"/>
    <w:rsid w:val="002A1DC2"/>
    <w:rsid w:val="002A2B7E"/>
    <w:rsid w:val="002A2FD5"/>
    <w:rsid w:val="002A332B"/>
    <w:rsid w:val="002A3F0C"/>
    <w:rsid w:val="002A4DF9"/>
    <w:rsid w:val="002A4EAC"/>
    <w:rsid w:val="002A5721"/>
    <w:rsid w:val="002A5B3B"/>
    <w:rsid w:val="002A678A"/>
    <w:rsid w:val="002A6E0C"/>
    <w:rsid w:val="002A74FD"/>
    <w:rsid w:val="002A7998"/>
    <w:rsid w:val="002B0A60"/>
    <w:rsid w:val="002B0AD5"/>
    <w:rsid w:val="002B0D51"/>
    <w:rsid w:val="002B1224"/>
    <w:rsid w:val="002B161E"/>
    <w:rsid w:val="002B1DFB"/>
    <w:rsid w:val="002B26B0"/>
    <w:rsid w:val="002B2777"/>
    <w:rsid w:val="002B308A"/>
    <w:rsid w:val="002B3537"/>
    <w:rsid w:val="002B3EE8"/>
    <w:rsid w:val="002B3F6B"/>
    <w:rsid w:val="002B4B7B"/>
    <w:rsid w:val="002B5516"/>
    <w:rsid w:val="002B5AC7"/>
    <w:rsid w:val="002B6B11"/>
    <w:rsid w:val="002B70FB"/>
    <w:rsid w:val="002B765A"/>
    <w:rsid w:val="002B7929"/>
    <w:rsid w:val="002B7E26"/>
    <w:rsid w:val="002B7FBA"/>
    <w:rsid w:val="002C02C2"/>
    <w:rsid w:val="002C0B36"/>
    <w:rsid w:val="002C128B"/>
    <w:rsid w:val="002C1C36"/>
    <w:rsid w:val="002C1CF8"/>
    <w:rsid w:val="002C2461"/>
    <w:rsid w:val="002C2A97"/>
    <w:rsid w:val="002C34AB"/>
    <w:rsid w:val="002C34E3"/>
    <w:rsid w:val="002C3F30"/>
    <w:rsid w:val="002C4767"/>
    <w:rsid w:val="002C4D70"/>
    <w:rsid w:val="002C4DB6"/>
    <w:rsid w:val="002C53C5"/>
    <w:rsid w:val="002C5C5C"/>
    <w:rsid w:val="002C5E60"/>
    <w:rsid w:val="002C6675"/>
    <w:rsid w:val="002C66F3"/>
    <w:rsid w:val="002C69D8"/>
    <w:rsid w:val="002C7087"/>
    <w:rsid w:val="002C7569"/>
    <w:rsid w:val="002C78A9"/>
    <w:rsid w:val="002C7A60"/>
    <w:rsid w:val="002C7D53"/>
    <w:rsid w:val="002D002D"/>
    <w:rsid w:val="002D0387"/>
    <w:rsid w:val="002D0678"/>
    <w:rsid w:val="002D0ED5"/>
    <w:rsid w:val="002D1C85"/>
    <w:rsid w:val="002D29BA"/>
    <w:rsid w:val="002D33B0"/>
    <w:rsid w:val="002D37D9"/>
    <w:rsid w:val="002D4033"/>
    <w:rsid w:val="002D414F"/>
    <w:rsid w:val="002D5AF6"/>
    <w:rsid w:val="002D6CCC"/>
    <w:rsid w:val="002D7773"/>
    <w:rsid w:val="002D7C37"/>
    <w:rsid w:val="002D7CEA"/>
    <w:rsid w:val="002D7DDC"/>
    <w:rsid w:val="002E0128"/>
    <w:rsid w:val="002E0C73"/>
    <w:rsid w:val="002E19FC"/>
    <w:rsid w:val="002E2104"/>
    <w:rsid w:val="002E3004"/>
    <w:rsid w:val="002E36AA"/>
    <w:rsid w:val="002E4F18"/>
    <w:rsid w:val="002E5EF0"/>
    <w:rsid w:val="002E68A3"/>
    <w:rsid w:val="002E73CB"/>
    <w:rsid w:val="002F0D02"/>
    <w:rsid w:val="002F0EED"/>
    <w:rsid w:val="002F10A5"/>
    <w:rsid w:val="002F1D50"/>
    <w:rsid w:val="002F1F57"/>
    <w:rsid w:val="002F23A8"/>
    <w:rsid w:val="002F2484"/>
    <w:rsid w:val="002F24D5"/>
    <w:rsid w:val="002F286A"/>
    <w:rsid w:val="002F3F70"/>
    <w:rsid w:val="002F41F3"/>
    <w:rsid w:val="002F44A1"/>
    <w:rsid w:val="002F4D22"/>
    <w:rsid w:val="002F5077"/>
    <w:rsid w:val="002F657F"/>
    <w:rsid w:val="002F6639"/>
    <w:rsid w:val="002F6965"/>
    <w:rsid w:val="002F70F2"/>
    <w:rsid w:val="002F7AF7"/>
    <w:rsid w:val="002F7E77"/>
    <w:rsid w:val="00300048"/>
    <w:rsid w:val="00300E7B"/>
    <w:rsid w:val="0030109B"/>
    <w:rsid w:val="0030155B"/>
    <w:rsid w:val="0030170B"/>
    <w:rsid w:val="00301A2F"/>
    <w:rsid w:val="00301B51"/>
    <w:rsid w:val="00302101"/>
    <w:rsid w:val="003028B0"/>
    <w:rsid w:val="003031E5"/>
    <w:rsid w:val="003035CA"/>
    <w:rsid w:val="00303843"/>
    <w:rsid w:val="0030512A"/>
    <w:rsid w:val="003052E0"/>
    <w:rsid w:val="003055E8"/>
    <w:rsid w:val="00305C2A"/>
    <w:rsid w:val="00305DC3"/>
    <w:rsid w:val="00305E4D"/>
    <w:rsid w:val="003060A7"/>
    <w:rsid w:val="00306198"/>
    <w:rsid w:val="00306686"/>
    <w:rsid w:val="00307443"/>
    <w:rsid w:val="003075B7"/>
    <w:rsid w:val="00307802"/>
    <w:rsid w:val="003105AC"/>
    <w:rsid w:val="00311254"/>
    <w:rsid w:val="00311921"/>
    <w:rsid w:val="00311FFC"/>
    <w:rsid w:val="00313A9C"/>
    <w:rsid w:val="00313C69"/>
    <w:rsid w:val="00313DB3"/>
    <w:rsid w:val="00313E98"/>
    <w:rsid w:val="00314DE4"/>
    <w:rsid w:val="00314E6C"/>
    <w:rsid w:val="0031523B"/>
    <w:rsid w:val="0031528A"/>
    <w:rsid w:val="00315402"/>
    <w:rsid w:val="00315AAB"/>
    <w:rsid w:val="00315B53"/>
    <w:rsid w:val="003164FD"/>
    <w:rsid w:val="00316DFB"/>
    <w:rsid w:val="00316E56"/>
    <w:rsid w:val="00316E83"/>
    <w:rsid w:val="00317250"/>
    <w:rsid w:val="00317423"/>
    <w:rsid w:val="00317577"/>
    <w:rsid w:val="003179B2"/>
    <w:rsid w:val="00317B17"/>
    <w:rsid w:val="00320046"/>
    <w:rsid w:val="003201BF"/>
    <w:rsid w:val="003203D0"/>
    <w:rsid w:val="003209AF"/>
    <w:rsid w:val="00320A1E"/>
    <w:rsid w:val="00321366"/>
    <w:rsid w:val="003213C0"/>
    <w:rsid w:val="00321E5C"/>
    <w:rsid w:val="0032253B"/>
    <w:rsid w:val="00322CB0"/>
    <w:rsid w:val="00322D3E"/>
    <w:rsid w:val="00323C91"/>
    <w:rsid w:val="00324341"/>
    <w:rsid w:val="003243CF"/>
    <w:rsid w:val="003246ED"/>
    <w:rsid w:val="0032487F"/>
    <w:rsid w:val="00324963"/>
    <w:rsid w:val="00324C2B"/>
    <w:rsid w:val="00324C64"/>
    <w:rsid w:val="00325A9F"/>
    <w:rsid w:val="00326E04"/>
    <w:rsid w:val="0032763F"/>
    <w:rsid w:val="003276DF"/>
    <w:rsid w:val="00330A91"/>
    <w:rsid w:val="00330BB2"/>
    <w:rsid w:val="00330FB9"/>
    <w:rsid w:val="003310EC"/>
    <w:rsid w:val="00331E69"/>
    <w:rsid w:val="00332AAC"/>
    <w:rsid w:val="00332D40"/>
    <w:rsid w:val="00333D4E"/>
    <w:rsid w:val="00334191"/>
    <w:rsid w:val="00334F02"/>
    <w:rsid w:val="003373D2"/>
    <w:rsid w:val="00337442"/>
    <w:rsid w:val="00337D23"/>
    <w:rsid w:val="00337DC1"/>
    <w:rsid w:val="003401A5"/>
    <w:rsid w:val="0034172E"/>
    <w:rsid w:val="00342575"/>
    <w:rsid w:val="0034381F"/>
    <w:rsid w:val="003438C2"/>
    <w:rsid w:val="00343ED6"/>
    <w:rsid w:val="003447E4"/>
    <w:rsid w:val="00344B1C"/>
    <w:rsid w:val="003475A1"/>
    <w:rsid w:val="00347C00"/>
    <w:rsid w:val="00350D7B"/>
    <w:rsid w:val="00351047"/>
    <w:rsid w:val="00351527"/>
    <w:rsid w:val="00351950"/>
    <w:rsid w:val="00351CA3"/>
    <w:rsid w:val="00352393"/>
    <w:rsid w:val="003525E3"/>
    <w:rsid w:val="003529EA"/>
    <w:rsid w:val="00352AEB"/>
    <w:rsid w:val="00353130"/>
    <w:rsid w:val="003537C7"/>
    <w:rsid w:val="00353ED4"/>
    <w:rsid w:val="00353F73"/>
    <w:rsid w:val="003541F3"/>
    <w:rsid w:val="003546ED"/>
    <w:rsid w:val="00354DAC"/>
    <w:rsid w:val="0035583F"/>
    <w:rsid w:val="00355D09"/>
    <w:rsid w:val="00355EB8"/>
    <w:rsid w:val="0035619E"/>
    <w:rsid w:val="0035695B"/>
    <w:rsid w:val="00360037"/>
    <w:rsid w:val="003600EF"/>
    <w:rsid w:val="0036048F"/>
    <w:rsid w:val="00360C21"/>
    <w:rsid w:val="00361185"/>
    <w:rsid w:val="003612C3"/>
    <w:rsid w:val="00361D1F"/>
    <w:rsid w:val="003631D1"/>
    <w:rsid w:val="003634F6"/>
    <w:rsid w:val="00363940"/>
    <w:rsid w:val="00363E9B"/>
    <w:rsid w:val="003642DC"/>
    <w:rsid w:val="0036448E"/>
    <w:rsid w:val="00364763"/>
    <w:rsid w:val="00364C3E"/>
    <w:rsid w:val="00365D1E"/>
    <w:rsid w:val="00365FFF"/>
    <w:rsid w:val="00366088"/>
    <w:rsid w:val="00366577"/>
    <w:rsid w:val="00366973"/>
    <w:rsid w:val="00366BDD"/>
    <w:rsid w:val="00367827"/>
    <w:rsid w:val="00367AAF"/>
    <w:rsid w:val="00367EDC"/>
    <w:rsid w:val="003703B2"/>
    <w:rsid w:val="003703B9"/>
    <w:rsid w:val="00370538"/>
    <w:rsid w:val="00370C98"/>
    <w:rsid w:val="00370F34"/>
    <w:rsid w:val="003719AC"/>
    <w:rsid w:val="00371BBA"/>
    <w:rsid w:val="00372078"/>
    <w:rsid w:val="003728DB"/>
    <w:rsid w:val="00372927"/>
    <w:rsid w:val="003730EF"/>
    <w:rsid w:val="0037358E"/>
    <w:rsid w:val="0037384F"/>
    <w:rsid w:val="003739BA"/>
    <w:rsid w:val="00374698"/>
    <w:rsid w:val="00374F54"/>
    <w:rsid w:val="0037576E"/>
    <w:rsid w:val="00376646"/>
    <w:rsid w:val="003767B1"/>
    <w:rsid w:val="00376C8F"/>
    <w:rsid w:val="00376E21"/>
    <w:rsid w:val="003772B4"/>
    <w:rsid w:val="0038058E"/>
    <w:rsid w:val="0038068D"/>
    <w:rsid w:val="003819EF"/>
    <w:rsid w:val="00381CC0"/>
    <w:rsid w:val="00382A9C"/>
    <w:rsid w:val="0038318E"/>
    <w:rsid w:val="00383663"/>
    <w:rsid w:val="00383D1D"/>
    <w:rsid w:val="00384D0A"/>
    <w:rsid w:val="0038590D"/>
    <w:rsid w:val="00385A69"/>
    <w:rsid w:val="003863F0"/>
    <w:rsid w:val="00387A7C"/>
    <w:rsid w:val="00387AFD"/>
    <w:rsid w:val="00387CDB"/>
    <w:rsid w:val="00387F36"/>
    <w:rsid w:val="003902A1"/>
    <w:rsid w:val="00390574"/>
    <w:rsid w:val="00391562"/>
    <w:rsid w:val="00391C81"/>
    <w:rsid w:val="00391CC3"/>
    <w:rsid w:val="0039203E"/>
    <w:rsid w:val="003928A5"/>
    <w:rsid w:val="00392E9B"/>
    <w:rsid w:val="00392F61"/>
    <w:rsid w:val="003943C8"/>
    <w:rsid w:val="00394FD0"/>
    <w:rsid w:val="00395568"/>
    <w:rsid w:val="003961B6"/>
    <w:rsid w:val="003961BE"/>
    <w:rsid w:val="00396443"/>
    <w:rsid w:val="0039682B"/>
    <w:rsid w:val="003977EB"/>
    <w:rsid w:val="00397EC3"/>
    <w:rsid w:val="003A0A95"/>
    <w:rsid w:val="003A0ED2"/>
    <w:rsid w:val="003A0EE6"/>
    <w:rsid w:val="003A2117"/>
    <w:rsid w:val="003A2451"/>
    <w:rsid w:val="003A3311"/>
    <w:rsid w:val="003A3FE9"/>
    <w:rsid w:val="003A40CA"/>
    <w:rsid w:val="003A446E"/>
    <w:rsid w:val="003A5172"/>
    <w:rsid w:val="003A5A65"/>
    <w:rsid w:val="003A5AF8"/>
    <w:rsid w:val="003A63AC"/>
    <w:rsid w:val="003A6674"/>
    <w:rsid w:val="003A689B"/>
    <w:rsid w:val="003A690E"/>
    <w:rsid w:val="003A6D1B"/>
    <w:rsid w:val="003A6E0A"/>
    <w:rsid w:val="003A739D"/>
    <w:rsid w:val="003A7C8B"/>
    <w:rsid w:val="003B1616"/>
    <w:rsid w:val="003B1D14"/>
    <w:rsid w:val="003B2123"/>
    <w:rsid w:val="003B2FCE"/>
    <w:rsid w:val="003B3092"/>
    <w:rsid w:val="003B3475"/>
    <w:rsid w:val="003B3B74"/>
    <w:rsid w:val="003B3C6F"/>
    <w:rsid w:val="003B4221"/>
    <w:rsid w:val="003B429D"/>
    <w:rsid w:val="003B4643"/>
    <w:rsid w:val="003B486B"/>
    <w:rsid w:val="003B4FE6"/>
    <w:rsid w:val="003B56FB"/>
    <w:rsid w:val="003B58DD"/>
    <w:rsid w:val="003B5BE3"/>
    <w:rsid w:val="003B5DAB"/>
    <w:rsid w:val="003B6ADE"/>
    <w:rsid w:val="003B6C0B"/>
    <w:rsid w:val="003B78DF"/>
    <w:rsid w:val="003C02AE"/>
    <w:rsid w:val="003C0306"/>
    <w:rsid w:val="003C0361"/>
    <w:rsid w:val="003C0A77"/>
    <w:rsid w:val="003C1033"/>
    <w:rsid w:val="003C15E4"/>
    <w:rsid w:val="003C1901"/>
    <w:rsid w:val="003C1CC0"/>
    <w:rsid w:val="003C2537"/>
    <w:rsid w:val="003C2BD8"/>
    <w:rsid w:val="003C2D5E"/>
    <w:rsid w:val="003C2EA7"/>
    <w:rsid w:val="003C38B2"/>
    <w:rsid w:val="003C3DF4"/>
    <w:rsid w:val="003C3F81"/>
    <w:rsid w:val="003C4ACE"/>
    <w:rsid w:val="003C4DEE"/>
    <w:rsid w:val="003C6AC6"/>
    <w:rsid w:val="003C6D83"/>
    <w:rsid w:val="003C70A4"/>
    <w:rsid w:val="003C7306"/>
    <w:rsid w:val="003C770D"/>
    <w:rsid w:val="003C795D"/>
    <w:rsid w:val="003D01B1"/>
    <w:rsid w:val="003D0428"/>
    <w:rsid w:val="003D0ABB"/>
    <w:rsid w:val="003D0BBD"/>
    <w:rsid w:val="003D0D64"/>
    <w:rsid w:val="003D16E8"/>
    <w:rsid w:val="003D178E"/>
    <w:rsid w:val="003D190B"/>
    <w:rsid w:val="003D1C16"/>
    <w:rsid w:val="003D295B"/>
    <w:rsid w:val="003D3510"/>
    <w:rsid w:val="003D3AA9"/>
    <w:rsid w:val="003D3B43"/>
    <w:rsid w:val="003D40C9"/>
    <w:rsid w:val="003D4264"/>
    <w:rsid w:val="003D42B7"/>
    <w:rsid w:val="003D43E4"/>
    <w:rsid w:val="003D4592"/>
    <w:rsid w:val="003D4C85"/>
    <w:rsid w:val="003E07C2"/>
    <w:rsid w:val="003E09D3"/>
    <w:rsid w:val="003E0AEF"/>
    <w:rsid w:val="003E1C24"/>
    <w:rsid w:val="003E1D48"/>
    <w:rsid w:val="003E1E73"/>
    <w:rsid w:val="003E2091"/>
    <w:rsid w:val="003E2DBD"/>
    <w:rsid w:val="003E310C"/>
    <w:rsid w:val="003E3E81"/>
    <w:rsid w:val="003E44E2"/>
    <w:rsid w:val="003E474F"/>
    <w:rsid w:val="003E48C4"/>
    <w:rsid w:val="003E4E8C"/>
    <w:rsid w:val="003E4EE2"/>
    <w:rsid w:val="003E5320"/>
    <w:rsid w:val="003E55BD"/>
    <w:rsid w:val="003E5BB2"/>
    <w:rsid w:val="003E6DD2"/>
    <w:rsid w:val="003E7077"/>
    <w:rsid w:val="003E78B1"/>
    <w:rsid w:val="003F0187"/>
    <w:rsid w:val="003F0299"/>
    <w:rsid w:val="003F038B"/>
    <w:rsid w:val="003F0685"/>
    <w:rsid w:val="003F09AC"/>
    <w:rsid w:val="003F0F36"/>
    <w:rsid w:val="003F0F50"/>
    <w:rsid w:val="003F139B"/>
    <w:rsid w:val="003F1B27"/>
    <w:rsid w:val="003F1E60"/>
    <w:rsid w:val="003F388A"/>
    <w:rsid w:val="003F4744"/>
    <w:rsid w:val="003F4C45"/>
    <w:rsid w:val="003F4ECE"/>
    <w:rsid w:val="003F5B35"/>
    <w:rsid w:val="003F5C2A"/>
    <w:rsid w:val="003F6220"/>
    <w:rsid w:val="003F73EB"/>
    <w:rsid w:val="003F753D"/>
    <w:rsid w:val="003F76A7"/>
    <w:rsid w:val="003F7708"/>
    <w:rsid w:val="003F7713"/>
    <w:rsid w:val="003F7829"/>
    <w:rsid w:val="003F7FF6"/>
    <w:rsid w:val="00400F28"/>
    <w:rsid w:val="004014AA"/>
    <w:rsid w:val="0040196F"/>
    <w:rsid w:val="00401CB6"/>
    <w:rsid w:val="004023AB"/>
    <w:rsid w:val="0040272D"/>
    <w:rsid w:val="00402875"/>
    <w:rsid w:val="00402A8D"/>
    <w:rsid w:val="00402F2B"/>
    <w:rsid w:val="0040320A"/>
    <w:rsid w:val="0040345E"/>
    <w:rsid w:val="00403DC1"/>
    <w:rsid w:val="004045D6"/>
    <w:rsid w:val="00404F70"/>
    <w:rsid w:val="00404FC6"/>
    <w:rsid w:val="004050DF"/>
    <w:rsid w:val="00405980"/>
    <w:rsid w:val="00405B6C"/>
    <w:rsid w:val="00405DBA"/>
    <w:rsid w:val="00406028"/>
    <w:rsid w:val="004065BF"/>
    <w:rsid w:val="00407420"/>
    <w:rsid w:val="0040768B"/>
    <w:rsid w:val="00407BFC"/>
    <w:rsid w:val="0041065E"/>
    <w:rsid w:val="00411B3D"/>
    <w:rsid w:val="004129B8"/>
    <w:rsid w:val="00413040"/>
    <w:rsid w:val="00413EA3"/>
    <w:rsid w:val="00413EEF"/>
    <w:rsid w:val="004141EF"/>
    <w:rsid w:val="004145DE"/>
    <w:rsid w:val="00414E20"/>
    <w:rsid w:val="00414EE7"/>
    <w:rsid w:val="00416228"/>
    <w:rsid w:val="004165C9"/>
    <w:rsid w:val="004176BB"/>
    <w:rsid w:val="004178FC"/>
    <w:rsid w:val="004200B7"/>
    <w:rsid w:val="004226A1"/>
    <w:rsid w:val="004227D7"/>
    <w:rsid w:val="00422B19"/>
    <w:rsid w:val="00422E00"/>
    <w:rsid w:val="004236EE"/>
    <w:rsid w:val="0042383B"/>
    <w:rsid w:val="00423C4A"/>
    <w:rsid w:val="00423D46"/>
    <w:rsid w:val="00423E75"/>
    <w:rsid w:val="004247B2"/>
    <w:rsid w:val="00424CD6"/>
    <w:rsid w:val="00424D9E"/>
    <w:rsid w:val="00425388"/>
    <w:rsid w:val="004256B9"/>
    <w:rsid w:val="00425F93"/>
    <w:rsid w:val="004263EE"/>
    <w:rsid w:val="00426C35"/>
    <w:rsid w:val="00426FAD"/>
    <w:rsid w:val="0042756D"/>
    <w:rsid w:val="004277A6"/>
    <w:rsid w:val="00427CA0"/>
    <w:rsid w:val="00430038"/>
    <w:rsid w:val="004302BA"/>
    <w:rsid w:val="00430479"/>
    <w:rsid w:val="00430987"/>
    <w:rsid w:val="00432801"/>
    <w:rsid w:val="0043289B"/>
    <w:rsid w:val="0043312F"/>
    <w:rsid w:val="00433366"/>
    <w:rsid w:val="00433A31"/>
    <w:rsid w:val="00433AA0"/>
    <w:rsid w:val="00433F23"/>
    <w:rsid w:val="00433F58"/>
    <w:rsid w:val="0043445F"/>
    <w:rsid w:val="004350BD"/>
    <w:rsid w:val="00436D83"/>
    <w:rsid w:val="0043709E"/>
    <w:rsid w:val="00437112"/>
    <w:rsid w:val="00437DD0"/>
    <w:rsid w:val="00440648"/>
    <w:rsid w:val="00441116"/>
    <w:rsid w:val="00441364"/>
    <w:rsid w:val="004413A2"/>
    <w:rsid w:val="00441447"/>
    <w:rsid w:val="0044146B"/>
    <w:rsid w:val="00441F07"/>
    <w:rsid w:val="00442C55"/>
    <w:rsid w:val="00442CE9"/>
    <w:rsid w:val="004435EC"/>
    <w:rsid w:val="00443767"/>
    <w:rsid w:val="004439B3"/>
    <w:rsid w:val="00444126"/>
    <w:rsid w:val="004460E6"/>
    <w:rsid w:val="00446692"/>
    <w:rsid w:val="00447093"/>
    <w:rsid w:val="0044709B"/>
    <w:rsid w:val="00451214"/>
    <w:rsid w:val="00451352"/>
    <w:rsid w:val="00451565"/>
    <w:rsid w:val="0045161E"/>
    <w:rsid w:val="00451D3D"/>
    <w:rsid w:val="00451F2E"/>
    <w:rsid w:val="0045270C"/>
    <w:rsid w:val="00452E5D"/>
    <w:rsid w:val="00453C89"/>
    <w:rsid w:val="00454854"/>
    <w:rsid w:val="00454F58"/>
    <w:rsid w:val="00455012"/>
    <w:rsid w:val="00455690"/>
    <w:rsid w:val="00456347"/>
    <w:rsid w:val="00456612"/>
    <w:rsid w:val="00456E4F"/>
    <w:rsid w:val="00457C1D"/>
    <w:rsid w:val="00460214"/>
    <w:rsid w:val="0046038E"/>
    <w:rsid w:val="004606F9"/>
    <w:rsid w:val="00461120"/>
    <w:rsid w:val="004611F0"/>
    <w:rsid w:val="004611FD"/>
    <w:rsid w:val="0046140E"/>
    <w:rsid w:val="0046164B"/>
    <w:rsid w:val="004619BB"/>
    <w:rsid w:val="00461A0A"/>
    <w:rsid w:val="00461AEE"/>
    <w:rsid w:val="0046287D"/>
    <w:rsid w:val="00462A01"/>
    <w:rsid w:val="00462D63"/>
    <w:rsid w:val="004638AB"/>
    <w:rsid w:val="00463C4B"/>
    <w:rsid w:val="00464327"/>
    <w:rsid w:val="00464462"/>
    <w:rsid w:val="004644C3"/>
    <w:rsid w:val="00464B3E"/>
    <w:rsid w:val="00465843"/>
    <w:rsid w:val="00465B7A"/>
    <w:rsid w:val="00465D37"/>
    <w:rsid w:val="00465F0A"/>
    <w:rsid w:val="0046657F"/>
    <w:rsid w:val="00466CE6"/>
    <w:rsid w:val="0046747D"/>
    <w:rsid w:val="0046784B"/>
    <w:rsid w:val="00470097"/>
    <w:rsid w:val="004701C3"/>
    <w:rsid w:val="0047048E"/>
    <w:rsid w:val="004704CC"/>
    <w:rsid w:val="00470E20"/>
    <w:rsid w:val="00470ECE"/>
    <w:rsid w:val="00470FFA"/>
    <w:rsid w:val="0047108C"/>
    <w:rsid w:val="004711CA"/>
    <w:rsid w:val="0047170D"/>
    <w:rsid w:val="004717F3"/>
    <w:rsid w:val="004726B6"/>
    <w:rsid w:val="004731C7"/>
    <w:rsid w:val="0047363B"/>
    <w:rsid w:val="00473812"/>
    <w:rsid w:val="00473E75"/>
    <w:rsid w:val="00474315"/>
    <w:rsid w:val="00474DDA"/>
    <w:rsid w:val="0047587D"/>
    <w:rsid w:val="00475BE1"/>
    <w:rsid w:val="00476FDC"/>
    <w:rsid w:val="0047705D"/>
    <w:rsid w:val="00477973"/>
    <w:rsid w:val="00477B5F"/>
    <w:rsid w:val="0048032F"/>
    <w:rsid w:val="00480394"/>
    <w:rsid w:val="00480CC0"/>
    <w:rsid w:val="00481CBE"/>
    <w:rsid w:val="00483BC5"/>
    <w:rsid w:val="00483D06"/>
    <w:rsid w:val="00484100"/>
    <w:rsid w:val="00484365"/>
    <w:rsid w:val="004844D5"/>
    <w:rsid w:val="0048507B"/>
    <w:rsid w:val="00485168"/>
    <w:rsid w:val="0048547B"/>
    <w:rsid w:val="004856F9"/>
    <w:rsid w:val="00485D8F"/>
    <w:rsid w:val="004866A8"/>
    <w:rsid w:val="00487BF6"/>
    <w:rsid w:val="00490E2E"/>
    <w:rsid w:val="00490F7D"/>
    <w:rsid w:val="00490FC2"/>
    <w:rsid w:val="0049237D"/>
    <w:rsid w:val="0049255F"/>
    <w:rsid w:val="004929E1"/>
    <w:rsid w:val="00492A3D"/>
    <w:rsid w:val="00492D65"/>
    <w:rsid w:val="00492FF1"/>
    <w:rsid w:val="004931CE"/>
    <w:rsid w:val="0049337E"/>
    <w:rsid w:val="0049340F"/>
    <w:rsid w:val="004934A0"/>
    <w:rsid w:val="004934B9"/>
    <w:rsid w:val="00493974"/>
    <w:rsid w:val="004943B5"/>
    <w:rsid w:val="00494899"/>
    <w:rsid w:val="00494BD0"/>
    <w:rsid w:val="00494DB6"/>
    <w:rsid w:val="0049581A"/>
    <w:rsid w:val="0049684C"/>
    <w:rsid w:val="00496DDA"/>
    <w:rsid w:val="00497A7D"/>
    <w:rsid w:val="00497B35"/>
    <w:rsid w:val="00497DF3"/>
    <w:rsid w:val="004A002A"/>
    <w:rsid w:val="004A0216"/>
    <w:rsid w:val="004A0A01"/>
    <w:rsid w:val="004A0C4E"/>
    <w:rsid w:val="004A0D78"/>
    <w:rsid w:val="004A13D5"/>
    <w:rsid w:val="004A1F67"/>
    <w:rsid w:val="004A22E5"/>
    <w:rsid w:val="004A2513"/>
    <w:rsid w:val="004A36D5"/>
    <w:rsid w:val="004A37A5"/>
    <w:rsid w:val="004A3B70"/>
    <w:rsid w:val="004A3E1E"/>
    <w:rsid w:val="004A4076"/>
    <w:rsid w:val="004A4FB0"/>
    <w:rsid w:val="004A537F"/>
    <w:rsid w:val="004A5396"/>
    <w:rsid w:val="004A5692"/>
    <w:rsid w:val="004A5723"/>
    <w:rsid w:val="004A57AE"/>
    <w:rsid w:val="004A5B96"/>
    <w:rsid w:val="004A6D2B"/>
    <w:rsid w:val="004A727C"/>
    <w:rsid w:val="004A7C8F"/>
    <w:rsid w:val="004B04FE"/>
    <w:rsid w:val="004B08FD"/>
    <w:rsid w:val="004B1679"/>
    <w:rsid w:val="004B177A"/>
    <w:rsid w:val="004B17B7"/>
    <w:rsid w:val="004B1D58"/>
    <w:rsid w:val="004B2220"/>
    <w:rsid w:val="004B2477"/>
    <w:rsid w:val="004B2BFD"/>
    <w:rsid w:val="004B3498"/>
    <w:rsid w:val="004B3595"/>
    <w:rsid w:val="004B38F7"/>
    <w:rsid w:val="004B3B38"/>
    <w:rsid w:val="004B3C2B"/>
    <w:rsid w:val="004B415E"/>
    <w:rsid w:val="004B46F5"/>
    <w:rsid w:val="004B4E5B"/>
    <w:rsid w:val="004B58B9"/>
    <w:rsid w:val="004B5A35"/>
    <w:rsid w:val="004B78C0"/>
    <w:rsid w:val="004B7D81"/>
    <w:rsid w:val="004B7E1A"/>
    <w:rsid w:val="004B7E42"/>
    <w:rsid w:val="004C100C"/>
    <w:rsid w:val="004C1BA0"/>
    <w:rsid w:val="004C1BE4"/>
    <w:rsid w:val="004C222D"/>
    <w:rsid w:val="004C23C5"/>
    <w:rsid w:val="004C281B"/>
    <w:rsid w:val="004C2EB7"/>
    <w:rsid w:val="004C2FB3"/>
    <w:rsid w:val="004C3C84"/>
    <w:rsid w:val="004C49D6"/>
    <w:rsid w:val="004C5EC6"/>
    <w:rsid w:val="004C5FA0"/>
    <w:rsid w:val="004C605D"/>
    <w:rsid w:val="004C60F8"/>
    <w:rsid w:val="004C61D8"/>
    <w:rsid w:val="004C643F"/>
    <w:rsid w:val="004C65FB"/>
    <w:rsid w:val="004C670D"/>
    <w:rsid w:val="004C7E52"/>
    <w:rsid w:val="004C7FB2"/>
    <w:rsid w:val="004C7FC8"/>
    <w:rsid w:val="004D03F8"/>
    <w:rsid w:val="004D1400"/>
    <w:rsid w:val="004D2323"/>
    <w:rsid w:val="004D2EBA"/>
    <w:rsid w:val="004D2EEF"/>
    <w:rsid w:val="004D32D2"/>
    <w:rsid w:val="004D43C4"/>
    <w:rsid w:val="004D46FB"/>
    <w:rsid w:val="004D4F9F"/>
    <w:rsid w:val="004D56A4"/>
    <w:rsid w:val="004D56C6"/>
    <w:rsid w:val="004D5A50"/>
    <w:rsid w:val="004D5A88"/>
    <w:rsid w:val="004D67C4"/>
    <w:rsid w:val="004D6B3E"/>
    <w:rsid w:val="004D6E19"/>
    <w:rsid w:val="004D733E"/>
    <w:rsid w:val="004E0177"/>
    <w:rsid w:val="004E057D"/>
    <w:rsid w:val="004E0B17"/>
    <w:rsid w:val="004E0CC7"/>
    <w:rsid w:val="004E0DAA"/>
    <w:rsid w:val="004E1366"/>
    <w:rsid w:val="004E14EA"/>
    <w:rsid w:val="004E1E28"/>
    <w:rsid w:val="004E229D"/>
    <w:rsid w:val="004E3460"/>
    <w:rsid w:val="004E3DDC"/>
    <w:rsid w:val="004E3F28"/>
    <w:rsid w:val="004E4937"/>
    <w:rsid w:val="004E51F1"/>
    <w:rsid w:val="004E51FD"/>
    <w:rsid w:val="004E54B9"/>
    <w:rsid w:val="004E66AC"/>
    <w:rsid w:val="004E76B2"/>
    <w:rsid w:val="004E7845"/>
    <w:rsid w:val="004E7BAD"/>
    <w:rsid w:val="004F056D"/>
    <w:rsid w:val="004F05DC"/>
    <w:rsid w:val="004F0921"/>
    <w:rsid w:val="004F1711"/>
    <w:rsid w:val="004F1764"/>
    <w:rsid w:val="004F18D5"/>
    <w:rsid w:val="004F1C16"/>
    <w:rsid w:val="004F20D3"/>
    <w:rsid w:val="004F257B"/>
    <w:rsid w:val="004F2671"/>
    <w:rsid w:val="004F2AD2"/>
    <w:rsid w:val="004F3E84"/>
    <w:rsid w:val="004F417C"/>
    <w:rsid w:val="004F41E6"/>
    <w:rsid w:val="004F468F"/>
    <w:rsid w:val="004F48D9"/>
    <w:rsid w:val="004F51A8"/>
    <w:rsid w:val="004F52D7"/>
    <w:rsid w:val="004F5D0C"/>
    <w:rsid w:val="004F5F22"/>
    <w:rsid w:val="004F6C61"/>
    <w:rsid w:val="004F74D0"/>
    <w:rsid w:val="004F74F9"/>
    <w:rsid w:val="004F7775"/>
    <w:rsid w:val="004F7B96"/>
    <w:rsid w:val="00500123"/>
    <w:rsid w:val="00500A9E"/>
    <w:rsid w:val="00500FB2"/>
    <w:rsid w:val="005011BC"/>
    <w:rsid w:val="00501F40"/>
    <w:rsid w:val="0050280B"/>
    <w:rsid w:val="00502CF1"/>
    <w:rsid w:val="005031CE"/>
    <w:rsid w:val="005045A7"/>
    <w:rsid w:val="00504BA4"/>
    <w:rsid w:val="00504D38"/>
    <w:rsid w:val="00504E4E"/>
    <w:rsid w:val="00505270"/>
    <w:rsid w:val="0050531D"/>
    <w:rsid w:val="005055E3"/>
    <w:rsid w:val="00505BD0"/>
    <w:rsid w:val="005063A1"/>
    <w:rsid w:val="005071CD"/>
    <w:rsid w:val="005074F6"/>
    <w:rsid w:val="00507C6C"/>
    <w:rsid w:val="00507F3E"/>
    <w:rsid w:val="00507FC6"/>
    <w:rsid w:val="005107EA"/>
    <w:rsid w:val="00510C7C"/>
    <w:rsid w:val="0051159C"/>
    <w:rsid w:val="00511F2B"/>
    <w:rsid w:val="005134CE"/>
    <w:rsid w:val="00514041"/>
    <w:rsid w:val="00514434"/>
    <w:rsid w:val="005153BE"/>
    <w:rsid w:val="005161E6"/>
    <w:rsid w:val="00516247"/>
    <w:rsid w:val="00516320"/>
    <w:rsid w:val="00516514"/>
    <w:rsid w:val="00516C60"/>
    <w:rsid w:val="00517775"/>
    <w:rsid w:val="00517840"/>
    <w:rsid w:val="00517C7B"/>
    <w:rsid w:val="00520482"/>
    <w:rsid w:val="005210B8"/>
    <w:rsid w:val="00521766"/>
    <w:rsid w:val="005218D7"/>
    <w:rsid w:val="00521BB2"/>
    <w:rsid w:val="00521BCE"/>
    <w:rsid w:val="00522A31"/>
    <w:rsid w:val="005233C3"/>
    <w:rsid w:val="00523660"/>
    <w:rsid w:val="00523B7D"/>
    <w:rsid w:val="005242FC"/>
    <w:rsid w:val="00524CBB"/>
    <w:rsid w:val="00525A22"/>
    <w:rsid w:val="00525FAA"/>
    <w:rsid w:val="005268B4"/>
    <w:rsid w:val="005277B0"/>
    <w:rsid w:val="00527D79"/>
    <w:rsid w:val="00527FC8"/>
    <w:rsid w:val="0053000E"/>
    <w:rsid w:val="00530F75"/>
    <w:rsid w:val="00530FC5"/>
    <w:rsid w:val="005311A5"/>
    <w:rsid w:val="005311E8"/>
    <w:rsid w:val="005315AB"/>
    <w:rsid w:val="00532201"/>
    <w:rsid w:val="0053268A"/>
    <w:rsid w:val="005329B7"/>
    <w:rsid w:val="00533F1E"/>
    <w:rsid w:val="00533FDE"/>
    <w:rsid w:val="005341B6"/>
    <w:rsid w:val="00534D42"/>
    <w:rsid w:val="005364AE"/>
    <w:rsid w:val="005368EA"/>
    <w:rsid w:val="00536DA8"/>
    <w:rsid w:val="0053782D"/>
    <w:rsid w:val="00540123"/>
    <w:rsid w:val="00540346"/>
    <w:rsid w:val="0054208B"/>
    <w:rsid w:val="005420E3"/>
    <w:rsid w:val="0054271A"/>
    <w:rsid w:val="00543462"/>
    <w:rsid w:val="0054348D"/>
    <w:rsid w:val="00543902"/>
    <w:rsid w:val="00543FD1"/>
    <w:rsid w:val="0054437E"/>
    <w:rsid w:val="00544756"/>
    <w:rsid w:val="00544A4F"/>
    <w:rsid w:val="00544B02"/>
    <w:rsid w:val="005453C9"/>
    <w:rsid w:val="0054613C"/>
    <w:rsid w:val="00546CAA"/>
    <w:rsid w:val="0054742B"/>
    <w:rsid w:val="00547760"/>
    <w:rsid w:val="00547991"/>
    <w:rsid w:val="005509EC"/>
    <w:rsid w:val="00551101"/>
    <w:rsid w:val="00551423"/>
    <w:rsid w:val="005515A9"/>
    <w:rsid w:val="00551F89"/>
    <w:rsid w:val="00552082"/>
    <w:rsid w:val="0055255D"/>
    <w:rsid w:val="005527A5"/>
    <w:rsid w:val="0055288F"/>
    <w:rsid w:val="00553CB1"/>
    <w:rsid w:val="0055463B"/>
    <w:rsid w:val="005549AE"/>
    <w:rsid w:val="00554BD7"/>
    <w:rsid w:val="005551E3"/>
    <w:rsid w:val="00555554"/>
    <w:rsid w:val="005555D0"/>
    <w:rsid w:val="005569F6"/>
    <w:rsid w:val="0055750C"/>
    <w:rsid w:val="00557BD8"/>
    <w:rsid w:val="00557C8D"/>
    <w:rsid w:val="0056006F"/>
    <w:rsid w:val="00560F31"/>
    <w:rsid w:val="00560F34"/>
    <w:rsid w:val="005618BE"/>
    <w:rsid w:val="00561BE8"/>
    <w:rsid w:val="00561CC7"/>
    <w:rsid w:val="00564304"/>
    <w:rsid w:val="005644FB"/>
    <w:rsid w:val="00564729"/>
    <w:rsid w:val="00564888"/>
    <w:rsid w:val="00564B98"/>
    <w:rsid w:val="00565117"/>
    <w:rsid w:val="00565BA1"/>
    <w:rsid w:val="00566D15"/>
    <w:rsid w:val="005673DD"/>
    <w:rsid w:val="0056752B"/>
    <w:rsid w:val="005677B5"/>
    <w:rsid w:val="00567988"/>
    <w:rsid w:val="00567B75"/>
    <w:rsid w:val="005708A6"/>
    <w:rsid w:val="00570A9F"/>
    <w:rsid w:val="00571714"/>
    <w:rsid w:val="00571A86"/>
    <w:rsid w:val="00571E4C"/>
    <w:rsid w:val="00572868"/>
    <w:rsid w:val="005729B2"/>
    <w:rsid w:val="00572AE4"/>
    <w:rsid w:val="00573057"/>
    <w:rsid w:val="00573782"/>
    <w:rsid w:val="00573F61"/>
    <w:rsid w:val="005752DA"/>
    <w:rsid w:val="005755C6"/>
    <w:rsid w:val="005758AE"/>
    <w:rsid w:val="00575E80"/>
    <w:rsid w:val="0057638B"/>
    <w:rsid w:val="00576583"/>
    <w:rsid w:val="00576C25"/>
    <w:rsid w:val="00576DE8"/>
    <w:rsid w:val="00576F0E"/>
    <w:rsid w:val="00576F18"/>
    <w:rsid w:val="00577A08"/>
    <w:rsid w:val="00577C72"/>
    <w:rsid w:val="0058043C"/>
    <w:rsid w:val="00580D2F"/>
    <w:rsid w:val="0058120D"/>
    <w:rsid w:val="00581611"/>
    <w:rsid w:val="00581AB6"/>
    <w:rsid w:val="00582063"/>
    <w:rsid w:val="00582422"/>
    <w:rsid w:val="00582886"/>
    <w:rsid w:val="00582D9B"/>
    <w:rsid w:val="00582F00"/>
    <w:rsid w:val="005837DB"/>
    <w:rsid w:val="00583BA4"/>
    <w:rsid w:val="00583BA8"/>
    <w:rsid w:val="00584380"/>
    <w:rsid w:val="005859E6"/>
    <w:rsid w:val="00585E2B"/>
    <w:rsid w:val="00585F2B"/>
    <w:rsid w:val="00585FD3"/>
    <w:rsid w:val="00585FFE"/>
    <w:rsid w:val="00586370"/>
    <w:rsid w:val="00587151"/>
    <w:rsid w:val="00590B9F"/>
    <w:rsid w:val="00591540"/>
    <w:rsid w:val="005916E8"/>
    <w:rsid w:val="00592A6F"/>
    <w:rsid w:val="0059399F"/>
    <w:rsid w:val="005939EB"/>
    <w:rsid w:val="00593A55"/>
    <w:rsid w:val="00595208"/>
    <w:rsid w:val="00595C57"/>
    <w:rsid w:val="005966F9"/>
    <w:rsid w:val="0059687C"/>
    <w:rsid w:val="00596D37"/>
    <w:rsid w:val="005972ED"/>
    <w:rsid w:val="00597774"/>
    <w:rsid w:val="00597876"/>
    <w:rsid w:val="00597E87"/>
    <w:rsid w:val="005A0337"/>
    <w:rsid w:val="005A0893"/>
    <w:rsid w:val="005A0F96"/>
    <w:rsid w:val="005A132C"/>
    <w:rsid w:val="005A173D"/>
    <w:rsid w:val="005A1AA7"/>
    <w:rsid w:val="005A1C6C"/>
    <w:rsid w:val="005A2136"/>
    <w:rsid w:val="005A21F4"/>
    <w:rsid w:val="005A24C5"/>
    <w:rsid w:val="005A2700"/>
    <w:rsid w:val="005A2933"/>
    <w:rsid w:val="005A29AB"/>
    <w:rsid w:val="005A2A32"/>
    <w:rsid w:val="005A338A"/>
    <w:rsid w:val="005A3CEA"/>
    <w:rsid w:val="005A4AEE"/>
    <w:rsid w:val="005A53B2"/>
    <w:rsid w:val="005A5508"/>
    <w:rsid w:val="005A5A8A"/>
    <w:rsid w:val="005A5B3A"/>
    <w:rsid w:val="005A6C8A"/>
    <w:rsid w:val="005A6CE9"/>
    <w:rsid w:val="005A70A5"/>
    <w:rsid w:val="005A7ABE"/>
    <w:rsid w:val="005B0F5B"/>
    <w:rsid w:val="005B10E5"/>
    <w:rsid w:val="005B20C6"/>
    <w:rsid w:val="005B2349"/>
    <w:rsid w:val="005B2534"/>
    <w:rsid w:val="005B29FB"/>
    <w:rsid w:val="005B2B24"/>
    <w:rsid w:val="005B358F"/>
    <w:rsid w:val="005B37C1"/>
    <w:rsid w:val="005B483E"/>
    <w:rsid w:val="005B4E8E"/>
    <w:rsid w:val="005B6567"/>
    <w:rsid w:val="005B6606"/>
    <w:rsid w:val="005B6B65"/>
    <w:rsid w:val="005B6ED5"/>
    <w:rsid w:val="005B7B7A"/>
    <w:rsid w:val="005C0160"/>
    <w:rsid w:val="005C122B"/>
    <w:rsid w:val="005C18D5"/>
    <w:rsid w:val="005C18F1"/>
    <w:rsid w:val="005C1A2F"/>
    <w:rsid w:val="005C1D70"/>
    <w:rsid w:val="005C25C4"/>
    <w:rsid w:val="005C26F9"/>
    <w:rsid w:val="005C2941"/>
    <w:rsid w:val="005C2DBD"/>
    <w:rsid w:val="005C3154"/>
    <w:rsid w:val="005C369C"/>
    <w:rsid w:val="005C3AB4"/>
    <w:rsid w:val="005C3B29"/>
    <w:rsid w:val="005C3C3A"/>
    <w:rsid w:val="005C3E3C"/>
    <w:rsid w:val="005C4A57"/>
    <w:rsid w:val="005C5157"/>
    <w:rsid w:val="005C52CA"/>
    <w:rsid w:val="005C53FF"/>
    <w:rsid w:val="005C5681"/>
    <w:rsid w:val="005C5AA7"/>
    <w:rsid w:val="005C6390"/>
    <w:rsid w:val="005C65F5"/>
    <w:rsid w:val="005C6775"/>
    <w:rsid w:val="005C6FDB"/>
    <w:rsid w:val="005D01AD"/>
    <w:rsid w:val="005D0271"/>
    <w:rsid w:val="005D0996"/>
    <w:rsid w:val="005D111B"/>
    <w:rsid w:val="005D185A"/>
    <w:rsid w:val="005D18CA"/>
    <w:rsid w:val="005D2325"/>
    <w:rsid w:val="005D25B5"/>
    <w:rsid w:val="005D26F3"/>
    <w:rsid w:val="005D27A3"/>
    <w:rsid w:val="005D3AB7"/>
    <w:rsid w:val="005D3DC8"/>
    <w:rsid w:val="005D46E5"/>
    <w:rsid w:val="005D4744"/>
    <w:rsid w:val="005D4AF5"/>
    <w:rsid w:val="005D5E33"/>
    <w:rsid w:val="005D616A"/>
    <w:rsid w:val="005D6638"/>
    <w:rsid w:val="005D7094"/>
    <w:rsid w:val="005D71A0"/>
    <w:rsid w:val="005D7241"/>
    <w:rsid w:val="005D7D34"/>
    <w:rsid w:val="005D7E1C"/>
    <w:rsid w:val="005E0219"/>
    <w:rsid w:val="005E0755"/>
    <w:rsid w:val="005E0D88"/>
    <w:rsid w:val="005E1BF5"/>
    <w:rsid w:val="005E1E6A"/>
    <w:rsid w:val="005E2CAF"/>
    <w:rsid w:val="005E3902"/>
    <w:rsid w:val="005E3A40"/>
    <w:rsid w:val="005E3CAF"/>
    <w:rsid w:val="005E416C"/>
    <w:rsid w:val="005E455E"/>
    <w:rsid w:val="005E48E0"/>
    <w:rsid w:val="005E4991"/>
    <w:rsid w:val="005E50D1"/>
    <w:rsid w:val="005E5A87"/>
    <w:rsid w:val="005E6458"/>
    <w:rsid w:val="005E671C"/>
    <w:rsid w:val="005E67B3"/>
    <w:rsid w:val="005E6855"/>
    <w:rsid w:val="005E695B"/>
    <w:rsid w:val="005E6BCC"/>
    <w:rsid w:val="005E7000"/>
    <w:rsid w:val="005E7935"/>
    <w:rsid w:val="005E7B77"/>
    <w:rsid w:val="005F02D1"/>
    <w:rsid w:val="005F0515"/>
    <w:rsid w:val="005F0F27"/>
    <w:rsid w:val="005F130C"/>
    <w:rsid w:val="005F2131"/>
    <w:rsid w:val="005F3909"/>
    <w:rsid w:val="005F39C5"/>
    <w:rsid w:val="005F420A"/>
    <w:rsid w:val="005F4380"/>
    <w:rsid w:val="005F4427"/>
    <w:rsid w:val="005F4722"/>
    <w:rsid w:val="005F496F"/>
    <w:rsid w:val="005F4972"/>
    <w:rsid w:val="005F4DF7"/>
    <w:rsid w:val="005F4E2D"/>
    <w:rsid w:val="005F4F34"/>
    <w:rsid w:val="005F51E8"/>
    <w:rsid w:val="005F55DA"/>
    <w:rsid w:val="005F56D6"/>
    <w:rsid w:val="005F5910"/>
    <w:rsid w:val="005F730E"/>
    <w:rsid w:val="005F7532"/>
    <w:rsid w:val="005F7A36"/>
    <w:rsid w:val="005F7B53"/>
    <w:rsid w:val="005F7F86"/>
    <w:rsid w:val="00600456"/>
    <w:rsid w:val="00600581"/>
    <w:rsid w:val="00600B3B"/>
    <w:rsid w:val="0060150A"/>
    <w:rsid w:val="00601973"/>
    <w:rsid w:val="00601AD9"/>
    <w:rsid w:val="0060249A"/>
    <w:rsid w:val="00602552"/>
    <w:rsid w:val="00602F6F"/>
    <w:rsid w:val="006032A9"/>
    <w:rsid w:val="0060394E"/>
    <w:rsid w:val="00603FC4"/>
    <w:rsid w:val="00604E83"/>
    <w:rsid w:val="00605846"/>
    <w:rsid w:val="00605D4A"/>
    <w:rsid w:val="00607BD6"/>
    <w:rsid w:val="006104DB"/>
    <w:rsid w:val="006107FB"/>
    <w:rsid w:val="0061122A"/>
    <w:rsid w:val="00611356"/>
    <w:rsid w:val="006115E6"/>
    <w:rsid w:val="00611ECE"/>
    <w:rsid w:val="00612094"/>
    <w:rsid w:val="006120C6"/>
    <w:rsid w:val="00612172"/>
    <w:rsid w:val="00612A2A"/>
    <w:rsid w:val="00612E68"/>
    <w:rsid w:val="00613773"/>
    <w:rsid w:val="006138E0"/>
    <w:rsid w:val="00613CF9"/>
    <w:rsid w:val="0061485F"/>
    <w:rsid w:val="006149FB"/>
    <w:rsid w:val="00614C8A"/>
    <w:rsid w:val="0061549A"/>
    <w:rsid w:val="00615944"/>
    <w:rsid w:val="0061602F"/>
    <w:rsid w:val="006163C1"/>
    <w:rsid w:val="00616866"/>
    <w:rsid w:val="006170C2"/>
    <w:rsid w:val="006170FB"/>
    <w:rsid w:val="00617A81"/>
    <w:rsid w:val="00620802"/>
    <w:rsid w:val="0062196D"/>
    <w:rsid w:val="00621B2A"/>
    <w:rsid w:val="00623284"/>
    <w:rsid w:val="00623484"/>
    <w:rsid w:val="00623505"/>
    <w:rsid w:val="00623B4F"/>
    <w:rsid w:val="0062421C"/>
    <w:rsid w:val="00624F9C"/>
    <w:rsid w:val="0062577F"/>
    <w:rsid w:val="006259C2"/>
    <w:rsid w:val="00625F08"/>
    <w:rsid w:val="006262DA"/>
    <w:rsid w:val="00626A23"/>
    <w:rsid w:val="00626AE6"/>
    <w:rsid w:val="00626D2E"/>
    <w:rsid w:val="00627CCB"/>
    <w:rsid w:val="00630742"/>
    <w:rsid w:val="00630A89"/>
    <w:rsid w:val="00631156"/>
    <w:rsid w:val="0063255F"/>
    <w:rsid w:val="00633277"/>
    <w:rsid w:val="00633B1B"/>
    <w:rsid w:val="00633B9A"/>
    <w:rsid w:val="00633E14"/>
    <w:rsid w:val="0063420C"/>
    <w:rsid w:val="00634692"/>
    <w:rsid w:val="0063484A"/>
    <w:rsid w:val="00634F78"/>
    <w:rsid w:val="006354E1"/>
    <w:rsid w:val="006355DE"/>
    <w:rsid w:val="00636750"/>
    <w:rsid w:val="00636A2C"/>
    <w:rsid w:val="00636D75"/>
    <w:rsid w:val="006403D9"/>
    <w:rsid w:val="006403F6"/>
    <w:rsid w:val="00640404"/>
    <w:rsid w:val="006404D0"/>
    <w:rsid w:val="00640D01"/>
    <w:rsid w:val="00641854"/>
    <w:rsid w:val="00641D26"/>
    <w:rsid w:val="0064212D"/>
    <w:rsid w:val="00642257"/>
    <w:rsid w:val="00642356"/>
    <w:rsid w:val="00643671"/>
    <w:rsid w:val="00644910"/>
    <w:rsid w:val="00644ECE"/>
    <w:rsid w:val="00645CDA"/>
    <w:rsid w:val="00645F33"/>
    <w:rsid w:val="006463DA"/>
    <w:rsid w:val="0064669D"/>
    <w:rsid w:val="006467BB"/>
    <w:rsid w:val="006469B2"/>
    <w:rsid w:val="006470E2"/>
    <w:rsid w:val="00647E7E"/>
    <w:rsid w:val="006507B6"/>
    <w:rsid w:val="00651491"/>
    <w:rsid w:val="00652039"/>
    <w:rsid w:val="00652608"/>
    <w:rsid w:val="00653002"/>
    <w:rsid w:val="0065319C"/>
    <w:rsid w:val="00653320"/>
    <w:rsid w:val="0065371E"/>
    <w:rsid w:val="00653F82"/>
    <w:rsid w:val="006540A3"/>
    <w:rsid w:val="00654480"/>
    <w:rsid w:val="00654C98"/>
    <w:rsid w:val="0065529E"/>
    <w:rsid w:val="006555BB"/>
    <w:rsid w:val="00655767"/>
    <w:rsid w:val="00655BAF"/>
    <w:rsid w:val="00655BDE"/>
    <w:rsid w:val="00655C13"/>
    <w:rsid w:val="00655D68"/>
    <w:rsid w:val="006566CB"/>
    <w:rsid w:val="00656CF9"/>
    <w:rsid w:val="00656DE9"/>
    <w:rsid w:val="006573D2"/>
    <w:rsid w:val="00661513"/>
    <w:rsid w:val="0066173B"/>
    <w:rsid w:val="00661F3E"/>
    <w:rsid w:val="0066281F"/>
    <w:rsid w:val="00662AA6"/>
    <w:rsid w:val="00662D9B"/>
    <w:rsid w:val="00662F69"/>
    <w:rsid w:val="006636A9"/>
    <w:rsid w:val="00663D88"/>
    <w:rsid w:val="00664012"/>
    <w:rsid w:val="00664173"/>
    <w:rsid w:val="0066446E"/>
    <w:rsid w:val="00664771"/>
    <w:rsid w:val="00664898"/>
    <w:rsid w:val="00665226"/>
    <w:rsid w:val="006656A1"/>
    <w:rsid w:val="006660B7"/>
    <w:rsid w:val="00666885"/>
    <w:rsid w:val="006673E0"/>
    <w:rsid w:val="00670F9E"/>
    <w:rsid w:val="00671A5E"/>
    <w:rsid w:val="00672E30"/>
    <w:rsid w:val="006733E4"/>
    <w:rsid w:val="006736A6"/>
    <w:rsid w:val="00673E61"/>
    <w:rsid w:val="00674321"/>
    <w:rsid w:val="00674BEB"/>
    <w:rsid w:val="00675329"/>
    <w:rsid w:val="00675393"/>
    <w:rsid w:val="006759E1"/>
    <w:rsid w:val="00675A71"/>
    <w:rsid w:val="006760FB"/>
    <w:rsid w:val="00676B71"/>
    <w:rsid w:val="00676EC5"/>
    <w:rsid w:val="006770DE"/>
    <w:rsid w:val="00677129"/>
    <w:rsid w:val="00677206"/>
    <w:rsid w:val="00677305"/>
    <w:rsid w:val="00677415"/>
    <w:rsid w:val="00677D1B"/>
    <w:rsid w:val="00680A70"/>
    <w:rsid w:val="00681233"/>
    <w:rsid w:val="00681845"/>
    <w:rsid w:val="0068185B"/>
    <w:rsid w:val="00681A5E"/>
    <w:rsid w:val="006823BA"/>
    <w:rsid w:val="00682549"/>
    <w:rsid w:val="00682B74"/>
    <w:rsid w:val="00682C47"/>
    <w:rsid w:val="00683221"/>
    <w:rsid w:val="006833E9"/>
    <w:rsid w:val="00683494"/>
    <w:rsid w:val="006834E4"/>
    <w:rsid w:val="00683929"/>
    <w:rsid w:val="00683A77"/>
    <w:rsid w:val="00684F6B"/>
    <w:rsid w:val="00685047"/>
    <w:rsid w:val="00685141"/>
    <w:rsid w:val="006852DD"/>
    <w:rsid w:val="00685517"/>
    <w:rsid w:val="00686144"/>
    <w:rsid w:val="006866EA"/>
    <w:rsid w:val="00686A79"/>
    <w:rsid w:val="00686E7C"/>
    <w:rsid w:val="00686F0C"/>
    <w:rsid w:val="00686FC3"/>
    <w:rsid w:val="006871A1"/>
    <w:rsid w:val="006907F3"/>
    <w:rsid w:val="0069093B"/>
    <w:rsid w:val="006921E6"/>
    <w:rsid w:val="00692CAF"/>
    <w:rsid w:val="00692E6D"/>
    <w:rsid w:val="006937D4"/>
    <w:rsid w:val="0069492E"/>
    <w:rsid w:val="00695486"/>
    <w:rsid w:val="00695558"/>
    <w:rsid w:val="00695973"/>
    <w:rsid w:val="00695A92"/>
    <w:rsid w:val="00696689"/>
    <w:rsid w:val="006967F6"/>
    <w:rsid w:val="00696FA1"/>
    <w:rsid w:val="00697384"/>
    <w:rsid w:val="00697467"/>
    <w:rsid w:val="00697CFA"/>
    <w:rsid w:val="00697D7B"/>
    <w:rsid w:val="006A007E"/>
    <w:rsid w:val="006A04D6"/>
    <w:rsid w:val="006A0A3A"/>
    <w:rsid w:val="006A16E4"/>
    <w:rsid w:val="006A1F98"/>
    <w:rsid w:val="006A204C"/>
    <w:rsid w:val="006A2261"/>
    <w:rsid w:val="006A3587"/>
    <w:rsid w:val="006A3EDA"/>
    <w:rsid w:val="006A435A"/>
    <w:rsid w:val="006A4720"/>
    <w:rsid w:val="006A4D57"/>
    <w:rsid w:val="006A55CB"/>
    <w:rsid w:val="006A5609"/>
    <w:rsid w:val="006A7779"/>
    <w:rsid w:val="006A79F2"/>
    <w:rsid w:val="006B0036"/>
    <w:rsid w:val="006B00FE"/>
    <w:rsid w:val="006B0367"/>
    <w:rsid w:val="006B0BA9"/>
    <w:rsid w:val="006B0CB4"/>
    <w:rsid w:val="006B0D9D"/>
    <w:rsid w:val="006B13F5"/>
    <w:rsid w:val="006B33BB"/>
    <w:rsid w:val="006B3B03"/>
    <w:rsid w:val="006B419A"/>
    <w:rsid w:val="006B4310"/>
    <w:rsid w:val="006B4B19"/>
    <w:rsid w:val="006B4F26"/>
    <w:rsid w:val="006B5845"/>
    <w:rsid w:val="006B5A64"/>
    <w:rsid w:val="006B6277"/>
    <w:rsid w:val="006B6647"/>
    <w:rsid w:val="006B682F"/>
    <w:rsid w:val="006B6BD5"/>
    <w:rsid w:val="006B76EF"/>
    <w:rsid w:val="006B7FD4"/>
    <w:rsid w:val="006C01F7"/>
    <w:rsid w:val="006C0B20"/>
    <w:rsid w:val="006C0CAE"/>
    <w:rsid w:val="006C174F"/>
    <w:rsid w:val="006C17E3"/>
    <w:rsid w:val="006C18B4"/>
    <w:rsid w:val="006C223F"/>
    <w:rsid w:val="006C2DE0"/>
    <w:rsid w:val="006C3626"/>
    <w:rsid w:val="006C421E"/>
    <w:rsid w:val="006C43AE"/>
    <w:rsid w:val="006C43D0"/>
    <w:rsid w:val="006C52FC"/>
    <w:rsid w:val="006C55BA"/>
    <w:rsid w:val="006C5D6A"/>
    <w:rsid w:val="006C6048"/>
    <w:rsid w:val="006C6236"/>
    <w:rsid w:val="006C635C"/>
    <w:rsid w:val="006C6609"/>
    <w:rsid w:val="006C6731"/>
    <w:rsid w:val="006C7459"/>
    <w:rsid w:val="006C7744"/>
    <w:rsid w:val="006C7D03"/>
    <w:rsid w:val="006C7DEE"/>
    <w:rsid w:val="006D0AB1"/>
    <w:rsid w:val="006D128F"/>
    <w:rsid w:val="006D2399"/>
    <w:rsid w:val="006D2480"/>
    <w:rsid w:val="006D2662"/>
    <w:rsid w:val="006D277C"/>
    <w:rsid w:val="006D28C5"/>
    <w:rsid w:val="006D2BE1"/>
    <w:rsid w:val="006D2DCC"/>
    <w:rsid w:val="006D34B9"/>
    <w:rsid w:val="006D3D16"/>
    <w:rsid w:val="006D437A"/>
    <w:rsid w:val="006D4C86"/>
    <w:rsid w:val="006D4D24"/>
    <w:rsid w:val="006D4E4F"/>
    <w:rsid w:val="006D55D5"/>
    <w:rsid w:val="006D55D8"/>
    <w:rsid w:val="006D5E73"/>
    <w:rsid w:val="006D6284"/>
    <w:rsid w:val="006D6770"/>
    <w:rsid w:val="006D729D"/>
    <w:rsid w:val="006D752B"/>
    <w:rsid w:val="006D7763"/>
    <w:rsid w:val="006E0802"/>
    <w:rsid w:val="006E0FFE"/>
    <w:rsid w:val="006E1117"/>
    <w:rsid w:val="006E1812"/>
    <w:rsid w:val="006E1A72"/>
    <w:rsid w:val="006E25F7"/>
    <w:rsid w:val="006E3425"/>
    <w:rsid w:val="006E3B96"/>
    <w:rsid w:val="006E3BC2"/>
    <w:rsid w:val="006E483C"/>
    <w:rsid w:val="006E50A5"/>
    <w:rsid w:val="006E5FC1"/>
    <w:rsid w:val="006E631E"/>
    <w:rsid w:val="006E74B3"/>
    <w:rsid w:val="006E7740"/>
    <w:rsid w:val="006E7878"/>
    <w:rsid w:val="006E7A0A"/>
    <w:rsid w:val="006E7B4C"/>
    <w:rsid w:val="006E7E2A"/>
    <w:rsid w:val="006F08CF"/>
    <w:rsid w:val="006F09A4"/>
    <w:rsid w:val="006F11D3"/>
    <w:rsid w:val="006F11E5"/>
    <w:rsid w:val="006F17B3"/>
    <w:rsid w:val="006F2F93"/>
    <w:rsid w:val="006F38DE"/>
    <w:rsid w:val="006F4301"/>
    <w:rsid w:val="006F4811"/>
    <w:rsid w:val="006F482B"/>
    <w:rsid w:val="006F4ADA"/>
    <w:rsid w:val="006F56A6"/>
    <w:rsid w:val="006F6477"/>
    <w:rsid w:val="006F6D6F"/>
    <w:rsid w:val="006F6DA7"/>
    <w:rsid w:val="006F6E70"/>
    <w:rsid w:val="006F72D7"/>
    <w:rsid w:val="006F7752"/>
    <w:rsid w:val="00700490"/>
    <w:rsid w:val="0070176E"/>
    <w:rsid w:val="00702AEB"/>
    <w:rsid w:val="00703666"/>
    <w:rsid w:val="00703EFD"/>
    <w:rsid w:val="00704B8A"/>
    <w:rsid w:val="00705A21"/>
    <w:rsid w:val="0070629F"/>
    <w:rsid w:val="007067B8"/>
    <w:rsid w:val="00706D35"/>
    <w:rsid w:val="007103DA"/>
    <w:rsid w:val="00710A02"/>
    <w:rsid w:val="0071100A"/>
    <w:rsid w:val="007122E6"/>
    <w:rsid w:val="007129B0"/>
    <w:rsid w:val="00712FAD"/>
    <w:rsid w:val="00712FE7"/>
    <w:rsid w:val="007131D2"/>
    <w:rsid w:val="00713BEB"/>
    <w:rsid w:val="00713C76"/>
    <w:rsid w:val="00714AF1"/>
    <w:rsid w:val="0071529F"/>
    <w:rsid w:val="0071594B"/>
    <w:rsid w:val="00716DEB"/>
    <w:rsid w:val="007173C9"/>
    <w:rsid w:val="007173E2"/>
    <w:rsid w:val="007177C1"/>
    <w:rsid w:val="0071796C"/>
    <w:rsid w:val="0072002A"/>
    <w:rsid w:val="00720295"/>
    <w:rsid w:val="00720361"/>
    <w:rsid w:val="00720405"/>
    <w:rsid w:val="00720423"/>
    <w:rsid w:val="00720766"/>
    <w:rsid w:val="007207F6"/>
    <w:rsid w:val="007211A8"/>
    <w:rsid w:val="007212AE"/>
    <w:rsid w:val="00722011"/>
    <w:rsid w:val="00722255"/>
    <w:rsid w:val="007222AA"/>
    <w:rsid w:val="0072235A"/>
    <w:rsid w:val="00722B2A"/>
    <w:rsid w:val="00722FFD"/>
    <w:rsid w:val="007230AF"/>
    <w:rsid w:val="00723327"/>
    <w:rsid w:val="00723CEC"/>
    <w:rsid w:val="00723D7C"/>
    <w:rsid w:val="00724EA5"/>
    <w:rsid w:val="0072524C"/>
    <w:rsid w:val="0072542D"/>
    <w:rsid w:val="0072552B"/>
    <w:rsid w:val="0072584F"/>
    <w:rsid w:val="00725A0E"/>
    <w:rsid w:val="00725E77"/>
    <w:rsid w:val="00726460"/>
    <w:rsid w:val="00726F37"/>
    <w:rsid w:val="007308BC"/>
    <w:rsid w:val="00730F55"/>
    <w:rsid w:val="00732D99"/>
    <w:rsid w:val="00732E20"/>
    <w:rsid w:val="00732EE1"/>
    <w:rsid w:val="00733AEA"/>
    <w:rsid w:val="00736BC9"/>
    <w:rsid w:val="00736F88"/>
    <w:rsid w:val="0073738F"/>
    <w:rsid w:val="0073739B"/>
    <w:rsid w:val="00737741"/>
    <w:rsid w:val="00737B77"/>
    <w:rsid w:val="007408DE"/>
    <w:rsid w:val="00740A0A"/>
    <w:rsid w:val="00740D96"/>
    <w:rsid w:val="007410B7"/>
    <w:rsid w:val="00741343"/>
    <w:rsid w:val="007416BF"/>
    <w:rsid w:val="00741876"/>
    <w:rsid w:val="00741FC5"/>
    <w:rsid w:val="0074348D"/>
    <w:rsid w:val="007437A3"/>
    <w:rsid w:val="007448D4"/>
    <w:rsid w:val="007448F0"/>
    <w:rsid w:val="00744C2D"/>
    <w:rsid w:val="007454F5"/>
    <w:rsid w:val="00745D45"/>
    <w:rsid w:val="00746660"/>
    <w:rsid w:val="00746BF1"/>
    <w:rsid w:val="00746F49"/>
    <w:rsid w:val="00747286"/>
    <w:rsid w:val="00747ED7"/>
    <w:rsid w:val="00750223"/>
    <w:rsid w:val="007504EF"/>
    <w:rsid w:val="007505FB"/>
    <w:rsid w:val="00750DE1"/>
    <w:rsid w:val="00751272"/>
    <w:rsid w:val="0075163B"/>
    <w:rsid w:val="00751754"/>
    <w:rsid w:val="007529CD"/>
    <w:rsid w:val="00752FB2"/>
    <w:rsid w:val="00753563"/>
    <w:rsid w:val="007539ED"/>
    <w:rsid w:val="00753BB2"/>
    <w:rsid w:val="00753C18"/>
    <w:rsid w:val="00753E3F"/>
    <w:rsid w:val="00754E02"/>
    <w:rsid w:val="007566C9"/>
    <w:rsid w:val="00756A2E"/>
    <w:rsid w:val="00757027"/>
    <w:rsid w:val="007573B8"/>
    <w:rsid w:val="007573BB"/>
    <w:rsid w:val="00757C24"/>
    <w:rsid w:val="007604AD"/>
    <w:rsid w:val="00761516"/>
    <w:rsid w:val="00761E3D"/>
    <w:rsid w:val="00761EA7"/>
    <w:rsid w:val="00762649"/>
    <w:rsid w:val="00763320"/>
    <w:rsid w:val="00763BA8"/>
    <w:rsid w:val="00764776"/>
    <w:rsid w:val="00764B00"/>
    <w:rsid w:val="00764BF7"/>
    <w:rsid w:val="00764F3F"/>
    <w:rsid w:val="00765939"/>
    <w:rsid w:val="007666CE"/>
    <w:rsid w:val="007669B8"/>
    <w:rsid w:val="00766FFD"/>
    <w:rsid w:val="007671C0"/>
    <w:rsid w:val="00767E81"/>
    <w:rsid w:val="00770078"/>
    <w:rsid w:val="00770477"/>
    <w:rsid w:val="00770992"/>
    <w:rsid w:val="00771364"/>
    <w:rsid w:val="007714D7"/>
    <w:rsid w:val="00771542"/>
    <w:rsid w:val="00771C82"/>
    <w:rsid w:val="007720BD"/>
    <w:rsid w:val="00772EFC"/>
    <w:rsid w:val="00772F37"/>
    <w:rsid w:val="0077320B"/>
    <w:rsid w:val="00773F34"/>
    <w:rsid w:val="00774AA3"/>
    <w:rsid w:val="00775144"/>
    <w:rsid w:val="007761B6"/>
    <w:rsid w:val="00776708"/>
    <w:rsid w:val="007769DF"/>
    <w:rsid w:val="00776D0D"/>
    <w:rsid w:val="00777267"/>
    <w:rsid w:val="007774C3"/>
    <w:rsid w:val="007775D8"/>
    <w:rsid w:val="00777648"/>
    <w:rsid w:val="00777696"/>
    <w:rsid w:val="007779B4"/>
    <w:rsid w:val="00777B1B"/>
    <w:rsid w:val="00777BA5"/>
    <w:rsid w:val="00781474"/>
    <w:rsid w:val="00781651"/>
    <w:rsid w:val="007817C8"/>
    <w:rsid w:val="00782148"/>
    <w:rsid w:val="00782AF6"/>
    <w:rsid w:val="00782BD0"/>
    <w:rsid w:val="007834A0"/>
    <w:rsid w:val="00783528"/>
    <w:rsid w:val="0078398D"/>
    <w:rsid w:val="0078446A"/>
    <w:rsid w:val="0078468B"/>
    <w:rsid w:val="0078478F"/>
    <w:rsid w:val="00784CAE"/>
    <w:rsid w:val="007853E0"/>
    <w:rsid w:val="007854F7"/>
    <w:rsid w:val="007855D1"/>
    <w:rsid w:val="0078592A"/>
    <w:rsid w:val="007875C3"/>
    <w:rsid w:val="00787952"/>
    <w:rsid w:val="00790125"/>
    <w:rsid w:val="00791035"/>
    <w:rsid w:val="0079126A"/>
    <w:rsid w:val="00791AE7"/>
    <w:rsid w:val="00792AB5"/>
    <w:rsid w:val="00792B2E"/>
    <w:rsid w:val="00792C8C"/>
    <w:rsid w:val="007936C0"/>
    <w:rsid w:val="00793C64"/>
    <w:rsid w:val="007940AD"/>
    <w:rsid w:val="0079458B"/>
    <w:rsid w:val="00794FE3"/>
    <w:rsid w:val="00795AF8"/>
    <w:rsid w:val="007962C5"/>
    <w:rsid w:val="007965A1"/>
    <w:rsid w:val="007972D3"/>
    <w:rsid w:val="007A147E"/>
    <w:rsid w:val="007A15FF"/>
    <w:rsid w:val="007A17C1"/>
    <w:rsid w:val="007A28F0"/>
    <w:rsid w:val="007A3057"/>
    <w:rsid w:val="007A3331"/>
    <w:rsid w:val="007A34E9"/>
    <w:rsid w:val="007A4119"/>
    <w:rsid w:val="007A4295"/>
    <w:rsid w:val="007A4778"/>
    <w:rsid w:val="007A53BF"/>
    <w:rsid w:val="007A54FD"/>
    <w:rsid w:val="007A5B1B"/>
    <w:rsid w:val="007A5B70"/>
    <w:rsid w:val="007A62B9"/>
    <w:rsid w:val="007A67C8"/>
    <w:rsid w:val="007A7A55"/>
    <w:rsid w:val="007A7AE6"/>
    <w:rsid w:val="007B03A0"/>
    <w:rsid w:val="007B0637"/>
    <w:rsid w:val="007B13E1"/>
    <w:rsid w:val="007B16A1"/>
    <w:rsid w:val="007B1D80"/>
    <w:rsid w:val="007B3E74"/>
    <w:rsid w:val="007B3FB8"/>
    <w:rsid w:val="007B404A"/>
    <w:rsid w:val="007B41E8"/>
    <w:rsid w:val="007B459C"/>
    <w:rsid w:val="007B476E"/>
    <w:rsid w:val="007B487E"/>
    <w:rsid w:val="007B4FE9"/>
    <w:rsid w:val="007B54F2"/>
    <w:rsid w:val="007B635D"/>
    <w:rsid w:val="007B6896"/>
    <w:rsid w:val="007B68F1"/>
    <w:rsid w:val="007B7177"/>
    <w:rsid w:val="007B72D7"/>
    <w:rsid w:val="007B750E"/>
    <w:rsid w:val="007B77AE"/>
    <w:rsid w:val="007B78CD"/>
    <w:rsid w:val="007B7985"/>
    <w:rsid w:val="007B7C69"/>
    <w:rsid w:val="007C043F"/>
    <w:rsid w:val="007C06A5"/>
    <w:rsid w:val="007C091A"/>
    <w:rsid w:val="007C0B91"/>
    <w:rsid w:val="007C10C9"/>
    <w:rsid w:val="007C1998"/>
    <w:rsid w:val="007C2271"/>
    <w:rsid w:val="007C2869"/>
    <w:rsid w:val="007C2A54"/>
    <w:rsid w:val="007C35B1"/>
    <w:rsid w:val="007C39D5"/>
    <w:rsid w:val="007C3DEC"/>
    <w:rsid w:val="007C3FA4"/>
    <w:rsid w:val="007C3FD6"/>
    <w:rsid w:val="007C3FED"/>
    <w:rsid w:val="007C43D3"/>
    <w:rsid w:val="007C45E4"/>
    <w:rsid w:val="007C4AF1"/>
    <w:rsid w:val="007C4C9F"/>
    <w:rsid w:val="007C51F7"/>
    <w:rsid w:val="007C6E5C"/>
    <w:rsid w:val="007C7C03"/>
    <w:rsid w:val="007C7C71"/>
    <w:rsid w:val="007D069F"/>
    <w:rsid w:val="007D102F"/>
    <w:rsid w:val="007D199D"/>
    <w:rsid w:val="007D1F96"/>
    <w:rsid w:val="007D2EF8"/>
    <w:rsid w:val="007D3336"/>
    <w:rsid w:val="007D3ABB"/>
    <w:rsid w:val="007D3E27"/>
    <w:rsid w:val="007D479B"/>
    <w:rsid w:val="007D4B60"/>
    <w:rsid w:val="007D4F06"/>
    <w:rsid w:val="007D5788"/>
    <w:rsid w:val="007D6125"/>
    <w:rsid w:val="007D6497"/>
    <w:rsid w:val="007D66C1"/>
    <w:rsid w:val="007D739F"/>
    <w:rsid w:val="007D764F"/>
    <w:rsid w:val="007D7673"/>
    <w:rsid w:val="007D7C50"/>
    <w:rsid w:val="007D7FBB"/>
    <w:rsid w:val="007E05A6"/>
    <w:rsid w:val="007E0627"/>
    <w:rsid w:val="007E06E7"/>
    <w:rsid w:val="007E0DF6"/>
    <w:rsid w:val="007E1568"/>
    <w:rsid w:val="007E244C"/>
    <w:rsid w:val="007E254B"/>
    <w:rsid w:val="007E2D3E"/>
    <w:rsid w:val="007E3188"/>
    <w:rsid w:val="007E31F6"/>
    <w:rsid w:val="007E3607"/>
    <w:rsid w:val="007E3E24"/>
    <w:rsid w:val="007E427E"/>
    <w:rsid w:val="007E4DA6"/>
    <w:rsid w:val="007E5146"/>
    <w:rsid w:val="007E57FC"/>
    <w:rsid w:val="007E585F"/>
    <w:rsid w:val="007E58C0"/>
    <w:rsid w:val="007E59C3"/>
    <w:rsid w:val="007E6753"/>
    <w:rsid w:val="007E67BB"/>
    <w:rsid w:val="007E67C1"/>
    <w:rsid w:val="007E6C66"/>
    <w:rsid w:val="007E78D0"/>
    <w:rsid w:val="007E78FD"/>
    <w:rsid w:val="007E7C0E"/>
    <w:rsid w:val="007E7F08"/>
    <w:rsid w:val="007F0809"/>
    <w:rsid w:val="007F0E49"/>
    <w:rsid w:val="007F109D"/>
    <w:rsid w:val="007F10B6"/>
    <w:rsid w:val="007F190A"/>
    <w:rsid w:val="007F1BBB"/>
    <w:rsid w:val="007F1C84"/>
    <w:rsid w:val="007F29B4"/>
    <w:rsid w:val="007F2A82"/>
    <w:rsid w:val="007F346A"/>
    <w:rsid w:val="007F4F7C"/>
    <w:rsid w:val="007F5BBB"/>
    <w:rsid w:val="007F5D91"/>
    <w:rsid w:val="007F6511"/>
    <w:rsid w:val="007F7A70"/>
    <w:rsid w:val="00800023"/>
    <w:rsid w:val="00800080"/>
    <w:rsid w:val="00800FB5"/>
    <w:rsid w:val="00801B3B"/>
    <w:rsid w:val="0080202C"/>
    <w:rsid w:val="00802669"/>
    <w:rsid w:val="00802F1B"/>
    <w:rsid w:val="008030CC"/>
    <w:rsid w:val="0080415D"/>
    <w:rsid w:val="008052E4"/>
    <w:rsid w:val="00806D55"/>
    <w:rsid w:val="0080758C"/>
    <w:rsid w:val="0080797F"/>
    <w:rsid w:val="00807A84"/>
    <w:rsid w:val="00807E92"/>
    <w:rsid w:val="0081076D"/>
    <w:rsid w:val="00810C43"/>
    <w:rsid w:val="00811530"/>
    <w:rsid w:val="0081197B"/>
    <w:rsid w:val="00812C64"/>
    <w:rsid w:val="00813C01"/>
    <w:rsid w:val="00813E50"/>
    <w:rsid w:val="008141CC"/>
    <w:rsid w:val="00814582"/>
    <w:rsid w:val="00815095"/>
    <w:rsid w:val="00815700"/>
    <w:rsid w:val="00815D63"/>
    <w:rsid w:val="0081692E"/>
    <w:rsid w:val="00816C32"/>
    <w:rsid w:val="00817356"/>
    <w:rsid w:val="00817647"/>
    <w:rsid w:val="00817876"/>
    <w:rsid w:val="00817A32"/>
    <w:rsid w:val="00817DEA"/>
    <w:rsid w:val="00817EEE"/>
    <w:rsid w:val="0082027D"/>
    <w:rsid w:val="0082124A"/>
    <w:rsid w:val="00821300"/>
    <w:rsid w:val="00821A97"/>
    <w:rsid w:val="00821CD5"/>
    <w:rsid w:val="00821E62"/>
    <w:rsid w:val="00821F54"/>
    <w:rsid w:val="00822069"/>
    <w:rsid w:val="0082301D"/>
    <w:rsid w:val="00823A50"/>
    <w:rsid w:val="00823B06"/>
    <w:rsid w:val="008247F6"/>
    <w:rsid w:val="008248B3"/>
    <w:rsid w:val="00824E5E"/>
    <w:rsid w:val="00824EBE"/>
    <w:rsid w:val="00824FA2"/>
    <w:rsid w:val="00825006"/>
    <w:rsid w:val="0082576C"/>
    <w:rsid w:val="0082592D"/>
    <w:rsid w:val="00826EA9"/>
    <w:rsid w:val="0082778E"/>
    <w:rsid w:val="008277C5"/>
    <w:rsid w:val="00827EE7"/>
    <w:rsid w:val="00827FDA"/>
    <w:rsid w:val="00830D1B"/>
    <w:rsid w:val="00830DE6"/>
    <w:rsid w:val="00832284"/>
    <w:rsid w:val="00832CA2"/>
    <w:rsid w:val="00833269"/>
    <w:rsid w:val="008332F1"/>
    <w:rsid w:val="00833404"/>
    <w:rsid w:val="008335D6"/>
    <w:rsid w:val="00834133"/>
    <w:rsid w:val="008351F0"/>
    <w:rsid w:val="0083638F"/>
    <w:rsid w:val="008369A0"/>
    <w:rsid w:val="0083766F"/>
    <w:rsid w:val="0083781A"/>
    <w:rsid w:val="00837BC6"/>
    <w:rsid w:val="00837BF8"/>
    <w:rsid w:val="008402E2"/>
    <w:rsid w:val="00840360"/>
    <w:rsid w:val="00840457"/>
    <w:rsid w:val="0084067C"/>
    <w:rsid w:val="00840A8E"/>
    <w:rsid w:val="00840CDD"/>
    <w:rsid w:val="00840D61"/>
    <w:rsid w:val="0084167E"/>
    <w:rsid w:val="008416A4"/>
    <w:rsid w:val="00841B46"/>
    <w:rsid w:val="00842687"/>
    <w:rsid w:val="00843122"/>
    <w:rsid w:val="00843575"/>
    <w:rsid w:val="00843DB3"/>
    <w:rsid w:val="0084418D"/>
    <w:rsid w:val="008443C9"/>
    <w:rsid w:val="00844F5D"/>
    <w:rsid w:val="00845265"/>
    <w:rsid w:val="008453F8"/>
    <w:rsid w:val="00845576"/>
    <w:rsid w:val="0084583B"/>
    <w:rsid w:val="008463FB"/>
    <w:rsid w:val="00846656"/>
    <w:rsid w:val="00846662"/>
    <w:rsid w:val="00846BF4"/>
    <w:rsid w:val="00847E6B"/>
    <w:rsid w:val="0085023F"/>
    <w:rsid w:val="00850818"/>
    <w:rsid w:val="008512CF"/>
    <w:rsid w:val="008515BA"/>
    <w:rsid w:val="008516B6"/>
    <w:rsid w:val="00851A96"/>
    <w:rsid w:val="00851DF6"/>
    <w:rsid w:val="00852801"/>
    <w:rsid w:val="0085284F"/>
    <w:rsid w:val="00852B88"/>
    <w:rsid w:val="0085435E"/>
    <w:rsid w:val="0085456C"/>
    <w:rsid w:val="008545E2"/>
    <w:rsid w:val="008554EA"/>
    <w:rsid w:val="00855513"/>
    <w:rsid w:val="00855835"/>
    <w:rsid w:val="00855A40"/>
    <w:rsid w:val="0085653A"/>
    <w:rsid w:val="00856663"/>
    <w:rsid w:val="00856AD5"/>
    <w:rsid w:val="00857DD4"/>
    <w:rsid w:val="008604C6"/>
    <w:rsid w:val="00860652"/>
    <w:rsid w:val="00860711"/>
    <w:rsid w:val="00860730"/>
    <w:rsid w:val="008610B0"/>
    <w:rsid w:val="0086121C"/>
    <w:rsid w:val="00861BA1"/>
    <w:rsid w:val="00861C8D"/>
    <w:rsid w:val="00862906"/>
    <w:rsid w:val="00862965"/>
    <w:rsid w:val="00862AC8"/>
    <w:rsid w:val="008645A4"/>
    <w:rsid w:val="008646FF"/>
    <w:rsid w:val="00864DB3"/>
    <w:rsid w:val="00865A91"/>
    <w:rsid w:val="00865F17"/>
    <w:rsid w:val="00866224"/>
    <w:rsid w:val="00866351"/>
    <w:rsid w:val="0086650D"/>
    <w:rsid w:val="00866BCD"/>
    <w:rsid w:val="00866EDA"/>
    <w:rsid w:val="00867AA3"/>
    <w:rsid w:val="00867E88"/>
    <w:rsid w:val="00870979"/>
    <w:rsid w:val="008713D6"/>
    <w:rsid w:val="00871986"/>
    <w:rsid w:val="00871BCA"/>
    <w:rsid w:val="00872283"/>
    <w:rsid w:val="00872852"/>
    <w:rsid w:val="00872D9D"/>
    <w:rsid w:val="0087356B"/>
    <w:rsid w:val="00874BA4"/>
    <w:rsid w:val="00875414"/>
    <w:rsid w:val="0087596A"/>
    <w:rsid w:val="00876513"/>
    <w:rsid w:val="008767BE"/>
    <w:rsid w:val="008772FB"/>
    <w:rsid w:val="00880D9F"/>
    <w:rsid w:val="008816C3"/>
    <w:rsid w:val="00881C73"/>
    <w:rsid w:val="00882069"/>
    <w:rsid w:val="008826CD"/>
    <w:rsid w:val="00883556"/>
    <w:rsid w:val="008835D1"/>
    <w:rsid w:val="008843FC"/>
    <w:rsid w:val="00884B78"/>
    <w:rsid w:val="00885FB0"/>
    <w:rsid w:val="0088608B"/>
    <w:rsid w:val="0088650D"/>
    <w:rsid w:val="0088665F"/>
    <w:rsid w:val="00886DE2"/>
    <w:rsid w:val="00886ED9"/>
    <w:rsid w:val="00886FA2"/>
    <w:rsid w:val="008878C3"/>
    <w:rsid w:val="00887C44"/>
    <w:rsid w:val="00887CB6"/>
    <w:rsid w:val="008903A6"/>
    <w:rsid w:val="0089042D"/>
    <w:rsid w:val="008904D0"/>
    <w:rsid w:val="00890C19"/>
    <w:rsid w:val="008910E4"/>
    <w:rsid w:val="008913E6"/>
    <w:rsid w:val="0089183C"/>
    <w:rsid w:val="00891915"/>
    <w:rsid w:val="008922CB"/>
    <w:rsid w:val="00893079"/>
    <w:rsid w:val="00893E50"/>
    <w:rsid w:val="008941F3"/>
    <w:rsid w:val="0089436D"/>
    <w:rsid w:val="00895257"/>
    <w:rsid w:val="00895B46"/>
    <w:rsid w:val="0089653B"/>
    <w:rsid w:val="008972D2"/>
    <w:rsid w:val="0089732F"/>
    <w:rsid w:val="0089759F"/>
    <w:rsid w:val="00897878"/>
    <w:rsid w:val="00897921"/>
    <w:rsid w:val="00897947"/>
    <w:rsid w:val="00897EBB"/>
    <w:rsid w:val="008A0058"/>
    <w:rsid w:val="008A0320"/>
    <w:rsid w:val="008A0395"/>
    <w:rsid w:val="008A04EB"/>
    <w:rsid w:val="008A1245"/>
    <w:rsid w:val="008A1DF1"/>
    <w:rsid w:val="008A2364"/>
    <w:rsid w:val="008A2F49"/>
    <w:rsid w:val="008A3D8B"/>
    <w:rsid w:val="008A4395"/>
    <w:rsid w:val="008A4A2E"/>
    <w:rsid w:val="008A5CA0"/>
    <w:rsid w:val="008A5D49"/>
    <w:rsid w:val="008A6E64"/>
    <w:rsid w:val="008B034D"/>
    <w:rsid w:val="008B0EC1"/>
    <w:rsid w:val="008B0EC2"/>
    <w:rsid w:val="008B1075"/>
    <w:rsid w:val="008B116E"/>
    <w:rsid w:val="008B23F2"/>
    <w:rsid w:val="008B242A"/>
    <w:rsid w:val="008B2830"/>
    <w:rsid w:val="008B2B18"/>
    <w:rsid w:val="008B2F1F"/>
    <w:rsid w:val="008B313C"/>
    <w:rsid w:val="008B3198"/>
    <w:rsid w:val="008B3620"/>
    <w:rsid w:val="008B39A1"/>
    <w:rsid w:val="008B3B32"/>
    <w:rsid w:val="008B4A91"/>
    <w:rsid w:val="008B58AC"/>
    <w:rsid w:val="008B5C4D"/>
    <w:rsid w:val="008B5D56"/>
    <w:rsid w:val="008B68A0"/>
    <w:rsid w:val="008B6F1D"/>
    <w:rsid w:val="008B700F"/>
    <w:rsid w:val="008C04D8"/>
    <w:rsid w:val="008C091A"/>
    <w:rsid w:val="008C0C50"/>
    <w:rsid w:val="008C1246"/>
    <w:rsid w:val="008C1FF1"/>
    <w:rsid w:val="008C21C1"/>
    <w:rsid w:val="008C22B9"/>
    <w:rsid w:val="008C269E"/>
    <w:rsid w:val="008C2863"/>
    <w:rsid w:val="008C28BF"/>
    <w:rsid w:val="008C3E06"/>
    <w:rsid w:val="008C47D8"/>
    <w:rsid w:val="008C572F"/>
    <w:rsid w:val="008C715A"/>
    <w:rsid w:val="008C7581"/>
    <w:rsid w:val="008D0029"/>
    <w:rsid w:val="008D0BA6"/>
    <w:rsid w:val="008D1287"/>
    <w:rsid w:val="008D18A8"/>
    <w:rsid w:val="008D18AB"/>
    <w:rsid w:val="008D1AAE"/>
    <w:rsid w:val="008D1F46"/>
    <w:rsid w:val="008D2724"/>
    <w:rsid w:val="008D384F"/>
    <w:rsid w:val="008D3F22"/>
    <w:rsid w:val="008D49C6"/>
    <w:rsid w:val="008D4A19"/>
    <w:rsid w:val="008D4BCE"/>
    <w:rsid w:val="008D4E23"/>
    <w:rsid w:val="008D516B"/>
    <w:rsid w:val="008D6220"/>
    <w:rsid w:val="008D67FD"/>
    <w:rsid w:val="008D6835"/>
    <w:rsid w:val="008D6DEE"/>
    <w:rsid w:val="008D6F29"/>
    <w:rsid w:val="008D6FCE"/>
    <w:rsid w:val="008D718E"/>
    <w:rsid w:val="008D72EB"/>
    <w:rsid w:val="008D7F95"/>
    <w:rsid w:val="008E076B"/>
    <w:rsid w:val="008E159E"/>
    <w:rsid w:val="008E16FD"/>
    <w:rsid w:val="008E1AB1"/>
    <w:rsid w:val="008E2078"/>
    <w:rsid w:val="008E22C3"/>
    <w:rsid w:val="008E2DEA"/>
    <w:rsid w:val="008E2E67"/>
    <w:rsid w:val="008E3254"/>
    <w:rsid w:val="008E32A1"/>
    <w:rsid w:val="008E33FD"/>
    <w:rsid w:val="008E3904"/>
    <w:rsid w:val="008E4FA8"/>
    <w:rsid w:val="008E5168"/>
    <w:rsid w:val="008E5B92"/>
    <w:rsid w:val="008E5BF4"/>
    <w:rsid w:val="008E62E9"/>
    <w:rsid w:val="008E75CB"/>
    <w:rsid w:val="008E7975"/>
    <w:rsid w:val="008E7FCF"/>
    <w:rsid w:val="008F0093"/>
    <w:rsid w:val="008F033C"/>
    <w:rsid w:val="008F0480"/>
    <w:rsid w:val="008F07A2"/>
    <w:rsid w:val="008F0B2B"/>
    <w:rsid w:val="008F121F"/>
    <w:rsid w:val="008F1D5B"/>
    <w:rsid w:val="008F2C18"/>
    <w:rsid w:val="008F31C4"/>
    <w:rsid w:val="008F31DD"/>
    <w:rsid w:val="008F3791"/>
    <w:rsid w:val="008F4A34"/>
    <w:rsid w:val="008F4BE9"/>
    <w:rsid w:val="008F4EF2"/>
    <w:rsid w:val="008F5353"/>
    <w:rsid w:val="008F58D1"/>
    <w:rsid w:val="008F5C29"/>
    <w:rsid w:val="008F648A"/>
    <w:rsid w:val="008F6D28"/>
    <w:rsid w:val="008F7002"/>
    <w:rsid w:val="008F7279"/>
    <w:rsid w:val="008F73C7"/>
    <w:rsid w:val="008F75AC"/>
    <w:rsid w:val="008F77D7"/>
    <w:rsid w:val="0090057C"/>
    <w:rsid w:val="00900794"/>
    <w:rsid w:val="00901793"/>
    <w:rsid w:val="009019CF"/>
    <w:rsid w:val="00901F03"/>
    <w:rsid w:val="009029A1"/>
    <w:rsid w:val="00904A52"/>
    <w:rsid w:val="00905A86"/>
    <w:rsid w:val="00906301"/>
    <w:rsid w:val="0090716E"/>
    <w:rsid w:val="00907615"/>
    <w:rsid w:val="00907715"/>
    <w:rsid w:val="009078CD"/>
    <w:rsid w:val="00907902"/>
    <w:rsid w:val="00910041"/>
    <w:rsid w:val="009107F8"/>
    <w:rsid w:val="009109B0"/>
    <w:rsid w:val="009109CC"/>
    <w:rsid w:val="009112DC"/>
    <w:rsid w:val="00911370"/>
    <w:rsid w:val="009115AF"/>
    <w:rsid w:val="009118A4"/>
    <w:rsid w:val="00911D1B"/>
    <w:rsid w:val="0091292C"/>
    <w:rsid w:val="009134FE"/>
    <w:rsid w:val="00913775"/>
    <w:rsid w:val="009139AA"/>
    <w:rsid w:val="00913D9D"/>
    <w:rsid w:val="0091448F"/>
    <w:rsid w:val="00914543"/>
    <w:rsid w:val="00914DA3"/>
    <w:rsid w:val="00914F23"/>
    <w:rsid w:val="009154DA"/>
    <w:rsid w:val="00915CF7"/>
    <w:rsid w:val="009161C2"/>
    <w:rsid w:val="009168E3"/>
    <w:rsid w:val="0091692E"/>
    <w:rsid w:val="009175DF"/>
    <w:rsid w:val="009176B8"/>
    <w:rsid w:val="0091774E"/>
    <w:rsid w:val="00920190"/>
    <w:rsid w:val="009208AD"/>
    <w:rsid w:val="009219B4"/>
    <w:rsid w:val="00922E25"/>
    <w:rsid w:val="00923963"/>
    <w:rsid w:val="00924C90"/>
    <w:rsid w:val="00925042"/>
    <w:rsid w:val="009250BC"/>
    <w:rsid w:val="0092576D"/>
    <w:rsid w:val="0092598E"/>
    <w:rsid w:val="00926E83"/>
    <w:rsid w:val="00927AC0"/>
    <w:rsid w:val="00927CF5"/>
    <w:rsid w:val="009301D8"/>
    <w:rsid w:val="009304EB"/>
    <w:rsid w:val="009305F4"/>
    <w:rsid w:val="009310D4"/>
    <w:rsid w:val="009316B7"/>
    <w:rsid w:val="00931BE5"/>
    <w:rsid w:val="009325FB"/>
    <w:rsid w:val="009327E5"/>
    <w:rsid w:val="00932DC2"/>
    <w:rsid w:val="00933183"/>
    <w:rsid w:val="009339B3"/>
    <w:rsid w:val="00934035"/>
    <w:rsid w:val="0093408E"/>
    <w:rsid w:val="00934A0E"/>
    <w:rsid w:val="009350F2"/>
    <w:rsid w:val="009358E4"/>
    <w:rsid w:val="00936716"/>
    <w:rsid w:val="00936B8E"/>
    <w:rsid w:val="00936C8D"/>
    <w:rsid w:val="00937DEC"/>
    <w:rsid w:val="0094048D"/>
    <w:rsid w:val="0094089B"/>
    <w:rsid w:val="009409D3"/>
    <w:rsid w:val="009413E0"/>
    <w:rsid w:val="00941725"/>
    <w:rsid w:val="009418AE"/>
    <w:rsid w:val="00941965"/>
    <w:rsid w:val="00941B0B"/>
    <w:rsid w:val="00941CAA"/>
    <w:rsid w:val="00941F27"/>
    <w:rsid w:val="00942574"/>
    <w:rsid w:val="009427C2"/>
    <w:rsid w:val="00942E2E"/>
    <w:rsid w:val="0094453B"/>
    <w:rsid w:val="00945D09"/>
    <w:rsid w:val="00946461"/>
    <w:rsid w:val="009468B3"/>
    <w:rsid w:val="00946B10"/>
    <w:rsid w:val="009474F3"/>
    <w:rsid w:val="00947E65"/>
    <w:rsid w:val="00947FE1"/>
    <w:rsid w:val="00950B65"/>
    <w:rsid w:val="009518F9"/>
    <w:rsid w:val="00951945"/>
    <w:rsid w:val="00951AF1"/>
    <w:rsid w:val="00951F3D"/>
    <w:rsid w:val="009520DF"/>
    <w:rsid w:val="0095296F"/>
    <w:rsid w:val="00952B63"/>
    <w:rsid w:val="00952E54"/>
    <w:rsid w:val="00953818"/>
    <w:rsid w:val="00953E48"/>
    <w:rsid w:val="00954090"/>
    <w:rsid w:val="009544B7"/>
    <w:rsid w:val="009547C7"/>
    <w:rsid w:val="00954FC9"/>
    <w:rsid w:val="0095558F"/>
    <w:rsid w:val="00955B9C"/>
    <w:rsid w:val="00955C59"/>
    <w:rsid w:val="00956291"/>
    <w:rsid w:val="00956797"/>
    <w:rsid w:val="00956919"/>
    <w:rsid w:val="00960209"/>
    <w:rsid w:val="009603FF"/>
    <w:rsid w:val="00960400"/>
    <w:rsid w:val="00960A48"/>
    <w:rsid w:val="00960BF4"/>
    <w:rsid w:val="00960F97"/>
    <w:rsid w:val="00960FDE"/>
    <w:rsid w:val="00961254"/>
    <w:rsid w:val="00961657"/>
    <w:rsid w:val="00961818"/>
    <w:rsid w:val="0096200C"/>
    <w:rsid w:val="00962D27"/>
    <w:rsid w:val="00962DC4"/>
    <w:rsid w:val="00965BE6"/>
    <w:rsid w:val="00965C49"/>
    <w:rsid w:val="00966038"/>
    <w:rsid w:val="00966596"/>
    <w:rsid w:val="00966DD1"/>
    <w:rsid w:val="009670CB"/>
    <w:rsid w:val="0096734C"/>
    <w:rsid w:val="009673BA"/>
    <w:rsid w:val="00967BF4"/>
    <w:rsid w:val="00967F66"/>
    <w:rsid w:val="009700B0"/>
    <w:rsid w:val="00970B4F"/>
    <w:rsid w:val="00970CEF"/>
    <w:rsid w:val="00970F5C"/>
    <w:rsid w:val="00971A93"/>
    <w:rsid w:val="009721D4"/>
    <w:rsid w:val="00972823"/>
    <w:rsid w:val="00972A7C"/>
    <w:rsid w:val="00972D5F"/>
    <w:rsid w:val="00973213"/>
    <w:rsid w:val="00973293"/>
    <w:rsid w:val="0097361D"/>
    <w:rsid w:val="00973900"/>
    <w:rsid w:val="009739F0"/>
    <w:rsid w:val="00973A11"/>
    <w:rsid w:val="00973C70"/>
    <w:rsid w:val="00973D0B"/>
    <w:rsid w:val="00973D60"/>
    <w:rsid w:val="00974026"/>
    <w:rsid w:val="009743C6"/>
    <w:rsid w:val="009747BD"/>
    <w:rsid w:val="00974C0D"/>
    <w:rsid w:val="009750FC"/>
    <w:rsid w:val="00975B9A"/>
    <w:rsid w:val="00975BB3"/>
    <w:rsid w:val="00975CB2"/>
    <w:rsid w:val="00975EEA"/>
    <w:rsid w:val="00976155"/>
    <w:rsid w:val="00976C42"/>
    <w:rsid w:val="0097751C"/>
    <w:rsid w:val="00980D27"/>
    <w:rsid w:val="00981532"/>
    <w:rsid w:val="00981906"/>
    <w:rsid w:val="00981B0A"/>
    <w:rsid w:val="00982343"/>
    <w:rsid w:val="00982368"/>
    <w:rsid w:val="00982A2D"/>
    <w:rsid w:val="00982C2E"/>
    <w:rsid w:val="00982D87"/>
    <w:rsid w:val="009839D0"/>
    <w:rsid w:val="00983F4F"/>
    <w:rsid w:val="009843D0"/>
    <w:rsid w:val="00985474"/>
    <w:rsid w:val="00985DA8"/>
    <w:rsid w:val="0098639A"/>
    <w:rsid w:val="009866A9"/>
    <w:rsid w:val="00986E61"/>
    <w:rsid w:val="00986EB7"/>
    <w:rsid w:val="00987013"/>
    <w:rsid w:val="009873B0"/>
    <w:rsid w:val="00987BCD"/>
    <w:rsid w:val="00990A35"/>
    <w:rsid w:val="00990FCC"/>
    <w:rsid w:val="0099198C"/>
    <w:rsid w:val="00991A2B"/>
    <w:rsid w:val="00991DF5"/>
    <w:rsid w:val="009929AA"/>
    <w:rsid w:val="0099397C"/>
    <w:rsid w:val="00994360"/>
    <w:rsid w:val="009946BE"/>
    <w:rsid w:val="009947AD"/>
    <w:rsid w:val="00994840"/>
    <w:rsid w:val="00994AD3"/>
    <w:rsid w:val="00994CCF"/>
    <w:rsid w:val="009974CE"/>
    <w:rsid w:val="0099753F"/>
    <w:rsid w:val="00997ACF"/>
    <w:rsid w:val="009A06F5"/>
    <w:rsid w:val="009A083C"/>
    <w:rsid w:val="009A1179"/>
    <w:rsid w:val="009A1A8F"/>
    <w:rsid w:val="009A2166"/>
    <w:rsid w:val="009A2AD0"/>
    <w:rsid w:val="009A2E73"/>
    <w:rsid w:val="009A36E2"/>
    <w:rsid w:val="009A3871"/>
    <w:rsid w:val="009A39BE"/>
    <w:rsid w:val="009A3CDC"/>
    <w:rsid w:val="009A3FA6"/>
    <w:rsid w:val="009A41BD"/>
    <w:rsid w:val="009A4376"/>
    <w:rsid w:val="009A4EB4"/>
    <w:rsid w:val="009A559C"/>
    <w:rsid w:val="009A5B34"/>
    <w:rsid w:val="009A5BB0"/>
    <w:rsid w:val="009A5C83"/>
    <w:rsid w:val="009A61A8"/>
    <w:rsid w:val="009A660B"/>
    <w:rsid w:val="009A6F90"/>
    <w:rsid w:val="009A7976"/>
    <w:rsid w:val="009A7AE1"/>
    <w:rsid w:val="009A7DBF"/>
    <w:rsid w:val="009B0424"/>
    <w:rsid w:val="009B15F1"/>
    <w:rsid w:val="009B18BD"/>
    <w:rsid w:val="009B2786"/>
    <w:rsid w:val="009B2E08"/>
    <w:rsid w:val="009B347C"/>
    <w:rsid w:val="009B35E7"/>
    <w:rsid w:val="009B3CA5"/>
    <w:rsid w:val="009B4D07"/>
    <w:rsid w:val="009B584D"/>
    <w:rsid w:val="009B60D5"/>
    <w:rsid w:val="009B6993"/>
    <w:rsid w:val="009B6F36"/>
    <w:rsid w:val="009B7011"/>
    <w:rsid w:val="009B77DD"/>
    <w:rsid w:val="009B7BBF"/>
    <w:rsid w:val="009B7D8C"/>
    <w:rsid w:val="009C0257"/>
    <w:rsid w:val="009C0FFF"/>
    <w:rsid w:val="009C11C7"/>
    <w:rsid w:val="009C12D1"/>
    <w:rsid w:val="009C134D"/>
    <w:rsid w:val="009C1CAE"/>
    <w:rsid w:val="009C1FDE"/>
    <w:rsid w:val="009C2588"/>
    <w:rsid w:val="009C263D"/>
    <w:rsid w:val="009C2F69"/>
    <w:rsid w:val="009C2FD2"/>
    <w:rsid w:val="009C35AD"/>
    <w:rsid w:val="009C5531"/>
    <w:rsid w:val="009C5A9F"/>
    <w:rsid w:val="009C5B35"/>
    <w:rsid w:val="009C6F88"/>
    <w:rsid w:val="009C740F"/>
    <w:rsid w:val="009C7494"/>
    <w:rsid w:val="009D0819"/>
    <w:rsid w:val="009D1017"/>
    <w:rsid w:val="009D123E"/>
    <w:rsid w:val="009D1FC7"/>
    <w:rsid w:val="009D27A9"/>
    <w:rsid w:val="009D2ADB"/>
    <w:rsid w:val="009D3345"/>
    <w:rsid w:val="009D33C1"/>
    <w:rsid w:val="009D362D"/>
    <w:rsid w:val="009D3705"/>
    <w:rsid w:val="009D42FB"/>
    <w:rsid w:val="009D4350"/>
    <w:rsid w:val="009D45A9"/>
    <w:rsid w:val="009D4704"/>
    <w:rsid w:val="009D4E58"/>
    <w:rsid w:val="009D50F8"/>
    <w:rsid w:val="009D7086"/>
    <w:rsid w:val="009D7135"/>
    <w:rsid w:val="009D715F"/>
    <w:rsid w:val="009D79FD"/>
    <w:rsid w:val="009E0112"/>
    <w:rsid w:val="009E05A9"/>
    <w:rsid w:val="009E0895"/>
    <w:rsid w:val="009E0A07"/>
    <w:rsid w:val="009E0FFF"/>
    <w:rsid w:val="009E110C"/>
    <w:rsid w:val="009E1BEB"/>
    <w:rsid w:val="009E2180"/>
    <w:rsid w:val="009E2974"/>
    <w:rsid w:val="009E2A32"/>
    <w:rsid w:val="009E2C5F"/>
    <w:rsid w:val="009E2C83"/>
    <w:rsid w:val="009E333D"/>
    <w:rsid w:val="009E348F"/>
    <w:rsid w:val="009E34F0"/>
    <w:rsid w:val="009E3578"/>
    <w:rsid w:val="009E3D27"/>
    <w:rsid w:val="009E3E67"/>
    <w:rsid w:val="009E4357"/>
    <w:rsid w:val="009E4726"/>
    <w:rsid w:val="009E486E"/>
    <w:rsid w:val="009E48BE"/>
    <w:rsid w:val="009E4D5B"/>
    <w:rsid w:val="009E566F"/>
    <w:rsid w:val="009E6158"/>
    <w:rsid w:val="009E72ED"/>
    <w:rsid w:val="009F000E"/>
    <w:rsid w:val="009F017F"/>
    <w:rsid w:val="009F05A8"/>
    <w:rsid w:val="009F0CD6"/>
    <w:rsid w:val="009F0D56"/>
    <w:rsid w:val="009F1163"/>
    <w:rsid w:val="009F28C7"/>
    <w:rsid w:val="009F296A"/>
    <w:rsid w:val="009F329C"/>
    <w:rsid w:val="009F33C7"/>
    <w:rsid w:val="009F39C6"/>
    <w:rsid w:val="009F3A72"/>
    <w:rsid w:val="009F3BFB"/>
    <w:rsid w:val="009F40A5"/>
    <w:rsid w:val="009F4BE4"/>
    <w:rsid w:val="009F4CED"/>
    <w:rsid w:val="009F4D55"/>
    <w:rsid w:val="009F4DF1"/>
    <w:rsid w:val="009F5DC9"/>
    <w:rsid w:val="009F6629"/>
    <w:rsid w:val="009F76CA"/>
    <w:rsid w:val="009F7D7E"/>
    <w:rsid w:val="009F7E94"/>
    <w:rsid w:val="009F7F19"/>
    <w:rsid w:val="009F7F6F"/>
    <w:rsid w:val="00A00666"/>
    <w:rsid w:val="00A013E2"/>
    <w:rsid w:val="00A014BE"/>
    <w:rsid w:val="00A01550"/>
    <w:rsid w:val="00A019BC"/>
    <w:rsid w:val="00A02078"/>
    <w:rsid w:val="00A03313"/>
    <w:rsid w:val="00A03EEE"/>
    <w:rsid w:val="00A0430F"/>
    <w:rsid w:val="00A045DC"/>
    <w:rsid w:val="00A0470C"/>
    <w:rsid w:val="00A0479E"/>
    <w:rsid w:val="00A051AD"/>
    <w:rsid w:val="00A057EE"/>
    <w:rsid w:val="00A058CD"/>
    <w:rsid w:val="00A058D5"/>
    <w:rsid w:val="00A05D61"/>
    <w:rsid w:val="00A06003"/>
    <w:rsid w:val="00A062EC"/>
    <w:rsid w:val="00A067D8"/>
    <w:rsid w:val="00A06941"/>
    <w:rsid w:val="00A06CE4"/>
    <w:rsid w:val="00A10028"/>
    <w:rsid w:val="00A101F2"/>
    <w:rsid w:val="00A10AB3"/>
    <w:rsid w:val="00A10F70"/>
    <w:rsid w:val="00A11108"/>
    <w:rsid w:val="00A117A7"/>
    <w:rsid w:val="00A117F4"/>
    <w:rsid w:val="00A11A23"/>
    <w:rsid w:val="00A11E09"/>
    <w:rsid w:val="00A126B4"/>
    <w:rsid w:val="00A137D5"/>
    <w:rsid w:val="00A13A82"/>
    <w:rsid w:val="00A14E6B"/>
    <w:rsid w:val="00A1599B"/>
    <w:rsid w:val="00A1681F"/>
    <w:rsid w:val="00A177A9"/>
    <w:rsid w:val="00A17D7D"/>
    <w:rsid w:val="00A20441"/>
    <w:rsid w:val="00A2103C"/>
    <w:rsid w:val="00A21115"/>
    <w:rsid w:val="00A212E0"/>
    <w:rsid w:val="00A21773"/>
    <w:rsid w:val="00A2203B"/>
    <w:rsid w:val="00A2219F"/>
    <w:rsid w:val="00A22476"/>
    <w:rsid w:val="00A226D5"/>
    <w:rsid w:val="00A22E50"/>
    <w:rsid w:val="00A23A85"/>
    <w:rsid w:val="00A23CC7"/>
    <w:rsid w:val="00A23E0A"/>
    <w:rsid w:val="00A2485E"/>
    <w:rsid w:val="00A2502D"/>
    <w:rsid w:val="00A250B5"/>
    <w:rsid w:val="00A253EA"/>
    <w:rsid w:val="00A25593"/>
    <w:rsid w:val="00A2581D"/>
    <w:rsid w:val="00A26D75"/>
    <w:rsid w:val="00A26D89"/>
    <w:rsid w:val="00A27D4E"/>
    <w:rsid w:val="00A30920"/>
    <w:rsid w:val="00A30CE3"/>
    <w:rsid w:val="00A318DC"/>
    <w:rsid w:val="00A32241"/>
    <w:rsid w:val="00A32352"/>
    <w:rsid w:val="00A327B8"/>
    <w:rsid w:val="00A32E73"/>
    <w:rsid w:val="00A32EED"/>
    <w:rsid w:val="00A33420"/>
    <w:rsid w:val="00A341A4"/>
    <w:rsid w:val="00A34590"/>
    <w:rsid w:val="00A3470D"/>
    <w:rsid w:val="00A34CEF"/>
    <w:rsid w:val="00A34E2C"/>
    <w:rsid w:val="00A35335"/>
    <w:rsid w:val="00A3534C"/>
    <w:rsid w:val="00A35902"/>
    <w:rsid w:val="00A35BD0"/>
    <w:rsid w:val="00A35CAA"/>
    <w:rsid w:val="00A36478"/>
    <w:rsid w:val="00A36E23"/>
    <w:rsid w:val="00A36F66"/>
    <w:rsid w:val="00A379EC"/>
    <w:rsid w:val="00A37DDA"/>
    <w:rsid w:val="00A402C4"/>
    <w:rsid w:val="00A404F5"/>
    <w:rsid w:val="00A40610"/>
    <w:rsid w:val="00A4098C"/>
    <w:rsid w:val="00A411CC"/>
    <w:rsid w:val="00A413F6"/>
    <w:rsid w:val="00A41BA0"/>
    <w:rsid w:val="00A41C1C"/>
    <w:rsid w:val="00A41D92"/>
    <w:rsid w:val="00A43239"/>
    <w:rsid w:val="00A4349E"/>
    <w:rsid w:val="00A434FE"/>
    <w:rsid w:val="00A43ABB"/>
    <w:rsid w:val="00A43BA2"/>
    <w:rsid w:val="00A4416A"/>
    <w:rsid w:val="00A44787"/>
    <w:rsid w:val="00A44D9A"/>
    <w:rsid w:val="00A454FA"/>
    <w:rsid w:val="00A4561C"/>
    <w:rsid w:val="00A46CAB"/>
    <w:rsid w:val="00A479C7"/>
    <w:rsid w:val="00A47A2C"/>
    <w:rsid w:val="00A501BD"/>
    <w:rsid w:val="00A50A6F"/>
    <w:rsid w:val="00A51078"/>
    <w:rsid w:val="00A53855"/>
    <w:rsid w:val="00A539D5"/>
    <w:rsid w:val="00A53A2D"/>
    <w:rsid w:val="00A541C6"/>
    <w:rsid w:val="00A544D2"/>
    <w:rsid w:val="00A545ED"/>
    <w:rsid w:val="00A54BAF"/>
    <w:rsid w:val="00A555F3"/>
    <w:rsid w:val="00A55D56"/>
    <w:rsid w:val="00A5684E"/>
    <w:rsid w:val="00A56A66"/>
    <w:rsid w:val="00A56D92"/>
    <w:rsid w:val="00A61090"/>
    <w:rsid w:val="00A610E7"/>
    <w:rsid w:val="00A61258"/>
    <w:rsid w:val="00A6163D"/>
    <w:rsid w:val="00A61760"/>
    <w:rsid w:val="00A618A6"/>
    <w:rsid w:val="00A61D98"/>
    <w:rsid w:val="00A63FBB"/>
    <w:rsid w:val="00A64A50"/>
    <w:rsid w:val="00A64EE5"/>
    <w:rsid w:val="00A657E3"/>
    <w:rsid w:val="00A65909"/>
    <w:rsid w:val="00A65C32"/>
    <w:rsid w:val="00A668AA"/>
    <w:rsid w:val="00A668C0"/>
    <w:rsid w:val="00A66B2C"/>
    <w:rsid w:val="00A676A6"/>
    <w:rsid w:val="00A67E10"/>
    <w:rsid w:val="00A702D9"/>
    <w:rsid w:val="00A70EB7"/>
    <w:rsid w:val="00A70FD3"/>
    <w:rsid w:val="00A72114"/>
    <w:rsid w:val="00A7275A"/>
    <w:rsid w:val="00A72D4B"/>
    <w:rsid w:val="00A732F6"/>
    <w:rsid w:val="00A7381F"/>
    <w:rsid w:val="00A742F4"/>
    <w:rsid w:val="00A74956"/>
    <w:rsid w:val="00A74E83"/>
    <w:rsid w:val="00A75CA0"/>
    <w:rsid w:val="00A767DC"/>
    <w:rsid w:val="00A77022"/>
    <w:rsid w:val="00A778FA"/>
    <w:rsid w:val="00A80175"/>
    <w:rsid w:val="00A806C8"/>
    <w:rsid w:val="00A80D91"/>
    <w:rsid w:val="00A80E63"/>
    <w:rsid w:val="00A810C8"/>
    <w:rsid w:val="00A81352"/>
    <w:rsid w:val="00A81D72"/>
    <w:rsid w:val="00A82658"/>
    <w:rsid w:val="00A827FB"/>
    <w:rsid w:val="00A832F3"/>
    <w:rsid w:val="00A83B07"/>
    <w:rsid w:val="00A8439E"/>
    <w:rsid w:val="00A84662"/>
    <w:rsid w:val="00A84EAC"/>
    <w:rsid w:val="00A85059"/>
    <w:rsid w:val="00A850DC"/>
    <w:rsid w:val="00A851C9"/>
    <w:rsid w:val="00A860D9"/>
    <w:rsid w:val="00A87B6C"/>
    <w:rsid w:val="00A90791"/>
    <w:rsid w:val="00A918E4"/>
    <w:rsid w:val="00A91BB3"/>
    <w:rsid w:val="00A91EE2"/>
    <w:rsid w:val="00A91F93"/>
    <w:rsid w:val="00A9276A"/>
    <w:rsid w:val="00A92B60"/>
    <w:rsid w:val="00A930F7"/>
    <w:rsid w:val="00A932BF"/>
    <w:rsid w:val="00A933EB"/>
    <w:rsid w:val="00A93450"/>
    <w:rsid w:val="00A93895"/>
    <w:rsid w:val="00A93D03"/>
    <w:rsid w:val="00A942C3"/>
    <w:rsid w:val="00A94F0C"/>
    <w:rsid w:val="00A94F70"/>
    <w:rsid w:val="00A9509E"/>
    <w:rsid w:val="00A953C5"/>
    <w:rsid w:val="00A95AA0"/>
    <w:rsid w:val="00A95D9B"/>
    <w:rsid w:val="00A9627D"/>
    <w:rsid w:val="00A962A3"/>
    <w:rsid w:val="00A972F7"/>
    <w:rsid w:val="00A97553"/>
    <w:rsid w:val="00A97591"/>
    <w:rsid w:val="00A97A39"/>
    <w:rsid w:val="00A97DE5"/>
    <w:rsid w:val="00AA1793"/>
    <w:rsid w:val="00AA25A0"/>
    <w:rsid w:val="00AA25B0"/>
    <w:rsid w:val="00AA33ED"/>
    <w:rsid w:val="00AA368B"/>
    <w:rsid w:val="00AA37A6"/>
    <w:rsid w:val="00AA3BBD"/>
    <w:rsid w:val="00AA3D4E"/>
    <w:rsid w:val="00AA41BF"/>
    <w:rsid w:val="00AA4FEE"/>
    <w:rsid w:val="00AA541A"/>
    <w:rsid w:val="00AA5902"/>
    <w:rsid w:val="00AA656E"/>
    <w:rsid w:val="00AA6862"/>
    <w:rsid w:val="00AA6895"/>
    <w:rsid w:val="00AA7B2E"/>
    <w:rsid w:val="00AA7B37"/>
    <w:rsid w:val="00AA7C26"/>
    <w:rsid w:val="00AB0233"/>
    <w:rsid w:val="00AB035D"/>
    <w:rsid w:val="00AB0796"/>
    <w:rsid w:val="00AB1466"/>
    <w:rsid w:val="00AB17A4"/>
    <w:rsid w:val="00AB2038"/>
    <w:rsid w:val="00AB2384"/>
    <w:rsid w:val="00AB2B0C"/>
    <w:rsid w:val="00AB2D49"/>
    <w:rsid w:val="00AB38A5"/>
    <w:rsid w:val="00AB3CA6"/>
    <w:rsid w:val="00AB426C"/>
    <w:rsid w:val="00AB47ED"/>
    <w:rsid w:val="00AB5763"/>
    <w:rsid w:val="00AB5790"/>
    <w:rsid w:val="00AB5CF7"/>
    <w:rsid w:val="00AB600C"/>
    <w:rsid w:val="00AB6B3C"/>
    <w:rsid w:val="00AB6B43"/>
    <w:rsid w:val="00AB6D01"/>
    <w:rsid w:val="00AB6EB5"/>
    <w:rsid w:val="00AB6F49"/>
    <w:rsid w:val="00AB750C"/>
    <w:rsid w:val="00AB787F"/>
    <w:rsid w:val="00AC0A4E"/>
    <w:rsid w:val="00AC0B98"/>
    <w:rsid w:val="00AC1A50"/>
    <w:rsid w:val="00AC1F92"/>
    <w:rsid w:val="00AC2BF1"/>
    <w:rsid w:val="00AC2DE3"/>
    <w:rsid w:val="00AC3366"/>
    <w:rsid w:val="00AC381A"/>
    <w:rsid w:val="00AC3952"/>
    <w:rsid w:val="00AC3C25"/>
    <w:rsid w:val="00AC3CC9"/>
    <w:rsid w:val="00AC436C"/>
    <w:rsid w:val="00AC513B"/>
    <w:rsid w:val="00AC52AA"/>
    <w:rsid w:val="00AC5398"/>
    <w:rsid w:val="00AC53E8"/>
    <w:rsid w:val="00AC5432"/>
    <w:rsid w:val="00AC5522"/>
    <w:rsid w:val="00AC5A50"/>
    <w:rsid w:val="00AC6227"/>
    <w:rsid w:val="00AC62AB"/>
    <w:rsid w:val="00AC64FD"/>
    <w:rsid w:val="00AC7156"/>
    <w:rsid w:val="00AC72D4"/>
    <w:rsid w:val="00AC7563"/>
    <w:rsid w:val="00AC7AAD"/>
    <w:rsid w:val="00AC7F3D"/>
    <w:rsid w:val="00AD0420"/>
    <w:rsid w:val="00AD089C"/>
    <w:rsid w:val="00AD1321"/>
    <w:rsid w:val="00AD133B"/>
    <w:rsid w:val="00AD23AC"/>
    <w:rsid w:val="00AD2A21"/>
    <w:rsid w:val="00AD2DA5"/>
    <w:rsid w:val="00AD2EDD"/>
    <w:rsid w:val="00AD4299"/>
    <w:rsid w:val="00AD45E0"/>
    <w:rsid w:val="00AD46DF"/>
    <w:rsid w:val="00AD48E1"/>
    <w:rsid w:val="00AD4C57"/>
    <w:rsid w:val="00AD5151"/>
    <w:rsid w:val="00AD556E"/>
    <w:rsid w:val="00AD5F9A"/>
    <w:rsid w:val="00AD60C1"/>
    <w:rsid w:val="00AD7E23"/>
    <w:rsid w:val="00AE017A"/>
    <w:rsid w:val="00AE0498"/>
    <w:rsid w:val="00AE0761"/>
    <w:rsid w:val="00AE0BFE"/>
    <w:rsid w:val="00AE0FF5"/>
    <w:rsid w:val="00AE119A"/>
    <w:rsid w:val="00AE24BF"/>
    <w:rsid w:val="00AE2962"/>
    <w:rsid w:val="00AE29F2"/>
    <w:rsid w:val="00AE2BBE"/>
    <w:rsid w:val="00AE37F5"/>
    <w:rsid w:val="00AE4260"/>
    <w:rsid w:val="00AE429F"/>
    <w:rsid w:val="00AE45D3"/>
    <w:rsid w:val="00AE4B0E"/>
    <w:rsid w:val="00AE587C"/>
    <w:rsid w:val="00AE5A68"/>
    <w:rsid w:val="00AE5BB0"/>
    <w:rsid w:val="00AE60CC"/>
    <w:rsid w:val="00AE6708"/>
    <w:rsid w:val="00AE7116"/>
    <w:rsid w:val="00AE7208"/>
    <w:rsid w:val="00AE7563"/>
    <w:rsid w:val="00AF0CCE"/>
    <w:rsid w:val="00AF131B"/>
    <w:rsid w:val="00AF137B"/>
    <w:rsid w:val="00AF173A"/>
    <w:rsid w:val="00AF2067"/>
    <w:rsid w:val="00AF2C28"/>
    <w:rsid w:val="00AF2F79"/>
    <w:rsid w:val="00AF318C"/>
    <w:rsid w:val="00AF3BCF"/>
    <w:rsid w:val="00AF3C9D"/>
    <w:rsid w:val="00AF43BE"/>
    <w:rsid w:val="00AF4F3D"/>
    <w:rsid w:val="00AF596D"/>
    <w:rsid w:val="00AF62F1"/>
    <w:rsid w:val="00AF631C"/>
    <w:rsid w:val="00AF683F"/>
    <w:rsid w:val="00AF68AF"/>
    <w:rsid w:val="00AF6BFA"/>
    <w:rsid w:val="00AF6EF4"/>
    <w:rsid w:val="00AF73D7"/>
    <w:rsid w:val="00B01F8B"/>
    <w:rsid w:val="00B01FD7"/>
    <w:rsid w:val="00B02DC0"/>
    <w:rsid w:val="00B036AA"/>
    <w:rsid w:val="00B0467A"/>
    <w:rsid w:val="00B05000"/>
    <w:rsid w:val="00B051DA"/>
    <w:rsid w:val="00B0526D"/>
    <w:rsid w:val="00B053E3"/>
    <w:rsid w:val="00B05CF3"/>
    <w:rsid w:val="00B06BEE"/>
    <w:rsid w:val="00B06EB6"/>
    <w:rsid w:val="00B07518"/>
    <w:rsid w:val="00B101C9"/>
    <w:rsid w:val="00B10622"/>
    <w:rsid w:val="00B10780"/>
    <w:rsid w:val="00B10B4F"/>
    <w:rsid w:val="00B11494"/>
    <w:rsid w:val="00B11F3D"/>
    <w:rsid w:val="00B12ED7"/>
    <w:rsid w:val="00B1345A"/>
    <w:rsid w:val="00B137AC"/>
    <w:rsid w:val="00B14E57"/>
    <w:rsid w:val="00B153CD"/>
    <w:rsid w:val="00B1557A"/>
    <w:rsid w:val="00B15744"/>
    <w:rsid w:val="00B15E6E"/>
    <w:rsid w:val="00B16E30"/>
    <w:rsid w:val="00B17BBC"/>
    <w:rsid w:val="00B205B6"/>
    <w:rsid w:val="00B20E57"/>
    <w:rsid w:val="00B20E70"/>
    <w:rsid w:val="00B22B6F"/>
    <w:rsid w:val="00B23255"/>
    <w:rsid w:val="00B23370"/>
    <w:rsid w:val="00B233A7"/>
    <w:rsid w:val="00B24149"/>
    <w:rsid w:val="00B2486B"/>
    <w:rsid w:val="00B24922"/>
    <w:rsid w:val="00B24D82"/>
    <w:rsid w:val="00B24E17"/>
    <w:rsid w:val="00B25287"/>
    <w:rsid w:val="00B257A0"/>
    <w:rsid w:val="00B25959"/>
    <w:rsid w:val="00B25CFC"/>
    <w:rsid w:val="00B26F9E"/>
    <w:rsid w:val="00B27526"/>
    <w:rsid w:val="00B303E9"/>
    <w:rsid w:val="00B30ABF"/>
    <w:rsid w:val="00B30CBA"/>
    <w:rsid w:val="00B31321"/>
    <w:rsid w:val="00B3203F"/>
    <w:rsid w:val="00B3306A"/>
    <w:rsid w:val="00B33FC1"/>
    <w:rsid w:val="00B342CB"/>
    <w:rsid w:val="00B344F1"/>
    <w:rsid w:val="00B347D9"/>
    <w:rsid w:val="00B34F06"/>
    <w:rsid w:val="00B35C8C"/>
    <w:rsid w:val="00B35E0B"/>
    <w:rsid w:val="00B37AA6"/>
    <w:rsid w:val="00B37DDD"/>
    <w:rsid w:val="00B40249"/>
    <w:rsid w:val="00B403A5"/>
    <w:rsid w:val="00B4081B"/>
    <w:rsid w:val="00B40A1E"/>
    <w:rsid w:val="00B40FF7"/>
    <w:rsid w:val="00B411F0"/>
    <w:rsid w:val="00B41599"/>
    <w:rsid w:val="00B41B8F"/>
    <w:rsid w:val="00B42162"/>
    <w:rsid w:val="00B4220D"/>
    <w:rsid w:val="00B4276B"/>
    <w:rsid w:val="00B42828"/>
    <w:rsid w:val="00B436F8"/>
    <w:rsid w:val="00B43A09"/>
    <w:rsid w:val="00B43BF8"/>
    <w:rsid w:val="00B43F4C"/>
    <w:rsid w:val="00B440E8"/>
    <w:rsid w:val="00B44386"/>
    <w:rsid w:val="00B448F1"/>
    <w:rsid w:val="00B44D1E"/>
    <w:rsid w:val="00B44FB2"/>
    <w:rsid w:val="00B4525B"/>
    <w:rsid w:val="00B45560"/>
    <w:rsid w:val="00B45FD4"/>
    <w:rsid w:val="00B46B59"/>
    <w:rsid w:val="00B472A2"/>
    <w:rsid w:val="00B47FBE"/>
    <w:rsid w:val="00B500E5"/>
    <w:rsid w:val="00B504AA"/>
    <w:rsid w:val="00B504E8"/>
    <w:rsid w:val="00B50783"/>
    <w:rsid w:val="00B509FF"/>
    <w:rsid w:val="00B50BCE"/>
    <w:rsid w:val="00B51125"/>
    <w:rsid w:val="00B51866"/>
    <w:rsid w:val="00B51E89"/>
    <w:rsid w:val="00B5243F"/>
    <w:rsid w:val="00B53119"/>
    <w:rsid w:val="00B534C5"/>
    <w:rsid w:val="00B5371E"/>
    <w:rsid w:val="00B5417B"/>
    <w:rsid w:val="00B5435E"/>
    <w:rsid w:val="00B55208"/>
    <w:rsid w:val="00B5533F"/>
    <w:rsid w:val="00B5589F"/>
    <w:rsid w:val="00B55EBE"/>
    <w:rsid w:val="00B5611E"/>
    <w:rsid w:val="00B5635A"/>
    <w:rsid w:val="00B56D17"/>
    <w:rsid w:val="00B56E27"/>
    <w:rsid w:val="00B56E82"/>
    <w:rsid w:val="00B570CE"/>
    <w:rsid w:val="00B57387"/>
    <w:rsid w:val="00B601A0"/>
    <w:rsid w:val="00B6099B"/>
    <w:rsid w:val="00B61889"/>
    <w:rsid w:val="00B61B7A"/>
    <w:rsid w:val="00B624AB"/>
    <w:rsid w:val="00B62C69"/>
    <w:rsid w:val="00B631F6"/>
    <w:rsid w:val="00B634EF"/>
    <w:rsid w:val="00B64080"/>
    <w:rsid w:val="00B645F1"/>
    <w:rsid w:val="00B64BA7"/>
    <w:rsid w:val="00B650D8"/>
    <w:rsid w:val="00B66BC1"/>
    <w:rsid w:val="00B70B3A"/>
    <w:rsid w:val="00B70BD8"/>
    <w:rsid w:val="00B70D80"/>
    <w:rsid w:val="00B71A89"/>
    <w:rsid w:val="00B71CAA"/>
    <w:rsid w:val="00B72648"/>
    <w:rsid w:val="00B72A99"/>
    <w:rsid w:val="00B73BC6"/>
    <w:rsid w:val="00B740FB"/>
    <w:rsid w:val="00B75754"/>
    <w:rsid w:val="00B75AC8"/>
    <w:rsid w:val="00B766E1"/>
    <w:rsid w:val="00B77312"/>
    <w:rsid w:val="00B77336"/>
    <w:rsid w:val="00B776D6"/>
    <w:rsid w:val="00B7774D"/>
    <w:rsid w:val="00B77CDC"/>
    <w:rsid w:val="00B77FC1"/>
    <w:rsid w:val="00B80718"/>
    <w:rsid w:val="00B80C41"/>
    <w:rsid w:val="00B80CC1"/>
    <w:rsid w:val="00B80CD3"/>
    <w:rsid w:val="00B8136A"/>
    <w:rsid w:val="00B815B8"/>
    <w:rsid w:val="00B817D4"/>
    <w:rsid w:val="00B81854"/>
    <w:rsid w:val="00B81A16"/>
    <w:rsid w:val="00B83353"/>
    <w:rsid w:val="00B8336D"/>
    <w:rsid w:val="00B8382C"/>
    <w:rsid w:val="00B83F98"/>
    <w:rsid w:val="00B8415A"/>
    <w:rsid w:val="00B84506"/>
    <w:rsid w:val="00B84A68"/>
    <w:rsid w:val="00B84DCA"/>
    <w:rsid w:val="00B85196"/>
    <w:rsid w:val="00B85232"/>
    <w:rsid w:val="00B855E4"/>
    <w:rsid w:val="00B869F9"/>
    <w:rsid w:val="00B87116"/>
    <w:rsid w:val="00B871AC"/>
    <w:rsid w:val="00B876F4"/>
    <w:rsid w:val="00B9001D"/>
    <w:rsid w:val="00B903A9"/>
    <w:rsid w:val="00B90854"/>
    <w:rsid w:val="00B90E57"/>
    <w:rsid w:val="00B9123A"/>
    <w:rsid w:val="00B91C26"/>
    <w:rsid w:val="00B91CA5"/>
    <w:rsid w:val="00B91F04"/>
    <w:rsid w:val="00B9273F"/>
    <w:rsid w:val="00B92865"/>
    <w:rsid w:val="00B93EAF"/>
    <w:rsid w:val="00B94E78"/>
    <w:rsid w:val="00B94FD5"/>
    <w:rsid w:val="00B9524F"/>
    <w:rsid w:val="00B95257"/>
    <w:rsid w:val="00B9651D"/>
    <w:rsid w:val="00B96E8F"/>
    <w:rsid w:val="00B97B39"/>
    <w:rsid w:val="00BA0258"/>
    <w:rsid w:val="00BA0DC9"/>
    <w:rsid w:val="00BA1769"/>
    <w:rsid w:val="00BA1CCD"/>
    <w:rsid w:val="00BA3537"/>
    <w:rsid w:val="00BA3544"/>
    <w:rsid w:val="00BA357C"/>
    <w:rsid w:val="00BA37A0"/>
    <w:rsid w:val="00BA3881"/>
    <w:rsid w:val="00BA38B8"/>
    <w:rsid w:val="00BA3F2E"/>
    <w:rsid w:val="00BA4196"/>
    <w:rsid w:val="00BA524D"/>
    <w:rsid w:val="00BA57F8"/>
    <w:rsid w:val="00BA5B67"/>
    <w:rsid w:val="00BA5B80"/>
    <w:rsid w:val="00BA5F97"/>
    <w:rsid w:val="00BA63A1"/>
    <w:rsid w:val="00BA6CF6"/>
    <w:rsid w:val="00BA6DED"/>
    <w:rsid w:val="00BA78B3"/>
    <w:rsid w:val="00BA7C37"/>
    <w:rsid w:val="00BA7D8D"/>
    <w:rsid w:val="00BB06E0"/>
    <w:rsid w:val="00BB115E"/>
    <w:rsid w:val="00BB1743"/>
    <w:rsid w:val="00BB1E15"/>
    <w:rsid w:val="00BB24AA"/>
    <w:rsid w:val="00BB28A9"/>
    <w:rsid w:val="00BB2B3E"/>
    <w:rsid w:val="00BB2D4C"/>
    <w:rsid w:val="00BB2DF9"/>
    <w:rsid w:val="00BB2EEE"/>
    <w:rsid w:val="00BB3750"/>
    <w:rsid w:val="00BB3EE6"/>
    <w:rsid w:val="00BB579A"/>
    <w:rsid w:val="00BB583C"/>
    <w:rsid w:val="00BB5CB8"/>
    <w:rsid w:val="00BB6691"/>
    <w:rsid w:val="00BB67DE"/>
    <w:rsid w:val="00BB73AE"/>
    <w:rsid w:val="00BB797C"/>
    <w:rsid w:val="00BC15EB"/>
    <w:rsid w:val="00BC1ECC"/>
    <w:rsid w:val="00BC2563"/>
    <w:rsid w:val="00BC3330"/>
    <w:rsid w:val="00BC368C"/>
    <w:rsid w:val="00BC37C5"/>
    <w:rsid w:val="00BC39C6"/>
    <w:rsid w:val="00BC4442"/>
    <w:rsid w:val="00BC487D"/>
    <w:rsid w:val="00BC50C7"/>
    <w:rsid w:val="00BC5263"/>
    <w:rsid w:val="00BC52DB"/>
    <w:rsid w:val="00BC602B"/>
    <w:rsid w:val="00BC6095"/>
    <w:rsid w:val="00BC63E0"/>
    <w:rsid w:val="00BC6716"/>
    <w:rsid w:val="00BC6BB1"/>
    <w:rsid w:val="00BC6C31"/>
    <w:rsid w:val="00BC7619"/>
    <w:rsid w:val="00BD00B7"/>
    <w:rsid w:val="00BD0121"/>
    <w:rsid w:val="00BD0BA8"/>
    <w:rsid w:val="00BD0D98"/>
    <w:rsid w:val="00BD2F97"/>
    <w:rsid w:val="00BD30E9"/>
    <w:rsid w:val="00BD31B7"/>
    <w:rsid w:val="00BD3271"/>
    <w:rsid w:val="00BD34D2"/>
    <w:rsid w:val="00BD440D"/>
    <w:rsid w:val="00BD4421"/>
    <w:rsid w:val="00BD5661"/>
    <w:rsid w:val="00BD700D"/>
    <w:rsid w:val="00BD712B"/>
    <w:rsid w:val="00BD72B6"/>
    <w:rsid w:val="00BD7DBA"/>
    <w:rsid w:val="00BD7F41"/>
    <w:rsid w:val="00BE049A"/>
    <w:rsid w:val="00BE0878"/>
    <w:rsid w:val="00BE14F1"/>
    <w:rsid w:val="00BE1F25"/>
    <w:rsid w:val="00BE270B"/>
    <w:rsid w:val="00BE27FB"/>
    <w:rsid w:val="00BE2CE7"/>
    <w:rsid w:val="00BE2F5E"/>
    <w:rsid w:val="00BE39CE"/>
    <w:rsid w:val="00BE475E"/>
    <w:rsid w:val="00BE4EAD"/>
    <w:rsid w:val="00BE4EB0"/>
    <w:rsid w:val="00BE5023"/>
    <w:rsid w:val="00BE5054"/>
    <w:rsid w:val="00BE556B"/>
    <w:rsid w:val="00BE59F7"/>
    <w:rsid w:val="00BE6140"/>
    <w:rsid w:val="00BE6684"/>
    <w:rsid w:val="00BE7185"/>
    <w:rsid w:val="00BE768F"/>
    <w:rsid w:val="00BE784A"/>
    <w:rsid w:val="00BE7966"/>
    <w:rsid w:val="00BE7B90"/>
    <w:rsid w:val="00BF07E4"/>
    <w:rsid w:val="00BF0A2C"/>
    <w:rsid w:val="00BF0EF1"/>
    <w:rsid w:val="00BF1097"/>
    <w:rsid w:val="00BF112B"/>
    <w:rsid w:val="00BF1920"/>
    <w:rsid w:val="00BF1D48"/>
    <w:rsid w:val="00BF263D"/>
    <w:rsid w:val="00BF2721"/>
    <w:rsid w:val="00BF3432"/>
    <w:rsid w:val="00BF373E"/>
    <w:rsid w:val="00BF40F1"/>
    <w:rsid w:val="00BF41A6"/>
    <w:rsid w:val="00BF41AC"/>
    <w:rsid w:val="00BF48F2"/>
    <w:rsid w:val="00BF60D4"/>
    <w:rsid w:val="00BF73F9"/>
    <w:rsid w:val="00BF7532"/>
    <w:rsid w:val="00C00569"/>
    <w:rsid w:val="00C006AC"/>
    <w:rsid w:val="00C00875"/>
    <w:rsid w:val="00C00A0B"/>
    <w:rsid w:val="00C00A6E"/>
    <w:rsid w:val="00C01464"/>
    <w:rsid w:val="00C03DC4"/>
    <w:rsid w:val="00C044E8"/>
    <w:rsid w:val="00C04B84"/>
    <w:rsid w:val="00C04DDA"/>
    <w:rsid w:val="00C04E3A"/>
    <w:rsid w:val="00C057F9"/>
    <w:rsid w:val="00C05D1C"/>
    <w:rsid w:val="00C062E5"/>
    <w:rsid w:val="00C07095"/>
    <w:rsid w:val="00C0714D"/>
    <w:rsid w:val="00C10581"/>
    <w:rsid w:val="00C10928"/>
    <w:rsid w:val="00C10932"/>
    <w:rsid w:val="00C10F63"/>
    <w:rsid w:val="00C1115A"/>
    <w:rsid w:val="00C111A8"/>
    <w:rsid w:val="00C11A92"/>
    <w:rsid w:val="00C121B3"/>
    <w:rsid w:val="00C1263E"/>
    <w:rsid w:val="00C12803"/>
    <w:rsid w:val="00C1282A"/>
    <w:rsid w:val="00C12D26"/>
    <w:rsid w:val="00C13279"/>
    <w:rsid w:val="00C13EFC"/>
    <w:rsid w:val="00C13F0B"/>
    <w:rsid w:val="00C14332"/>
    <w:rsid w:val="00C15171"/>
    <w:rsid w:val="00C15765"/>
    <w:rsid w:val="00C15C60"/>
    <w:rsid w:val="00C15EE8"/>
    <w:rsid w:val="00C165D3"/>
    <w:rsid w:val="00C16C8C"/>
    <w:rsid w:val="00C16FD1"/>
    <w:rsid w:val="00C17060"/>
    <w:rsid w:val="00C20329"/>
    <w:rsid w:val="00C20540"/>
    <w:rsid w:val="00C20581"/>
    <w:rsid w:val="00C20712"/>
    <w:rsid w:val="00C20E28"/>
    <w:rsid w:val="00C213FD"/>
    <w:rsid w:val="00C21C92"/>
    <w:rsid w:val="00C226EB"/>
    <w:rsid w:val="00C2325D"/>
    <w:rsid w:val="00C2327A"/>
    <w:rsid w:val="00C2387D"/>
    <w:rsid w:val="00C23A91"/>
    <w:rsid w:val="00C23C7D"/>
    <w:rsid w:val="00C23D43"/>
    <w:rsid w:val="00C23F94"/>
    <w:rsid w:val="00C2426B"/>
    <w:rsid w:val="00C24653"/>
    <w:rsid w:val="00C247BA"/>
    <w:rsid w:val="00C247C8"/>
    <w:rsid w:val="00C2480E"/>
    <w:rsid w:val="00C24A0B"/>
    <w:rsid w:val="00C25405"/>
    <w:rsid w:val="00C25904"/>
    <w:rsid w:val="00C25B17"/>
    <w:rsid w:val="00C26166"/>
    <w:rsid w:val="00C266A6"/>
    <w:rsid w:val="00C26A75"/>
    <w:rsid w:val="00C26B66"/>
    <w:rsid w:val="00C27760"/>
    <w:rsid w:val="00C3025B"/>
    <w:rsid w:val="00C30695"/>
    <w:rsid w:val="00C30C05"/>
    <w:rsid w:val="00C30D18"/>
    <w:rsid w:val="00C30D39"/>
    <w:rsid w:val="00C313CC"/>
    <w:rsid w:val="00C31865"/>
    <w:rsid w:val="00C31C15"/>
    <w:rsid w:val="00C33198"/>
    <w:rsid w:val="00C33775"/>
    <w:rsid w:val="00C33896"/>
    <w:rsid w:val="00C33AB4"/>
    <w:rsid w:val="00C33D96"/>
    <w:rsid w:val="00C35168"/>
    <w:rsid w:val="00C354CF"/>
    <w:rsid w:val="00C35BBA"/>
    <w:rsid w:val="00C35EC9"/>
    <w:rsid w:val="00C36074"/>
    <w:rsid w:val="00C365D2"/>
    <w:rsid w:val="00C37CDC"/>
    <w:rsid w:val="00C37DEA"/>
    <w:rsid w:val="00C40E76"/>
    <w:rsid w:val="00C41BB4"/>
    <w:rsid w:val="00C41E55"/>
    <w:rsid w:val="00C4237F"/>
    <w:rsid w:val="00C4257D"/>
    <w:rsid w:val="00C430D8"/>
    <w:rsid w:val="00C43475"/>
    <w:rsid w:val="00C438D0"/>
    <w:rsid w:val="00C4390F"/>
    <w:rsid w:val="00C43D6F"/>
    <w:rsid w:val="00C44AFD"/>
    <w:rsid w:val="00C44CC1"/>
    <w:rsid w:val="00C451E7"/>
    <w:rsid w:val="00C453DD"/>
    <w:rsid w:val="00C45703"/>
    <w:rsid w:val="00C45E0C"/>
    <w:rsid w:val="00C45F9E"/>
    <w:rsid w:val="00C4641F"/>
    <w:rsid w:val="00C464EE"/>
    <w:rsid w:val="00C464F1"/>
    <w:rsid w:val="00C46C92"/>
    <w:rsid w:val="00C46E1C"/>
    <w:rsid w:val="00C47198"/>
    <w:rsid w:val="00C47305"/>
    <w:rsid w:val="00C4796A"/>
    <w:rsid w:val="00C47B61"/>
    <w:rsid w:val="00C47B6C"/>
    <w:rsid w:val="00C5003D"/>
    <w:rsid w:val="00C50823"/>
    <w:rsid w:val="00C50FF4"/>
    <w:rsid w:val="00C5102E"/>
    <w:rsid w:val="00C514A4"/>
    <w:rsid w:val="00C5162D"/>
    <w:rsid w:val="00C51C5A"/>
    <w:rsid w:val="00C528D8"/>
    <w:rsid w:val="00C531DF"/>
    <w:rsid w:val="00C53FD0"/>
    <w:rsid w:val="00C5469D"/>
    <w:rsid w:val="00C54F28"/>
    <w:rsid w:val="00C557C3"/>
    <w:rsid w:val="00C55B84"/>
    <w:rsid w:val="00C56205"/>
    <w:rsid w:val="00C56237"/>
    <w:rsid w:val="00C56A9A"/>
    <w:rsid w:val="00C5716A"/>
    <w:rsid w:val="00C60441"/>
    <w:rsid w:val="00C60529"/>
    <w:rsid w:val="00C60E04"/>
    <w:rsid w:val="00C6164A"/>
    <w:rsid w:val="00C61665"/>
    <w:rsid w:val="00C61B2C"/>
    <w:rsid w:val="00C61B94"/>
    <w:rsid w:val="00C63F4E"/>
    <w:rsid w:val="00C6425C"/>
    <w:rsid w:val="00C642F8"/>
    <w:rsid w:val="00C64414"/>
    <w:rsid w:val="00C64729"/>
    <w:rsid w:val="00C64A1F"/>
    <w:rsid w:val="00C65933"/>
    <w:rsid w:val="00C65A17"/>
    <w:rsid w:val="00C662C6"/>
    <w:rsid w:val="00C66B98"/>
    <w:rsid w:val="00C67737"/>
    <w:rsid w:val="00C67CC3"/>
    <w:rsid w:val="00C7009D"/>
    <w:rsid w:val="00C701FD"/>
    <w:rsid w:val="00C70374"/>
    <w:rsid w:val="00C70857"/>
    <w:rsid w:val="00C70944"/>
    <w:rsid w:val="00C70EC6"/>
    <w:rsid w:val="00C7147F"/>
    <w:rsid w:val="00C714A9"/>
    <w:rsid w:val="00C7174E"/>
    <w:rsid w:val="00C71A1C"/>
    <w:rsid w:val="00C727B0"/>
    <w:rsid w:val="00C72938"/>
    <w:rsid w:val="00C72FD1"/>
    <w:rsid w:val="00C735A1"/>
    <w:rsid w:val="00C73D6D"/>
    <w:rsid w:val="00C7401D"/>
    <w:rsid w:val="00C74E25"/>
    <w:rsid w:val="00C768BD"/>
    <w:rsid w:val="00C76D61"/>
    <w:rsid w:val="00C76FA1"/>
    <w:rsid w:val="00C7702E"/>
    <w:rsid w:val="00C77E76"/>
    <w:rsid w:val="00C80996"/>
    <w:rsid w:val="00C80B8F"/>
    <w:rsid w:val="00C80E49"/>
    <w:rsid w:val="00C8102F"/>
    <w:rsid w:val="00C81043"/>
    <w:rsid w:val="00C8144E"/>
    <w:rsid w:val="00C81D9F"/>
    <w:rsid w:val="00C82524"/>
    <w:rsid w:val="00C83140"/>
    <w:rsid w:val="00C8332B"/>
    <w:rsid w:val="00C838FE"/>
    <w:rsid w:val="00C83B39"/>
    <w:rsid w:val="00C83DBB"/>
    <w:rsid w:val="00C844E0"/>
    <w:rsid w:val="00C8494A"/>
    <w:rsid w:val="00C85EFB"/>
    <w:rsid w:val="00C86827"/>
    <w:rsid w:val="00C86AA3"/>
    <w:rsid w:val="00C8730C"/>
    <w:rsid w:val="00C8732E"/>
    <w:rsid w:val="00C874D7"/>
    <w:rsid w:val="00C874DA"/>
    <w:rsid w:val="00C875DF"/>
    <w:rsid w:val="00C87DEB"/>
    <w:rsid w:val="00C90161"/>
    <w:rsid w:val="00C90FF2"/>
    <w:rsid w:val="00C9101D"/>
    <w:rsid w:val="00C91438"/>
    <w:rsid w:val="00C92761"/>
    <w:rsid w:val="00C93EAE"/>
    <w:rsid w:val="00C946DC"/>
    <w:rsid w:val="00C94B8A"/>
    <w:rsid w:val="00C94C6E"/>
    <w:rsid w:val="00C96646"/>
    <w:rsid w:val="00C9718D"/>
    <w:rsid w:val="00C97574"/>
    <w:rsid w:val="00C977CF"/>
    <w:rsid w:val="00C97E0F"/>
    <w:rsid w:val="00CA0103"/>
    <w:rsid w:val="00CA238C"/>
    <w:rsid w:val="00CA2A51"/>
    <w:rsid w:val="00CA2E9E"/>
    <w:rsid w:val="00CA3182"/>
    <w:rsid w:val="00CA3D03"/>
    <w:rsid w:val="00CA3FBF"/>
    <w:rsid w:val="00CA41CB"/>
    <w:rsid w:val="00CA42E9"/>
    <w:rsid w:val="00CA4300"/>
    <w:rsid w:val="00CA44A4"/>
    <w:rsid w:val="00CA4FBC"/>
    <w:rsid w:val="00CA5145"/>
    <w:rsid w:val="00CA53FF"/>
    <w:rsid w:val="00CA553C"/>
    <w:rsid w:val="00CA5574"/>
    <w:rsid w:val="00CA5643"/>
    <w:rsid w:val="00CA615B"/>
    <w:rsid w:val="00CA69E0"/>
    <w:rsid w:val="00CA7865"/>
    <w:rsid w:val="00CA7CA0"/>
    <w:rsid w:val="00CB0265"/>
    <w:rsid w:val="00CB0270"/>
    <w:rsid w:val="00CB20F2"/>
    <w:rsid w:val="00CB2D7B"/>
    <w:rsid w:val="00CB36E4"/>
    <w:rsid w:val="00CB3786"/>
    <w:rsid w:val="00CB3AB4"/>
    <w:rsid w:val="00CB4AF3"/>
    <w:rsid w:val="00CB4C2E"/>
    <w:rsid w:val="00CB4C79"/>
    <w:rsid w:val="00CB4E3D"/>
    <w:rsid w:val="00CB4FC3"/>
    <w:rsid w:val="00CB506C"/>
    <w:rsid w:val="00CB5394"/>
    <w:rsid w:val="00CB5451"/>
    <w:rsid w:val="00CB5FE8"/>
    <w:rsid w:val="00CB6255"/>
    <w:rsid w:val="00CB627D"/>
    <w:rsid w:val="00CB6464"/>
    <w:rsid w:val="00CB6811"/>
    <w:rsid w:val="00CB6AEB"/>
    <w:rsid w:val="00CB6CE9"/>
    <w:rsid w:val="00CB71C3"/>
    <w:rsid w:val="00CB72F2"/>
    <w:rsid w:val="00CB77B0"/>
    <w:rsid w:val="00CB7D38"/>
    <w:rsid w:val="00CC0F7C"/>
    <w:rsid w:val="00CC1300"/>
    <w:rsid w:val="00CC165D"/>
    <w:rsid w:val="00CC28FD"/>
    <w:rsid w:val="00CC2CDF"/>
    <w:rsid w:val="00CC2F49"/>
    <w:rsid w:val="00CC4343"/>
    <w:rsid w:val="00CC47BE"/>
    <w:rsid w:val="00CC4832"/>
    <w:rsid w:val="00CC4F06"/>
    <w:rsid w:val="00CC55E9"/>
    <w:rsid w:val="00CC561D"/>
    <w:rsid w:val="00CC56A8"/>
    <w:rsid w:val="00CC6170"/>
    <w:rsid w:val="00CC65D0"/>
    <w:rsid w:val="00CD0551"/>
    <w:rsid w:val="00CD0B6F"/>
    <w:rsid w:val="00CD0F84"/>
    <w:rsid w:val="00CD130B"/>
    <w:rsid w:val="00CD1315"/>
    <w:rsid w:val="00CD1805"/>
    <w:rsid w:val="00CD19F7"/>
    <w:rsid w:val="00CD1ED3"/>
    <w:rsid w:val="00CD20F5"/>
    <w:rsid w:val="00CD2192"/>
    <w:rsid w:val="00CD2882"/>
    <w:rsid w:val="00CD2A9B"/>
    <w:rsid w:val="00CD2BBE"/>
    <w:rsid w:val="00CD2C26"/>
    <w:rsid w:val="00CD335D"/>
    <w:rsid w:val="00CD345D"/>
    <w:rsid w:val="00CD34B1"/>
    <w:rsid w:val="00CD4314"/>
    <w:rsid w:val="00CD4C13"/>
    <w:rsid w:val="00CD4CBE"/>
    <w:rsid w:val="00CD4D08"/>
    <w:rsid w:val="00CD4E21"/>
    <w:rsid w:val="00CD591F"/>
    <w:rsid w:val="00CD5957"/>
    <w:rsid w:val="00CD5EBB"/>
    <w:rsid w:val="00CD6082"/>
    <w:rsid w:val="00CD623F"/>
    <w:rsid w:val="00CD649A"/>
    <w:rsid w:val="00CD6DA9"/>
    <w:rsid w:val="00CD6ED4"/>
    <w:rsid w:val="00CD6F4A"/>
    <w:rsid w:val="00CD7F64"/>
    <w:rsid w:val="00CE093A"/>
    <w:rsid w:val="00CE1F10"/>
    <w:rsid w:val="00CE2911"/>
    <w:rsid w:val="00CE295F"/>
    <w:rsid w:val="00CE2DDB"/>
    <w:rsid w:val="00CE3761"/>
    <w:rsid w:val="00CE3A45"/>
    <w:rsid w:val="00CE3F23"/>
    <w:rsid w:val="00CE3FE2"/>
    <w:rsid w:val="00CE470C"/>
    <w:rsid w:val="00CE5401"/>
    <w:rsid w:val="00CE5447"/>
    <w:rsid w:val="00CE5A4D"/>
    <w:rsid w:val="00CE722E"/>
    <w:rsid w:val="00CF06B3"/>
    <w:rsid w:val="00CF09D3"/>
    <w:rsid w:val="00CF2DC2"/>
    <w:rsid w:val="00CF2E99"/>
    <w:rsid w:val="00CF3ADB"/>
    <w:rsid w:val="00CF3D3F"/>
    <w:rsid w:val="00CF3ED3"/>
    <w:rsid w:val="00CF43C3"/>
    <w:rsid w:val="00CF4ABE"/>
    <w:rsid w:val="00CF5F96"/>
    <w:rsid w:val="00CF5FA0"/>
    <w:rsid w:val="00CF6243"/>
    <w:rsid w:val="00CF771E"/>
    <w:rsid w:val="00CF79B3"/>
    <w:rsid w:val="00CF7FA3"/>
    <w:rsid w:val="00D004CB"/>
    <w:rsid w:val="00D00995"/>
    <w:rsid w:val="00D00C12"/>
    <w:rsid w:val="00D017B0"/>
    <w:rsid w:val="00D01B4A"/>
    <w:rsid w:val="00D02032"/>
    <w:rsid w:val="00D022ED"/>
    <w:rsid w:val="00D02328"/>
    <w:rsid w:val="00D0278D"/>
    <w:rsid w:val="00D02D71"/>
    <w:rsid w:val="00D035F3"/>
    <w:rsid w:val="00D03D7B"/>
    <w:rsid w:val="00D04176"/>
    <w:rsid w:val="00D04457"/>
    <w:rsid w:val="00D045FC"/>
    <w:rsid w:val="00D0481F"/>
    <w:rsid w:val="00D05792"/>
    <w:rsid w:val="00D05928"/>
    <w:rsid w:val="00D05AF5"/>
    <w:rsid w:val="00D06751"/>
    <w:rsid w:val="00D0735E"/>
    <w:rsid w:val="00D07492"/>
    <w:rsid w:val="00D07BAA"/>
    <w:rsid w:val="00D101C2"/>
    <w:rsid w:val="00D10621"/>
    <w:rsid w:val="00D10624"/>
    <w:rsid w:val="00D10BFD"/>
    <w:rsid w:val="00D110DA"/>
    <w:rsid w:val="00D121E4"/>
    <w:rsid w:val="00D12F8D"/>
    <w:rsid w:val="00D13194"/>
    <w:rsid w:val="00D13EEC"/>
    <w:rsid w:val="00D13FC0"/>
    <w:rsid w:val="00D145E5"/>
    <w:rsid w:val="00D14959"/>
    <w:rsid w:val="00D14EF2"/>
    <w:rsid w:val="00D15D40"/>
    <w:rsid w:val="00D1619D"/>
    <w:rsid w:val="00D1619E"/>
    <w:rsid w:val="00D161A8"/>
    <w:rsid w:val="00D16672"/>
    <w:rsid w:val="00D16D07"/>
    <w:rsid w:val="00D17879"/>
    <w:rsid w:val="00D17C70"/>
    <w:rsid w:val="00D17ED3"/>
    <w:rsid w:val="00D20026"/>
    <w:rsid w:val="00D20F72"/>
    <w:rsid w:val="00D2162E"/>
    <w:rsid w:val="00D217A8"/>
    <w:rsid w:val="00D21984"/>
    <w:rsid w:val="00D21B78"/>
    <w:rsid w:val="00D21BD4"/>
    <w:rsid w:val="00D21C57"/>
    <w:rsid w:val="00D21C6A"/>
    <w:rsid w:val="00D2232C"/>
    <w:rsid w:val="00D22342"/>
    <w:rsid w:val="00D23009"/>
    <w:rsid w:val="00D23D6C"/>
    <w:rsid w:val="00D240A8"/>
    <w:rsid w:val="00D24368"/>
    <w:rsid w:val="00D248FC"/>
    <w:rsid w:val="00D2541C"/>
    <w:rsid w:val="00D2592A"/>
    <w:rsid w:val="00D25B94"/>
    <w:rsid w:val="00D25F01"/>
    <w:rsid w:val="00D260F8"/>
    <w:rsid w:val="00D26D5F"/>
    <w:rsid w:val="00D26EB8"/>
    <w:rsid w:val="00D272C1"/>
    <w:rsid w:val="00D272FF"/>
    <w:rsid w:val="00D27770"/>
    <w:rsid w:val="00D277FE"/>
    <w:rsid w:val="00D27CB8"/>
    <w:rsid w:val="00D3117E"/>
    <w:rsid w:val="00D316A2"/>
    <w:rsid w:val="00D31D29"/>
    <w:rsid w:val="00D32019"/>
    <w:rsid w:val="00D32164"/>
    <w:rsid w:val="00D32480"/>
    <w:rsid w:val="00D32564"/>
    <w:rsid w:val="00D32986"/>
    <w:rsid w:val="00D32D2B"/>
    <w:rsid w:val="00D32FC0"/>
    <w:rsid w:val="00D33316"/>
    <w:rsid w:val="00D33B20"/>
    <w:rsid w:val="00D34050"/>
    <w:rsid w:val="00D34D4B"/>
    <w:rsid w:val="00D3525F"/>
    <w:rsid w:val="00D355BB"/>
    <w:rsid w:val="00D35700"/>
    <w:rsid w:val="00D36810"/>
    <w:rsid w:val="00D36DD8"/>
    <w:rsid w:val="00D372A2"/>
    <w:rsid w:val="00D37741"/>
    <w:rsid w:val="00D378DE"/>
    <w:rsid w:val="00D40AC1"/>
    <w:rsid w:val="00D40DF0"/>
    <w:rsid w:val="00D40FD6"/>
    <w:rsid w:val="00D41720"/>
    <w:rsid w:val="00D41D77"/>
    <w:rsid w:val="00D41E06"/>
    <w:rsid w:val="00D4262E"/>
    <w:rsid w:val="00D4293C"/>
    <w:rsid w:val="00D42E02"/>
    <w:rsid w:val="00D43003"/>
    <w:rsid w:val="00D436E2"/>
    <w:rsid w:val="00D438D1"/>
    <w:rsid w:val="00D44CF0"/>
    <w:rsid w:val="00D44D4A"/>
    <w:rsid w:val="00D4509C"/>
    <w:rsid w:val="00D454E3"/>
    <w:rsid w:val="00D45823"/>
    <w:rsid w:val="00D45A84"/>
    <w:rsid w:val="00D466C7"/>
    <w:rsid w:val="00D467CB"/>
    <w:rsid w:val="00D46D52"/>
    <w:rsid w:val="00D479E7"/>
    <w:rsid w:val="00D500D3"/>
    <w:rsid w:val="00D50256"/>
    <w:rsid w:val="00D50378"/>
    <w:rsid w:val="00D50455"/>
    <w:rsid w:val="00D50810"/>
    <w:rsid w:val="00D511D3"/>
    <w:rsid w:val="00D5166E"/>
    <w:rsid w:val="00D51AF9"/>
    <w:rsid w:val="00D51C72"/>
    <w:rsid w:val="00D51F04"/>
    <w:rsid w:val="00D5255C"/>
    <w:rsid w:val="00D53B3C"/>
    <w:rsid w:val="00D53D26"/>
    <w:rsid w:val="00D54D6C"/>
    <w:rsid w:val="00D55347"/>
    <w:rsid w:val="00D557E0"/>
    <w:rsid w:val="00D56A69"/>
    <w:rsid w:val="00D56FDA"/>
    <w:rsid w:val="00D573C3"/>
    <w:rsid w:val="00D603A0"/>
    <w:rsid w:val="00D60A4D"/>
    <w:rsid w:val="00D630A7"/>
    <w:rsid w:val="00D639C4"/>
    <w:rsid w:val="00D63F3F"/>
    <w:rsid w:val="00D64030"/>
    <w:rsid w:val="00D64425"/>
    <w:rsid w:val="00D64669"/>
    <w:rsid w:val="00D65167"/>
    <w:rsid w:val="00D658BD"/>
    <w:rsid w:val="00D65C8B"/>
    <w:rsid w:val="00D65F9C"/>
    <w:rsid w:val="00D663B4"/>
    <w:rsid w:val="00D66659"/>
    <w:rsid w:val="00D66B5A"/>
    <w:rsid w:val="00D66BB2"/>
    <w:rsid w:val="00D67C94"/>
    <w:rsid w:val="00D70522"/>
    <w:rsid w:val="00D70678"/>
    <w:rsid w:val="00D707A4"/>
    <w:rsid w:val="00D71234"/>
    <w:rsid w:val="00D717B1"/>
    <w:rsid w:val="00D71920"/>
    <w:rsid w:val="00D71923"/>
    <w:rsid w:val="00D71E45"/>
    <w:rsid w:val="00D72557"/>
    <w:rsid w:val="00D72DA4"/>
    <w:rsid w:val="00D7365C"/>
    <w:rsid w:val="00D73FEA"/>
    <w:rsid w:val="00D7471B"/>
    <w:rsid w:val="00D74728"/>
    <w:rsid w:val="00D76100"/>
    <w:rsid w:val="00D76591"/>
    <w:rsid w:val="00D7685F"/>
    <w:rsid w:val="00D76E9B"/>
    <w:rsid w:val="00D778B9"/>
    <w:rsid w:val="00D77A26"/>
    <w:rsid w:val="00D77FDF"/>
    <w:rsid w:val="00D80614"/>
    <w:rsid w:val="00D80973"/>
    <w:rsid w:val="00D80FEB"/>
    <w:rsid w:val="00D81465"/>
    <w:rsid w:val="00D81570"/>
    <w:rsid w:val="00D81BD9"/>
    <w:rsid w:val="00D81CF6"/>
    <w:rsid w:val="00D824FE"/>
    <w:rsid w:val="00D825E1"/>
    <w:rsid w:val="00D82746"/>
    <w:rsid w:val="00D830A4"/>
    <w:rsid w:val="00D83443"/>
    <w:rsid w:val="00D83DCB"/>
    <w:rsid w:val="00D83FC8"/>
    <w:rsid w:val="00D84377"/>
    <w:rsid w:val="00D84F85"/>
    <w:rsid w:val="00D854F1"/>
    <w:rsid w:val="00D85F8C"/>
    <w:rsid w:val="00D86960"/>
    <w:rsid w:val="00D869DA"/>
    <w:rsid w:val="00D86BB5"/>
    <w:rsid w:val="00D870D9"/>
    <w:rsid w:val="00D8760A"/>
    <w:rsid w:val="00D901E9"/>
    <w:rsid w:val="00D905E4"/>
    <w:rsid w:val="00D90DCB"/>
    <w:rsid w:val="00D91473"/>
    <w:rsid w:val="00D91902"/>
    <w:rsid w:val="00D91B18"/>
    <w:rsid w:val="00D91CB0"/>
    <w:rsid w:val="00D91CC3"/>
    <w:rsid w:val="00D91E9A"/>
    <w:rsid w:val="00D91FF7"/>
    <w:rsid w:val="00D9215B"/>
    <w:rsid w:val="00D92229"/>
    <w:rsid w:val="00D93158"/>
    <w:rsid w:val="00D9386F"/>
    <w:rsid w:val="00D93CE8"/>
    <w:rsid w:val="00D94024"/>
    <w:rsid w:val="00D941DC"/>
    <w:rsid w:val="00D94244"/>
    <w:rsid w:val="00D946CE"/>
    <w:rsid w:val="00D950CC"/>
    <w:rsid w:val="00D9572F"/>
    <w:rsid w:val="00D95D8D"/>
    <w:rsid w:val="00D961FF"/>
    <w:rsid w:val="00D966E1"/>
    <w:rsid w:val="00D967BA"/>
    <w:rsid w:val="00D9732B"/>
    <w:rsid w:val="00D975FB"/>
    <w:rsid w:val="00DA0973"/>
    <w:rsid w:val="00DA1603"/>
    <w:rsid w:val="00DA1B73"/>
    <w:rsid w:val="00DA2DDA"/>
    <w:rsid w:val="00DA385B"/>
    <w:rsid w:val="00DA3A90"/>
    <w:rsid w:val="00DA3B5D"/>
    <w:rsid w:val="00DA3F78"/>
    <w:rsid w:val="00DA45BF"/>
    <w:rsid w:val="00DA4EE3"/>
    <w:rsid w:val="00DA5CFD"/>
    <w:rsid w:val="00DA6DE9"/>
    <w:rsid w:val="00DA7BA7"/>
    <w:rsid w:val="00DA7F07"/>
    <w:rsid w:val="00DB098C"/>
    <w:rsid w:val="00DB0D90"/>
    <w:rsid w:val="00DB1734"/>
    <w:rsid w:val="00DB1FDD"/>
    <w:rsid w:val="00DB24AD"/>
    <w:rsid w:val="00DB28C9"/>
    <w:rsid w:val="00DB2B47"/>
    <w:rsid w:val="00DB300C"/>
    <w:rsid w:val="00DB3935"/>
    <w:rsid w:val="00DB3D6A"/>
    <w:rsid w:val="00DB3EE7"/>
    <w:rsid w:val="00DB428A"/>
    <w:rsid w:val="00DB45D5"/>
    <w:rsid w:val="00DB4C27"/>
    <w:rsid w:val="00DB4CDD"/>
    <w:rsid w:val="00DB4EAF"/>
    <w:rsid w:val="00DB5056"/>
    <w:rsid w:val="00DB523D"/>
    <w:rsid w:val="00DB524E"/>
    <w:rsid w:val="00DB5392"/>
    <w:rsid w:val="00DB541E"/>
    <w:rsid w:val="00DB5905"/>
    <w:rsid w:val="00DB5CB8"/>
    <w:rsid w:val="00DB618C"/>
    <w:rsid w:val="00DB6214"/>
    <w:rsid w:val="00DB70D5"/>
    <w:rsid w:val="00DB7451"/>
    <w:rsid w:val="00DB75A4"/>
    <w:rsid w:val="00DB7797"/>
    <w:rsid w:val="00DB7D16"/>
    <w:rsid w:val="00DC029B"/>
    <w:rsid w:val="00DC1384"/>
    <w:rsid w:val="00DC18A7"/>
    <w:rsid w:val="00DC1F6C"/>
    <w:rsid w:val="00DC1F99"/>
    <w:rsid w:val="00DC2BAD"/>
    <w:rsid w:val="00DC34D3"/>
    <w:rsid w:val="00DC3750"/>
    <w:rsid w:val="00DC3986"/>
    <w:rsid w:val="00DC3C90"/>
    <w:rsid w:val="00DC3DD6"/>
    <w:rsid w:val="00DC401D"/>
    <w:rsid w:val="00DC42DF"/>
    <w:rsid w:val="00DC4DC2"/>
    <w:rsid w:val="00DC5228"/>
    <w:rsid w:val="00DC57C1"/>
    <w:rsid w:val="00DC5F2F"/>
    <w:rsid w:val="00DC61EA"/>
    <w:rsid w:val="00DC636D"/>
    <w:rsid w:val="00DC640A"/>
    <w:rsid w:val="00DC7231"/>
    <w:rsid w:val="00DC78E9"/>
    <w:rsid w:val="00DC7BA5"/>
    <w:rsid w:val="00DD0071"/>
    <w:rsid w:val="00DD0554"/>
    <w:rsid w:val="00DD057B"/>
    <w:rsid w:val="00DD0625"/>
    <w:rsid w:val="00DD069F"/>
    <w:rsid w:val="00DD1036"/>
    <w:rsid w:val="00DD10B3"/>
    <w:rsid w:val="00DD1323"/>
    <w:rsid w:val="00DD1A9F"/>
    <w:rsid w:val="00DD2087"/>
    <w:rsid w:val="00DD2CBE"/>
    <w:rsid w:val="00DD36FB"/>
    <w:rsid w:val="00DD37F7"/>
    <w:rsid w:val="00DD3954"/>
    <w:rsid w:val="00DD3959"/>
    <w:rsid w:val="00DD4A47"/>
    <w:rsid w:val="00DD4D03"/>
    <w:rsid w:val="00DD5313"/>
    <w:rsid w:val="00DD5487"/>
    <w:rsid w:val="00DD5BDA"/>
    <w:rsid w:val="00DD612B"/>
    <w:rsid w:val="00DD6264"/>
    <w:rsid w:val="00DD62C7"/>
    <w:rsid w:val="00DD6C92"/>
    <w:rsid w:val="00DD6F02"/>
    <w:rsid w:val="00DD7854"/>
    <w:rsid w:val="00DD796F"/>
    <w:rsid w:val="00DD7AB3"/>
    <w:rsid w:val="00DE0BFC"/>
    <w:rsid w:val="00DE0F0F"/>
    <w:rsid w:val="00DE12FD"/>
    <w:rsid w:val="00DE206F"/>
    <w:rsid w:val="00DE20DE"/>
    <w:rsid w:val="00DE3381"/>
    <w:rsid w:val="00DE385E"/>
    <w:rsid w:val="00DE43D2"/>
    <w:rsid w:val="00DE45B8"/>
    <w:rsid w:val="00DE4697"/>
    <w:rsid w:val="00DE497B"/>
    <w:rsid w:val="00DE5064"/>
    <w:rsid w:val="00DE55A4"/>
    <w:rsid w:val="00DE5DA3"/>
    <w:rsid w:val="00DE6012"/>
    <w:rsid w:val="00DE6058"/>
    <w:rsid w:val="00DE637E"/>
    <w:rsid w:val="00DE7277"/>
    <w:rsid w:val="00DE7876"/>
    <w:rsid w:val="00DE79D5"/>
    <w:rsid w:val="00DF05DE"/>
    <w:rsid w:val="00DF0837"/>
    <w:rsid w:val="00DF0CD4"/>
    <w:rsid w:val="00DF15AF"/>
    <w:rsid w:val="00DF1AF7"/>
    <w:rsid w:val="00DF1B5B"/>
    <w:rsid w:val="00DF2069"/>
    <w:rsid w:val="00DF2321"/>
    <w:rsid w:val="00DF2C11"/>
    <w:rsid w:val="00DF2CBD"/>
    <w:rsid w:val="00DF2D32"/>
    <w:rsid w:val="00DF2FA7"/>
    <w:rsid w:val="00DF3367"/>
    <w:rsid w:val="00DF380A"/>
    <w:rsid w:val="00DF40E5"/>
    <w:rsid w:val="00DF4C36"/>
    <w:rsid w:val="00DF4FFC"/>
    <w:rsid w:val="00DF4FFE"/>
    <w:rsid w:val="00DF5A9F"/>
    <w:rsid w:val="00DF5B8C"/>
    <w:rsid w:val="00DF5CB4"/>
    <w:rsid w:val="00DF5D13"/>
    <w:rsid w:val="00DF60C5"/>
    <w:rsid w:val="00DF6ABD"/>
    <w:rsid w:val="00DF6DDF"/>
    <w:rsid w:val="00DF7168"/>
    <w:rsid w:val="00DF7E35"/>
    <w:rsid w:val="00E00212"/>
    <w:rsid w:val="00E004FA"/>
    <w:rsid w:val="00E00B94"/>
    <w:rsid w:val="00E00BE9"/>
    <w:rsid w:val="00E01F15"/>
    <w:rsid w:val="00E031DF"/>
    <w:rsid w:val="00E03634"/>
    <w:rsid w:val="00E046B2"/>
    <w:rsid w:val="00E04936"/>
    <w:rsid w:val="00E04C28"/>
    <w:rsid w:val="00E04EB7"/>
    <w:rsid w:val="00E05270"/>
    <w:rsid w:val="00E054C2"/>
    <w:rsid w:val="00E057A1"/>
    <w:rsid w:val="00E059B9"/>
    <w:rsid w:val="00E05DBF"/>
    <w:rsid w:val="00E05F44"/>
    <w:rsid w:val="00E0608C"/>
    <w:rsid w:val="00E066CB"/>
    <w:rsid w:val="00E06D2B"/>
    <w:rsid w:val="00E06F2F"/>
    <w:rsid w:val="00E071A7"/>
    <w:rsid w:val="00E075A9"/>
    <w:rsid w:val="00E108FB"/>
    <w:rsid w:val="00E11024"/>
    <w:rsid w:val="00E1158D"/>
    <w:rsid w:val="00E12CAD"/>
    <w:rsid w:val="00E13138"/>
    <w:rsid w:val="00E133A2"/>
    <w:rsid w:val="00E1361D"/>
    <w:rsid w:val="00E13631"/>
    <w:rsid w:val="00E14093"/>
    <w:rsid w:val="00E140F5"/>
    <w:rsid w:val="00E14BDF"/>
    <w:rsid w:val="00E14F3E"/>
    <w:rsid w:val="00E15982"/>
    <w:rsid w:val="00E161E7"/>
    <w:rsid w:val="00E164E6"/>
    <w:rsid w:val="00E16B46"/>
    <w:rsid w:val="00E17ACD"/>
    <w:rsid w:val="00E17B2B"/>
    <w:rsid w:val="00E200D2"/>
    <w:rsid w:val="00E20103"/>
    <w:rsid w:val="00E203CD"/>
    <w:rsid w:val="00E20B1A"/>
    <w:rsid w:val="00E212F5"/>
    <w:rsid w:val="00E216C5"/>
    <w:rsid w:val="00E21955"/>
    <w:rsid w:val="00E227DF"/>
    <w:rsid w:val="00E22AEE"/>
    <w:rsid w:val="00E22CB4"/>
    <w:rsid w:val="00E23DDA"/>
    <w:rsid w:val="00E24867"/>
    <w:rsid w:val="00E24A5E"/>
    <w:rsid w:val="00E268B7"/>
    <w:rsid w:val="00E27599"/>
    <w:rsid w:val="00E3002F"/>
    <w:rsid w:val="00E30266"/>
    <w:rsid w:val="00E303B3"/>
    <w:rsid w:val="00E30874"/>
    <w:rsid w:val="00E31894"/>
    <w:rsid w:val="00E31D75"/>
    <w:rsid w:val="00E32B47"/>
    <w:rsid w:val="00E3333D"/>
    <w:rsid w:val="00E3407C"/>
    <w:rsid w:val="00E34604"/>
    <w:rsid w:val="00E34D10"/>
    <w:rsid w:val="00E35181"/>
    <w:rsid w:val="00E3684C"/>
    <w:rsid w:val="00E374D3"/>
    <w:rsid w:val="00E376FE"/>
    <w:rsid w:val="00E4037B"/>
    <w:rsid w:val="00E40C6C"/>
    <w:rsid w:val="00E4115C"/>
    <w:rsid w:val="00E411FF"/>
    <w:rsid w:val="00E41CCE"/>
    <w:rsid w:val="00E42A34"/>
    <w:rsid w:val="00E42E34"/>
    <w:rsid w:val="00E42E87"/>
    <w:rsid w:val="00E432D6"/>
    <w:rsid w:val="00E433D5"/>
    <w:rsid w:val="00E436CF"/>
    <w:rsid w:val="00E43F91"/>
    <w:rsid w:val="00E44005"/>
    <w:rsid w:val="00E4493F"/>
    <w:rsid w:val="00E44EA1"/>
    <w:rsid w:val="00E452BB"/>
    <w:rsid w:val="00E457A1"/>
    <w:rsid w:val="00E459EF"/>
    <w:rsid w:val="00E46A37"/>
    <w:rsid w:val="00E475F2"/>
    <w:rsid w:val="00E47649"/>
    <w:rsid w:val="00E478CF"/>
    <w:rsid w:val="00E5044B"/>
    <w:rsid w:val="00E504C9"/>
    <w:rsid w:val="00E5063C"/>
    <w:rsid w:val="00E5090B"/>
    <w:rsid w:val="00E50FD6"/>
    <w:rsid w:val="00E51597"/>
    <w:rsid w:val="00E517FC"/>
    <w:rsid w:val="00E51861"/>
    <w:rsid w:val="00E52AAE"/>
    <w:rsid w:val="00E52B59"/>
    <w:rsid w:val="00E53272"/>
    <w:rsid w:val="00E53CC3"/>
    <w:rsid w:val="00E53DD7"/>
    <w:rsid w:val="00E55299"/>
    <w:rsid w:val="00E560B0"/>
    <w:rsid w:val="00E560DC"/>
    <w:rsid w:val="00E5636C"/>
    <w:rsid w:val="00E56816"/>
    <w:rsid w:val="00E5694E"/>
    <w:rsid w:val="00E56C10"/>
    <w:rsid w:val="00E610E3"/>
    <w:rsid w:val="00E619EA"/>
    <w:rsid w:val="00E619FC"/>
    <w:rsid w:val="00E6353E"/>
    <w:rsid w:val="00E635E0"/>
    <w:rsid w:val="00E636EF"/>
    <w:rsid w:val="00E63D4C"/>
    <w:rsid w:val="00E64367"/>
    <w:rsid w:val="00E64683"/>
    <w:rsid w:val="00E646C4"/>
    <w:rsid w:val="00E651C8"/>
    <w:rsid w:val="00E651EB"/>
    <w:rsid w:val="00E6553C"/>
    <w:rsid w:val="00E65BCC"/>
    <w:rsid w:val="00E66316"/>
    <w:rsid w:val="00E66452"/>
    <w:rsid w:val="00E664C8"/>
    <w:rsid w:val="00E66516"/>
    <w:rsid w:val="00E6656E"/>
    <w:rsid w:val="00E666DC"/>
    <w:rsid w:val="00E6727C"/>
    <w:rsid w:val="00E703F1"/>
    <w:rsid w:val="00E70516"/>
    <w:rsid w:val="00E70CCF"/>
    <w:rsid w:val="00E7111F"/>
    <w:rsid w:val="00E7124B"/>
    <w:rsid w:val="00E7141B"/>
    <w:rsid w:val="00E7145B"/>
    <w:rsid w:val="00E71A76"/>
    <w:rsid w:val="00E71CF8"/>
    <w:rsid w:val="00E7243A"/>
    <w:rsid w:val="00E732DC"/>
    <w:rsid w:val="00E7381D"/>
    <w:rsid w:val="00E73829"/>
    <w:rsid w:val="00E73F94"/>
    <w:rsid w:val="00E7406A"/>
    <w:rsid w:val="00E74817"/>
    <w:rsid w:val="00E74DB7"/>
    <w:rsid w:val="00E74FF8"/>
    <w:rsid w:val="00E759D9"/>
    <w:rsid w:val="00E75EE2"/>
    <w:rsid w:val="00E76974"/>
    <w:rsid w:val="00E76F6E"/>
    <w:rsid w:val="00E7761B"/>
    <w:rsid w:val="00E776DE"/>
    <w:rsid w:val="00E7785F"/>
    <w:rsid w:val="00E80EF9"/>
    <w:rsid w:val="00E81133"/>
    <w:rsid w:val="00E81198"/>
    <w:rsid w:val="00E813A3"/>
    <w:rsid w:val="00E826A9"/>
    <w:rsid w:val="00E829E6"/>
    <w:rsid w:val="00E8337A"/>
    <w:rsid w:val="00E835EF"/>
    <w:rsid w:val="00E84208"/>
    <w:rsid w:val="00E84A34"/>
    <w:rsid w:val="00E84D2C"/>
    <w:rsid w:val="00E85062"/>
    <w:rsid w:val="00E85407"/>
    <w:rsid w:val="00E85C35"/>
    <w:rsid w:val="00E86A38"/>
    <w:rsid w:val="00E86B04"/>
    <w:rsid w:val="00E86B69"/>
    <w:rsid w:val="00E86F1F"/>
    <w:rsid w:val="00E87A1D"/>
    <w:rsid w:val="00E904A3"/>
    <w:rsid w:val="00E90A49"/>
    <w:rsid w:val="00E90C8F"/>
    <w:rsid w:val="00E90D67"/>
    <w:rsid w:val="00E90D7E"/>
    <w:rsid w:val="00E90FC8"/>
    <w:rsid w:val="00E91136"/>
    <w:rsid w:val="00E912EF"/>
    <w:rsid w:val="00E913F5"/>
    <w:rsid w:val="00E91B6B"/>
    <w:rsid w:val="00E91D75"/>
    <w:rsid w:val="00E920FB"/>
    <w:rsid w:val="00E924C0"/>
    <w:rsid w:val="00E92B81"/>
    <w:rsid w:val="00E92FB9"/>
    <w:rsid w:val="00E93AC9"/>
    <w:rsid w:val="00E93B21"/>
    <w:rsid w:val="00E940A5"/>
    <w:rsid w:val="00E942B4"/>
    <w:rsid w:val="00E94E2B"/>
    <w:rsid w:val="00E94EE4"/>
    <w:rsid w:val="00E95F9F"/>
    <w:rsid w:val="00E96695"/>
    <w:rsid w:val="00E97580"/>
    <w:rsid w:val="00E97C07"/>
    <w:rsid w:val="00EA0730"/>
    <w:rsid w:val="00EA10CD"/>
    <w:rsid w:val="00EA19BB"/>
    <w:rsid w:val="00EA2C0E"/>
    <w:rsid w:val="00EA301B"/>
    <w:rsid w:val="00EA3255"/>
    <w:rsid w:val="00EA3F50"/>
    <w:rsid w:val="00EA46AE"/>
    <w:rsid w:val="00EA49A0"/>
    <w:rsid w:val="00EA4D24"/>
    <w:rsid w:val="00EA5445"/>
    <w:rsid w:val="00EA570A"/>
    <w:rsid w:val="00EA5A3E"/>
    <w:rsid w:val="00EA5C43"/>
    <w:rsid w:val="00EA5EAB"/>
    <w:rsid w:val="00EA6423"/>
    <w:rsid w:val="00EA6F8B"/>
    <w:rsid w:val="00EA7089"/>
    <w:rsid w:val="00EA7284"/>
    <w:rsid w:val="00EA7EAC"/>
    <w:rsid w:val="00EB0538"/>
    <w:rsid w:val="00EB0657"/>
    <w:rsid w:val="00EB1589"/>
    <w:rsid w:val="00EB2D6B"/>
    <w:rsid w:val="00EB37A1"/>
    <w:rsid w:val="00EB3C18"/>
    <w:rsid w:val="00EB3EB9"/>
    <w:rsid w:val="00EB40C1"/>
    <w:rsid w:val="00EB48A7"/>
    <w:rsid w:val="00EB516C"/>
    <w:rsid w:val="00EB51D5"/>
    <w:rsid w:val="00EB5219"/>
    <w:rsid w:val="00EB5863"/>
    <w:rsid w:val="00EB60EB"/>
    <w:rsid w:val="00EB69E1"/>
    <w:rsid w:val="00EB6D29"/>
    <w:rsid w:val="00EB6D86"/>
    <w:rsid w:val="00EB706F"/>
    <w:rsid w:val="00EB78DB"/>
    <w:rsid w:val="00EB7A9A"/>
    <w:rsid w:val="00EC07E0"/>
    <w:rsid w:val="00EC16CF"/>
    <w:rsid w:val="00EC2682"/>
    <w:rsid w:val="00EC36FD"/>
    <w:rsid w:val="00EC38AC"/>
    <w:rsid w:val="00EC3A76"/>
    <w:rsid w:val="00EC3FCC"/>
    <w:rsid w:val="00EC463B"/>
    <w:rsid w:val="00EC4658"/>
    <w:rsid w:val="00EC4C7F"/>
    <w:rsid w:val="00EC4E11"/>
    <w:rsid w:val="00EC516E"/>
    <w:rsid w:val="00EC5ADD"/>
    <w:rsid w:val="00EC61E6"/>
    <w:rsid w:val="00EC63D0"/>
    <w:rsid w:val="00EC6D7F"/>
    <w:rsid w:val="00EC6E1A"/>
    <w:rsid w:val="00ED0755"/>
    <w:rsid w:val="00ED18F3"/>
    <w:rsid w:val="00ED1BBD"/>
    <w:rsid w:val="00ED1CFE"/>
    <w:rsid w:val="00ED1F7F"/>
    <w:rsid w:val="00ED211F"/>
    <w:rsid w:val="00ED2A3E"/>
    <w:rsid w:val="00ED2EA6"/>
    <w:rsid w:val="00ED3028"/>
    <w:rsid w:val="00ED31A8"/>
    <w:rsid w:val="00ED3D61"/>
    <w:rsid w:val="00ED426D"/>
    <w:rsid w:val="00ED4462"/>
    <w:rsid w:val="00ED4B49"/>
    <w:rsid w:val="00ED54C2"/>
    <w:rsid w:val="00ED5C33"/>
    <w:rsid w:val="00ED5D68"/>
    <w:rsid w:val="00ED6BCA"/>
    <w:rsid w:val="00ED7002"/>
    <w:rsid w:val="00ED76FB"/>
    <w:rsid w:val="00EE02D5"/>
    <w:rsid w:val="00EE087C"/>
    <w:rsid w:val="00EE18D8"/>
    <w:rsid w:val="00EE1B4B"/>
    <w:rsid w:val="00EE1D3F"/>
    <w:rsid w:val="00EE1D43"/>
    <w:rsid w:val="00EE20EF"/>
    <w:rsid w:val="00EE2478"/>
    <w:rsid w:val="00EE2636"/>
    <w:rsid w:val="00EE2C58"/>
    <w:rsid w:val="00EE30FA"/>
    <w:rsid w:val="00EE3233"/>
    <w:rsid w:val="00EE3A77"/>
    <w:rsid w:val="00EE48B3"/>
    <w:rsid w:val="00EE4ED4"/>
    <w:rsid w:val="00EE556F"/>
    <w:rsid w:val="00EE5873"/>
    <w:rsid w:val="00EE5C12"/>
    <w:rsid w:val="00EE6896"/>
    <w:rsid w:val="00EE6AF9"/>
    <w:rsid w:val="00EE711A"/>
    <w:rsid w:val="00EE7EC0"/>
    <w:rsid w:val="00EF0AAD"/>
    <w:rsid w:val="00EF11D6"/>
    <w:rsid w:val="00EF1426"/>
    <w:rsid w:val="00EF1DCF"/>
    <w:rsid w:val="00EF261C"/>
    <w:rsid w:val="00EF2670"/>
    <w:rsid w:val="00EF2CCA"/>
    <w:rsid w:val="00EF2DFF"/>
    <w:rsid w:val="00EF3302"/>
    <w:rsid w:val="00EF4030"/>
    <w:rsid w:val="00EF40D9"/>
    <w:rsid w:val="00EF480B"/>
    <w:rsid w:val="00EF4E4A"/>
    <w:rsid w:val="00EF518E"/>
    <w:rsid w:val="00EF55CE"/>
    <w:rsid w:val="00EF565D"/>
    <w:rsid w:val="00EF59B3"/>
    <w:rsid w:val="00EF6377"/>
    <w:rsid w:val="00F00185"/>
    <w:rsid w:val="00F0121C"/>
    <w:rsid w:val="00F01F8F"/>
    <w:rsid w:val="00F027B9"/>
    <w:rsid w:val="00F03308"/>
    <w:rsid w:val="00F03D2D"/>
    <w:rsid w:val="00F0588A"/>
    <w:rsid w:val="00F06444"/>
    <w:rsid w:val="00F068DE"/>
    <w:rsid w:val="00F0715B"/>
    <w:rsid w:val="00F07169"/>
    <w:rsid w:val="00F07AA5"/>
    <w:rsid w:val="00F07D66"/>
    <w:rsid w:val="00F07DD4"/>
    <w:rsid w:val="00F10607"/>
    <w:rsid w:val="00F11861"/>
    <w:rsid w:val="00F11944"/>
    <w:rsid w:val="00F119DA"/>
    <w:rsid w:val="00F11DCB"/>
    <w:rsid w:val="00F11FF7"/>
    <w:rsid w:val="00F120C7"/>
    <w:rsid w:val="00F1247A"/>
    <w:rsid w:val="00F12618"/>
    <w:rsid w:val="00F127FE"/>
    <w:rsid w:val="00F129BB"/>
    <w:rsid w:val="00F129FF"/>
    <w:rsid w:val="00F13CA2"/>
    <w:rsid w:val="00F14336"/>
    <w:rsid w:val="00F15497"/>
    <w:rsid w:val="00F16B3D"/>
    <w:rsid w:val="00F16C79"/>
    <w:rsid w:val="00F17387"/>
    <w:rsid w:val="00F17BE2"/>
    <w:rsid w:val="00F17C83"/>
    <w:rsid w:val="00F20267"/>
    <w:rsid w:val="00F20375"/>
    <w:rsid w:val="00F2047B"/>
    <w:rsid w:val="00F213D6"/>
    <w:rsid w:val="00F22713"/>
    <w:rsid w:val="00F230C1"/>
    <w:rsid w:val="00F231E8"/>
    <w:rsid w:val="00F235DE"/>
    <w:rsid w:val="00F23B35"/>
    <w:rsid w:val="00F23DC7"/>
    <w:rsid w:val="00F23F66"/>
    <w:rsid w:val="00F2496F"/>
    <w:rsid w:val="00F2512B"/>
    <w:rsid w:val="00F255C8"/>
    <w:rsid w:val="00F25DBF"/>
    <w:rsid w:val="00F26089"/>
    <w:rsid w:val="00F2682A"/>
    <w:rsid w:val="00F26CAE"/>
    <w:rsid w:val="00F26F43"/>
    <w:rsid w:val="00F26FC4"/>
    <w:rsid w:val="00F27383"/>
    <w:rsid w:val="00F27739"/>
    <w:rsid w:val="00F27750"/>
    <w:rsid w:val="00F27BE7"/>
    <w:rsid w:val="00F30133"/>
    <w:rsid w:val="00F31E17"/>
    <w:rsid w:val="00F31F38"/>
    <w:rsid w:val="00F321B3"/>
    <w:rsid w:val="00F32425"/>
    <w:rsid w:val="00F3364A"/>
    <w:rsid w:val="00F3382B"/>
    <w:rsid w:val="00F3455A"/>
    <w:rsid w:val="00F366F7"/>
    <w:rsid w:val="00F36978"/>
    <w:rsid w:val="00F36A3F"/>
    <w:rsid w:val="00F36F66"/>
    <w:rsid w:val="00F373F0"/>
    <w:rsid w:val="00F37A88"/>
    <w:rsid w:val="00F403C8"/>
    <w:rsid w:val="00F40C2B"/>
    <w:rsid w:val="00F40D32"/>
    <w:rsid w:val="00F4111C"/>
    <w:rsid w:val="00F41256"/>
    <w:rsid w:val="00F4160E"/>
    <w:rsid w:val="00F41E60"/>
    <w:rsid w:val="00F42E6E"/>
    <w:rsid w:val="00F43187"/>
    <w:rsid w:val="00F43E76"/>
    <w:rsid w:val="00F445F6"/>
    <w:rsid w:val="00F45681"/>
    <w:rsid w:val="00F45751"/>
    <w:rsid w:val="00F45CA5"/>
    <w:rsid w:val="00F45DAE"/>
    <w:rsid w:val="00F460FE"/>
    <w:rsid w:val="00F461A5"/>
    <w:rsid w:val="00F46278"/>
    <w:rsid w:val="00F462F6"/>
    <w:rsid w:val="00F46D20"/>
    <w:rsid w:val="00F501AB"/>
    <w:rsid w:val="00F50306"/>
    <w:rsid w:val="00F5083D"/>
    <w:rsid w:val="00F510D1"/>
    <w:rsid w:val="00F51504"/>
    <w:rsid w:val="00F51923"/>
    <w:rsid w:val="00F51B7A"/>
    <w:rsid w:val="00F51CA7"/>
    <w:rsid w:val="00F51CF6"/>
    <w:rsid w:val="00F5205E"/>
    <w:rsid w:val="00F52147"/>
    <w:rsid w:val="00F524DA"/>
    <w:rsid w:val="00F52A38"/>
    <w:rsid w:val="00F52CDF"/>
    <w:rsid w:val="00F5305C"/>
    <w:rsid w:val="00F5378E"/>
    <w:rsid w:val="00F53BFF"/>
    <w:rsid w:val="00F53EB4"/>
    <w:rsid w:val="00F5487B"/>
    <w:rsid w:val="00F551C3"/>
    <w:rsid w:val="00F552E7"/>
    <w:rsid w:val="00F561DD"/>
    <w:rsid w:val="00F56722"/>
    <w:rsid w:val="00F56AA9"/>
    <w:rsid w:val="00F60533"/>
    <w:rsid w:val="00F6063F"/>
    <w:rsid w:val="00F60BFF"/>
    <w:rsid w:val="00F61055"/>
    <w:rsid w:val="00F610B4"/>
    <w:rsid w:val="00F62241"/>
    <w:rsid w:val="00F627FF"/>
    <w:rsid w:val="00F62898"/>
    <w:rsid w:val="00F62BC8"/>
    <w:rsid w:val="00F63B43"/>
    <w:rsid w:val="00F658D4"/>
    <w:rsid w:val="00F660E4"/>
    <w:rsid w:val="00F6624A"/>
    <w:rsid w:val="00F668F1"/>
    <w:rsid w:val="00F6792F"/>
    <w:rsid w:val="00F7033F"/>
    <w:rsid w:val="00F706D7"/>
    <w:rsid w:val="00F70E4C"/>
    <w:rsid w:val="00F70ECD"/>
    <w:rsid w:val="00F7123A"/>
    <w:rsid w:val="00F7161C"/>
    <w:rsid w:val="00F71865"/>
    <w:rsid w:val="00F71C17"/>
    <w:rsid w:val="00F71FA7"/>
    <w:rsid w:val="00F720A2"/>
    <w:rsid w:val="00F720B3"/>
    <w:rsid w:val="00F72303"/>
    <w:rsid w:val="00F72BD1"/>
    <w:rsid w:val="00F73041"/>
    <w:rsid w:val="00F73403"/>
    <w:rsid w:val="00F745E8"/>
    <w:rsid w:val="00F74A93"/>
    <w:rsid w:val="00F751F8"/>
    <w:rsid w:val="00F75279"/>
    <w:rsid w:val="00F7532B"/>
    <w:rsid w:val="00F75835"/>
    <w:rsid w:val="00F7599C"/>
    <w:rsid w:val="00F75A8C"/>
    <w:rsid w:val="00F7609D"/>
    <w:rsid w:val="00F76A55"/>
    <w:rsid w:val="00F7730A"/>
    <w:rsid w:val="00F77506"/>
    <w:rsid w:val="00F77808"/>
    <w:rsid w:val="00F7799A"/>
    <w:rsid w:val="00F77B52"/>
    <w:rsid w:val="00F77F79"/>
    <w:rsid w:val="00F77F9B"/>
    <w:rsid w:val="00F80FC6"/>
    <w:rsid w:val="00F81508"/>
    <w:rsid w:val="00F81959"/>
    <w:rsid w:val="00F81B45"/>
    <w:rsid w:val="00F81CC6"/>
    <w:rsid w:val="00F82C15"/>
    <w:rsid w:val="00F8315B"/>
    <w:rsid w:val="00F832FD"/>
    <w:rsid w:val="00F839D6"/>
    <w:rsid w:val="00F83C10"/>
    <w:rsid w:val="00F83DE6"/>
    <w:rsid w:val="00F844FE"/>
    <w:rsid w:val="00F84EB3"/>
    <w:rsid w:val="00F851D1"/>
    <w:rsid w:val="00F85AD1"/>
    <w:rsid w:val="00F85DFA"/>
    <w:rsid w:val="00F86498"/>
    <w:rsid w:val="00F86757"/>
    <w:rsid w:val="00F873DB"/>
    <w:rsid w:val="00F87BFA"/>
    <w:rsid w:val="00F90110"/>
    <w:rsid w:val="00F90569"/>
    <w:rsid w:val="00F91010"/>
    <w:rsid w:val="00F91276"/>
    <w:rsid w:val="00F91D22"/>
    <w:rsid w:val="00F92155"/>
    <w:rsid w:val="00F931C1"/>
    <w:rsid w:val="00F93570"/>
    <w:rsid w:val="00F93840"/>
    <w:rsid w:val="00F93B7D"/>
    <w:rsid w:val="00F9472E"/>
    <w:rsid w:val="00F95710"/>
    <w:rsid w:val="00F95DEA"/>
    <w:rsid w:val="00F95ED8"/>
    <w:rsid w:val="00F966D4"/>
    <w:rsid w:val="00F96847"/>
    <w:rsid w:val="00F96F5A"/>
    <w:rsid w:val="00F973C3"/>
    <w:rsid w:val="00F97872"/>
    <w:rsid w:val="00F97B42"/>
    <w:rsid w:val="00F97FEF"/>
    <w:rsid w:val="00FA076F"/>
    <w:rsid w:val="00FA0C61"/>
    <w:rsid w:val="00FA0E4C"/>
    <w:rsid w:val="00FA114B"/>
    <w:rsid w:val="00FA1C4F"/>
    <w:rsid w:val="00FA220A"/>
    <w:rsid w:val="00FA3178"/>
    <w:rsid w:val="00FA3384"/>
    <w:rsid w:val="00FA3E1A"/>
    <w:rsid w:val="00FA4D8B"/>
    <w:rsid w:val="00FA4E26"/>
    <w:rsid w:val="00FA5272"/>
    <w:rsid w:val="00FA5A04"/>
    <w:rsid w:val="00FA5C60"/>
    <w:rsid w:val="00FA6057"/>
    <w:rsid w:val="00FA6C8A"/>
    <w:rsid w:val="00FA6D0A"/>
    <w:rsid w:val="00FA74A3"/>
    <w:rsid w:val="00FA7936"/>
    <w:rsid w:val="00FA7ABD"/>
    <w:rsid w:val="00FB0618"/>
    <w:rsid w:val="00FB069A"/>
    <w:rsid w:val="00FB0783"/>
    <w:rsid w:val="00FB0BCC"/>
    <w:rsid w:val="00FB0DCC"/>
    <w:rsid w:val="00FB17B6"/>
    <w:rsid w:val="00FB19AB"/>
    <w:rsid w:val="00FB21CB"/>
    <w:rsid w:val="00FB2407"/>
    <w:rsid w:val="00FB29F8"/>
    <w:rsid w:val="00FB2A9E"/>
    <w:rsid w:val="00FB2FDC"/>
    <w:rsid w:val="00FB31D7"/>
    <w:rsid w:val="00FB3810"/>
    <w:rsid w:val="00FB3CD9"/>
    <w:rsid w:val="00FB3ED3"/>
    <w:rsid w:val="00FB4C00"/>
    <w:rsid w:val="00FB4F4B"/>
    <w:rsid w:val="00FB57E3"/>
    <w:rsid w:val="00FB5BB0"/>
    <w:rsid w:val="00FB5C6E"/>
    <w:rsid w:val="00FB61D5"/>
    <w:rsid w:val="00FB6B7D"/>
    <w:rsid w:val="00FB6D32"/>
    <w:rsid w:val="00FC1BF6"/>
    <w:rsid w:val="00FC1CDB"/>
    <w:rsid w:val="00FC1E99"/>
    <w:rsid w:val="00FC2D2F"/>
    <w:rsid w:val="00FC2DD5"/>
    <w:rsid w:val="00FC33D1"/>
    <w:rsid w:val="00FC35B3"/>
    <w:rsid w:val="00FC3D74"/>
    <w:rsid w:val="00FC3E00"/>
    <w:rsid w:val="00FC3ED6"/>
    <w:rsid w:val="00FC41B8"/>
    <w:rsid w:val="00FC4896"/>
    <w:rsid w:val="00FC4D3D"/>
    <w:rsid w:val="00FC5CBD"/>
    <w:rsid w:val="00FC611B"/>
    <w:rsid w:val="00FC68BC"/>
    <w:rsid w:val="00FC6FE4"/>
    <w:rsid w:val="00FC701A"/>
    <w:rsid w:val="00FD02C1"/>
    <w:rsid w:val="00FD0A0F"/>
    <w:rsid w:val="00FD0DE4"/>
    <w:rsid w:val="00FD1079"/>
    <w:rsid w:val="00FD10D3"/>
    <w:rsid w:val="00FD12A7"/>
    <w:rsid w:val="00FD171E"/>
    <w:rsid w:val="00FD17DF"/>
    <w:rsid w:val="00FD18EF"/>
    <w:rsid w:val="00FD1D9F"/>
    <w:rsid w:val="00FD1EE3"/>
    <w:rsid w:val="00FD1F02"/>
    <w:rsid w:val="00FD30DF"/>
    <w:rsid w:val="00FD389B"/>
    <w:rsid w:val="00FD45EF"/>
    <w:rsid w:val="00FD4C54"/>
    <w:rsid w:val="00FD533F"/>
    <w:rsid w:val="00FD53FE"/>
    <w:rsid w:val="00FD549A"/>
    <w:rsid w:val="00FD5933"/>
    <w:rsid w:val="00FD69F8"/>
    <w:rsid w:val="00FD6A0E"/>
    <w:rsid w:val="00FD6D95"/>
    <w:rsid w:val="00FD6DF4"/>
    <w:rsid w:val="00FD6EEA"/>
    <w:rsid w:val="00FD782A"/>
    <w:rsid w:val="00FD7B97"/>
    <w:rsid w:val="00FD7E5B"/>
    <w:rsid w:val="00FE0595"/>
    <w:rsid w:val="00FE087C"/>
    <w:rsid w:val="00FE1993"/>
    <w:rsid w:val="00FE2526"/>
    <w:rsid w:val="00FE2584"/>
    <w:rsid w:val="00FE3060"/>
    <w:rsid w:val="00FE32C1"/>
    <w:rsid w:val="00FE363B"/>
    <w:rsid w:val="00FE370C"/>
    <w:rsid w:val="00FE3BF1"/>
    <w:rsid w:val="00FE3DD8"/>
    <w:rsid w:val="00FE431A"/>
    <w:rsid w:val="00FE48F5"/>
    <w:rsid w:val="00FE4926"/>
    <w:rsid w:val="00FE503C"/>
    <w:rsid w:val="00FE54F4"/>
    <w:rsid w:val="00FE6180"/>
    <w:rsid w:val="00FE646D"/>
    <w:rsid w:val="00FE66E0"/>
    <w:rsid w:val="00FE6CDC"/>
    <w:rsid w:val="00FE7391"/>
    <w:rsid w:val="00FE7587"/>
    <w:rsid w:val="00FE7AC8"/>
    <w:rsid w:val="00FF04AD"/>
    <w:rsid w:val="00FF04B8"/>
    <w:rsid w:val="00FF080A"/>
    <w:rsid w:val="00FF09EC"/>
    <w:rsid w:val="00FF0B38"/>
    <w:rsid w:val="00FF0EFE"/>
    <w:rsid w:val="00FF1540"/>
    <w:rsid w:val="00FF1D4D"/>
    <w:rsid w:val="00FF2700"/>
    <w:rsid w:val="00FF2B9D"/>
    <w:rsid w:val="00FF2E5A"/>
    <w:rsid w:val="00FF340F"/>
    <w:rsid w:val="00FF39C4"/>
    <w:rsid w:val="00FF44B6"/>
    <w:rsid w:val="00FF4559"/>
    <w:rsid w:val="00FF49A8"/>
    <w:rsid w:val="00FF4CB9"/>
    <w:rsid w:val="00FF4E91"/>
    <w:rsid w:val="00FF509B"/>
    <w:rsid w:val="00FF5582"/>
    <w:rsid w:val="00FF5872"/>
    <w:rsid w:val="00FF60C5"/>
    <w:rsid w:val="00FF669D"/>
    <w:rsid w:val="00FF6832"/>
    <w:rsid w:val="00FF6E50"/>
    <w:rsid w:val="00FF6FD1"/>
    <w:rsid w:val="00FF77BC"/>
    <w:rsid w:val="00FF784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l-GR" w:eastAsia="el-GR"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A02078"/>
    <w:rPr>
      <w:rFonts w:ascii="Arial" w:hAnsi="Arial" w:cs="Arial"/>
      <w:sz w:val="24"/>
      <w:szCs w:val="24"/>
    </w:rPr>
  </w:style>
  <w:style w:type="paragraph" w:styleId="1">
    <w:name w:val="heading 1"/>
    <w:basedOn w:val="a"/>
    <w:next w:val="a"/>
    <w:link w:val="1Char"/>
    <w:uiPriority w:val="99"/>
    <w:qFormat/>
    <w:rsid w:val="00A02078"/>
    <w:pPr>
      <w:keepNext/>
      <w:spacing w:line="360" w:lineRule="auto"/>
      <w:jc w:val="both"/>
      <w:outlineLvl w:val="0"/>
    </w:pPr>
    <w:rPr>
      <w:rFonts w:cs="Times New Roman"/>
      <w:b/>
      <w:bCs/>
    </w:rPr>
  </w:style>
  <w:style w:type="paragraph" w:styleId="2">
    <w:name w:val="heading 2"/>
    <w:basedOn w:val="a"/>
    <w:next w:val="a"/>
    <w:link w:val="2Char"/>
    <w:uiPriority w:val="99"/>
    <w:qFormat/>
    <w:rsid w:val="00A02078"/>
    <w:pPr>
      <w:keepNext/>
      <w:jc w:val="center"/>
      <w:outlineLvl w:val="1"/>
    </w:pPr>
    <w:rPr>
      <w:rFonts w:cs="Times New Roman"/>
      <w:b/>
      <w:bCs/>
      <w:i/>
      <w:iCs/>
      <w:sz w:val="18"/>
      <w:szCs w:val="18"/>
    </w:rPr>
  </w:style>
  <w:style w:type="paragraph" w:styleId="3">
    <w:name w:val="heading 3"/>
    <w:basedOn w:val="a"/>
    <w:next w:val="a"/>
    <w:link w:val="3Char"/>
    <w:uiPriority w:val="99"/>
    <w:qFormat/>
    <w:rsid w:val="00A02078"/>
    <w:pPr>
      <w:keepNext/>
      <w:spacing w:after="240" w:line="288" w:lineRule="auto"/>
      <w:jc w:val="both"/>
      <w:outlineLvl w:val="2"/>
    </w:pPr>
    <w:rPr>
      <w:rFonts w:cs="Times New Roman"/>
      <w:b/>
      <w:bCs/>
      <w:i/>
      <w:iCs/>
    </w:rPr>
  </w:style>
  <w:style w:type="paragraph" w:styleId="4">
    <w:name w:val="heading 4"/>
    <w:basedOn w:val="a"/>
    <w:next w:val="a"/>
    <w:link w:val="4Char"/>
    <w:uiPriority w:val="99"/>
    <w:qFormat/>
    <w:rsid w:val="00A02078"/>
    <w:pPr>
      <w:keepNext/>
      <w:spacing w:after="240" w:line="288" w:lineRule="auto"/>
      <w:jc w:val="center"/>
      <w:outlineLvl w:val="3"/>
    </w:pPr>
    <w:rPr>
      <w:rFonts w:cs="Times New Roman"/>
      <w:b/>
      <w:bCs/>
      <w:sz w:val="28"/>
      <w:szCs w:val="28"/>
    </w:rPr>
  </w:style>
  <w:style w:type="paragraph" w:styleId="5">
    <w:name w:val="heading 5"/>
    <w:basedOn w:val="a"/>
    <w:next w:val="a"/>
    <w:link w:val="5Char"/>
    <w:uiPriority w:val="99"/>
    <w:qFormat/>
    <w:rsid w:val="00A02078"/>
    <w:pPr>
      <w:keepNext/>
      <w:spacing w:line="288" w:lineRule="auto"/>
      <w:jc w:val="center"/>
      <w:outlineLvl w:val="4"/>
    </w:pPr>
    <w:rPr>
      <w:rFonts w:cs="Times New Roman"/>
      <w:i/>
      <w:iCs/>
      <w:color w:val="000000"/>
      <w:sz w:val="18"/>
      <w:szCs w:val="18"/>
      <w:lang w:val="en-US"/>
    </w:rPr>
  </w:style>
  <w:style w:type="paragraph" w:styleId="6">
    <w:name w:val="heading 6"/>
    <w:basedOn w:val="a"/>
    <w:next w:val="a"/>
    <w:link w:val="6Char"/>
    <w:uiPriority w:val="99"/>
    <w:qFormat/>
    <w:rsid w:val="00A02078"/>
    <w:pPr>
      <w:keepNext/>
      <w:outlineLvl w:val="5"/>
    </w:pPr>
    <w:rPr>
      <w:rFonts w:cs="Times New Roman"/>
      <w:i/>
      <w:iCs/>
    </w:rPr>
  </w:style>
  <w:style w:type="paragraph" w:styleId="7">
    <w:name w:val="heading 7"/>
    <w:basedOn w:val="a"/>
    <w:next w:val="a"/>
    <w:link w:val="7Char"/>
    <w:uiPriority w:val="99"/>
    <w:qFormat/>
    <w:rsid w:val="00A02078"/>
    <w:pPr>
      <w:keepNext/>
      <w:outlineLvl w:val="6"/>
    </w:pPr>
    <w:rPr>
      <w:rFonts w:cs="Times New Roman"/>
      <w:b/>
      <w:bCs/>
      <w:sz w:val="18"/>
      <w:szCs w:val="18"/>
    </w:rPr>
  </w:style>
  <w:style w:type="paragraph" w:styleId="8">
    <w:name w:val="heading 8"/>
    <w:basedOn w:val="a"/>
    <w:next w:val="a"/>
    <w:link w:val="8Char"/>
    <w:uiPriority w:val="99"/>
    <w:qFormat/>
    <w:rsid w:val="00A02078"/>
    <w:pPr>
      <w:keepNext/>
      <w:outlineLvl w:val="7"/>
    </w:pPr>
    <w:rPr>
      <w:rFonts w:cs="Times New Roman"/>
      <w:i/>
      <w:iCs/>
      <w:sz w:val="18"/>
      <w:szCs w:val="18"/>
    </w:rPr>
  </w:style>
  <w:style w:type="paragraph" w:styleId="9">
    <w:name w:val="heading 9"/>
    <w:basedOn w:val="a"/>
    <w:next w:val="a"/>
    <w:link w:val="9Char"/>
    <w:uiPriority w:val="99"/>
    <w:qFormat/>
    <w:rsid w:val="00A02078"/>
    <w:pPr>
      <w:keepNext/>
      <w:spacing w:line="288" w:lineRule="auto"/>
      <w:ind w:left="709"/>
      <w:jc w:val="both"/>
      <w:outlineLvl w:val="8"/>
    </w:pPr>
    <w:rPr>
      <w:rFonts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9"/>
    <w:locked/>
    <w:rsid w:val="009E4726"/>
    <w:rPr>
      <w:rFonts w:cs="Times New Roman"/>
      <w:b/>
      <w:bCs/>
      <w:sz w:val="24"/>
      <w:szCs w:val="24"/>
      <w:lang w:val="el-GR" w:eastAsia="el-GR"/>
    </w:rPr>
  </w:style>
  <w:style w:type="character" w:customStyle="1" w:styleId="2Char">
    <w:name w:val="Επικεφαλίδα 2 Char"/>
    <w:basedOn w:val="a0"/>
    <w:link w:val="2"/>
    <w:uiPriority w:val="99"/>
    <w:locked/>
    <w:rsid w:val="009E4726"/>
    <w:rPr>
      <w:rFonts w:cs="Times New Roman"/>
      <w:b/>
      <w:bCs/>
      <w:i/>
      <w:iCs/>
      <w:sz w:val="18"/>
      <w:szCs w:val="18"/>
      <w:lang w:val="el-GR" w:eastAsia="el-GR"/>
    </w:rPr>
  </w:style>
  <w:style w:type="character" w:customStyle="1" w:styleId="3Char">
    <w:name w:val="Επικεφαλίδα 3 Char"/>
    <w:basedOn w:val="a0"/>
    <w:link w:val="3"/>
    <w:uiPriority w:val="99"/>
    <w:semiHidden/>
    <w:locked/>
    <w:rsid w:val="002C34E3"/>
    <w:rPr>
      <w:rFonts w:ascii="Cambria" w:hAnsi="Cambria" w:cs="Cambria"/>
      <w:b/>
      <w:bCs/>
      <w:sz w:val="26"/>
      <w:szCs w:val="26"/>
    </w:rPr>
  </w:style>
  <w:style w:type="character" w:customStyle="1" w:styleId="4Char">
    <w:name w:val="Επικεφαλίδα 4 Char"/>
    <w:basedOn w:val="a0"/>
    <w:link w:val="4"/>
    <w:uiPriority w:val="99"/>
    <w:semiHidden/>
    <w:locked/>
    <w:rsid w:val="002C34E3"/>
    <w:rPr>
      <w:rFonts w:ascii="Calibri" w:hAnsi="Calibri" w:cs="Calibri"/>
      <w:b/>
      <w:bCs/>
      <w:sz w:val="28"/>
      <w:szCs w:val="28"/>
    </w:rPr>
  </w:style>
  <w:style w:type="character" w:customStyle="1" w:styleId="5Char">
    <w:name w:val="Επικεφαλίδα 5 Char"/>
    <w:basedOn w:val="a0"/>
    <w:link w:val="5"/>
    <w:uiPriority w:val="99"/>
    <w:semiHidden/>
    <w:locked/>
    <w:rsid w:val="002C34E3"/>
    <w:rPr>
      <w:rFonts w:ascii="Calibri" w:hAnsi="Calibri" w:cs="Calibri"/>
      <w:b/>
      <w:bCs/>
      <w:i/>
      <w:iCs/>
      <w:sz w:val="26"/>
      <w:szCs w:val="26"/>
    </w:rPr>
  </w:style>
  <w:style w:type="character" w:customStyle="1" w:styleId="6Char">
    <w:name w:val="Επικεφαλίδα 6 Char"/>
    <w:basedOn w:val="a0"/>
    <w:link w:val="6"/>
    <w:uiPriority w:val="99"/>
    <w:semiHidden/>
    <w:locked/>
    <w:rsid w:val="002C34E3"/>
    <w:rPr>
      <w:rFonts w:ascii="Calibri" w:hAnsi="Calibri" w:cs="Calibri"/>
      <w:b/>
      <w:bCs/>
    </w:rPr>
  </w:style>
  <w:style w:type="character" w:customStyle="1" w:styleId="7Char">
    <w:name w:val="Επικεφαλίδα 7 Char"/>
    <w:basedOn w:val="a0"/>
    <w:link w:val="7"/>
    <w:uiPriority w:val="99"/>
    <w:locked/>
    <w:rsid w:val="009E4726"/>
    <w:rPr>
      <w:rFonts w:cs="Times New Roman"/>
      <w:b/>
      <w:bCs/>
      <w:sz w:val="18"/>
      <w:szCs w:val="18"/>
      <w:lang w:val="el-GR" w:eastAsia="el-GR"/>
    </w:rPr>
  </w:style>
  <w:style w:type="character" w:customStyle="1" w:styleId="8Char">
    <w:name w:val="Επικεφαλίδα 8 Char"/>
    <w:basedOn w:val="a0"/>
    <w:link w:val="8"/>
    <w:uiPriority w:val="99"/>
    <w:semiHidden/>
    <w:locked/>
    <w:rsid w:val="002C34E3"/>
    <w:rPr>
      <w:rFonts w:ascii="Calibri" w:hAnsi="Calibri" w:cs="Calibri"/>
      <w:i/>
      <w:iCs/>
      <w:sz w:val="24"/>
      <w:szCs w:val="24"/>
    </w:rPr>
  </w:style>
  <w:style w:type="character" w:customStyle="1" w:styleId="9Char">
    <w:name w:val="Επικεφαλίδα 9 Char"/>
    <w:basedOn w:val="a0"/>
    <w:link w:val="9"/>
    <w:uiPriority w:val="99"/>
    <w:semiHidden/>
    <w:locked/>
    <w:rsid w:val="002C34E3"/>
    <w:rPr>
      <w:rFonts w:ascii="Cambria" w:hAnsi="Cambria" w:cs="Cambria"/>
    </w:rPr>
  </w:style>
  <w:style w:type="paragraph" w:styleId="a3">
    <w:name w:val="Balloon Text"/>
    <w:basedOn w:val="a"/>
    <w:link w:val="Char"/>
    <w:uiPriority w:val="99"/>
    <w:semiHidden/>
    <w:rsid w:val="00A02078"/>
    <w:rPr>
      <w:rFonts w:ascii="Tahoma" w:hAnsi="Tahoma" w:cs="Tahoma"/>
      <w:sz w:val="16"/>
      <w:szCs w:val="16"/>
    </w:rPr>
  </w:style>
  <w:style w:type="character" w:customStyle="1" w:styleId="Char">
    <w:name w:val="Κείμενο πλαισίου Char"/>
    <w:basedOn w:val="a0"/>
    <w:link w:val="a3"/>
    <w:uiPriority w:val="99"/>
    <w:semiHidden/>
    <w:locked/>
    <w:rsid w:val="002C34E3"/>
    <w:rPr>
      <w:rFonts w:cs="Times New Roman"/>
      <w:sz w:val="2"/>
      <w:szCs w:val="2"/>
    </w:rPr>
  </w:style>
  <w:style w:type="table" w:styleId="a4">
    <w:name w:val="Table Contemporary"/>
    <w:basedOn w:val="a1"/>
    <w:uiPriority w:val="99"/>
    <w:rsid w:val="009E4726"/>
    <w:rPr>
      <w:rFonts w:ascii="Arial" w:hAnsi="Arial"/>
      <w:sz w:val="20"/>
      <w:szCs w:val="20"/>
    </w:rPr>
    <w:tblPr>
      <w:tblStyleRowBandSize w:val="1"/>
      <w:tblInd w:w="0" w:type="dxa"/>
      <w:tblBorders>
        <w:top w:val="single" w:sz="4" w:space="0" w:color="auto"/>
        <w:left w:val="single" w:sz="4" w:space="0" w:color="auto"/>
        <w:bottom w:val="single" w:sz="4" w:space="0" w:color="auto"/>
        <w:right w:val="single" w:sz="4" w:space="0" w:color="auto"/>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paragraph" w:styleId="a5">
    <w:name w:val="header"/>
    <w:basedOn w:val="a"/>
    <w:link w:val="Char0"/>
    <w:uiPriority w:val="99"/>
    <w:rsid w:val="00A02078"/>
    <w:pPr>
      <w:tabs>
        <w:tab w:val="center" w:pos="4153"/>
        <w:tab w:val="right" w:pos="8306"/>
      </w:tabs>
    </w:pPr>
  </w:style>
  <w:style w:type="character" w:customStyle="1" w:styleId="Char0">
    <w:name w:val="Κεφαλίδα Char"/>
    <w:basedOn w:val="a0"/>
    <w:link w:val="a5"/>
    <w:uiPriority w:val="99"/>
    <w:locked/>
    <w:rsid w:val="002C34E3"/>
    <w:rPr>
      <w:rFonts w:ascii="Arial" w:hAnsi="Arial" w:cs="Arial"/>
      <w:sz w:val="24"/>
      <w:szCs w:val="24"/>
    </w:rPr>
  </w:style>
  <w:style w:type="character" w:styleId="a6">
    <w:name w:val="page number"/>
    <w:basedOn w:val="a0"/>
    <w:uiPriority w:val="99"/>
    <w:rsid w:val="00A02078"/>
    <w:rPr>
      <w:rFonts w:cs="Times New Roman"/>
    </w:rPr>
  </w:style>
  <w:style w:type="paragraph" w:styleId="a7">
    <w:name w:val="Body Text"/>
    <w:basedOn w:val="a"/>
    <w:link w:val="Char1"/>
    <w:uiPriority w:val="99"/>
    <w:rsid w:val="00A02078"/>
    <w:pPr>
      <w:spacing w:line="360" w:lineRule="auto"/>
      <w:jc w:val="both"/>
    </w:pPr>
    <w:rPr>
      <w:rFonts w:cs="Times New Roman"/>
      <w:u w:val="single"/>
    </w:rPr>
  </w:style>
  <w:style w:type="character" w:customStyle="1" w:styleId="Char1">
    <w:name w:val="Σώμα κειμένου Char"/>
    <w:basedOn w:val="a0"/>
    <w:link w:val="a7"/>
    <w:uiPriority w:val="99"/>
    <w:locked/>
    <w:rsid w:val="009E4726"/>
    <w:rPr>
      <w:rFonts w:cs="Times New Roman"/>
      <w:sz w:val="24"/>
      <w:szCs w:val="24"/>
      <w:u w:val="single"/>
      <w:lang w:val="el-GR" w:eastAsia="el-GR"/>
    </w:rPr>
  </w:style>
  <w:style w:type="paragraph" w:styleId="a8">
    <w:name w:val="Body Text Indent"/>
    <w:basedOn w:val="a"/>
    <w:link w:val="Char2"/>
    <w:uiPriority w:val="99"/>
    <w:rsid w:val="00A02078"/>
    <w:pPr>
      <w:tabs>
        <w:tab w:val="left" w:pos="426"/>
      </w:tabs>
      <w:spacing w:line="288" w:lineRule="auto"/>
      <w:ind w:left="284"/>
      <w:jc w:val="both"/>
    </w:pPr>
    <w:rPr>
      <w:rFonts w:ascii="Tahoma" w:hAnsi="Tahoma" w:cs="Tahoma"/>
    </w:rPr>
  </w:style>
  <w:style w:type="character" w:customStyle="1" w:styleId="Char2">
    <w:name w:val="Σώμα κείμενου με εσοχή Char"/>
    <w:basedOn w:val="a0"/>
    <w:link w:val="a8"/>
    <w:uiPriority w:val="99"/>
    <w:semiHidden/>
    <w:locked/>
    <w:rsid w:val="002C34E3"/>
    <w:rPr>
      <w:rFonts w:ascii="Arial" w:hAnsi="Arial" w:cs="Arial"/>
      <w:sz w:val="24"/>
      <w:szCs w:val="24"/>
    </w:rPr>
  </w:style>
  <w:style w:type="paragraph" w:styleId="a9">
    <w:name w:val="footer"/>
    <w:basedOn w:val="a"/>
    <w:link w:val="Char3"/>
    <w:uiPriority w:val="99"/>
    <w:rsid w:val="00A02078"/>
    <w:pPr>
      <w:tabs>
        <w:tab w:val="center" w:pos="4153"/>
        <w:tab w:val="right" w:pos="8306"/>
      </w:tabs>
    </w:pPr>
  </w:style>
  <w:style w:type="character" w:customStyle="1" w:styleId="Char3">
    <w:name w:val="Υποσέλιδο Char"/>
    <w:basedOn w:val="a0"/>
    <w:link w:val="a9"/>
    <w:uiPriority w:val="99"/>
    <w:semiHidden/>
    <w:locked/>
    <w:rsid w:val="002C34E3"/>
    <w:rPr>
      <w:rFonts w:ascii="Arial" w:hAnsi="Arial" w:cs="Arial"/>
      <w:sz w:val="24"/>
      <w:szCs w:val="24"/>
    </w:rPr>
  </w:style>
  <w:style w:type="paragraph" w:customStyle="1" w:styleId="BodyText26">
    <w:name w:val="Body Text 26"/>
    <w:basedOn w:val="a"/>
    <w:uiPriority w:val="99"/>
    <w:rsid w:val="00A02078"/>
    <w:pPr>
      <w:spacing w:after="240" w:line="288" w:lineRule="auto"/>
      <w:jc w:val="both"/>
    </w:pPr>
    <w:rPr>
      <w:rFonts w:cs="Times New Roman"/>
    </w:rPr>
  </w:style>
  <w:style w:type="paragraph" w:customStyle="1" w:styleId="BodyText25">
    <w:name w:val="Body Text 25"/>
    <w:basedOn w:val="a"/>
    <w:uiPriority w:val="99"/>
    <w:rsid w:val="00A02078"/>
    <w:pPr>
      <w:spacing w:after="240" w:line="288" w:lineRule="auto"/>
      <w:jc w:val="both"/>
    </w:pPr>
    <w:rPr>
      <w:rFonts w:cs="Times New Roman"/>
      <w:b/>
      <w:bCs/>
      <w:u w:val="single"/>
    </w:rPr>
  </w:style>
  <w:style w:type="paragraph" w:customStyle="1" w:styleId="BodyText24">
    <w:name w:val="Body Text 24"/>
    <w:basedOn w:val="a"/>
    <w:uiPriority w:val="99"/>
    <w:rsid w:val="00A02078"/>
    <w:pPr>
      <w:spacing w:after="240" w:line="288" w:lineRule="auto"/>
      <w:jc w:val="both"/>
    </w:pPr>
    <w:rPr>
      <w:rFonts w:cs="Times New Roman"/>
      <w:b/>
      <w:bCs/>
      <w:i/>
      <w:iCs/>
      <w:u w:val="single"/>
    </w:rPr>
  </w:style>
  <w:style w:type="paragraph" w:customStyle="1" w:styleId="BodyText23">
    <w:name w:val="Body Text 23"/>
    <w:basedOn w:val="a"/>
    <w:uiPriority w:val="99"/>
    <w:rsid w:val="00A02078"/>
    <w:pPr>
      <w:spacing w:line="360" w:lineRule="auto"/>
      <w:jc w:val="both"/>
    </w:pPr>
    <w:rPr>
      <w:rFonts w:cs="Times New Roman"/>
      <w:i/>
      <w:iCs/>
    </w:rPr>
  </w:style>
  <w:style w:type="paragraph" w:customStyle="1" w:styleId="Oooe4">
    <w:name w:val="Oooe4"/>
    <w:basedOn w:val="a"/>
    <w:uiPriority w:val="99"/>
    <w:rsid w:val="00A02078"/>
    <w:pPr>
      <w:spacing w:before="120" w:after="120" w:line="360" w:lineRule="auto"/>
      <w:jc w:val="both"/>
    </w:pPr>
    <w:rPr>
      <w:rFonts w:cs="Times New Roman"/>
      <w:sz w:val="22"/>
      <w:szCs w:val="22"/>
    </w:rPr>
  </w:style>
  <w:style w:type="paragraph" w:customStyle="1" w:styleId="BodyText22">
    <w:name w:val="Body Text 22"/>
    <w:basedOn w:val="a"/>
    <w:uiPriority w:val="99"/>
    <w:rsid w:val="00A02078"/>
    <w:pPr>
      <w:spacing w:after="240" w:line="288" w:lineRule="auto"/>
      <w:jc w:val="both"/>
    </w:pPr>
    <w:rPr>
      <w:rFonts w:cs="Times New Roman"/>
    </w:rPr>
  </w:style>
  <w:style w:type="paragraph" w:styleId="aa">
    <w:name w:val="footnote text"/>
    <w:basedOn w:val="a"/>
    <w:link w:val="Char4"/>
    <w:uiPriority w:val="99"/>
    <w:semiHidden/>
    <w:rsid w:val="00A02078"/>
    <w:rPr>
      <w:rFonts w:cs="Times New Roman"/>
      <w:sz w:val="20"/>
      <w:szCs w:val="20"/>
      <w:lang w:val="en-GB"/>
    </w:rPr>
  </w:style>
  <w:style w:type="character" w:customStyle="1" w:styleId="Char4">
    <w:name w:val="Κείμενο υποσημείωσης Char"/>
    <w:basedOn w:val="a0"/>
    <w:link w:val="aa"/>
    <w:uiPriority w:val="99"/>
    <w:semiHidden/>
    <w:locked/>
    <w:rsid w:val="002C34E3"/>
    <w:rPr>
      <w:rFonts w:ascii="Arial" w:hAnsi="Arial" w:cs="Arial"/>
      <w:sz w:val="20"/>
      <w:szCs w:val="20"/>
    </w:rPr>
  </w:style>
  <w:style w:type="character" w:styleId="ab">
    <w:name w:val="footnote reference"/>
    <w:basedOn w:val="a0"/>
    <w:uiPriority w:val="99"/>
    <w:semiHidden/>
    <w:rsid w:val="00A02078"/>
    <w:rPr>
      <w:rFonts w:cs="Times New Roman"/>
      <w:vertAlign w:val="superscript"/>
    </w:rPr>
  </w:style>
  <w:style w:type="paragraph" w:customStyle="1" w:styleId="BodyText21">
    <w:name w:val="Body Text 21"/>
    <w:basedOn w:val="a"/>
    <w:uiPriority w:val="99"/>
    <w:rsid w:val="00A02078"/>
    <w:pPr>
      <w:spacing w:line="312" w:lineRule="auto"/>
      <w:ind w:left="720" w:hanging="720"/>
      <w:jc w:val="both"/>
    </w:pPr>
    <w:rPr>
      <w:rFonts w:cs="Times New Roman"/>
    </w:rPr>
  </w:style>
  <w:style w:type="paragraph" w:styleId="30">
    <w:name w:val="Body Text 3"/>
    <w:basedOn w:val="a"/>
    <w:link w:val="3Char0"/>
    <w:uiPriority w:val="99"/>
    <w:rsid w:val="00A02078"/>
    <w:pPr>
      <w:spacing w:before="360" w:after="240" w:line="288" w:lineRule="auto"/>
      <w:ind w:right="-193"/>
      <w:jc w:val="both"/>
    </w:pPr>
    <w:rPr>
      <w:rFonts w:cs="Times New Roman"/>
    </w:rPr>
  </w:style>
  <w:style w:type="character" w:customStyle="1" w:styleId="3Char0">
    <w:name w:val="Σώμα κείμενου 3 Char"/>
    <w:basedOn w:val="a0"/>
    <w:link w:val="30"/>
    <w:uiPriority w:val="99"/>
    <w:semiHidden/>
    <w:locked/>
    <w:rsid w:val="002C34E3"/>
    <w:rPr>
      <w:rFonts w:ascii="Arial" w:hAnsi="Arial" w:cs="Arial"/>
      <w:sz w:val="16"/>
      <w:szCs w:val="16"/>
    </w:rPr>
  </w:style>
  <w:style w:type="paragraph" w:styleId="20">
    <w:name w:val="Body Text Indent 2"/>
    <w:basedOn w:val="a"/>
    <w:link w:val="2Char0"/>
    <w:uiPriority w:val="99"/>
    <w:rsid w:val="00A02078"/>
    <w:pPr>
      <w:tabs>
        <w:tab w:val="left" w:pos="4536"/>
      </w:tabs>
      <w:spacing w:line="288" w:lineRule="auto"/>
      <w:ind w:left="426"/>
      <w:jc w:val="both"/>
    </w:pPr>
    <w:rPr>
      <w:rFonts w:ascii="Tahoma" w:hAnsi="Tahoma" w:cs="Tahoma"/>
    </w:rPr>
  </w:style>
  <w:style w:type="character" w:customStyle="1" w:styleId="2Char0">
    <w:name w:val="Σώμα κείμενου με εσοχή 2 Char"/>
    <w:basedOn w:val="a0"/>
    <w:link w:val="20"/>
    <w:uiPriority w:val="99"/>
    <w:semiHidden/>
    <w:locked/>
    <w:rsid w:val="002C34E3"/>
    <w:rPr>
      <w:rFonts w:ascii="Arial" w:hAnsi="Arial" w:cs="Arial"/>
      <w:sz w:val="24"/>
      <w:szCs w:val="24"/>
    </w:rPr>
  </w:style>
  <w:style w:type="paragraph" w:customStyle="1" w:styleId="60">
    <w:name w:val="Στυλ6"/>
    <w:basedOn w:val="a"/>
    <w:uiPriority w:val="99"/>
    <w:rsid w:val="00A02078"/>
    <w:rPr>
      <w:rFonts w:cs="Times New Roman"/>
      <w:b/>
      <w:bCs/>
      <w:smallCaps/>
      <w:sz w:val="28"/>
      <w:szCs w:val="28"/>
    </w:rPr>
  </w:style>
  <w:style w:type="paragraph" w:styleId="21">
    <w:name w:val="Body Text 2"/>
    <w:basedOn w:val="a"/>
    <w:link w:val="2Char1"/>
    <w:uiPriority w:val="99"/>
    <w:rsid w:val="00A02078"/>
    <w:pPr>
      <w:spacing w:before="120" w:after="120" w:line="360" w:lineRule="auto"/>
      <w:jc w:val="both"/>
    </w:pPr>
    <w:rPr>
      <w:rFonts w:cs="Times New Roman"/>
      <w:b/>
      <w:bCs/>
      <w:sz w:val="32"/>
      <w:szCs w:val="32"/>
    </w:rPr>
  </w:style>
  <w:style w:type="character" w:customStyle="1" w:styleId="2Char1">
    <w:name w:val="Σώμα κείμενου 2 Char"/>
    <w:basedOn w:val="a0"/>
    <w:link w:val="21"/>
    <w:uiPriority w:val="99"/>
    <w:locked/>
    <w:rsid w:val="00E560DC"/>
    <w:rPr>
      <w:rFonts w:cs="Times New Roman"/>
      <w:b/>
      <w:bCs/>
      <w:sz w:val="32"/>
      <w:szCs w:val="32"/>
      <w:lang w:val="el-GR" w:eastAsia="el-GR"/>
    </w:rPr>
  </w:style>
  <w:style w:type="paragraph" w:styleId="31">
    <w:name w:val="Body Text Indent 3"/>
    <w:basedOn w:val="a"/>
    <w:link w:val="3Char1"/>
    <w:uiPriority w:val="99"/>
    <w:rsid w:val="00A02078"/>
    <w:pPr>
      <w:spacing w:before="120" w:line="360" w:lineRule="auto"/>
      <w:ind w:left="3260" w:hanging="3402"/>
      <w:jc w:val="both"/>
    </w:pPr>
    <w:rPr>
      <w:rFonts w:ascii="Tahoma" w:hAnsi="Tahoma" w:cs="Tahoma"/>
      <w:b/>
      <w:bCs/>
      <w:i/>
      <w:iCs/>
      <w:lang w:val="en-US"/>
    </w:rPr>
  </w:style>
  <w:style w:type="character" w:customStyle="1" w:styleId="3Char1">
    <w:name w:val="Σώμα κείμενου με εσοχή 3 Char"/>
    <w:basedOn w:val="a0"/>
    <w:link w:val="31"/>
    <w:uiPriority w:val="99"/>
    <w:semiHidden/>
    <w:locked/>
    <w:rsid w:val="002C34E3"/>
    <w:rPr>
      <w:rFonts w:ascii="Arial" w:hAnsi="Arial" w:cs="Arial"/>
      <w:sz w:val="16"/>
      <w:szCs w:val="16"/>
    </w:rPr>
  </w:style>
  <w:style w:type="character" w:styleId="ac">
    <w:name w:val="annotation reference"/>
    <w:basedOn w:val="a0"/>
    <w:uiPriority w:val="99"/>
    <w:semiHidden/>
    <w:rsid w:val="00A02078"/>
    <w:rPr>
      <w:rFonts w:cs="Times New Roman"/>
      <w:sz w:val="16"/>
      <w:szCs w:val="16"/>
    </w:rPr>
  </w:style>
  <w:style w:type="paragraph" w:styleId="ad">
    <w:name w:val="annotation text"/>
    <w:basedOn w:val="a"/>
    <w:link w:val="Char5"/>
    <w:uiPriority w:val="99"/>
    <w:semiHidden/>
    <w:rsid w:val="00A02078"/>
    <w:rPr>
      <w:sz w:val="20"/>
      <w:szCs w:val="20"/>
    </w:rPr>
  </w:style>
  <w:style w:type="character" w:customStyle="1" w:styleId="Char5">
    <w:name w:val="Κείμενο σχολίου Char"/>
    <w:basedOn w:val="a0"/>
    <w:link w:val="ad"/>
    <w:uiPriority w:val="99"/>
    <w:semiHidden/>
    <w:locked/>
    <w:rsid w:val="002C34E3"/>
    <w:rPr>
      <w:rFonts w:ascii="Arial" w:hAnsi="Arial" w:cs="Arial"/>
      <w:sz w:val="20"/>
      <w:szCs w:val="20"/>
    </w:rPr>
  </w:style>
  <w:style w:type="paragraph" w:styleId="ae">
    <w:name w:val="annotation subject"/>
    <w:basedOn w:val="ad"/>
    <w:next w:val="ad"/>
    <w:link w:val="Char6"/>
    <w:uiPriority w:val="99"/>
    <w:semiHidden/>
    <w:rsid w:val="00A02078"/>
    <w:rPr>
      <w:b/>
      <w:bCs/>
    </w:rPr>
  </w:style>
  <w:style w:type="character" w:customStyle="1" w:styleId="Char6">
    <w:name w:val="Θέμα σχολίου Char"/>
    <w:basedOn w:val="Char5"/>
    <w:link w:val="ae"/>
    <w:uiPriority w:val="99"/>
    <w:semiHidden/>
    <w:locked/>
    <w:rsid w:val="002C34E3"/>
    <w:rPr>
      <w:b/>
      <w:bCs/>
    </w:rPr>
  </w:style>
  <w:style w:type="table" w:styleId="af">
    <w:name w:val="Table Grid"/>
    <w:basedOn w:val="a1"/>
    <w:uiPriority w:val="99"/>
    <w:rsid w:val="009E4726"/>
    <w:rPr>
      <w:rFonts w:ascii="Arial" w:hAnsi="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0">
    <w:name w:val="Table Simple 1"/>
    <w:basedOn w:val="a1"/>
    <w:uiPriority w:val="99"/>
    <w:rsid w:val="009E4726"/>
    <w:pPr>
      <w:spacing w:before="40" w:after="40"/>
      <w:jc w:val="center"/>
    </w:pPr>
    <w:rPr>
      <w:rFonts w:ascii="Tahoma" w:hAnsi="Tahoma" w:cs="Tahoma"/>
      <w:sz w:val="20"/>
      <w:szCs w:val="20"/>
    </w:rPr>
    <w:tblPr>
      <w:tblStyleRowBandSize w:val="1"/>
      <w:tblInd w:w="0" w:type="dxa"/>
      <w:tblBorders>
        <w:top w:val="single" w:sz="4" w:space="0" w:color="auto"/>
        <w:bottom w:val="single" w:sz="4" w:space="0" w:color="auto"/>
        <w:insideH w:val="dotted" w:sz="4" w:space="0" w:color="auto"/>
      </w:tblBorders>
      <w:tblCellMar>
        <w:top w:w="0" w:type="dxa"/>
        <w:left w:w="108" w:type="dxa"/>
        <w:bottom w:w="0" w:type="dxa"/>
        <w:right w:w="108" w:type="dxa"/>
      </w:tblCellMar>
    </w:tblPr>
    <w:tblStylePr w:type="firstRow">
      <w:rPr>
        <w:rFonts w:ascii="Times New Roman" w:hAnsi="Times New Roman" w:cs="Times New Roman"/>
        <w:b/>
        <w:bCs/>
        <w:sz w:val="20"/>
        <w:szCs w:val="20"/>
      </w:rPr>
      <w:tblPr/>
      <w:tcPr>
        <w:tcBorders>
          <w:top w:val="single" w:sz="12" w:space="0" w:color="auto"/>
          <w:left w:val="nil"/>
          <w:bottom w:val="single" w:sz="8" w:space="0" w:color="auto"/>
          <w:right w:val="nil"/>
          <w:insideV w:val="nil"/>
        </w:tcBorders>
        <w:shd w:val="clear" w:color="auto" w:fill="auto"/>
      </w:tcPr>
    </w:tblStylePr>
    <w:tblStylePr w:type="lastRow">
      <w:rPr>
        <w:rFonts w:ascii="Times New Roman" w:hAnsi="Times New Roman" w:cs="Times New Roman"/>
        <w:sz w:val="20"/>
        <w:szCs w:val="20"/>
      </w:rPr>
      <w:tblPr/>
      <w:tcPr>
        <w:tcBorders>
          <w:top w:val="nil"/>
          <w:left w:val="nil"/>
          <w:bottom w:val="single" w:sz="12" w:space="0" w:color="auto"/>
          <w:right w:val="nil"/>
          <w:insideV w:val="nil"/>
        </w:tcBorders>
        <w:shd w:val="clear" w:color="auto" w:fill="auto"/>
      </w:tcPr>
    </w:tblStylePr>
    <w:tblStylePr w:type="firstCol">
      <w:pPr>
        <w:jc w:val="left"/>
      </w:pPr>
      <w:rPr>
        <w:rFonts w:cs="Tahoma"/>
        <w:b/>
        <w:bCs/>
      </w:rPr>
    </w:tblStylePr>
    <w:tblStylePr w:type="band1Horz">
      <w:rPr>
        <w:rFonts w:ascii="Times New Roman" w:hAnsi="Times New Roman" w:cs="Times New Roman"/>
      </w:rPr>
      <w:tblPr/>
      <w:tcPr>
        <w:tcBorders>
          <w:top w:val="dotted" w:sz="4" w:space="0" w:color="auto"/>
          <w:left w:val="nil"/>
          <w:bottom w:val="dotted" w:sz="4" w:space="0" w:color="auto"/>
          <w:right w:val="nil"/>
          <w:insideH w:val="nil"/>
          <w:insideV w:val="nil"/>
          <w:tl2br w:val="nil"/>
          <w:tr2bl w:val="nil"/>
        </w:tcBorders>
        <w:shd w:val="clear" w:color="auto" w:fill="auto"/>
      </w:tcPr>
    </w:tblStylePr>
    <w:tblStylePr w:type="band2Horz">
      <w:rPr>
        <w:rFonts w:cs="Tahoma"/>
      </w:rPr>
      <w:tblPr/>
      <w:tcPr>
        <w:tcBorders>
          <w:top w:val="dotted" w:sz="4" w:space="0" w:color="auto"/>
          <w:left w:val="nil"/>
          <w:bottom w:val="dotted" w:sz="4" w:space="0" w:color="auto"/>
          <w:right w:val="nil"/>
          <w:insideH w:val="nil"/>
          <w:insideV w:val="nil"/>
          <w:tl2br w:val="nil"/>
          <w:tr2bl w:val="nil"/>
        </w:tcBorders>
      </w:tcPr>
    </w:tblStylePr>
  </w:style>
  <w:style w:type="paragraph" w:customStyle="1" w:styleId="CharChar1CharCharCharCharCharCharCharCharCharCharCharCharCharCharCharCharCharChar">
    <w:name w:val="Char Char1 Char Char Char Char Char Char Char Char Char Char Char Char Char Char Char Char Char Char"/>
    <w:basedOn w:val="a"/>
    <w:uiPriority w:val="99"/>
    <w:rsid w:val="009E4726"/>
    <w:pPr>
      <w:spacing w:after="160" w:line="240" w:lineRule="exact"/>
    </w:pPr>
    <w:rPr>
      <w:rFonts w:ascii="Verdana" w:hAnsi="Verdana" w:cs="Verdana"/>
      <w:sz w:val="20"/>
      <w:szCs w:val="20"/>
      <w:lang w:val="en-US" w:eastAsia="en-US"/>
    </w:rPr>
  </w:style>
  <w:style w:type="paragraph" w:customStyle="1" w:styleId="CharCharCharCharCharCharCharCharCharCharChar">
    <w:name w:val="Char Char Char Char Char Char Char Char Char Char Char"/>
    <w:basedOn w:val="a"/>
    <w:uiPriority w:val="99"/>
    <w:rsid w:val="009E4726"/>
    <w:pPr>
      <w:spacing w:after="160" w:line="240" w:lineRule="exact"/>
    </w:pPr>
    <w:rPr>
      <w:rFonts w:ascii="Verdana" w:hAnsi="Verdana" w:cs="Verdana"/>
      <w:sz w:val="20"/>
      <w:szCs w:val="20"/>
      <w:lang w:val="en-US" w:eastAsia="en-US"/>
    </w:rPr>
  </w:style>
  <w:style w:type="table" w:styleId="Web1">
    <w:name w:val="Table Web 1"/>
    <w:basedOn w:val="a1"/>
    <w:uiPriority w:val="99"/>
    <w:rsid w:val="009E4726"/>
    <w:rPr>
      <w:rFonts w:ascii="Arial" w:hAnsi="Arial"/>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CharCharCharCharCharCharCharCharCharCharCharCharCharChar">
    <w:name w:val="Char Char Char Char Char Char Char Char Char Char Char Char Char Char"/>
    <w:basedOn w:val="a"/>
    <w:uiPriority w:val="99"/>
    <w:rsid w:val="009E4726"/>
    <w:pPr>
      <w:spacing w:after="160" w:line="240" w:lineRule="exact"/>
    </w:pPr>
    <w:rPr>
      <w:rFonts w:ascii="Verdana" w:hAnsi="Verdana" w:cs="Verdana"/>
      <w:sz w:val="20"/>
      <w:szCs w:val="20"/>
      <w:lang w:val="en-US" w:eastAsia="en-US"/>
    </w:rPr>
  </w:style>
  <w:style w:type="paragraph" w:customStyle="1" w:styleId="CharChar">
    <w:name w:val="Char Char"/>
    <w:basedOn w:val="a"/>
    <w:uiPriority w:val="99"/>
    <w:rsid w:val="009E4726"/>
    <w:pPr>
      <w:spacing w:after="160" w:line="240" w:lineRule="exact"/>
    </w:pPr>
    <w:rPr>
      <w:rFonts w:ascii="Verdana" w:hAnsi="Verdana" w:cs="Verdana"/>
      <w:sz w:val="20"/>
      <w:szCs w:val="20"/>
      <w:lang w:val="en-US" w:eastAsia="en-US"/>
    </w:rPr>
  </w:style>
  <w:style w:type="paragraph" w:customStyle="1" w:styleId="Char7">
    <w:name w:val="Char"/>
    <w:basedOn w:val="a"/>
    <w:uiPriority w:val="99"/>
    <w:rsid w:val="009E4726"/>
    <w:pPr>
      <w:spacing w:after="160" w:line="240" w:lineRule="exact"/>
    </w:pPr>
    <w:rPr>
      <w:rFonts w:ascii="Verdana" w:hAnsi="Verdana" w:cs="Verdana"/>
      <w:sz w:val="20"/>
      <w:szCs w:val="20"/>
      <w:lang w:val="en-US" w:eastAsia="en-US"/>
    </w:rPr>
  </w:style>
  <w:style w:type="paragraph" w:customStyle="1" w:styleId="CharCharCharChar">
    <w:name w:val="Char Char Char Char"/>
    <w:basedOn w:val="a"/>
    <w:uiPriority w:val="99"/>
    <w:rsid w:val="009E4726"/>
    <w:pPr>
      <w:spacing w:after="160" w:line="240" w:lineRule="exact"/>
    </w:pPr>
    <w:rPr>
      <w:rFonts w:ascii="Verdana" w:hAnsi="Verdana" w:cs="Verdana"/>
      <w:sz w:val="20"/>
      <w:szCs w:val="20"/>
      <w:lang w:val="en-US" w:eastAsia="en-US"/>
    </w:rPr>
  </w:style>
  <w:style w:type="paragraph" w:customStyle="1" w:styleId="CharChar1CharCharCharChar">
    <w:name w:val="Char Char1 Char Char Char Char"/>
    <w:basedOn w:val="a"/>
    <w:uiPriority w:val="99"/>
    <w:rsid w:val="009E4726"/>
    <w:pPr>
      <w:spacing w:after="160" w:line="240" w:lineRule="exact"/>
    </w:pPr>
    <w:rPr>
      <w:rFonts w:ascii="Verdana" w:hAnsi="Verdana" w:cs="Verdana"/>
      <w:sz w:val="20"/>
      <w:szCs w:val="20"/>
      <w:lang w:val="en-US" w:eastAsia="en-US"/>
    </w:rPr>
  </w:style>
  <w:style w:type="character" w:customStyle="1" w:styleId="EmailStyle70">
    <w:name w:val="EmailStyle70"/>
    <w:basedOn w:val="a0"/>
    <w:uiPriority w:val="99"/>
    <w:semiHidden/>
    <w:rsid w:val="009E4726"/>
    <w:rPr>
      <w:rFonts w:ascii="Arial" w:hAnsi="Arial" w:cs="Arial"/>
      <w:color w:val="auto"/>
      <w:sz w:val="20"/>
      <w:szCs w:val="20"/>
    </w:rPr>
  </w:style>
  <w:style w:type="paragraph" w:customStyle="1" w:styleId="CharChar3">
    <w:name w:val="Char Char3"/>
    <w:basedOn w:val="a"/>
    <w:uiPriority w:val="99"/>
    <w:rsid w:val="009E4726"/>
    <w:pPr>
      <w:spacing w:after="160" w:line="240" w:lineRule="exact"/>
    </w:pPr>
    <w:rPr>
      <w:rFonts w:ascii="Tahoma" w:hAnsi="Tahoma" w:cs="Tahoma"/>
      <w:sz w:val="20"/>
      <w:szCs w:val="20"/>
      <w:lang w:val="en-US" w:eastAsia="en-US"/>
    </w:rPr>
  </w:style>
  <w:style w:type="character" w:styleId="-">
    <w:name w:val="Hyperlink"/>
    <w:basedOn w:val="a0"/>
    <w:uiPriority w:val="99"/>
    <w:rsid w:val="009E4726"/>
    <w:rPr>
      <w:rFonts w:cs="Times New Roman"/>
      <w:color w:val="0000FF"/>
      <w:u w:val="single"/>
    </w:rPr>
  </w:style>
  <w:style w:type="character" w:styleId="-0">
    <w:name w:val="FollowedHyperlink"/>
    <w:basedOn w:val="a0"/>
    <w:uiPriority w:val="99"/>
    <w:rsid w:val="009E4726"/>
    <w:rPr>
      <w:rFonts w:cs="Times New Roman"/>
      <w:color w:val="800080"/>
      <w:u w:val="single"/>
    </w:rPr>
  </w:style>
  <w:style w:type="character" w:customStyle="1" w:styleId="CharChar6">
    <w:name w:val="Char Char6"/>
    <w:basedOn w:val="a0"/>
    <w:uiPriority w:val="99"/>
    <w:rsid w:val="009E4726"/>
    <w:rPr>
      <w:rFonts w:cs="Times New Roman"/>
      <w:b/>
      <w:bCs/>
      <w:sz w:val="24"/>
      <w:szCs w:val="24"/>
      <w:lang w:val="el-GR" w:eastAsia="el-GR"/>
    </w:rPr>
  </w:style>
  <w:style w:type="paragraph" w:styleId="af0">
    <w:name w:val="List Paragraph"/>
    <w:basedOn w:val="a"/>
    <w:uiPriority w:val="99"/>
    <w:qFormat/>
    <w:rsid w:val="00E560DC"/>
    <w:pPr>
      <w:ind w:left="720"/>
    </w:pPr>
  </w:style>
  <w:style w:type="character" w:customStyle="1" w:styleId="EmailStyle761">
    <w:name w:val="EmailStyle761"/>
    <w:basedOn w:val="a0"/>
    <w:uiPriority w:val="99"/>
    <w:semiHidden/>
    <w:rsid w:val="00092F10"/>
    <w:rPr>
      <w:rFonts w:ascii="Arial" w:hAnsi="Arial" w:cs="Arial"/>
      <w:color w:val="auto"/>
      <w:sz w:val="20"/>
      <w:szCs w:val="20"/>
    </w:rPr>
  </w:style>
  <w:style w:type="paragraph" w:styleId="af1">
    <w:name w:val="No Spacing"/>
    <w:link w:val="Char8"/>
    <w:uiPriority w:val="99"/>
    <w:qFormat/>
    <w:rsid w:val="007F190A"/>
    <w:rPr>
      <w:rFonts w:ascii="Calibri" w:hAnsi="Calibri"/>
      <w:lang w:val="en-US" w:eastAsia="en-US"/>
    </w:rPr>
  </w:style>
  <w:style w:type="character" w:customStyle="1" w:styleId="Char8">
    <w:name w:val="Χωρίς διάστιχο Char"/>
    <w:basedOn w:val="a0"/>
    <w:link w:val="af1"/>
    <w:uiPriority w:val="99"/>
    <w:locked/>
    <w:rsid w:val="007F190A"/>
    <w:rPr>
      <w:rFonts w:ascii="Calibri" w:hAnsi="Calibri" w:cs="Times New Roman"/>
      <w:sz w:val="22"/>
      <w:szCs w:val="22"/>
      <w:lang w:val="en-US" w:eastAsia="en-US" w:bidi="ar-SA"/>
    </w:rPr>
  </w:style>
  <w:style w:type="paragraph" w:styleId="af2">
    <w:name w:val="Intense Quote"/>
    <w:basedOn w:val="a"/>
    <w:next w:val="a"/>
    <w:link w:val="Char9"/>
    <w:uiPriority w:val="99"/>
    <w:qFormat/>
    <w:rsid w:val="00EF59B3"/>
    <w:pPr>
      <w:pBdr>
        <w:bottom w:val="single" w:sz="4" w:space="4" w:color="4F81BD"/>
      </w:pBdr>
      <w:spacing w:before="200" w:after="280" w:line="276" w:lineRule="auto"/>
      <w:ind w:left="936" w:right="936"/>
    </w:pPr>
    <w:rPr>
      <w:rFonts w:ascii="Calibri" w:hAnsi="Calibri" w:cs="Times New Roman"/>
      <w:b/>
      <w:bCs/>
      <w:i/>
      <w:iCs/>
      <w:color w:val="4F81BD"/>
      <w:sz w:val="22"/>
      <w:szCs w:val="22"/>
      <w:lang w:eastAsia="en-US"/>
    </w:rPr>
  </w:style>
  <w:style w:type="character" w:customStyle="1" w:styleId="Char9">
    <w:name w:val="Έντονο εισαγωγικό Char"/>
    <w:basedOn w:val="a0"/>
    <w:link w:val="af2"/>
    <w:uiPriority w:val="99"/>
    <w:locked/>
    <w:rsid w:val="00EF59B3"/>
    <w:rPr>
      <w:rFonts w:ascii="Calibri" w:hAnsi="Calibri" w:cs="Times New Roman"/>
      <w:b/>
      <w:bCs/>
      <w:i/>
      <w:iCs/>
      <w:color w:val="4F81BD"/>
      <w:sz w:val="22"/>
      <w:szCs w:val="22"/>
      <w:lang w:eastAsia="en-US"/>
    </w:rPr>
  </w:style>
  <w:style w:type="table" w:styleId="-5">
    <w:name w:val="Light List Accent 5"/>
    <w:basedOn w:val="a1"/>
    <w:uiPriority w:val="99"/>
    <w:rsid w:val="00EF59B3"/>
    <w:rPr>
      <w:rFonts w:ascii="Calibri" w:hAnsi="Calibri"/>
      <w:sz w:val="20"/>
      <w:szCs w:val="20"/>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character" w:styleId="af3">
    <w:name w:val="Intense Reference"/>
    <w:basedOn w:val="a0"/>
    <w:uiPriority w:val="99"/>
    <w:qFormat/>
    <w:rsid w:val="00EF59B3"/>
    <w:rPr>
      <w:rFonts w:cs="Times New Roman"/>
      <w:b/>
      <w:bCs/>
      <w:smallCaps/>
      <w:color w:val="C0504D"/>
      <w:spacing w:val="5"/>
      <w:u w:val="single"/>
    </w:rPr>
  </w:style>
  <w:style w:type="table" w:styleId="-1">
    <w:name w:val="Colorful List Accent 1"/>
    <w:basedOn w:val="a1"/>
    <w:uiPriority w:val="99"/>
    <w:rsid w:val="006C6048"/>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paragraph" w:customStyle="1" w:styleId="C3E38668A6744F8FB246D67D068BFD18">
    <w:name w:val="C3E38668A6744F8FB246D67D068BFD18"/>
    <w:uiPriority w:val="99"/>
    <w:rsid w:val="00C438D0"/>
    <w:pPr>
      <w:spacing w:after="200" w:line="276" w:lineRule="auto"/>
    </w:pPr>
    <w:rPr>
      <w:rFonts w:ascii="Calibri" w:hAnsi="Calibri"/>
      <w:lang w:val="en-US" w:eastAsia="en-US"/>
    </w:rPr>
  </w:style>
  <w:style w:type="table" w:styleId="-2">
    <w:name w:val="Light Shading Accent 2"/>
    <w:basedOn w:val="a1"/>
    <w:uiPriority w:val="99"/>
    <w:rsid w:val="00CA5643"/>
    <w:rPr>
      <w:color w:val="943634"/>
      <w:sz w:val="20"/>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paragraph" w:styleId="af4">
    <w:name w:val="Document Map"/>
    <w:basedOn w:val="a"/>
    <w:link w:val="Chara"/>
    <w:uiPriority w:val="99"/>
    <w:semiHidden/>
    <w:locked/>
    <w:rsid w:val="00223830"/>
    <w:rPr>
      <w:rFonts w:ascii="Tahoma" w:hAnsi="Tahoma" w:cs="Tahoma"/>
      <w:sz w:val="16"/>
      <w:szCs w:val="16"/>
    </w:rPr>
  </w:style>
  <w:style w:type="character" w:customStyle="1" w:styleId="Chara">
    <w:name w:val="Χάρτης εγγράφου Char"/>
    <w:basedOn w:val="a0"/>
    <w:link w:val="af4"/>
    <w:uiPriority w:val="99"/>
    <w:semiHidden/>
    <w:locked/>
    <w:rsid w:val="00223830"/>
    <w:rPr>
      <w:rFonts w:ascii="Tahoma" w:hAnsi="Tahoma" w:cs="Tahoma"/>
      <w:sz w:val="16"/>
      <w:szCs w:val="16"/>
    </w:rPr>
  </w:style>
  <w:style w:type="paragraph" w:styleId="af5">
    <w:name w:val="endnote text"/>
    <w:basedOn w:val="a"/>
    <w:link w:val="Charb"/>
    <w:uiPriority w:val="99"/>
    <w:semiHidden/>
    <w:locked/>
    <w:rsid w:val="00223830"/>
    <w:rPr>
      <w:sz w:val="20"/>
      <w:szCs w:val="20"/>
    </w:rPr>
  </w:style>
  <w:style w:type="character" w:customStyle="1" w:styleId="Charb">
    <w:name w:val="Κείμενο σημείωσης τέλους Char"/>
    <w:basedOn w:val="a0"/>
    <w:link w:val="af5"/>
    <w:uiPriority w:val="99"/>
    <w:semiHidden/>
    <w:locked/>
    <w:rsid w:val="00223830"/>
    <w:rPr>
      <w:rFonts w:ascii="Arial" w:hAnsi="Arial" w:cs="Arial"/>
    </w:rPr>
  </w:style>
  <w:style w:type="character" w:styleId="af6">
    <w:name w:val="endnote reference"/>
    <w:basedOn w:val="a0"/>
    <w:uiPriority w:val="99"/>
    <w:semiHidden/>
    <w:locked/>
    <w:rsid w:val="00223830"/>
    <w:rPr>
      <w:rFonts w:cs="Times New Roman"/>
      <w:vertAlign w:val="superscript"/>
    </w:rPr>
  </w:style>
  <w:style w:type="character" w:customStyle="1" w:styleId="apple-converted-space">
    <w:name w:val="apple-converted-space"/>
    <w:basedOn w:val="a0"/>
    <w:uiPriority w:val="99"/>
    <w:rsid w:val="00A93450"/>
    <w:rPr>
      <w:rFonts w:cs="Times New Roman"/>
    </w:rPr>
  </w:style>
</w:styles>
</file>

<file path=word/webSettings.xml><?xml version="1.0" encoding="utf-8"?>
<w:webSettings xmlns:r="http://schemas.openxmlformats.org/officeDocument/2006/relationships" xmlns:w="http://schemas.openxmlformats.org/wordprocessingml/2006/main">
  <w:divs>
    <w:div w:id="1397818352">
      <w:marLeft w:val="0"/>
      <w:marRight w:val="0"/>
      <w:marTop w:val="0"/>
      <w:marBottom w:val="0"/>
      <w:divBdr>
        <w:top w:val="none" w:sz="0" w:space="0" w:color="auto"/>
        <w:left w:val="none" w:sz="0" w:space="0" w:color="auto"/>
        <w:bottom w:val="none" w:sz="0" w:space="0" w:color="auto"/>
        <w:right w:val="none" w:sz="0" w:space="0" w:color="auto"/>
      </w:divBdr>
    </w:div>
    <w:div w:id="1397818353">
      <w:marLeft w:val="0"/>
      <w:marRight w:val="0"/>
      <w:marTop w:val="0"/>
      <w:marBottom w:val="0"/>
      <w:divBdr>
        <w:top w:val="none" w:sz="0" w:space="0" w:color="auto"/>
        <w:left w:val="none" w:sz="0" w:space="0" w:color="auto"/>
        <w:bottom w:val="none" w:sz="0" w:space="0" w:color="auto"/>
        <w:right w:val="none" w:sz="0" w:space="0" w:color="auto"/>
      </w:divBdr>
    </w:div>
    <w:div w:id="1397818356">
      <w:marLeft w:val="0"/>
      <w:marRight w:val="0"/>
      <w:marTop w:val="0"/>
      <w:marBottom w:val="0"/>
      <w:divBdr>
        <w:top w:val="none" w:sz="0" w:space="0" w:color="auto"/>
        <w:left w:val="none" w:sz="0" w:space="0" w:color="auto"/>
        <w:bottom w:val="none" w:sz="0" w:space="0" w:color="auto"/>
        <w:right w:val="none" w:sz="0" w:space="0" w:color="auto"/>
      </w:divBdr>
      <w:divsChild>
        <w:div w:id="1397818355">
          <w:marLeft w:val="0"/>
          <w:marRight w:val="0"/>
          <w:marTop w:val="0"/>
          <w:marBottom w:val="0"/>
          <w:divBdr>
            <w:top w:val="none" w:sz="0" w:space="0" w:color="auto"/>
            <w:left w:val="none" w:sz="0" w:space="0" w:color="auto"/>
            <w:bottom w:val="none" w:sz="0" w:space="0" w:color="auto"/>
            <w:right w:val="none" w:sz="0" w:space="0" w:color="auto"/>
          </w:divBdr>
        </w:div>
      </w:divsChild>
    </w:div>
    <w:div w:id="1397818357">
      <w:marLeft w:val="0"/>
      <w:marRight w:val="0"/>
      <w:marTop w:val="0"/>
      <w:marBottom w:val="0"/>
      <w:divBdr>
        <w:top w:val="none" w:sz="0" w:space="0" w:color="auto"/>
        <w:left w:val="none" w:sz="0" w:space="0" w:color="auto"/>
        <w:bottom w:val="none" w:sz="0" w:space="0" w:color="auto"/>
        <w:right w:val="none" w:sz="0" w:space="0" w:color="auto"/>
      </w:divBdr>
      <w:divsChild>
        <w:div w:id="1397818354">
          <w:marLeft w:val="0"/>
          <w:marRight w:val="0"/>
          <w:marTop w:val="0"/>
          <w:marBottom w:val="0"/>
          <w:divBdr>
            <w:top w:val="none" w:sz="0" w:space="0" w:color="auto"/>
            <w:left w:val="none" w:sz="0" w:space="0" w:color="auto"/>
            <w:bottom w:val="none" w:sz="0" w:space="0" w:color="auto"/>
            <w:right w:val="none" w:sz="0" w:space="0" w:color="auto"/>
          </w:divBdr>
        </w:div>
      </w:divsChild>
    </w:div>
    <w:div w:id="1397818358">
      <w:marLeft w:val="0"/>
      <w:marRight w:val="0"/>
      <w:marTop w:val="0"/>
      <w:marBottom w:val="0"/>
      <w:divBdr>
        <w:top w:val="none" w:sz="0" w:space="0" w:color="auto"/>
        <w:left w:val="none" w:sz="0" w:space="0" w:color="auto"/>
        <w:bottom w:val="none" w:sz="0" w:space="0" w:color="auto"/>
        <w:right w:val="none" w:sz="0" w:space="0" w:color="auto"/>
      </w:divBdr>
    </w:div>
    <w:div w:id="1397818359">
      <w:marLeft w:val="0"/>
      <w:marRight w:val="0"/>
      <w:marTop w:val="0"/>
      <w:marBottom w:val="0"/>
      <w:divBdr>
        <w:top w:val="none" w:sz="0" w:space="0" w:color="auto"/>
        <w:left w:val="none" w:sz="0" w:space="0" w:color="auto"/>
        <w:bottom w:val="none" w:sz="0" w:space="0" w:color="auto"/>
        <w:right w:val="none" w:sz="0" w:space="0" w:color="auto"/>
      </w:divBdr>
    </w:div>
    <w:div w:id="1397818360">
      <w:marLeft w:val="0"/>
      <w:marRight w:val="0"/>
      <w:marTop w:val="0"/>
      <w:marBottom w:val="0"/>
      <w:divBdr>
        <w:top w:val="none" w:sz="0" w:space="0" w:color="auto"/>
        <w:left w:val="none" w:sz="0" w:space="0" w:color="auto"/>
        <w:bottom w:val="none" w:sz="0" w:space="0" w:color="auto"/>
        <w:right w:val="none" w:sz="0" w:space="0" w:color="auto"/>
      </w:divBdr>
    </w:div>
    <w:div w:id="1397818361">
      <w:marLeft w:val="0"/>
      <w:marRight w:val="0"/>
      <w:marTop w:val="0"/>
      <w:marBottom w:val="0"/>
      <w:divBdr>
        <w:top w:val="none" w:sz="0" w:space="0" w:color="auto"/>
        <w:left w:val="none" w:sz="0" w:space="0" w:color="auto"/>
        <w:bottom w:val="none" w:sz="0" w:space="0" w:color="auto"/>
        <w:right w:val="none" w:sz="0" w:space="0" w:color="auto"/>
      </w:divBdr>
    </w:div>
    <w:div w:id="1397818362">
      <w:marLeft w:val="0"/>
      <w:marRight w:val="0"/>
      <w:marTop w:val="0"/>
      <w:marBottom w:val="0"/>
      <w:divBdr>
        <w:top w:val="none" w:sz="0" w:space="0" w:color="auto"/>
        <w:left w:val="none" w:sz="0" w:space="0" w:color="auto"/>
        <w:bottom w:val="none" w:sz="0" w:space="0" w:color="auto"/>
        <w:right w:val="none" w:sz="0" w:space="0" w:color="auto"/>
      </w:divBdr>
    </w:div>
    <w:div w:id="1397818363">
      <w:marLeft w:val="0"/>
      <w:marRight w:val="0"/>
      <w:marTop w:val="0"/>
      <w:marBottom w:val="0"/>
      <w:divBdr>
        <w:top w:val="none" w:sz="0" w:space="0" w:color="auto"/>
        <w:left w:val="none" w:sz="0" w:space="0" w:color="auto"/>
        <w:bottom w:val="none" w:sz="0" w:space="0" w:color="auto"/>
        <w:right w:val="none" w:sz="0" w:space="0" w:color="auto"/>
      </w:divBdr>
    </w:div>
    <w:div w:id="1397818364">
      <w:marLeft w:val="0"/>
      <w:marRight w:val="0"/>
      <w:marTop w:val="0"/>
      <w:marBottom w:val="0"/>
      <w:divBdr>
        <w:top w:val="none" w:sz="0" w:space="0" w:color="auto"/>
        <w:left w:val="none" w:sz="0" w:space="0" w:color="auto"/>
        <w:bottom w:val="none" w:sz="0" w:space="0" w:color="auto"/>
        <w:right w:val="none" w:sz="0" w:space="0" w:color="auto"/>
      </w:divBdr>
    </w:div>
    <w:div w:id="1397818367">
      <w:marLeft w:val="0"/>
      <w:marRight w:val="0"/>
      <w:marTop w:val="0"/>
      <w:marBottom w:val="0"/>
      <w:divBdr>
        <w:top w:val="none" w:sz="0" w:space="0" w:color="auto"/>
        <w:left w:val="none" w:sz="0" w:space="0" w:color="auto"/>
        <w:bottom w:val="none" w:sz="0" w:space="0" w:color="auto"/>
        <w:right w:val="none" w:sz="0" w:space="0" w:color="auto"/>
      </w:divBdr>
      <w:divsChild>
        <w:div w:id="1397818365">
          <w:marLeft w:val="0"/>
          <w:marRight w:val="0"/>
          <w:marTop w:val="0"/>
          <w:marBottom w:val="0"/>
          <w:divBdr>
            <w:top w:val="none" w:sz="0" w:space="0" w:color="auto"/>
            <w:left w:val="none" w:sz="0" w:space="0" w:color="auto"/>
            <w:bottom w:val="none" w:sz="0" w:space="0" w:color="auto"/>
            <w:right w:val="none" w:sz="0" w:space="0" w:color="auto"/>
          </w:divBdr>
        </w:div>
        <w:div w:id="1397818368">
          <w:marLeft w:val="0"/>
          <w:marRight w:val="0"/>
          <w:marTop w:val="0"/>
          <w:marBottom w:val="0"/>
          <w:divBdr>
            <w:top w:val="none" w:sz="0" w:space="0" w:color="auto"/>
            <w:left w:val="none" w:sz="0" w:space="0" w:color="auto"/>
            <w:bottom w:val="none" w:sz="0" w:space="0" w:color="auto"/>
            <w:right w:val="none" w:sz="0" w:space="0" w:color="auto"/>
          </w:divBdr>
        </w:div>
        <w:div w:id="1397818369">
          <w:marLeft w:val="0"/>
          <w:marRight w:val="0"/>
          <w:marTop w:val="0"/>
          <w:marBottom w:val="0"/>
          <w:divBdr>
            <w:top w:val="none" w:sz="0" w:space="0" w:color="auto"/>
            <w:left w:val="none" w:sz="0" w:space="0" w:color="auto"/>
            <w:bottom w:val="none" w:sz="0" w:space="0" w:color="auto"/>
            <w:right w:val="none" w:sz="0" w:space="0" w:color="auto"/>
          </w:divBdr>
        </w:div>
        <w:div w:id="1397818370">
          <w:marLeft w:val="0"/>
          <w:marRight w:val="0"/>
          <w:marTop w:val="0"/>
          <w:marBottom w:val="0"/>
          <w:divBdr>
            <w:top w:val="none" w:sz="0" w:space="0" w:color="auto"/>
            <w:left w:val="none" w:sz="0" w:space="0" w:color="auto"/>
            <w:bottom w:val="none" w:sz="0" w:space="0" w:color="auto"/>
            <w:right w:val="none" w:sz="0" w:space="0" w:color="auto"/>
          </w:divBdr>
        </w:div>
        <w:div w:id="1397818371">
          <w:marLeft w:val="0"/>
          <w:marRight w:val="0"/>
          <w:marTop w:val="0"/>
          <w:marBottom w:val="0"/>
          <w:divBdr>
            <w:top w:val="none" w:sz="0" w:space="0" w:color="auto"/>
            <w:left w:val="none" w:sz="0" w:space="0" w:color="auto"/>
            <w:bottom w:val="none" w:sz="0" w:space="0" w:color="auto"/>
            <w:right w:val="none" w:sz="0" w:space="0" w:color="auto"/>
          </w:divBdr>
        </w:div>
      </w:divsChild>
    </w:div>
    <w:div w:id="1397818372">
      <w:marLeft w:val="0"/>
      <w:marRight w:val="0"/>
      <w:marTop w:val="0"/>
      <w:marBottom w:val="0"/>
      <w:divBdr>
        <w:top w:val="none" w:sz="0" w:space="0" w:color="auto"/>
        <w:left w:val="none" w:sz="0" w:space="0" w:color="auto"/>
        <w:bottom w:val="none" w:sz="0" w:space="0" w:color="auto"/>
        <w:right w:val="none" w:sz="0" w:space="0" w:color="auto"/>
      </w:divBdr>
      <w:divsChild>
        <w:div w:id="1397818366">
          <w:marLeft w:val="0"/>
          <w:marRight w:val="0"/>
          <w:marTop w:val="0"/>
          <w:marBottom w:val="0"/>
          <w:divBdr>
            <w:top w:val="none" w:sz="0" w:space="0" w:color="auto"/>
            <w:left w:val="none" w:sz="0" w:space="0" w:color="auto"/>
            <w:bottom w:val="single" w:sz="8" w:space="1"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6900</Words>
  <Characters>37263</Characters>
  <Application>Microsoft Office Word</Application>
  <DocSecurity>0</DocSecurity>
  <Lines>310</Lines>
  <Paragraphs>88</Paragraphs>
  <ScaleCrop>false</ScaleCrop>
  <Company>Hewlett-Packard</Company>
  <LinksUpToDate>false</LinksUpToDate>
  <CharactersWithSpaces>44075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ΙΟΒΕ - DG ECFIN: Έρευνα Οικονομικής Συγκυρίας</dc:title>
  <dc:creator>Admin</dc:creator>
  <cp:lastModifiedBy>News</cp:lastModifiedBy>
  <cp:revision>2</cp:revision>
  <cp:lastPrinted>2013-05-09T09:51:00Z</cp:lastPrinted>
  <dcterms:created xsi:type="dcterms:W3CDTF">2013-10-01T16:09:00Z</dcterms:created>
  <dcterms:modified xsi:type="dcterms:W3CDTF">2013-10-01T16:09:00Z</dcterms:modified>
</cp:coreProperties>
</file>