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footer39.xml" ContentType="application/vnd.openxmlformats-officedocument.wordprocessingml.footer+xml"/>
  <Override PartName="/word/footer7.xml" ContentType="application/vnd.openxmlformats-officedocument.wordprocessingml.footer+xml"/>
  <Override PartName="/word/theme/themeOverride1.xml" ContentType="application/vnd.openxmlformats-officedocument.themeOverride+xml"/>
  <Default Extension="wmf" ContentType="image/x-wmf"/>
  <Override PartName="/word/header14.xml" ContentType="application/vnd.openxmlformats-officedocument.wordprocessingml.header+xml"/>
  <Override PartName="/word/footer19.xml" ContentType="application/vnd.openxmlformats-officedocument.wordprocessingml.footer+xml"/>
  <Override PartName="/word/footer28.xml" ContentType="application/vnd.openxmlformats-officedocument.wordprocessingml.footer+xml"/>
  <Override PartName="/word/footer3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charts/chart9.xml" ContentType="application/vnd.openxmlformats-officedocument.drawingml.chart+xml"/>
  <Override PartName="/word/header12.xml" ContentType="application/vnd.openxmlformats-officedocument.wordprocessingml.header+xml"/>
  <Override PartName="/word/footer17.xml" ContentType="application/vnd.openxmlformats-officedocument.wordprocessingml.footer+xml"/>
  <Override PartName="/word/footer26.xml" ContentType="application/vnd.openxmlformats-officedocument.wordprocessingml.footer+xml"/>
  <Override PartName="/word/footer35.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charts/chart7.xml" ContentType="application/vnd.openxmlformats-officedocument.drawingml.chart+xml"/>
  <Override PartName="/word/header10.xml" ContentType="application/vnd.openxmlformats-officedocument.wordprocessingml.header+xml"/>
  <Override PartName="/word/drawings/drawing2.xml" ContentType="application/vnd.openxmlformats-officedocument.drawingml.chartshapes+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footer3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charts/chart5.xml" ContentType="application/vnd.openxmlformats-officedocument.drawingml.chart+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charts/chart3.xml" ContentType="application/vnd.openxmlformats-officedocument.drawingml.chart+xml"/>
  <Override PartName="/word/charts/chart13.xml" ContentType="application/vnd.openxmlformats-officedocument.drawingml.chart+xml"/>
  <Override PartName="/word/footer20.xml" ContentType="application/vnd.openxmlformats-officedocument.wordprocessingml.footer+xml"/>
  <Override PartName="/word/charts/chart1.xml" ContentType="application/vnd.openxmlformats-officedocument.drawingml.chart+xml"/>
  <Override PartName="/word/charts/chart11.xml" ContentType="application/vnd.openxmlformats-officedocument.drawingml.chart+xml"/>
  <Default Extension="png" ContentType="image/png"/>
  <Default Extension="bin" ContentType="application/vnd.openxmlformats-officedocument.oleObject"/>
  <Override PartName="/word/footer8.xml" ContentType="application/vnd.openxmlformats-officedocument.wordprocessingml.footer+xml"/>
  <Override PartName="/word/theme/themeOverride2.xml" ContentType="application/vnd.openxmlformats-officedocument.themeOverride+xml"/>
  <Override PartName="/word/footer29.xml" ContentType="application/vnd.openxmlformats-officedocument.wordprocessingml.footer+xml"/>
  <Override PartName="/word/footer6.xml" ContentType="application/vnd.openxmlformats-officedocument.wordprocessingml.footer+xml"/>
  <Default Extension="emf" ContentType="image/x-emf"/>
  <Override PartName="/word/footer18.xml" ContentType="application/vnd.openxmlformats-officedocument.wordprocessingml.footer+xml"/>
  <Override PartName="/word/header15.xml" ContentType="application/vnd.openxmlformats-officedocument.wordprocessingml.header+xml"/>
  <Override PartName="/word/footer27.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charts/chart8.xml" ContentType="application/vnd.openxmlformats-officedocument.drawingml.chart+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25.xml" ContentType="application/vnd.openxmlformats-officedocument.wordprocessingml.footer+xml"/>
  <Override PartName="/word/footer3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charts/chart6.xml" ContentType="application/vnd.openxmlformats-officedocument.drawingml.chart+xml"/>
  <Override PartName="/word/drawings/drawing1.xml" ContentType="application/vnd.openxmlformats-officedocument.drawingml.chartshapes+xml"/>
  <Override PartName="/word/header11.xml" ContentType="application/vnd.openxmlformats-officedocument.wordprocessingml.header+xml"/>
  <Override PartName="/word/footer14.xml" ContentType="application/vnd.openxmlformats-officedocument.wordprocessingml.footer+xml"/>
  <Override PartName="/word/footer23.xml" ContentType="application/vnd.openxmlformats-officedocument.wordprocessingml.footer+xml"/>
  <Override PartName="/word/footer32.xml" ContentType="application/vnd.openxmlformats-officedocument.wordprocessingml.footer+xml"/>
  <Override PartName="/word/header5.xml" ContentType="application/vnd.openxmlformats-officedocument.wordprocessingml.header+xml"/>
  <Override PartName="/word/charts/chart4.xml" ContentType="application/vnd.openxmlformats-officedocument.drawingml.chart+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charts/chart2.xml" ContentType="application/vnd.openxmlformats-officedocument.drawingml.chart+xml"/>
  <Override PartName="/word/charts/chart14.xml" ContentType="application/vnd.openxmlformats-officedocument.drawingml.chart+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3B6" w:rsidRPr="004352E8" w:rsidRDefault="00DF63B6" w:rsidP="00DF63B6">
      <w:pPr>
        <w:pStyle w:val="Footer"/>
        <w:tabs>
          <w:tab w:val="right" w:pos="7371"/>
        </w:tabs>
        <w:jc w:val="both"/>
        <w:rPr>
          <w:rStyle w:val="PageNumber"/>
          <w:b/>
          <w:sz w:val="14"/>
          <w:szCs w:val="14"/>
        </w:rPr>
      </w:pPr>
      <w:r>
        <w:object w:dxaOrig="2610" w:dyaOrig="2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pt;height:30.15pt" o:ole="" fillcolor="window">
            <v:imagedata r:id="rId8" o:title=""/>
          </v:shape>
          <o:OLEObject Type="Embed" ProgID="MSPhotoEd.3" ShapeID="_x0000_i1025" DrawAspect="Content" ObjectID="_1394880698" r:id="rId9"/>
        </w:object>
      </w:r>
      <w:r w:rsidRPr="008D523F">
        <w:rPr>
          <w:sz w:val="32"/>
          <w:szCs w:val="32"/>
        </w:rPr>
        <w:t xml:space="preserve"> </w:t>
      </w:r>
      <w:r w:rsidRPr="00853FFD">
        <w:rPr>
          <w:sz w:val="32"/>
          <w:szCs w:val="32"/>
        </w:rPr>
        <w:t>Ίδρυμα Οικονομικών &amp; Βιομηχανικών Ερευνών</w:t>
      </w:r>
    </w:p>
    <w:p w:rsidR="00DF63B6" w:rsidRPr="00775C89" w:rsidRDefault="00DF63B6" w:rsidP="00DF63B6">
      <w:pPr>
        <w:pStyle w:val="Footer"/>
        <w:tabs>
          <w:tab w:val="right" w:pos="7371"/>
        </w:tabs>
        <w:jc w:val="both"/>
        <w:rPr>
          <w:sz w:val="24"/>
          <w:szCs w:val="24"/>
        </w:rPr>
      </w:pPr>
    </w:p>
    <w:p w:rsidR="00DF63B6" w:rsidRPr="00775C89" w:rsidRDefault="00DF63B6" w:rsidP="00DF63B6">
      <w:pPr>
        <w:pStyle w:val="Footer"/>
        <w:tabs>
          <w:tab w:val="right" w:pos="7371"/>
        </w:tabs>
        <w:jc w:val="both"/>
        <w:rPr>
          <w:sz w:val="24"/>
          <w:szCs w:val="24"/>
        </w:rPr>
      </w:pPr>
    </w:p>
    <w:p w:rsidR="00DF63B6" w:rsidRPr="00775C89" w:rsidRDefault="00DF63B6" w:rsidP="00DF63B6">
      <w:pPr>
        <w:pStyle w:val="Footer"/>
        <w:tabs>
          <w:tab w:val="right" w:pos="7371"/>
        </w:tabs>
        <w:jc w:val="both"/>
        <w:rPr>
          <w:rStyle w:val="PageNumber"/>
          <w:sz w:val="24"/>
          <w:szCs w:val="24"/>
        </w:rPr>
      </w:pPr>
    </w:p>
    <w:p w:rsidR="00DF63B6" w:rsidRPr="00775C89" w:rsidRDefault="00DF63B6" w:rsidP="00DF63B6">
      <w:pPr>
        <w:pStyle w:val="Footer"/>
        <w:tabs>
          <w:tab w:val="right" w:pos="7371"/>
        </w:tabs>
        <w:jc w:val="both"/>
        <w:rPr>
          <w:sz w:val="24"/>
          <w:szCs w:val="24"/>
        </w:rPr>
      </w:pPr>
    </w:p>
    <w:p w:rsidR="00DF63B6" w:rsidRPr="00775C89" w:rsidRDefault="00DF63B6" w:rsidP="00DF63B6">
      <w:pPr>
        <w:rPr>
          <w:sz w:val="24"/>
          <w:szCs w:val="24"/>
        </w:rPr>
      </w:pPr>
    </w:p>
    <w:p w:rsidR="00DF63B6" w:rsidRPr="00775C89" w:rsidRDefault="00DF63B6" w:rsidP="00DF63B6">
      <w:pPr>
        <w:rPr>
          <w:sz w:val="24"/>
          <w:szCs w:val="24"/>
        </w:rPr>
      </w:pPr>
    </w:p>
    <w:p w:rsidR="00DF63B6" w:rsidRPr="00775C89" w:rsidRDefault="00DF63B6" w:rsidP="00DF63B6">
      <w:pPr>
        <w:rPr>
          <w:sz w:val="24"/>
          <w:szCs w:val="24"/>
        </w:rPr>
      </w:pPr>
    </w:p>
    <w:p w:rsidR="00DF63B6" w:rsidRPr="00775C89" w:rsidRDefault="00DF63B6" w:rsidP="00DF63B6">
      <w:pPr>
        <w:rPr>
          <w:sz w:val="24"/>
          <w:szCs w:val="24"/>
        </w:rPr>
      </w:pPr>
    </w:p>
    <w:p w:rsidR="00DF63B6" w:rsidRDefault="00DF63B6" w:rsidP="00DF63B6">
      <w:pPr>
        <w:pStyle w:val="Heading4"/>
        <w:jc w:val="center"/>
        <w:rPr>
          <w:sz w:val="52"/>
        </w:rPr>
      </w:pPr>
    </w:p>
    <w:p w:rsidR="00DF63B6" w:rsidRDefault="00DF63B6" w:rsidP="00DF63B6">
      <w:pPr>
        <w:pStyle w:val="Heading4"/>
        <w:jc w:val="center"/>
        <w:rPr>
          <w:sz w:val="52"/>
        </w:rPr>
      </w:pPr>
      <w:r>
        <w:rPr>
          <w:sz w:val="52"/>
        </w:rPr>
        <w:t>Η Ελληνική Οικονομία</w:t>
      </w:r>
    </w:p>
    <w:p w:rsidR="00DF63B6" w:rsidRPr="00067D11" w:rsidRDefault="00DF63B6" w:rsidP="00DF63B6">
      <w:pPr>
        <w:jc w:val="center"/>
        <w:rPr>
          <w:b/>
          <w:sz w:val="32"/>
        </w:rPr>
      </w:pPr>
    </w:p>
    <w:p w:rsidR="00DF63B6" w:rsidRDefault="00DF63B6" w:rsidP="00DF63B6">
      <w:pPr>
        <w:jc w:val="center"/>
        <w:rPr>
          <w:b/>
          <w:sz w:val="32"/>
        </w:rPr>
      </w:pPr>
    </w:p>
    <w:p w:rsidR="00DF63B6" w:rsidRPr="00652F81" w:rsidRDefault="005454A3" w:rsidP="00DF63B6">
      <w:pPr>
        <w:jc w:val="center"/>
        <w:rPr>
          <w:b/>
          <w:sz w:val="52"/>
        </w:rPr>
      </w:pPr>
      <w:r w:rsidRPr="00652F81">
        <w:rPr>
          <w:b/>
          <w:sz w:val="52"/>
        </w:rPr>
        <w:t>1</w:t>
      </w:r>
      <w:r w:rsidR="00DF63B6">
        <w:rPr>
          <w:b/>
          <w:sz w:val="52"/>
        </w:rPr>
        <w:t>/</w:t>
      </w:r>
      <w:r w:rsidR="00DF63B6" w:rsidRPr="009E3852">
        <w:rPr>
          <w:b/>
          <w:sz w:val="52"/>
        </w:rPr>
        <w:t>1</w:t>
      </w:r>
      <w:r w:rsidRPr="00652F81">
        <w:rPr>
          <w:b/>
          <w:sz w:val="52"/>
        </w:rPr>
        <w:t>2</w:t>
      </w:r>
    </w:p>
    <w:p w:rsidR="00DF63B6" w:rsidRPr="00775C89" w:rsidRDefault="00DF63B6" w:rsidP="00DF63B6">
      <w:pPr>
        <w:jc w:val="center"/>
        <w:rPr>
          <w:b/>
          <w:sz w:val="32"/>
          <w:szCs w:val="32"/>
        </w:rPr>
      </w:pPr>
    </w:p>
    <w:p w:rsidR="00DF63B6" w:rsidRPr="00775C89" w:rsidRDefault="00DF63B6" w:rsidP="00DF63B6">
      <w:pPr>
        <w:jc w:val="center"/>
        <w:rPr>
          <w:sz w:val="32"/>
          <w:szCs w:val="32"/>
        </w:rPr>
      </w:pPr>
    </w:p>
    <w:p w:rsidR="00DF63B6" w:rsidRPr="00775C89" w:rsidRDefault="00DF63B6" w:rsidP="00DF63B6">
      <w:pPr>
        <w:jc w:val="center"/>
        <w:rPr>
          <w:sz w:val="32"/>
          <w:szCs w:val="32"/>
        </w:rPr>
      </w:pPr>
    </w:p>
    <w:p w:rsidR="00DF63B6" w:rsidRPr="00775C89" w:rsidRDefault="00DF63B6" w:rsidP="00DF63B6">
      <w:pPr>
        <w:jc w:val="center"/>
        <w:rPr>
          <w:sz w:val="32"/>
          <w:szCs w:val="32"/>
        </w:rPr>
      </w:pPr>
    </w:p>
    <w:p w:rsidR="00DF63B6" w:rsidRPr="00775C89" w:rsidRDefault="00DF63B6" w:rsidP="00DF63B6">
      <w:pPr>
        <w:jc w:val="center"/>
        <w:rPr>
          <w:sz w:val="32"/>
          <w:szCs w:val="32"/>
        </w:rPr>
      </w:pPr>
    </w:p>
    <w:p w:rsidR="00DF63B6" w:rsidRDefault="00DF63B6" w:rsidP="00DF63B6">
      <w:pPr>
        <w:jc w:val="center"/>
        <w:rPr>
          <w:sz w:val="32"/>
          <w:szCs w:val="32"/>
        </w:rPr>
      </w:pPr>
    </w:p>
    <w:p w:rsidR="00DF63B6" w:rsidRDefault="00DF63B6" w:rsidP="00DF63B6">
      <w:pPr>
        <w:jc w:val="center"/>
        <w:rPr>
          <w:sz w:val="32"/>
          <w:szCs w:val="32"/>
        </w:rPr>
      </w:pPr>
    </w:p>
    <w:p w:rsidR="00DF63B6" w:rsidRDefault="00DF63B6" w:rsidP="00DF63B6">
      <w:pPr>
        <w:jc w:val="center"/>
        <w:rPr>
          <w:sz w:val="32"/>
          <w:szCs w:val="32"/>
        </w:rPr>
      </w:pPr>
    </w:p>
    <w:p w:rsidR="00DF63B6" w:rsidRDefault="00DF63B6" w:rsidP="00DF63B6">
      <w:pPr>
        <w:jc w:val="center"/>
        <w:rPr>
          <w:sz w:val="32"/>
          <w:szCs w:val="32"/>
        </w:rPr>
      </w:pPr>
    </w:p>
    <w:p w:rsidR="00DF63B6" w:rsidRDefault="00DF63B6" w:rsidP="00DF63B6">
      <w:pPr>
        <w:jc w:val="center"/>
        <w:rPr>
          <w:sz w:val="32"/>
          <w:szCs w:val="32"/>
        </w:rPr>
      </w:pPr>
    </w:p>
    <w:p w:rsidR="00DF63B6" w:rsidRDefault="00DF63B6" w:rsidP="00DF63B6">
      <w:pPr>
        <w:jc w:val="center"/>
        <w:rPr>
          <w:sz w:val="32"/>
          <w:szCs w:val="32"/>
        </w:rPr>
      </w:pPr>
    </w:p>
    <w:p w:rsidR="00DF63B6" w:rsidRDefault="00DF63B6" w:rsidP="00DF63B6">
      <w:pPr>
        <w:jc w:val="center"/>
        <w:rPr>
          <w:sz w:val="32"/>
          <w:szCs w:val="32"/>
        </w:rPr>
      </w:pPr>
    </w:p>
    <w:p w:rsidR="00DF63B6" w:rsidRDefault="00DF63B6" w:rsidP="00DF63B6">
      <w:pPr>
        <w:jc w:val="center"/>
        <w:rPr>
          <w:sz w:val="32"/>
          <w:szCs w:val="32"/>
        </w:rPr>
      </w:pPr>
    </w:p>
    <w:p w:rsidR="00DF63B6" w:rsidRDefault="00DF63B6" w:rsidP="00DF63B6">
      <w:pPr>
        <w:jc w:val="center"/>
        <w:rPr>
          <w:sz w:val="32"/>
          <w:szCs w:val="32"/>
        </w:rPr>
      </w:pPr>
    </w:p>
    <w:p w:rsidR="00DF63B6" w:rsidRDefault="00DF63B6" w:rsidP="00DF63B6">
      <w:pPr>
        <w:jc w:val="center"/>
        <w:rPr>
          <w:sz w:val="32"/>
          <w:szCs w:val="32"/>
        </w:rPr>
      </w:pPr>
    </w:p>
    <w:p w:rsidR="00DF63B6" w:rsidRPr="00775C89" w:rsidRDefault="00DF63B6" w:rsidP="00DF63B6">
      <w:pPr>
        <w:jc w:val="center"/>
        <w:rPr>
          <w:sz w:val="32"/>
          <w:szCs w:val="32"/>
        </w:rPr>
      </w:pPr>
    </w:p>
    <w:p w:rsidR="00DF63B6" w:rsidRDefault="00DF63B6" w:rsidP="00DF63B6">
      <w:pPr>
        <w:jc w:val="both"/>
        <w:rPr>
          <w:b/>
          <w:sz w:val="32"/>
        </w:rPr>
      </w:pPr>
    </w:p>
    <w:p w:rsidR="00DF63B6" w:rsidRDefault="00DF63B6" w:rsidP="00DF63B6">
      <w:pPr>
        <w:jc w:val="both"/>
        <w:rPr>
          <w:b/>
          <w:sz w:val="32"/>
        </w:rPr>
      </w:pPr>
    </w:p>
    <w:p w:rsidR="00DF63B6" w:rsidRPr="00775C89" w:rsidRDefault="00DF63B6" w:rsidP="00DF63B6">
      <w:pPr>
        <w:jc w:val="both"/>
        <w:rPr>
          <w:b/>
          <w:sz w:val="36"/>
        </w:rPr>
      </w:pPr>
      <w:r w:rsidRPr="00775C89">
        <w:rPr>
          <w:b/>
          <w:sz w:val="32"/>
        </w:rPr>
        <w:t>Τριμηνιαία Έκθεση</w:t>
      </w:r>
    </w:p>
    <w:p w:rsidR="00DF63B6" w:rsidRPr="002D308D" w:rsidRDefault="00DF63B6" w:rsidP="00DF63B6">
      <w:pPr>
        <w:pStyle w:val="Heading1"/>
        <w:rPr>
          <w:rFonts w:ascii="Times New Roman" w:hAnsi="Times New Roman"/>
          <w:i w:val="0"/>
          <w:sz w:val="32"/>
          <w:szCs w:val="32"/>
        </w:rPr>
      </w:pPr>
      <w:r w:rsidRPr="002D308D">
        <w:rPr>
          <w:rFonts w:ascii="Times New Roman" w:hAnsi="Times New Roman"/>
          <w:i w:val="0"/>
          <w:sz w:val="32"/>
          <w:szCs w:val="32"/>
        </w:rPr>
        <w:t xml:space="preserve">Αρ. Τεύχους </w:t>
      </w:r>
      <w:r w:rsidR="005454A3">
        <w:rPr>
          <w:rFonts w:ascii="Times New Roman" w:hAnsi="Times New Roman"/>
          <w:i w:val="0"/>
          <w:sz w:val="32"/>
          <w:szCs w:val="32"/>
        </w:rPr>
        <w:t>6</w:t>
      </w:r>
      <w:r w:rsidR="005454A3" w:rsidRPr="00652F81">
        <w:rPr>
          <w:rFonts w:ascii="Times New Roman" w:hAnsi="Times New Roman"/>
          <w:i w:val="0"/>
          <w:sz w:val="32"/>
          <w:szCs w:val="32"/>
        </w:rPr>
        <w:t>7</w:t>
      </w:r>
      <w:r w:rsidRPr="002D308D">
        <w:rPr>
          <w:rFonts w:ascii="Times New Roman" w:hAnsi="Times New Roman"/>
          <w:i w:val="0"/>
          <w:sz w:val="32"/>
          <w:szCs w:val="32"/>
        </w:rPr>
        <w:t xml:space="preserve">, </w:t>
      </w:r>
      <w:r w:rsidR="005454A3">
        <w:rPr>
          <w:rFonts w:ascii="Times New Roman" w:hAnsi="Times New Roman"/>
          <w:i w:val="0"/>
          <w:sz w:val="32"/>
          <w:szCs w:val="32"/>
        </w:rPr>
        <w:t xml:space="preserve">Μάρτιος </w:t>
      </w:r>
      <w:r w:rsidRPr="002D308D">
        <w:rPr>
          <w:rFonts w:ascii="Times New Roman" w:hAnsi="Times New Roman"/>
          <w:i w:val="0"/>
          <w:sz w:val="32"/>
          <w:szCs w:val="32"/>
        </w:rPr>
        <w:t>20</w:t>
      </w:r>
      <w:r w:rsidR="005454A3">
        <w:rPr>
          <w:rFonts w:ascii="Times New Roman" w:hAnsi="Times New Roman"/>
          <w:i w:val="0"/>
          <w:sz w:val="32"/>
          <w:szCs w:val="32"/>
        </w:rPr>
        <w:t>12</w:t>
      </w:r>
    </w:p>
    <w:p w:rsidR="00DF63B6" w:rsidRDefault="00DF63B6" w:rsidP="00DF63B6">
      <w:pPr>
        <w:jc w:val="both"/>
        <w:rPr>
          <w:rFonts w:ascii="Tahoma" w:hAnsi="Tahoma" w:cs="Tahoma"/>
          <w:b/>
          <w:sz w:val="22"/>
          <w:szCs w:val="22"/>
        </w:rPr>
      </w:pPr>
    </w:p>
    <w:p w:rsidR="00DF63B6" w:rsidRDefault="00DF63B6" w:rsidP="00DF63B6">
      <w:pPr>
        <w:jc w:val="both"/>
        <w:rPr>
          <w:rFonts w:ascii="Tahoma" w:hAnsi="Tahoma" w:cs="Tahoma"/>
          <w:b/>
          <w:sz w:val="22"/>
          <w:szCs w:val="22"/>
        </w:rPr>
      </w:pPr>
    </w:p>
    <w:p w:rsidR="00DF63B6" w:rsidRDefault="00DF63B6" w:rsidP="00DF63B6">
      <w:pPr>
        <w:jc w:val="both"/>
        <w:rPr>
          <w:rFonts w:ascii="Tahoma" w:hAnsi="Tahoma" w:cs="Tahoma"/>
          <w:b/>
          <w:sz w:val="22"/>
          <w:szCs w:val="22"/>
        </w:rPr>
        <w:sectPr w:rsidR="00DF63B6" w:rsidSect="00DF63B6">
          <w:headerReference w:type="even" r:id="rId10"/>
          <w:headerReference w:type="default" r:id="rId11"/>
          <w:footerReference w:type="even" r:id="rId12"/>
          <w:footerReference w:type="default" r:id="rId13"/>
          <w:headerReference w:type="first" r:id="rId14"/>
          <w:footerReference w:type="first" r:id="rId15"/>
          <w:pgSz w:w="11906" w:h="16838"/>
          <w:pgMar w:top="1078" w:right="1418" w:bottom="1418" w:left="1418" w:header="709" w:footer="709" w:gutter="0"/>
          <w:cols w:space="720" w:equalWidth="0">
            <w:col w:w="9070"/>
          </w:cols>
          <w:docGrid w:linePitch="360"/>
        </w:sectPr>
      </w:pPr>
    </w:p>
    <w:p w:rsidR="00DF63B6" w:rsidRPr="004F416D" w:rsidRDefault="00DF63B6" w:rsidP="00DF63B6">
      <w:pPr>
        <w:spacing w:line="360" w:lineRule="auto"/>
        <w:jc w:val="both"/>
        <w:rPr>
          <w:rFonts w:ascii="Tahoma" w:hAnsi="Tahoma" w:cs="Tahoma"/>
          <w:b/>
        </w:rPr>
      </w:pPr>
      <w:r w:rsidRPr="004F416D">
        <w:rPr>
          <w:rFonts w:ascii="Tahoma" w:hAnsi="Tahoma" w:cs="Tahoma"/>
          <w:b/>
        </w:rPr>
        <w:lastRenderedPageBreak/>
        <w:t>Οι Συγγραφείς</w:t>
      </w:r>
    </w:p>
    <w:p w:rsidR="00DF63B6" w:rsidRPr="004F416D" w:rsidRDefault="00DF63B6" w:rsidP="00DF63B6">
      <w:pPr>
        <w:spacing w:line="360" w:lineRule="auto"/>
        <w:jc w:val="both"/>
        <w:rPr>
          <w:rFonts w:ascii="Tahoma" w:hAnsi="Tahoma" w:cs="Tahoma"/>
          <w:b/>
        </w:rPr>
      </w:pPr>
    </w:p>
    <w:p w:rsidR="00DF63B6" w:rsidRDefault="00DF63B6" w:rsidP="00DF63B6">
      <w:pPr>
        <w:pStyle w:val="BodyText"/>
        <w:spacing w:line="360" w:lineRule="auto"/>
        <w:rPr>
          <w:rFonts w:ascii="Tahoma" w:hAnsi="Tahoma" w:cs="Tahoma"/>
          <w:sz w:val="20"/>
          <w:szCs w:val="20"/>
        </w:rPr>
      </w:pPr>
      <w:r w:rsidRPr="002D308D">
        <w:rPr>
          <w:rFonts w:ascii="Tahoma" w:hAnsi="Tahoma" w:cs="Tahoma"/>
          <w:sz w:val="20"/>
          <w:szCs w:val="20"/>
        </w:rPr>
        <w:t>Η ανάλυση της πορείας της Ελληνικής Οικονομίας αποτελεί προϊόν συλλογικής εργασίας των ερευνητών του ΙΟΒΕ. Τα κείμενα αυτά είναι ανυπόγραφα και οι απόψεις που εκφράζονται αποτελούν τη συνισταμένη των διαφόρων αντιλήψεων και απόψεων. Επίσης, οι απόψεις που εκφράζονται εδώ δεν ανταποκρίνονται κατ’ ανάγκη προς αυτές των οργανισμών που υποστηρίζουν, χρηματοδοτούν ή συνερ</w:t>
      </w:r>
      <w:r>
        <w:rPr>
          <w:rFonts w:ascii="Tahoma" w:hAnsi="Tahoma" w:cs="Tahoma"/>
          <w:sz w:val="20"/>
          <w:szCs w:val="20"/>
        </w:rPr>
        <w:t>γάζονται με το Ίδρυμα.</w:t>
      </w:r>
    </w:p>
    <w:p w:rsidR="00DF63B6" w:rsidRPr="002D308D" w:rsidRDefault="00DF63B6" w:rsidP="00DF63B6">
      <w:pPr>
        <w:pStyle w:val="BodyText"/>
        <w:spacing w:line="360" w:lineRule="auto"/>
        <w:rPr>
          <w:rFonts w:ascii="Tahoma" w:hAnsi="Tahoma" w:cs="Tahoma"/>
          <w:sz w:val="20"/>
          <w:szCs w:val="20"/>
        </w:rPr>
      </w:pPr>
    </w:p>
    <w:p w:rsidR="00DF63B6" w:rsidRPr="000E2466" w:rsidRDefault="00DF63B6" w:rsidP="00DF63B6">
      <w:pPr>
        <w:rPr>
          <w:rFonts w:ascii="Tahoma" w:hAnsi="Tahoma" w:cs="Tahoma"/>
          <w:b/>
        </w:rPr>
      </w:pPr>
      <w:bookmarkStart w:id="0" w:name="_Toc169880986"/>
      <w:r w:rsidRPr="000E2466">
        <w:rPr>
          <w:rFonts w:ascii="Tahoma" w:hAnsi="Tahoma" w:cs="Tahoma"/>
          <w:b/>
        </w:rPr>
        <w:t>Το IOBE</w:t>
      </w:r>
      <w:bookmarkEnd w:id="0"/>
    </w:p>
    <w:p w:rsidR="00DF63B6" w:rsidRPr="004F416D" w:rsidRDefault="00DF63B6" w:rsidP="00DF63B6">
      <w:pPr>
        <w:spacing w:line="360" w:lineRule="auto"/>
        <w:jc w:val="both"/>
        <w:rPr>
          <w:rFonts w:ascii="Tahoma" w:hAnsi="Tahoma" w:cs="Tahoma"/>
          <w:b/>
        </w:rPr>
      </w:pPr>
    </w:p>
    <w:p w:rsidR="00DF63B6" w:rsidRPr="002D308D" w:rsidRDefault="00DF63B6" w:rsidP="00DF63B6">
      <w:pPr>
        <w:pStyle w:val="BodyText"/>
        <w:spacing w:line="360" w:lineRule="auto"/>
        <w:rPr>
          <w:rFonts w:ascii="Tahoma" w:hAnsi="Tahoma" w:cs="Tahoma"/>
          <w:sz w:val="20"/>
          <w:szCs w:val="20"/>
        </w:rPr>
      </w:pPr>
      <w:r w:rsidRPr="002D308D">
        <w:rPr>
          <w:rFonts w:ascii="Tahoma" w:hAnsi="Tahoma" w:cs="Tahoma"/>
          <w:sz w:val="20"/>
          <w:szCs w:val="20"/>
        </w:rPr>
        <w:t xml:space="preserve">Το </w:t>
      </w:r>
      <w:r w:rsidRPr="002D308D">
        <w:rPr>
          <w:rFonts w:ascii="Tahoma" w:hAnsi="Tahoma" w:cs="Tahoma"/>
          <w:b/>
          <w:sz w:val="20"/>
          <w:szCs w:val="20"/>
        </w:rPr>
        <w:t>Ίδρυμα Οικονομικών και Βιομηχανικών Ερευνών</w:t>
      </w:r>
      <w:r w:rsidRPr="002D308D">
        <w:rPr>
          <w:rFonts w:ascii="Tahoma" w:hAnsi="Tahoma" w:cs="Tahoma"/>
          <w:sz w:val="20"/>
          <w:szCs w:val="20"/>
        </w:rPr>
        <w:t xml:space="preserve"> είναι ιδιωτικός, μη κερδοσκοπικός, κοινωφελής ερευνητικός οργανισμός. Ιδρύθηκε με σκοπό να προωθεί την επιστημονική έρευνα για τα τρέ</w:t>
      </w:r>
      <w:r w:rsidR="00774CD4">
        <w:rPr>
          <w:rFonts w:ascii="Tahoma" w:hAnsi="Tahoma" w:cs="Tahoma"/>
          <w:sz w:val="20"/>
          <w:szCs w:val="20"/>
        </w:rPr>
        <w:softHyphen/>
      </w:r>
      <w:r w:rsidRPr="002D308D">
        <w:rPr>
          <w:rFonts w:ascii="Tahoma" w:hAnsi="Tahoma" w:cs="Tahoma"/>
          <w:sz w:val="20"/>
          <w:szCs w:val="20"/>
        </w:rPr>
        <w:t>χοντα και αναδυόμενα προβλήματα της ελληνικής οικονομίας και να παρέχει αντικειμενική πληροφόρηση και να διατυπώνει προτάσεις οι οποίες είναι χρήσιμες στη διαμόρφωση πολιτικής</w:t>
      </w:r>
    </w:p>
    <w:p w:rsidR="00DF63B6" w:rsidRDefault="00DF63B6" w:rsidP="00DF63B6">
      <w:pPr>
        <w:rPr>
          <w:rFonts w:ascii="Tahoma" w:hAnsi="Tahoma" w:cs="Tahoma"/>
        </w:rPr>
      </w:pPr>
    </w:p>
    <w:p w:rsidR="00DF63B6" w:rsidRDefault="00DF63B6" w:rsidP="00DF63B6">
      <w:pPr>
        <w:rPr>
          <w:rFonts w:ascii="Tahoma" w:hAnsi="Tahoma" w:cs="Tahoma"/>
        </w:rPr>
      </w:pPr>
    </w:p>
    <w:p w:rsidR="00DF63B6" w:rsidRPr="004F416D" w:rsidRDefault="00DF63B6" w:rsidP="00DF63B6">
      <w:pPr>
        <w:spacing w:line="360" w:lineRule="auto"/>
        <w:jc w:val="both"/>
        <w:rPr>
          <w:rFonts w:ascii="Tahoma" w:hAnsi="Tahoma" w:cs="Tahoma"/>
        </w:rPr>
      </w:pPr>
      <w:r w:rsidRPr="004F416D">
        <w:rPr>
          <w:rFonts w:ascii="Tahoma" w:hAnsi="Tahoma" w:cs="Tahoma"/>
        </w:rPr>
        <w:t xml:space="preserve">Copyright </w:t>
      </w:r>
      <w:r w:rsidRPr="004F416D">
        <w:rPr>
          <w:rFonts w:ascii="Tahoma" w:hAnsi="Tahoma" w:cs="Tahoma"/>
        </w:rPr>
        <w:sym w:font="Symbol" w:char="F0D3"/>
      </w:r>
      <w:r w:rsidRPr="004F416D">
        <w:rPr>
          <w:rFonts w:ascii="Tahoma" w:hAnsi="Tahoma" w:cs="Tahoma"/>
        </w:rPr>
        <w:t xml:space="preserve"> 20</w:t>
      </w:r>
      <w:r w:rsidRPr="009E3852">
        <w:rPr>
          <w:rFonts w:ascii="Tahoma" w:hAnsi="Tahoma" w:cs="Tahoma"/>
        </w:rPr>
        <w:t>1</w:t>
      </w:r>
      <w:r w:rsidR="002D5118">
        <w:rPr>
          <w:rFonts w:ascii="Tahoma" w:hAnsi="Tahoma" w:cs="Tahoma"/>
        </w:rPr>
        <w:t>2</w:t>
      </w:r>
      <w:r w:rsidRPr="004F416D">
        <w:rPr>
          <w:rFonts w:ascii="Tahoma" w:hAnsi="Tahoma" w:cs="Tahoma"/>
        </w:rPr>
        <w:t xml:space="preserve"> Ίδρυμα Οικονομικών &amp; Βιομηχανικών Ερευνών</w:t>
      </w:r>
    </w:p>
    <w:p w:rsidR="00DF63B6" w:rsidRPr="004F416D" w:rsidRDefault="00DF63B6" w:rsidP="00DF63B6">
      <w:pPr>
        <w:jc w:val="both"/>
        <w:rPr>
          <w:rFonts w:ascii="Tahoma" w:hAnsi="Tahoma" w:cs="Tahoma"/>
        </w:rPr>
      </w:pPr>
    </w:p>
    <w:p w:rsidR="00DF63B6" w:rsidRDefault="00DF63B6" w:rsidP="00DF63B6">
      <w:pPr>
        <w:spacing w:line="360" w:lineRule="auto"/>
        <w:jc w:val="both"/>
        <w:rPr>
          <w:rFonts w:ascii="Tahoma" w:hAnsi="Tahoma" w:cs="Tahoma"/>
        </w:rPr>
      </w:pPr>
      <w:r>
        <w:rPr>
          <w:rFonts w:ascii="Tahoma" w:hAnsi="Tahoma" w:cs="Tahoma"/>
        </w:rPr>
        <w:t xml:space="preserve">ISSN </w:t>
      </w:r>
      <w:r w:rsidRPr="005632CD">
        <w:rPr>
          <w:rFonts w:ascii="Tahoma" w:hAnsi="Tahoma" w:cs="Tahoma"/>
        </w:rPr>
        <w:t xml:space="preserve">1106 </w:t>
      </w:r>
      <w:r>
        <w:rPr>
          <w:rFonts w:ascii="Tahoma" w:hAnsi="Tahoma" w:cs="Tahoma"/>
        </w:rPr>
        <w:t>–</w:t>
      </w:r>
      <w:r w:rsidRPr="005632CD">
        <w:rPr>
          <w:rFonts w:ascii="Tahoma" w:hAnsi="Tahoma" w:cs="Tahoma"/>
        </w:rPr>
        <w:t xml:space="preserve"> 4315</w:t>
      </w:r>
    </w:p>
    <w:p w:rsidR="00DF63B6" w:rsidRDefault="00DF63B6" w:rsidP="00DF63B6">
      <w:pPr>
        <w:spacing w:line="360" w:lineRule="auto"/>
        <w:jc w:val="both"/>
        <w:rPr>
          <w:rFonts w:ascii="Tahoma" w:hAnsi="Tahoma" w:cs="Tahoma"/>
        </w:rPr>
      </w:pPr>
    </w:p>
    <w:p w:rsidR="00DF63B6" w:rsidRDefault="00DF63B6" w:rsidP="00DF63B6">
      <w:pPr>
        <w:spacing w:line="360" w:lineRule="auto"/>
        <w:rPr>
          <w:rFonts w:ascii="Tahoma" w:hAnsi="Tahoma" w:cs="Tahoma"/>
        </w:rPr>
      </w:pPr>
    </w:p>
    <w:p w:rsidR="00DF63B6" w:rsidRDefault="00DF63B6" w:rsidP="00DF63B6">
      <w:pPr>
        <w:spacing w:line="360" w:lineRule="auto"/>
        <w:rPr>
          <w:rFonts w:ascii="Tahoma" w:hAnsi="Tahoma" w:cs="Tahoma"/>
        </w:rPr>
      </w:pPr>
    </w:p>
    <w:p w:rsidR="00DF63B6" w:rsidRPr="005454A3" w:rsidRDefault="00DF63B6" w:rsidP="00DF63B6">
      <w:pPr>
        <w:spacing w:line="360" w:lineRule="auto"/>
        <w:rPr>
          <w:rFonts w:ascii="Tahoma" w:hAnsi="Tahoma" w:cs="Tahoma"/>
          <w:color w:val="FF0000"/>
        </w:rPr>
      </w:pPr>
    </w:p>
    <w:p w:rsidR="00DF63B6" w:rsidRDefault="00DF63B6" w:rsidP="00DF63B6">
      <w:pPr>
        <w:spacing w:line="360" w:lineRule="auto"/>
        <w:rPr>
          <w:rFonts w:ascii="Tahoma" w:hAnsi="Tahoma" w:cs="Tahoma"/>
        </w:rPr>
      </w:pPr>
    </w:p>
    <w:p w:rsidR="007D023C" w:rsidRDefault="007D023C" w:rsidP="00DF63B6">
      <w:pPr>
        <w:spacing w:line="360" w:lineRule="auto"/>
        <w:rPr>
          <w:rFonts w:ascii="Tahoma" w:hAnsi="Tahoma" w:cs="Tahoma"/>
        </w:rPr>
      </w:pPr>
    </w:p>
    <w:p w:rsidR="00DF63B6" w:rsidRDefault="00DF63B6" w:rsidP="00DF63B6">
      <w:pPr>
        <w:spacing w:line="360" w:lineRule="auto"/>
        <w:rPr>
          <w:rFonts w:ascii="Tahoma" w:hAnsi="Tahoma" w:cs="Tahoma"/>
        </w:rPr>
      </w:pPr>
    </w:p>
    <w:p w:rsidR="00DF63B6" w:rsidRDefault="00DF63B6" w:rsidP="00DF63B6">
      <w:pPr>
        <w:spacing w:line="360" w:lineRule="auto"/>
        <w:rPr>
          <w:rFonts w:ascii="Tahoma" w:hAnsi="Tahoma" w:cs="Tahoma"/>
        </w:rPr>
      </w:pPr>
    </w:p>
    <w:p w:rsidR="00DF63B6" w:rsidRDefault="00DF63B6" w:rsidP="00DF63B6">
      <w:pPr>
        <w:spacing w:line="360" w:lineRule="auto"/>
        <w:rPr>
          <w:rFonts w:ascii="Tahoma" w:hAnsi="Tahoma" w:cs="Tahoma"/>
        </w:rPr>
      </w:pPr>
    </w:p>
    <w:p w:rsidR="00DF63B6" w:rsidRDefault="00DF63B6" w:rsidP="00DF63B6">
      <w:pPr>
        <w:spacing w:line="360" w:lineRule="auto"/>
        <w:rPr>
          <w:rFonts w:ascii="Tahoma" w:hAnsi="Tahoma" w:cs="Tahoma"/>
        </w:rPr>
      </w:pPr>
    </w:p>
    <w:p w:rsidR="00DF63B6" w:rsidRDefault="00DF63B6" w:rsidP="00DF63B6">
      <w:pPr>
        <w:spacing w:line="360" w:lineRule="auto"/>
        <w:rPr>
          <w:rFonts w:ascii="Tahoma" w:hAnsi="Tahoma" w:cs="Tahoma"/>
        </w:rPr>
      </w:pPr>
    </w:p>
    <w:p w:rsidR="00DF63B6" w:rsidRPr="004F416D" w:rsidRDefault="00DF63B6" w:rsidP="00DF63B6">
      <w:pPr>
        <w:spacing w:line="360" w:lineRule="auto"/>
        <w:jc w:val="both"/>
        <w:rPr>
          <w:rFonts w:ascii="Tahoma" w:hAnsi="Tahoma" w:cs="Tahoma"/>
        </w:rPr>
      </w:pPr>
      <w:r w:rsidRPr="004F416D">
        <w:rPr>
          <w:rFonts w:ascii="Tahoma" w:hAnsi="Tahoma" w:cs="Tahoma"/>
        </w:rPr>
        <w:t>Απαγορεύεται η με οιονδήποτε τρόπο ανατύπωση ή μετάφραση οποιουδήποτε μέρους της μελέτης, χωρίς την άδεια του εκδότη.</w:t>
      </w:r>
    </w:p>
    <w:p w:rsidR="00DF63B6" w:rsidRPr="004F56C3" w:rsidRDefault="00DF63B6" w:rsidP="00DF63B6">
      <w:pPr>
        <w:jc w:val="both"/>
        <w:rPr>
          <w:rFonts w:ascii="Tahoma" w:hAnsi="Tahoma" w:cs="Tahoma"/>
          <w:sz w:val="22"/>
          <w:szCs w:val="22"/>
        </w:rPr>
      </w:pPr>
    </w:p>
    <w:p w:rsidR="00DF63B6" w:rsidRPr="004F416D" w:rsidRDefault="00DF63B6" w:rsidP="00DF63B6">
      <w:pPr>
        <w:pBdr>
          <w:top w:val="single" w:sz="4" w:space="1" w:color="auto" w:shadow="1"/>
          <w:left w:val="single" w:sz="4" w:space="1" w:color="auto" w:shadow="1"/>
          <w:bottom w:val="single" w:sz="4" w:space="1" w:color="auto" w:shadow="1"/>
          <w:right w:val="single" w:sz="4" w:space="1" w:color="auto" w:shadow="1"/>
        </w:pBdr>
        <w:jc w:val="both"/>
        <w:rPr>
          <w:rFonts w:ascii="Tahoma" w:hAnsi="Tahoma" w:cs="Tahoma"/>
          <w:b/>
          <w:sz w:val="18"/>
          <w:szCs w:val="18"/>
        </w:rPr>
      </w:pPr>
      <w:r w:rsidRPr="004F416D">
        <w:rPr>
          <w:rFonts w:ascii="Tahoma" w:hAnsi="Tahoma" w:cs="Tahoma"/>
          <w:b/>
          <w:sz w:val="18"/>
          <w:szCs w:val="18"/>
        </w:rPr>
        <w:t>Ίδρυμα Οικονομικών και Βιομηχανικών Ερευνών (IOBE)</w:t>
      </w:r>
    </w:p>
    <w:p w:rsidR="00DF63B6" w:rsidRPr="004F416D" w:rsidRDefault="00DF63B6" w:rsidP="00DF63B6">
      <w:pPr>
        <w:pBdr>
          <w:top w:val="single" w:sz="4" w:space="1" w:color="auto" w:shadow="1"/>
          <w:left w:val="single" w:sz="4" w:space="1" w:color="auto" w:shadow="1"/>
          <w:bottom w:val="single" w:sz="4" w:space="1" w:color="auto" w:shadow="1"/>
          <w:right w:val="single" w:sz="4" w:space="1" w:color="auto" w:shadow="1"/>
        </w:pBdr>
        <w:jc w:val="both"/>
        <w:rPr>
          <w:rFonts w:ascii="Tahoma" w:hAnsi="Tahoma" w:cs="Tahoma"/>
          <w:sz w:val="18"/>
          <w:szCs w:val="18"/>
        </w:rPr>
      </w:pPr>
      <w:r w:rsidRPr="004F416D">
        <w:rPr>
          <w:rFonts w:ascii="Tahoma" w:hAnsi="Tahoma" w:cs="Tahoma"/>
          <w:sz w:val="18"/>
          <w:szCs w:val="18"/>
        </w:rPr>
        <w:t>Τσάμη Καρατάση 11, 117 42 Αθήνα, Tηλ. (+30210 9211200-10), Fax:(+30210 9233977)</w:t>
      </w:r>
    </w:p>
    <w:p w:rsidR="00DF63B6" w:rsidRPr="004F416D" w:rsidRDefault="00DF63B6" w:rsidP="00DF63B6">
      <w:pPr>
        <w:pBdr>
          <w:top w:val="single" w:sz="4" w:space="1" w:color="auto" w:shadow="1"/>
          <w:left w:val="single" w:sz="4" w:space="1" w:color="auto" w:shadow="1"/>
          <w:bottom w:val="single" w:sz="4" w:space="1" w:color="auto" w:shadow="1"/>
          <w:right w:val="single" w:sz="4" w:space="1" w:color="auto" w:shadow="1"/>
        </w:pBdr>
        <w:jc w:val="both"/>
        <w:rPr>
          <w:rFonts w:ascii="Tahoma" w:hAnsi="Tahoma" w:cs="Tahoma"/>
          <w:sz w:val="18"/>
          <w:szCs w:val="18"/>
        </w:rPr>
      </w:pPr>
      <w:r w:rsidRPr="004F416D">
        <w:rPr>
          <w:rFonts w:ascii="Tahoma" w:hAnsi="Tahoma" w:cs="Tahoma"/>
          <w:sz w:val="18"/>
          <w:szCs w:val="18"/>
          <w:lang w:val="de-DE"/>
        </w:rPr>
        <w:t>http</w:t>
      </w:r>
      <w:r w:rsidRPr="004F416D">
        <w:rPr>
          <w:rFonts w:ascii="Tahoma" w:hAnsi="Tahoma" w:cs="Tahoma"/>
          <w:sz w:val="18"/>
          <w:szCs w:val="18"/>
        </w:rPr>
        <w:t>://</w:t>
      </w:r>
      <w:r w:rsidRPr="004F416D">
        <w:rPr>
          <w:rFonts w:ascii="Tahoma" w:hAnsi="Tahoma" w:cs="Tahoma"/>
          <w:sz w:val="18"/>
          <w:szCs w:val="18"/>
          <w:lang w:val="de-DE"/>
        </w:rPr>
        <w:t>www</w:t>
      </w:r>
      <w:r w:rsidRPr="004F416D">
        <w:rPr>
          <w:rFonts w:ascii="Tahoma" w:hAnsi="Tahoma" w:cs="Tahoma"/>
          <w:sz w:val="18"/>
          <w:szCs w:val="18"/>
        </w:rPr>
        <w:t>.</w:t>
      </w:r>
      <w:r w:rsidRPr="004F416D">
        <w:rPr>
          <w:rFonts w:ascii="Tahoma" w:hAnsi="Tahoma" w:cs="Tahoma"/>
          <w:sz w:val="18"/>
          <w:szCs w:val="18"/>
          <w:lang w:val="de-DE"/>
        </w:rPr>
        <w:t>iobe</w:t>
      </w:r>
      <w:r w:rsidRPr="004F416D">
        <w:rPr>
          <w:rFonts w:ascii="Tahoma" w:hAnsi="Tahoma" w:cs="Tahoma"/>
          <w:sz w:val="18"/>
          <w:szCs w:val="18"/>
        </w:rPr>
        <w:t>.</w:t>
      </w:r>
      <w:r w:rsidRPr="004F416D">
        <w:rPr>
          <w:rFonts w:ascii="Tahoma" w:hAnsi="Tahoma" w:cs="Tahoma"/>
          <w:sz w:val="18"/>
          <w:szCs w:val="18"/>
          <w:lang w:val="de-DE"/>
        </w:rPr>
        <w:t>gr</w:t>
      </w:r>
    </w:p>
    <w:p w:rsidR="00DF63B6" w:rsidRPr="004F416D" w:rsidRDefault="00DF63B6" w:rsidP="00DF63B6">
      <w:pPr>
        <w:pBdr>
          <w:top w:val="single" w:sz="4" w:space="1" w:color="auto" w:shadow="1"/>
          <w:left w:val="single" w:sz="4" w:space="1" w:color="auto" w:shadow="1"/>
          <w:bottom w:val="single" w:sz="4" w:space="1" w:color="auto" w:shadow="1"/>
          <w:right w:val="single" w:sz="4" w:space="1" w:color="auto" w:shadow="1"/>
        </w:pBdr>
        <w:jc w:val="both"/>
        <w:rPr>
          <w:rFonts w:ascii="Tahoma" w:hAnsi="Tahoma" w:cs="Tahoma"/>
          <w:sz w:val="18"/>
          <w:szCs w:val="18"/>
        </w:rPr>
      </w:pPr>
    </w:p>
    <w:p w:rsidR="00DF63B6" w:rsidRPr="00091186" w:rsidRDefault="00DF63B6" w:rsidP="00DF63B6">
      <w:pPr>
        <w:pStyle w:val="9"/>
        <w:rPr>
          <w:rFonts w:ascii="Tahoma" w:hAnsi="Tahoma" w:cs="Tahoma"/>
          <w:sz w:val="22"/>
          <w:szCs w:val="22"/>
          <w:lang w:val="el-GR"/>
        </w:rPr>
      </w:pPr>
    </w:p>
    <w:p w:rsidR="00DF63B6" w:rsidRPr="00091186" w:rsidRDefault="00DF63B6" w:rsidP="00DF63B6">
      <w:pPr>
        <w:pStyle w:val="BodyText"/>
        <w:rPr>
          <w:rFonts w:ascii="Tahoma" w:hAnsi="Tahoma" w:cs="Tahoma"/>
          <w:sz w:val="22"/>
          <w:szCs w:val="22"/>
        </w:rPr>
        <w:sectPr w:rsidR="00DF63B6" w:rsidRPr="00091186" w:rsidSect="003257F4">
          <w:headerReference w:type="even" r:id="rId16"/>
          <w:footerReference w:type="default" r:id="rId17"/>
          <w:pgSz w:w="11906" w:h="16838"/>
          <w:pgMar w:top="1418" w:right="1418" w:bottom="1418" w:left="1418" w:header="709" w:footer="709" w:gutter="0"/>
          <w:cols w:space="720" w:equalWidth="0">
            <w:col w:w="9070"/>
          </w:cols>
          <w:rtlGutter/>
          <w:docGrid w:linePitch="360"/>
        </w:sectPr>
      </w:pPr>
    </w:p>
    <w:p w:rsidR="00DF63B6" w:rsidRPr="004B6320" w:rsidRDefault="00DF63B6" w:rsidP="00DF63B6">
      <w:pPr>
        <w:pStyle w:val="BodyText"/>
        <w:pBdr>
          <w:bottom w:val="single" w:sz="12" w:space="1" w:color="auto"/>
        </w:pBdr>
        <w:spacing w:line="240" w:lineRule="auto"/>
        <w:jc w:val="left"/>
        <w:rPr>
          <w:rFonts w:ascii="Tahoma" w:hAnsi="Tahoma" w:cs="Tahoma"/>
          <w:sz w:val="28"/>
          <w:szCs w:val="28"/>
        </w:rPr>
      </w:pPr>
      <w:r w:rsidRPr="004B6320">
        <w:rPr>
          <w:rFonts w:ascii="Tahoma" w:hAnsi="Tahoma" w:cs="Tahoma"/>
          <w:sz w:val="28"/>
          <w:szCs w:val="28"/>
        </w:rPr>
        <w:lastRenderedPageBreak/>
        <w:t>Περιεχόμενα</w:t>
      </w:r>
    </w:p>
    <w:p w:rsidR="00DF63B6" w:rsidRPr="004F56C3" w:rsidRDefault="00DF63B6" w:rsidP="00DF63B6">
      <w:pPr>
        <w:rPr>
          <w:highlight w:val="yellow"/>
        </w:rPr>
      </w:pPr>
    </w:p>
    <w:p w:rsidR="00212EB2" w:rsidRDefault="0073051F" w:rsidP="00212EB2">
      <w:pPr>
        <w:pStyle w:val="TOC3"/>
        <w:spacing w:line="360" w:lineRule="auto"/>
        <w:rPr>
          <w:rFonts w:asciiTheme="minorHAnsi" w:eastAsiaTheme="minorEastAsia" w:hAnsiTheme="minorHAnsi" w:cstheme="minorBidi"/>
          <w:sz w:val="22"/>
          <w:szCs w:val="22"/>
        </w:rPr>
      </w:pPr>
      <w:r w:rsidRPr="0073051F">
        <w:rPr>
          <w:highlight w:val="yellow"/>
        </w:rPr>
        <w:fldChar w:fldCharType="begin"/>
      </w:r>
      <w:r w:rsidR="00DF63B6" w:rsidRPr="00B6408D">
        <w:rPr>
          <w:highlight w:val="yellow"/>
        </w:rPr>
        <w:instrText xml:space="preserve"> TOC \f \h \z \t "new_Στυλ1;1;new_Στυλ2;3;new Στυλ3;2" </w:instrText>
      </w:r>
      <w:r w:rsidRPr="0073051F">
        <w:rPr>
          <w:highlight w:val="yellow"/>
        </w:rPr>
        <w:fldChar w:fldCharType="separate"/>
      </w:r>
      <w:hyperlink w:anchor="_Toc320872862" w:history="1">
        <w:r w:rsidR="00212EB2" w:rsidRPr="00ED4AD1">
          <w:rPr>
            <w:rStyle w:val="Hyperlink"/>
          </w:rPr>
          <w:t>ΠΡΟΛΟΓΟΣ</w:t>
        </w:r>
        <w:r w:rsidR="00212EB2">
          <w:rPr>
            <w:webHidden/>
          </w:rPr>
          <w:tab/>
        </w:r>
        <w:r>
          <w:rPr>
            <w:webHidden/>
          </w:rPr>
          <w:fldChar w:fldCharType="begin"/>
        </w:r>
        <w:r w:rsidR="00212EB2">
          <w:rPr>
            <w:webHidden/>
          </w:rPr>
          <w:instrText xml:space="preserve"> PAGEREF _Toc320872862 \h </w:instrText>
        </w:r>
        <w:r>
          <w:rPr>
            <w:webHidden/>
          </w:rPr>
        </w:r>
        <w:r>
          <w:rPr>
            <w:webHidden/>
          </w:rPr>
          <w:fldChar w:fldCharType="separate"/>
        </w:r>
        <w:r w:rsidR="0047570C">
          <w:rPr>
            <w:webHidden/>
          </w:rPr>
          <w:t>5</w:t>
        </w:r>
        <w:r>
          <w:rPr>
            <w:webHidden/>
          </w:rPr>
          <w:fldChar w:fldCharType="end"/>
        </w:r>
      </w:hyperlink>
    </w:p>
    <w:p w:rsidR="00212EB2" w:rsidRDefault="0073051F" w:rsidP="00212EB2">
      <w:pPr>
        <w:pStyle w:val="TOC2"/>
        <w:spacing w:line="360" w:lineRule="auto"/>
        <w:rPr>
          <w:rFonts w:asciiTheme="minorHAnsi" w:eastAsiaTheme="minorEastAsia" w:hAnsiTheme="minorHAnsi" w:cstheme="minorBidi"/>
          <w:b w:val="0"/>
          <w:sz w:val="22"/>
        </w:rPr>
      </w:pPr>
      <w:hyperlink w:anchor="_Toc320872863" w:history="1">
        <w:r w:rsidR="00212EB2" w:rsidRPr="00ED4AD1">
          <w:rPr>
            <w:rStyle w:val="Hyperlink"/>
            <w:caps/>
          </w:rPr>
          <w:t>«Δημοσιονομική προσαρμογή, ανταγωνιστικότητα, ρευστότητα και οικονομική ανάπτυξη»</w:t>
        </w:r>
        <w:r w:rsidR="00212EB2">
          <w:rPr>
            <w:webHidden/>
          </w:rPr>
          <w:tab/>
        </w:r>
        <w:r>
          <w:rPr>
            <w:webHidden/>
          </w:rPr>
          <w:fldChar w:fldCharType="begin"/>
        </w:r>
        <w:r w:rsidR="00212EB2">
          <w:rPr>
            <w:webHidden/>
          </w:rPr>
          <w:instrText xml:space="preserve"> PAGEREF _Toc320872863 \h </w:instrText>
        </w:r>
        <w:r>
          <w:rPr>
            <w:webHidden/>
          </w:rPr>
        </w:r>
        <w:r>
          <w:rPr>
            <w:webHidden/>
          </w:rPr>
          <w:fldChar w:fldCharType="separate"/>
        </w:r>
        <w:r w:rsidR="0047570C">
          <w:rPr>
            <w:webHidden/>
          </w:rPr>
          <w:t>7</w:t>
        </w:r>
        <w:r>
          <w:rPr>
            <w:webHidden/>
          </w:rPr>
          <w:fldChar w:fldCharType="end"/>
        </w:r>
      </w:hyperlink>
    </w:p>
    <w:p w:rsidR="00212EB2" w:rsidRDefault="0073051F" w:rsidP="00212EB2">
      <w:pPr>
        <w:pStyle w:val="TOC2"/>
        <w:spacing w:line="360" w:lineRule="auto"/>
        <w:rPr>
          <w:rFonts w:asciiTheme="minorHAnsi" w:eastAsiaTheme="minorEastAsia" w:hAnsiTheme="minorHAnsi" w:cstheme="minorBidi"/>
          <w:b w:val="0"/>
          <w:sz w:val="22"/>
        </w:rPr>
      </w:pPr>
      <w:hyperlink w:anchor="_Toc320872864" w:history="1">
        <w:r w:rsidR="00212EB2" w:rsidRPr="00ED4AD1">
          <w:rPr>
            <w:rStyle w:val="Hyperlink"/>
          </w:rPr>
          <w:t>1.</w:t>
        </w:r>
        <w:r w:rsidR="00212EB2">
          <w:rPr>
            <w:rFonts w:asciiTheme="minorHAnsi" w:eastAsiaTheme="minorEastAsia" w:hAnsiTheme="minorHAnsi" w:cstheme="minorBidi"/>
            <w:b w:val="0"/>
            <w:sz w:val="22"/>
          </w:rPr>
          <w:tab/>
        </w:r>
        <w:r w:rsidR="00212EB2" w:rsidRPr="00ED4AD1">
          <w:rPr>
            <w:rStyle w:val="Hyperlink"/>
          </w:rPr>
          <w:t>ΣΥΝΟΠΤΙΚΗ ΕΠΙΣΚΟΠΗΣΗ - ΣΥΜΠΕΡΑΣΜΑΤΑ</w:t>
        </w:r>
        <w:r w:rsidR="00212EB2">
          <w:rPr>
            <w:webHidden/>
          </w:rPr>
          <w:tab/>
        </w:r>
        <w:r>
          <w:rPr>
            <w:webHidden/>
          </w:rPr>
          <w:fldChar w:fldCharType="begin"/>
        </w:r>
        <w:r w:rsidR="00212EB2">
          <w:rPr>
            <w:webHidden/>
          </w:rPr>
          <w:instrText xml:space="preserve"> PAGEREF _Toc320872864 \h </w:instrText>
        </w:r>
        <w:r>
          <w:rPr>
            <w:webHidden/>
          </w:rPr>
        </w:r>
        <w:r>
          <w:rPr>
            <w:webHidden/>
          </w:rPr>
          <w:fldChar w:fldCharType="separate"/>
        </w:r>
        <w:r w:rsidR="0047570C">
          <w:rPr>
            <w:webHidden/>
          </w:rPr>
          <w:t>15</w:t>
        </w:r>
        <w:r>
          <w:rPr>
            <w:webHidden/>
          </w:rPr>
          <w:fldChar w:fldCharType="end"/>
        </w:r>
      </w:hyperlink>
    </w:p>
    <w:p w:rsidR="00212EB2" w:rsidRDefault="0073051F" w:rsidP="00212EB2">
      <w:pPr>
        <w:pStyle w:val="TOC3"/>
        <w:spacing w:line="360" w:lineRule="auto"/>
        <w:rPr>
          <w:rFonts w:asciiTheme="minorHAnsi" w:eastAsiaTheme="minorEastAsia" w:hAnsiTheme="minorHAnsi" w:cstheme="minorBidi"/>
          <w:sz w:val="22"/>
          <w:szCs w:val="22"/>
        </w:rPr>
      </w:pPr>
      <w:hyperlink w:anchor="_Toc320872865" w:history="1">
        <w:r w:rsidR="00212EB2" w:rsidRPr="00ED4AD1">
          <w:rPr>
            <w:rStyle w:val="Hyperlink"/>
          </w:rPr>
          <w:t>Επιβράδυνση της ανάπτυξης της παγκόσμιας οικονομίας το 2012. εξαρτώμενη σε μεγάλο βαθμό από τη διαδικασία δημοσιονομικής προσαρμογής των οικονομιών της Ευρωζώνης</w:t>
        </w:r>
        <w:r w:rsidR="00212EB2">
          <w:rPr>
            <w:webHidden/>
          </w:rPr>
          <w:tab/>
        </w:r>
        <w:r>
          <w:rPr>
            <w:webHidden/>
          </w:rPr>
          <w:fldChar w:fldCharType="begin"/>
        </w:r>
        <w:r w:rsidR="00212EB2">
          <w:rPr>
            <w:webHidden/>
          </w:rPr>
          <w:instrText xml:space="preserve"> PAGEREF _Toc320872865 \h </w:instrText>
        </w:r>
        <w:r>
          <w:rPr>
            <w:webHidden/>
          </w:rPr>
        </w:r>
        <w:r>
          <w:rPr>
            <w:webHidden/>
          </w:rPr>
          <w:fldChar w:fldCharType="separate"/>
        </w:r>
        <w:r w:rsidR="0047570C">
          <w:rPr>
            <w:webHidden/>
          </w:rPr>
          <w:t>15</w:t>
        </w:r>
        <w:r>
          <w:rPr>
            <w:webHidden/>
          </w:rPr>
          <w:fldChar w:fldCharType="end"/>
        </w:r>
      </w:hyperlink>
    </w:p>
    <w:p w:rsidR="00212EB2" w:rsidRDefault="0073051F" w:rsidP="00212EB2">
      <w:pPr>
        <w:pStyle w:val="TOC3"/>
        <w:spacing w:line="360" w:lineRule="auto"/>
        <w:rPr>
          <w:rFonts w:asciiTheme="minorHAnsi" w:eastAsiaTheme="minorEastAsia" w:hAnsiTheme="minorHAnsi" w:cstheme="minorBidi"/>
          <w:sz w:val="22"/>
          <w:szCs w:val="22"/>
        </w:rPr>
      </w:pPr>
      <w:hyperlink w:anchor="_Toc320872866" w:history="1">
        <w:r w:rsidR="00212EB2" w:rsidRPr="00ED4AD1">
          <w:rPr>
            <w:rStyle w:val="Hyperlink"/>
          </w:rPr>
          <w:t>Σημαντική κλιμάκωση της ύφεσης στην Ελλάδα το 2011</w:t>
        </w:r>
        <w:r w:rsidR="00212EB2">
          <w:rPr>
            <w:webHidden/>
          </w:rPr>
          <w:tab/>
        </w:r>
        <w:r>
          <w:rPr>
            <w:webHidden/>
          </w:rPr>
          <w:fldChar w:fldCharType="begin"/>
        </w:r>
        <w:r w:rsidR="00212EB2">
          <w:rPr>
            <w:webHidden/>
          </w:rPr>
          <w:instrText xml:space="preserve"> PAGEREF _Toc320872866 \h </w:instrText>
        </w:r>
        <w:r>
          <w:rPr>
            <w:webHidden/>
          </w:rPr>
        </w:r>
        <w:r>
          <w:rPr>
            <w:webHidden/>
          </w:rPr>
          <w:fldChar w:fldCharType="separate"/>
        </w:r>
        <w:r w:rsidR="0047570C">
          <w:rPr>
            <w:webHidden/>
          </w:rPr>
          <w:t>16</w:t>
        </w:r>
        <w:r>
          <w:rPr>
            <w:webHidden/>
          </w:rPr>
          <w:fldChar w:fldCharType="end"/>
        </w:r>
      </w:hyperlink>
    </w:p>
    <w:p w:rsidR="00212EB2" w:rsidRDefault="0073051F" w:rsidP="00212EB2">
      <w:pPr>
        <w:pStyle w:val="TOC3"/>
        <w:spacing w:line="360" w:lineRule="auto"/>
        <w:rPr>
          <w:rFonts w:asciiTheme="minorHAnsi" w:eastAsiaTheme="minorEastAsia" w:hAnsiTheme="minorHAnsi" w:cstheme="minorBidi"/>
          <w:sz w:val="22"/>
          <w:szCs w:val="22"/>
        </w:rPr>
      </w:pPr>
      <w:hyperlink w:anchor="_Toc320872867" w:history="1">
        <w:r w:rsidR="00212EB2" w:rsidRPr="00ED4AD1">
          <w:rPr>
            <w:rStyle w:val="Hyperlink"/>
          </w:rPr>
          <w:t>Ισχυρός αντίκτυπος της ύφεσης το 2011 σε σημαντικούς τομείς της ελληνικής οικονομίας</w:t>
        </w:r>
        <w:r w:rsidR="00212EB2">
          <w:rPr>
            <w:webHidden/>
          </w:rPr>
          <w:tab/>
        </w:r>
        <w:r>
          <w:rPr>
            <w:webHidden/>
          </w:rPr>
          <w:fldChar w:fldCharType="begin"/>
        </w:r>
        <w:r w:rsidR="00212EB2">
          <w:rPr>
            <w:webHidden/>
          </w:rPr>
          <w:instrText xml:space="preserve"> PAGEREF _Toc320872867 \h </w:instrText>
        </w:r>
        <w:r>
          <w:rPr>
            <w:webHidden/>
          </w:rPr>
        </w:r>
        <w:r>
          <w:rPr>
            <w:webHidden/>
          </w:rPr>
          <w:fldChar w:fldCharType="separate"/>
        </w:r>
        <w:r w:rsidR="0047570C">
          <w:rPr>
            <w:webHidden/>
          </w:rPr>
          <w:t>16</w:t>
        </w:r>
        <w:r>
          <w:rPr>
            <w:webHidden/>
          </w:rPr>
          <w:fldChar w:fldCharType="end"/>
        </w:r>
      </w:hyperlink>
    </w:p>
    <w:p w:rsidR="00212EB2" w:rsidRDefault="0073051F" w:rsidP="00212EB2">
      <w:pPr>
        <w:pStyle w:val="TOC3"/>
        <w:spacing w:line="360" w:lineRule="auto"/>
        <w:rPr>
          <w:rFonts w:asciiTheme="minorHAnsi" w:eastAsiaTheme="minorEastAsia" w:hAnsiTheme="minorHAnsi" w:cstheme="minorBidi"/>
          <w:sz w:val="22"/>
          <w:szCs w:val="22"/>
        </w:rPr>
      </w:pPr>
      <w:hyperlink w:anchor="_Toc320872868" w:history="1">
        <w:r w:rsidR="00212EB2" w:rsidRPr="00ED4AD1">
          <w:rPr>
            <w:rStyle w:val="Hyperlink"/>
          </w:rPr>
          <w:t>Μεγαλύτερη απόκλιση του ελλείμματος το 2011, πρόσθετα μέτρα για το 2012</w:t>
        </w:r>
        <w:r w:rsidR="00212EB2">
          <w:rPr>
            <w:webHidden/>
          </w:rPr>
          <w:tab/>
        </w:r>
        <w:r>
          <w:rPr>
            <w:webHidden/>
          </w:rPr>
          <w:fldChar w:fldCharType="begin"/>
        </w:r>
        <w:r w:rsidR="00212EB2">
          <w:rPr>
            <w:webHidden/>
          </w:rPr>
          <w:instrText xml:space="preserve"> PAGEREF _Toc320872868 \h </w:instrText>
        </w:r>
        <w:r>
          <w:rPr>
            <w:webHidden/>
          </w:rPr>
        </w:r>
        <w:r>
          <w:rPr>
            <w:webHidden/>
          </w:rPr>
          <w:fldChar w:fldCharType="separate"/>
        </w:r>
        <w:r w:rsidR="0047570C">
          <w:rPr>
            <w:webHidden/>
          </w:rPr>
          <w:t>17</w:t>
        </w:r>
        <w:r>
          <w:rPr>
            <w:webHidden/>
          </w:rPr>
          <w:fldChar w:fldCharType="end"/>
        </w:r>
      </w:hyperlink>
    </w:p>
    <w:p w:rsidR="00212EB2" w:rsidRDefault="0073051F" w:rsidP="00212EB2">
      <w:pPr>
        <w:pStyle w:val="TOC3"/>
        <w:spacing w:line="360" w:lineRule="auto"/>
        <w:rPr>
          <w:rFonts w:asciiTheme="minorHAnsi" w:eastAsiaTheme="minorEastAsia" w:hAnsiTheme="minorHAnsi" w:cstheme="minorBidi"/>
          <w:sz w:val="22"/>
          <w:szCs w:val="22"/>
        </w:rPr>
      </w:pPr>
      <w:hyperlink w:anchor="_Toc320872869" w:history="1">
        <w:r w:rsidR="00212EB2" w:rsidRPr="00ED4AD1">
          <w:rPr>
            <w:rStyle w:val="Hyperlink"/>
          </w:rPr>
          <w:t>Παρατείνεται η ύφεση στην ελληνική οικονομία το 2012, με ισχυρή ένταση</w:t>
        </w:r>
        <w:r w:rsidR="00212EB2">
          <w:rPr>
            <w:webHidden/>
          </w:rPr>
          <w:tab/>
        </w:r>
        <w:r>
          <w:rPr>
            <w:webHidden/>
          </w:rPr>
          <w:fldChar w:fldCharType="begin"/>
        </w:r>
        <w:r w:rsidR="00212EB2">
          <w:rPr>
            <w:webHidden/>
          </w:rPr>
          <w:instrText xml:space="preserve"> PAGEREF _Toc320872869 \h </w:instrText>
        </w:r>
        <w:r>
          <w:rPr>
            <w:webHidden/>
          </w:rPr>
        </w:r>
        <w:r>
          <w:rPr>
            <w:webHidden/>
          </w:rPr>
          <w:fldChar w:fldCharType="separate"/>
        </w:r>
        <w:r w:rsidR="0047570C">
          <w:rPr>
            <w:webHidden/>
          </w:rPr>
          <w:t>17</w:t>
        </w:r>
        <w:r>
          <w:rPr>
            <w:webHidden/>
          </w:rPr>
          <w:fldChar w:fldCharType="end"/>
        </w:r>
      </w:hyperlink>
    </w:p>
    <w:p w:rsidR="00212EB2" w:rsidRDefault="0073051F" w:rsidP="00212EB2">
      <w:pPr>
        <w:pStyle w:val="TOC3"/>
        <w:spacing w:line="360" w:lineRule="auto"/>
        <w:rPr>
          <w:rFonts w:asciiTheme="minorHAnsi" w:eastAsiaTheme="minorEastAsia" w:hAnsiTheme="minorHAnsi" w:cstheme="minorBidi"/>
          <w:sz w:val="22"/>
          <w:szCs w:val="22"/>
        </w:rPr>
      </w:pPr>
      <w:hyperlink w:anchor="_Toc320872870" w:history="1">
        <w:r w:rsidR="00212EB2" w:rsidRPr="00ED4AD1">
          <w:rPr>
            <w:rStyle w:val="Hyperlink"/>
          </w:rPr>
          <w:t>Παραμονή της ανεργίας σε ανοδική τροχιά το 2012, με ηπιότερο ρυθμό από ότι πέρυσι</w:t>
        </w:r>
        <w:r w:rsidR="00212EB2">
          <w:rPr>
            <w:webHidden/>
          </w:rPr>
          <w:tab/>
        </w:r>
        <w:r>
          <w:rPr>
            <w:webHidden/>
          </w:rPr>
          <w:fldChar w:fldCharType="begin"/>
        </w:r>
        <w:r w:rsidR="00212EB2">
          <w:rPr>
            <w:webHidden/>
          </w:rPr>
          <w:instrText xml:space="preserve"> PAGEREF _Toc320872870 \h </w:instrText>
        </w:r>
        <w:r>
          <w:rPr>
            <w:webHidden/>
          </w:rPr>
        </w:r>
        <w:r>
          <w:rPr>
            <w:webHidden/>
          </w:rPr>
          <w:fldChar w:fldCharType="separate"/>
        </w:r>
        <w:r w:rsidR="0047570C">
          <w:rPr>
            <w:webHidden/>
          </w:rPr>
          <w:t>19</w:t>
        </w:r>
        <w:r>
          <w:rPr>
            <w:webHidden/>
          </w:rPr>
          <w:fldChar w:fldCharType="end"/>
        </w:r>
      </w:hyperlink>
    </w:p>
    <w:p w:rsidR="00212EB2" w:rsidRDefault="0073051F" w:rsidP="00212EB2">
      <w:pPr>
        <w:pStyle w:val="TOC3"/>
        <w:spacing w:line="360" w:lineRule="auto"/>
        <w:rPr>
          <w:rFonts w:asciiTheme="minorHAnsi" w:eastAsiaTheme="minorEastAsia" w:hAnsiTheme="minorHAnsi" w:cstheme="minorBidi"/>
          <w:sz w:val="22"/>
          <w:szCs w:val="22"/>
        </w:rPr>
      </w:pPr>
      <w:hyperlink w:anchor="_Toc320872871" w:history="1">
        <w:r w:rsidR="00212EB2" w:rsidRPr="00ED4AD1">
          <w:rPr>
            <w:rStyle w:val="Hyperlink"/>
          </w:rPr>
          <w:t>Σημαντική αποκλιμάκωση του πληθωρισμού το 2012, εξαιτίας της εξασθενημένης ζήτησης</w:t>
        </w:r>
        <w:r w:rsidR="00212EB2">
          <w:rPr>
            <w:webHidden/>
          </w:rPr>
          <w:tab/>
        </w:r>
        <w:r>
          <w:rPr>
            <w:webHidden/>
          </w:rPr>
          <w:fldChar w:fldCharType="begin"/>
        </w:r>
        <w:r w:rsidR="00212EB2">
          <w:rPr>
            <w:webHidden/>
          </w:rPr>
          <w:instrText xml:space="preserve"> PAGEREF _Toc320872871 \h </w:instrText>
        </w:r>
        <w:r>
          <w:rPr>
            <w:webHidden/>
          </w:rPr>
        </w:r>
        <w:r>
          <w:rPr>
            <w:webHidden/>
          </w:rPr>
          <w:fldChar w:fldCharType="separate"/>
        </w:r>
        <w:r w:rsidR="0047570C">
          <w:rPr>
            <w:webHidden/>
          </w:rPr>
          <w:t>19</w:t>
        </w:r>
        <w:r>
          <w:rPr>
            <w:webHidden/>
          </w:rPr>
          <w:fldChar w:fldCharType="end"/>
        </w:r>
      </w:hyperlink>
    </w:p>
    <w:p w:rsidR="00212EB2" w:rsidRDefault="0073051F" w:rsidP="00212EB2">
      <w:pPr>
        <w:pStyle w:val="TOC3"/>
        <w:spacing w:line="360" w:lineRule="auto"/>
        <w:rPr>
          <w:rFonts w:asciiTheme="minorHAnsi" w:eastAsiaTheme="minorEastAsia" w:hAnsiTheme="minorHAnsi" w:cstheme="minorBidi"/>
          <w:sz w:val="22"/>
          <w:szCs w:val="22"/>
        </w:rPr>
      </w:pPr>
      <w:hyperlink w:anchor="_Toc320872872" w:history="1">
        <w:r w:rsidR="00212EB2" w:rsidRPr="00ED4AD1">
          <w:rPr>
            <w:rStyle w:val="Hyperlink"/>
          </w:rPr>
          <w:t>Ειδικό θέμα: «Επιπτώσεις εφαρμογής προγράμματος Εθελοντικής Ανταλλαγής Ομολόγων με τη Συμμετοχή του Ιδιωτικού Τομέα»</w:t>
        </w:r>
        <w:r w:rsidR="00212EB2">
          <w:rPr>
            <w:webHidden/>
          </w:rPr>
          <w:tab/>
        </w:r>
        <w:r>
          <w:rPr>
            <w:webHidden/>
          </w:rPr>
          <w:fldChar w:fldCharType="begin"/>
        </w:r>
        <w:r w:rsidR="00212EB2">
          <w:rPr>
            <w:webHidden/>
          </w:rPr>
          <w:instrText xml:space="preserve"> PAGEREF _Toc320872872 \h </w:instrText>
        </w:r>
        <w:r>
          <w:rPr>
            <w:webHidden/>
          </w:rPr>
        </w:r>
        <w:r>
          <w:rPr>
            <w:webHidden/>
          </w:rPr>
          <w:fldChar w:fldCharType="separate"/>
        </w:r>
        <w:r w:rsidR="0047570C">
          <w:rPr>
            <w:webHidden/>
          </w:rPr>
          <w:t>20</w:t>
        </w:r>
        <w:r>
          <w:rPr>
            <w:webHidden/>
          </w:rPr>
          <w:fldChar w:fldCharType="end"/>
        </w:r>
      </w:hyperlink>
    </w:p>
    <w:p w:rsidR="00212EB2" w:rsidRDefault="0073051F">
      <w:pPr>
        <w:pStyle w:val="TOC2"/>
        <w:rPr>
          <w:rFonts w:asciiTheme="minorHAnsi" w:eastAsiaTheme="minorEastAsia" w:hAnsiTheme="minorHAnsi" w:cstheme="minorBidi"/>
          <w:b w:val="0"/>
          <w:sz w:val="22"/>
        </w:rPr>
      </w:pPr>
      <w:hyperlink w:anchor="_Toc320872873" w:history="1">
        <w:r w:rsidR="00212EB2" w:rsidRPr="00ED4AD1">
          <w:rPr>
            <w:rStyle w:val="Hyperlink"/>
          </w:rPr>
          <w:t>2.</w:t>
        </w:r>
        <w:r w:rsidR="00212EB2">
          <w:rPr>
            <w:rFonts w:asciiTheme="minorHAnsi" w:eastAsiaTheme="minorEastAsia" w:hAnsiTheme="minorHAnsi" w:cstheme="minorBidi"/>
            <w:b w:val="0"/>
            <w:sz w:val="22"/>
          </w:rPr>
          <w:tab/>
        </w:r>
        <w:r w:rsidR="00212EB2" w:rsidRPr="00ED4AD1">
          <w:rPr>
            <w:rStyle w:val="Hyperlink"/>
          </w:rPr>
          <w:t>ΟΙΚΟΝΟΜΙΚΟ ΠΕΡΙΒΑΛΛΟΝ</w:t>
        </w:r>
        <w:r w:rsidR="00212EB2">
          <w:rPr>
            <w:webHidden/>
          </w:rPr>
          <w:tab/>
        </w:r>
        <w:r>
          <w:rPr>
            <w:webHidden/>
          </w:rPr>
          <w:fldChar w:fldCharType="begin"/>
        </w:r>
        <w:r w:rsidR="00212EB2">
          <w:rPr>
            <w:webHidden/>
          </w:rPr>
          <w:instrText xml:space="preserve"> PAGEREF _Toc320872873 \h </w:instrText>
        </w:r>
        <w:r>
          <w:rPr>
            <w:webHidden/>
          </w:rPr>
        </w:r>
        <w:r>
          <w:rPr>
            <w:webHidden/>
          </w:rPr>
          <w:fldChar w:fldCharType="separate"/>
        </w:r>
        <w:r w:rsidR="0047570C">
          <w:rPr>
            <w:webHidden/>
          </w:rPr>
          <w:t>21</w:t>
        </w:r>
        <w:r>
          <w:rPr>
            <w:webHidden/>
          </w:rPr>
          <w:fldChar w:fldCharType="end"/>
        </w:r>
      </w:hyperlink>
    </w:p>
    <w:p w:rsidR="00212EB2" w:rsidRDefault="0073051F" w:rsidP="009C6919">
      <w:pPr>
        <w:pStyle w:val="TOC2"/>
        <w:spacing w:after="120"/>
        <w:ind w:left="357"/>
        <w:rPr>
          <w:rFonts w:asciiTheme="minorHAnsi" w:eastAsiaTheme="minorEastAsia" w:hAnsiTheme="minorHAnsi" w:cstheme="minorBidi"/>
          <w:b w:val="0"/>
          <w:sz w:val="22"/>
        </w:rPr>
      </w:pPr>
      <w:hyperlink w:anchor="_Toc320872874" w:history="1">
        <w:r w:rsidR="00212EB2" w:rsidRPr="00ED4AD1">
          <w:rPr>
            <w:rStyle w:val="Hyperlink"/>
            <w:rFonts w:cs="Tahoma"/>
          </w:rPr>
          <w:t>2.1 Τάσεις και Προοπτικές της Διεθνούς Οικονομίας</w:t>
        </w:r>
        <w:r w:rsidR="00212EB2">
          <w:rPr>
            <w:webHidden/>
          </w:rPr>
          <w:tab/>
        </w:r>
        <w:r>
          <w:rPr>
            <w:webHidden/>
          </w:rPr>
          <w:fldChar w:fldCharType="begin"/>
        </w:r>
        <w:r w:rsidR="00212EB2">
          <w:rPr>
            <w:webHidden/>
          </w:rPr>
          <w:instrText xml:space="preserve"> PAGEREF _Toc320872874 \h </w:instrText>
        </w:r>
        <w:r>
          <w:rPr>
            <w:webHidden/>
          </w:rPr>
        </w:r>
        <w:r>
          <w:rPr>
            <w:webHidden/>
          </w:rPr>
          <w:fldChar w:fldCharType="separate"/>
        </w:r>
        <w:r w:rsidR="0047570C">
          <w:rPr>
            <w:webHidden/>
          </w:rPr>
          <w:t>21</w:t>
        </w:r>
        <w:r>
          <w:rPr>
            <w:webHidden/>
          </w:rPr>
          <w:fldChar w:fldCharType="end"/>
        </w:r>
      </w:hyperlink>
    </w:p>
    <w:p w:rsidR="00212EB2" w:rsidRDefault="0073051F" w:rsidP="00212EB2">
      <w:pPr>
        <w:pStyle w:val="TOC3"/>
        <w:spacing w:line="360" w:lineRule="auto"/>
        <w:rPr>
          <w:rFonts w:asciiTheme="minorHAnsi" w:eastAsiaTheme="minorEastAsia" w:hAnsiTheme="minorHAnsi" w:cstheme="minorBidi"/>
          <w:sz w:val="22"/>
          <w:szCs w:val="22"/>
        </w:rPr>
      </w:pPr>
      <w:hyperlink w:anchor="_Toc320872875" w:history="1">
        <w:r w:rsidR="00212EB2" w:rsidRPr="00ED4AD1">
          <w:rPr>
            <w:rStyle w:val="Hyperlink"/>
          </w:rPr>
          <w:t>Το Παγκόσμιο Περιβάλλον</w:t>
        </w:r>
        <w:r w:rsidR="00212EB2">
          <w:rPr>
            <w:webHidden/>
          </w:rPr>
          <w:tab/>
        </w:r>
        <w:r>
          <w:rPr>
            <w:webHidden/>
          </w:rPr>
          <w:fldChar w:fldCharType="begin"/>
        </w:r>
        <w:r w:rsidR="00212EB2">
          <w:rPr>
            <w:webHidden/>
          </w:rPr>
          <w:instrText xml:space="preserve"> PAGEREF _Toc320872875 \h </w:instrText>
        </w:r>
        <w:r>
          <w:rPr>
            <w:webHidden/>
          </w:rPr>
        </w:r>
        <w:r>
          <w:rPr>
            <w:webHidden/>
          </w:rPr>
          <w:fldChar w:fldCharType="separate"/>
        </w:r>
        <w:r w:rsidR="0047570C">
          <w:rPr>
            <w:webHidden/>
          </w:rPr>
          <w:t>21</w:t>
        </w:r>
        <w:r>
          <w:rPr>
            <w:webHidden/>
          </w:rPr>
          <w:fldChar w:fldCharType="end"/>
        </w:r>
      </w:hyperlink>
    </w:p>
    <w:p w:rsidR="00212EB2" w:rsidRDefault="0073051F" w:rsidP="00212EB2">
      <w:pPr>
        <w:pStyle w:val="TOC3"/>
        <w:spacing w:line="360" w:lineRule="auto"/>
        <w:rPr>
          <w:rFonts w:asciiTheme="minorHAnsi" w:eastAsiaTheme="minorEastAsia" w:hAnsiTheme="minorHAnsi" w:cstheme="minorBidi"/>
          <w:sz w:val="22"/>
          <w:szCs w:val="22"/>
        </w:rPr>
      </w:pPr>
      <w:hyperlink w:anchor="_Toc320872876" w:history="1">
        <w:r w:rsidR="00212EB2" w:rsidRPr="00ED4AD1">
          <w:rPr>
            <w:rStyle w:val="Hyperlink"/>
          </w:rPr>
          <w:t>Οικονομίες της ΕΕ και της Ευρωζώνης</w:t>
        </w:r>
        <w:r w:rsidR="00212EB2">
          <w:rPr>
            <w:webHidden/>
          </w:rPr>
          <w:tab/>
        </w:r>
        <w:r>
          <w:rPr>
            <w:webHidden/>
          </w:rPr>
          <w:fldChar w:fldCharType="begin"/>
        </w:r>
        <w:r w:rsidR="00212EB2">
          <w:rPr>
            <w:webHidden/>
          </w:rPr>
          <w:instrText xml:space="preserve"> PAGEREF _Toc320872876 \h </w:instrText>
        </w:r>
        <w:r>
          <w:rPr>
            <w:webHidden/>
          </w:rPr>
        </w:r>
        <w:r>
          <w:rPr>
            <w:webHidden/>
          </w:rPr>
          <w:fldChar w:fldCharType="separate"/>
        </w:r>
        <w:r w:rsidR="0047570C">
          <w:rPr>
            <w:webHidden/>
          </w:rPr>
          <w:t>26</w:t>
        </w:r>
        <w:r>
          <w:rPr>
            <w:webHidden/>
          </w:rPr>
          <w:fldChar w:fldCharType="end"/>
        </w:r>
      </w:hyperlink>
    </w:p>
    <w:p w:rsidR="00212EB2" w:rsidRDefault="0073051F">
      <w:pPr>
        <w:pStyle w:val="TOC2"/>
        <w:rPr>
          <w:rFonts w:asciiTheme="minorHAnsi" w:eastAsiaTheme="minorEastAsia" w:hAnsiTheme="minorHAnsi" w:cstheme="minorBidi"/>
          <w:b w:val="0"/>
          <w:sz w:val="22"/>
        </w:rPr>
      </w:pPr>
      <w:hyperlink w:anchor="_Toc320872877" w:history="1">
        <w:r w:rsidR="00212EB2" w:rsidRPr="00ED4AD1">
          <w:rPr>
            <w:rStyle w:val="Hyperlink"/>
          </w:rPr>
          <w:t>2.2 Το οικονομικό περιβάλλον στην Ελλάδα</w:t>
        </w:r>
        <w:r w:rsidR="00212EB2">
          <w:rPr>
            <w:webHidden/>
          </w:rPr>
          <w:tab/>
        </w:r>
        <w:r>
          <w:rPr>
            <w:webHidden/>
          </w:rPr>
          <w:fldChar w:fldCharType="begin"/>
        </w:r>
        <w:r w:rsidR="00212EB2">
          <w:rPr>
            <w:webHidden/>
          </w:rPr>
          <w:instrText xml:space="preserve"> PAGEREF _Toc320872877 \h </w:instrText>
        </w:r>
        <w:r>
          <w:rPr>
            <w:webHidden/>
          </w:rPr>
        </w:r>
        <w:r>
          <w:rPr>
            <w:webHidden/>
          </w:rPr>
          <w:fldChar w:fldCharType="separate"/>
        </w:r>
        <w:r w:rsidR="0047570C">
          <w:rPr>
            <w:webHidden/>
          </w:rPr>
          <w:t>31</w:t>
        </w:r>
        <w:r>
          <w:rPr>
            <w:webHidden/>
          </w:rPr>
          <w:fldChar w:fldCharType="end"/>
        </w:r>
      </w:hyperlink>
    </w:p>
    <w:p w:rsidR="00212EB2" w:rsidRDefault="0073051F" w:rsidP="00212EB2">
      <w:pPr>
        <w:pStyle w:val="TOC3"/>
        <w:spacing w:line="360" w:lineRule="auto"/>
        <w:rPr>
          <w:rFonts w:asciiTheme="minorHAnsi" w:eastAsiaTheme="minorEastAsia" w:hAnsiTheme="minorHAnsi" w:cstheme="minorBidi"/>
          <w:sz w:val="22"/>
          <w:szCs w:val="22"/>
        </w:rPr>
      </w:pPr>
      <w:hyperlink w:anchor="_Toc320872878" w:history="1">
        <w:r w:rsidR="00212EB2" w:rsidRPr="00ED4AD1">
          <w:rPr>
            <w:rStyle w:val="Hyperlink"/>
          </w:rPr>
          <w:t>Α) Οικονομικό κλίμα</w:t>
        </w:r>
        <w:r w:rsidR="00212EB2">
          <w:rPr>
            <w:webHidden/>
          </w:rPr>
          <w:tab/>
        </w:r>
        <w:r>
          <w:rPr>
            <w:webHidden/>
          </w:rPr>
          <w:fldChar w:fldCharType="begin"/>
        </w:r>
        <w:r w:rsidR="00212EB2">
          <w:rPr>
            <w:webHidden/>
          </w:rPr>
          <w:instrText xml:space="preserve"> PAGEREF _Toc320872878 \h </w:instrText>
        </w:r>
        <w:r>
          <w:rPr>
            <w:webHidden/>
          </w:rPr>
        </w:r>
        <w:r>
          <w:rPr>
            <w:webHidden/>
          </w:rPr>
          <w:fldChar w:fldCharType="separate"/>
        </w:r>
        <w:r w:rsidR="0047570C">
          <w:rPr>
            <w:webHidden/>
          </w:rPr>
          <w:t>31</w:t>
        </w:r>
        <w:r>
          <w:rPr>
            <w:webHidden/>
          </w:rPr>
          <w:fldChar w:fldCharType="end"/>
        </w:r>
      </w:hyperlink>
    </w:p>
    <w:p w:rsidR="00212EB2" w:rsidRDefault="0073051F" w:rsidP="00212EB2">
      <w:pPr>
        <w:pStyle w:val="TOC3"/>
        <w:spacing w:line="360" w:lineRule="auto"/>
        <w:rPr>
          <w:rFonts w:asciiTheme="minorHAnsi" w:eastAsiaTheme="minorEastAsia" w:hAnsiTheme="minorHAnsi" w:cstheme="minorBidi"/>
          <w:sz w:val="22"/>
          <w:szCs w:val="22"/>
        </w:rPr>
      </w:pPr>
      <w:hyperlink w:anchor="_Toc320872879" w:history="1">
        <w:r w:rsidR="00212EB2" w:rsidRPr="00ED4AD1">
          <w:rPr>
            <w:rStyle w:val="Hyperlink"/>
          </w:rPr>
          <w:t>B) Δημοσιονομικές Εξελίξεις και Προοπτικές</w:t>
        </w:r>
        <w:r w:rsidR="00212EB2">
          <w:rPr>
            <w:webHidden/>
          </w:rPr>
          <w:tab/>
        </w:r>
        <w:r>
          <w:rPr>
            <w:webHidden/>
          </w:rPr>
          <w:fldChar w:fldCharType="begin"/>
        </w:r>
        <w:r w:rsidR="00212EB2">
          <w:rPr>
            <w:webHidden/>
          </w:rPr>
          <w:instrText xml:space="preserve"> PAGEREF _Toc320872879 \h </w:instrText>
        </w:r>
        <w:r>
          <w:rPr>
            <w:webHidden/>
          </w:rPr>
        </w:r>
        <w:r>
          <w:rPr>
            <w:webHidden/>
          </w:rPr>
          <w:fldChar w:fldCharType="separate"/>
        </w:r>
        <w:r w:rsidR="0047570C">
          <w:rPr>
            <w:webHidden/>
          </w:rPr>
          <w:t>38</w:t>
        </w:r>
        <w:r>
          <w:rPr>
            <w:webHidden/>
          </w:rPr>
          <w:fldChar w:fldCharType="end"/>
        </w:r>
      </w:hyperlink>
    </w:p>
    <w:p w:rsidR="00212EB2" w:rsidRDefault="0073051F">
      <w:pPr>
        <w:pStyle w:val="TOC2"/>
        <w:rPr>
          <w:rFonts w:asciiTheme="minorHAnsi" w:eastAsiaTheme="minorEastAsia" w:hAnsiTheme="minorHAnsi" w:cstheme="minorBidi"/>
          <w:b w:val="0"/>
          <w:sz w:val="22"/>
        </w:rPr>
      </w:pPr>
      <w:hyperlink w:anchor="_Toc320872880" w:history="1">
        <w:r w:rsidR="00212EB2" w:rsidRPr="00ED4AD1">
          <w:rPr>
            <w:rStyle w:val="Hyperlink"/>
          </w:rPr>
          <w:t>3.</w:t>
        </w:r>
        <w:r w:rsidR="00212EB2">
          <w:rPr>
            <w:rFonts w:asciiTheme="minorHAnsi" w:eastAsiaTheme="minorEastAsia" w:hAnsiTheme="minorHAnsi" w:cstheme="minorBidi"/>
            <w:b w:val="0"/>
            <w:sz w:val="22"/>
          </w:rPr>
          <w:tab/>
        </w:r>
        <w:r w:rsidR="00212EB2" w:rsidRPr="00ED4AD1">
          <w:rPr>
            <w:rStyle w:val="Hyperlink"/>
          </w:rPr>
          <w:t>ΕΠΙΔΟΣΕΙΣ ΚΑΙ ΠΡΟΟΠΤΙΚΕΣ</w:t>
        </w:r>
        <w:r w:rsidR="00212EB2">
          <w:rPr>
            <w:webHidden/>
          </w:rPr>
          <w:tab/>
        </w:r>
        <w:r>
          <w:rPr>
            <w:webHidden/>
          </w:rPr>
          <w:fldChar w:fldCharType="begin"/>
        </w:r>
        <w:r w:rsidR="00212EB2">
          <w:rPr>
            <w:webHidden/>
          </w:rPr>
          <w:instrText xml:space="preserve"> PAGEREF _Toc320872880 \h </w:instrText>
        </w:r>
        <w:r>
          <w:rPr>
            <w:webHidden/>
          </w:rPr>
        </w:r>
        <w:r>
          <w:rPr>
            <w:webHidden/>
          </w:rPr>
          <w:fldChar w:fldCharType="separate"/>
        </w:r>
        <w:r w:rsidR="0047570C">
          <w:rPr>
            <w:webHidden/>
          </w:rPr>
          <w:t>43</w:t>
        </w:r>
        <w:r>
          <w:rPr>
            <w:webHidden/>
          </w:rPr>
          <w:fldChar w:fldCharType="end"/>
        </w:r>
      </w:hyperlink>
    </w:p>
    <w:p w:rsidR="00212EB2" w:rsidRDefault="0073051F">
      <w:pPr>
        <w:pStyle w:val="TOC2"/>
        <w:rPr>
          <w:rFonts w:asciiTheme="minorHAnsi" w:eastAsiaTheme="minorEastAsia" w:hAnsiTheme="minorHAnsi" w:cstheme="minorBidi"/>
          <w:b w:val="0"/>
          <w:sz w:val="22"/>
        </w:rPr>
      </w:pPr>
      <w:hyperlink w:anchor="_Toc320872881" w:history="1">
        <w:r w:rsidR="00212EB2" w:rsidRPr="00ED4AD1">
          <w:rPr>
            <w:rStyle w:val="Hyperlink"/>
            <w:rFonts w:cs="Tahoma"/>
          </w:rPr>
          <w:t>3.1</w:t>
        </w:r>
        <w:r w:rsidR="00212EB2">
          <w:rPr>
            <w:rFonts w:asciiTheme="minorHAnsi" w:eastAsiaTheme="minorEastAsia" w:hAnsiTheme="minorHAnsi" w:cstheme="minorBidi"/>
            <w:b w:val="0"/>
            <w:sz w:val="22"/>
          </w:rPr>
          <w:tab/>
        </w:r>
        <w:r w:rsidR="00212EB2" w:rsidRPr="00ED4AD1">
          <w:rPr>
            <w:rStyle w:val="Hyperlink"/>
          </w:rPr>
          <w:t>Μακροοικονομικές Εξελίξεις</w:t>
        </w:r>
        <w:r w:rsidR="00212EB2">
          <w:rPr>
            <w:webHidden/>
          </w:rPr>
          <w:tab/>
        </w:r>
        <w:r>
          <w:rPr>
            <w:webHidden/>
          </w:rPr>
          <w:fldChar w:fldCharType="begin"/>
        </w:r>
        <w:r w:rsidR="00212EB2">
          <w:rPr>
            <w:webHidden/>
          </w:rPr>
          <w:instrText xml:space="preserve"> PAGEREF _Toc320872881 \h </w:instrText>
        </w:r>
        <w:r>
          <w:rPr>
            <w:webHidden/>
          </w:rPr>
        </w:r>
        <w:r>
          <w:rPr>
            <w:webHidden/>
          </w:rPr>
          <w:fldChar w:fldCharType="separate"/>
        </w:r>
        <w:r w:rsidR="0047570C">
          <w:rPr>
            <w:webHidden/>
          </w:rPr>
          <w:t>43</w:t>
        </w:r>
        <w:r>
          <w:rPr>
            <w:webHidden/>
          </w:rPr>
          <w:fldChar w:fldCharType="end"/>
        </w:r>
      </w:hyperlink>
    </w:p>
    <w:p w:rsidR="00212EB2" w:rsidRDefault="0073051F" w:rsidP="00212EB2">
      <w:pPr>
        <w:pStyle w:val="TOC3"/>
        <w:spacing w:line="360" w:lineRule="auto"/>
        <w:rPr>
          <w:rFonts w:asciiTheme="minorHAnsi" w:eastAsiaTheme="minorEastAsia" w:hAnsiTheme="minorHAnsi" w:cstheme="minorBidi"/>
          <w:sz w:val="22"/>
          <w:szCs w:val="22"/>
        </w:rPr>
      </w:pPr>
      <w:hyperlink w:anchor="_Toc320872882" w:history="1">
        <w:r w:rsidR="00212EB2" w:rsidRPr="00ED4AD1">
          <w:rPr>
            <w:rStyle w:val="Hyperlink"/>
          </w:rPr>
          <w:t>Εξελίξεις το 2011</w:t>
        </w:r>
        <w:r w:rsidR="00212EB2">
          <w:rPr>
            <w:webHidden/>
          </w:rPr>
          <w:tab/>
        </w:r>
        <w:r>
          <w:rPr>
            <w:webHidden/>
          </w:rPr>
          <w:fldChar w:fldCharType="begin"/>
        </w:r>
        <w:r w:rsidR="00212EB2">
          <w:rPr>
            <w:webHidden/>
          </w:rPr>
          <w:instrText xml:space="preserve"> PAGEREF _Toc320872882 \h </w:instrText>
        </w:r>
        <w:r>
          <w:rPr>
            <w:webHidden/>
          </w:rPr>
        </w:r>
        <w:r>
          <w:rPr>
            <w:webHidden/>
          </w:rPr>
          <w:fldChar w:fldCharType="separate"/>
        </w:r>
        <w:r w:rsidR="0047570C">
          <w:rPr>
            <w:webHidden/>
          </w:rPr>
          <w:t>43</w:t>
        </w:r>
        <w:r>
          <w:rPr>
            <w:webHidden/>
          </w:rPr>
          <w:fldChar w:fldCharType="end"/>
        </w:r>
      </w:hyperlink>
    </w:p>
    <w:p w:rsidR="00212EB2" w:rsidRDefault="0073051F" w:rsidP="00212EB2">
      <w:pPr>
        <w:pStyle w:val="TOC3"/>
        <w:spacing w:line="360" w:lineRule="auto"/>
        <w:rPr>
          <w:rFonts w:asciiTheme="minorHAnsi" w:eastAsiaTheme="minorEastAsia" w:hAnsiTheme="minorHAnsi" w:cstheme="minorBidi"/>
          <w:sz w:val="22"/>
          <w:szCs w:val="22"/>
        </w:rPr>
      </w:pPr>
      <w:hyperlink w:anchor="_Toc320872883" w:history="1">
        <w:r w:rsidR="00212EB2" w:rsidRPr="00ED4AD1">
          <w:rPr>
            <w:rStyle w:val="Hyperlink"/>
          </w:rPr>
          <w:t>Μεσοπρόθεσμες προοπτικές</w:t>
        </w:r>
        <w:r w:rsidR="00212EB2">
          <w:rPr>
            <w:webHidden/>
          </w:rPr>
          <w:tab/>
        </w:r>
        <w:r>
          <w:rPr>
            <w:webHidden/>
          </w:rPr>
          <w:fldChar w:fldCharType="begin"/>
        </w:r>
        <w:r w:rsidR="00212EB2">
          <w:rPr>
            <w:webHidden/>
          </w:rPr>
          <w:instrText xml:space="preserve"> PAGEREF _Toc320872883 \h </w:instrText>
        </w:r>
        <w:r>
          <w:rPr>
            <w:webHidden/>
          </w:rPr>
        </w:r>
        <w:r>
          <w:rPr>
            <w:webHidden/>
          </w:rPr>
          <w:fldChar w:fldCharType="separate"/>
        </w:r>
        <w:r w:rsidR="0047570C">
          <w:rPr>
            <w:webHidden/>
          </w:rPr>
          <w:t>48</w:t>
        </w:r>
        <w:r>
          <w:rPr>
            <w:webHidden/>
          </w:rPr>
          <w:fldChar w:fldCharType="end"/>
        </w:r>
      </w:hyperlink>
    </w:p>
    <w:p w:rsidR="00212EB2" w:rsidRDefault="0073051F">
      <w:pPr>
        <w:pStyle w:val="TOC2"/>
        <w:rPr>
          <w:rFonts w:asciiTheme="minorHAnsi" w:eastAsiaTheme="minorEastAsia" w:hAnsiTheme="minorHAnsi" w:cstheme="minorBidi"/>
          <w:b w:val="0"/>
          <w:sz w:val="22"/>
        </w:rPr>
      </w:pPr>
      <w:hyperlink w:anchor="_Toc320872884" w:history="1">
        <w:r w:rsidR="00212EB2" w:rsidRPr="00ED4AD1">
          <w:rPr>
            <w:rStyle w:val="Hyperlink"/>
          </w:rPr>
          <w:t>3.2 Εξελίξεις και προοπτικές σε βασικούς τομείς της Οικονομίας</w:t>
        </w:r>
        <w:r w:rsidR="00212EB2">
          <w:rPr>
            <w:webHidden/>
          </w:rPr>
          <w:tab/>
        </w:r>
        <w:r>
          <w:rPr>
            <w:webHidden/>
          </w:rPr>
          <w:fldChar w:fldCharType="begin"/>
        </w:r>
        <w:r w:rsidR="00212EB2">
          <w:rPr>
            <w:webHidden/>
          </w:rPr>
          <w:instrText xml:space="preserve"> PAGEREF _Toc320872884 \h </w:instrText>
        </w:r>
        <w:r>
          <w:rPr>
            <w:webHidden/>
          </w:rPr>
        </w:r>
        <w:r>
          <w:rPr>
            <w:webHidden/>
          </w:rPr>
          <w:fldChar w:fldCharType="separate"/>
        </w:r>
        <w:r w:rsidR="0047570C">
          <w:rPr>
            <w:webHidden/>
          </w:rPr>
          <w:t>56</w:t>
        </w:r>
        <w:r>
          <w:rPr>
            <w:webHidden/>
          </w:rPr>
          <w:fldChar w:fldCharType="end"/>
        </w:r>
      </w:hyperlink>
    </w:p>
    <w:p w:rsidR="00212EB2" w:rsidRDefault="0073051F">
      <w:pPr>
        <w:pStyle w:val="TOC2"/>
        <w:rPr>
          <w:rFonts w:asciiTheme="minorHAnsi" w:eastAsiaTheme="minorEastAsia" w:hAnsiTheme="minorHAnsi" w:cstheme="minorBidi"/>
          <w:b w:val="0"/>
          <w:sz w:val="22"/>
        </w:rPr>
      </w:pPr>
      <w:hyperlink w:anchor="_Toc320872885" w:history="1">
        <w:r w:rsidR="00212EB2" w:rsidRPr="00ED4AD1">
          <w:rPr>
            <w:rStyle w:val="Hyperlink"/>
          </w:rPr>
          <w:t>3.3 Εξαγωγικές Επιδόσεις της Ελληνικής Οικονομίας</w:t>
        </w:r>
        <w:r w:rsidR="00212EB2">
          <w:rPr>
            <w:webHidden/>
          </w:rPr>
          <w:tab/>
        </w:r>
        <w:r>
          <w:rPr>
            <w:webHidden/>
          </w:rPr>
          <w:fldChar w:fldCharType="begin"/>
        </w:r>
        <w:r w:rsidR="00212EB2">
          <w:rPr>
            <w:webHidden/>
          </w:rPr>
          <w:instrText xml:space="preserve"> PAGEREF _Toc320872885 \h </w:instrText>
        </w:r>
        <w:r>
          <w:rPr>
            <w:webHidden/>
          </w:rPr>
        </w:r>
        <w:r>
          <w:rPr>
            <w:webHidden/>
          </w:rPr>
          <w:fldChar w:fldCharType="separate"/>
        </w:r>
        <w:r w:rsidR="0047570C">
          <w:rPr>
            <w:webHidden/>
          </w:rPr>
          <w:t>66</w:t>
        </w:r>
        <w:r>
          <w:rPr>
            <w:webHidden/>
          </w:rPr>
          <w:fldChar w:fldCharType="end"/>
        </w:r>
      </w:hyperlink>
    </w:p>
    <w:p w:rsidR="00212EB2" w:rsidRDefault="0073051F">
      <w:pPr>
        <w:pStyle w:val="TOC2"/>
        <w:rPr>
          <w:rFonts w:asciiTheme="minorHAnsi" w:eastAsiaTheme="minorEastAsia" w:hAnsiTheme="minorHAnsi" w:cstheme="minorBidi"/>
          <w:b w:val="0"/>
          <w:sz w:val="22"/>
        </w:rPr>
      </w:pPr>
      <w:hyperlink w:anchor="_Toc320872886" w:history="1">
        <w:r w:rsidR="00212EB2" w:rsidRPr="00ED4AD1">
          <w:rPr>
            <w:rStyle w:val="Hyperlink"/>
          </w:rPr>
          <w:t>3.4 Απασχόληση - Ανεργία</w:t>
        </w:r>
        <w:r w:rsidR="00212EB2">
          <w:rPr>
            <w:webHidden/>
          </w:rPr>
          <w:tab/>
        </w:r>
        <w:r>
          <w:rPr>
            <w:webHidden/>
          </w:rPr>
          <w:fldChar w:fldCharType="begin"/>
        </w:r>
        <w:r w:rsidR="00212EB2">
          <w:rPr>
            <w:webHidden/>
          </w:rPr>
          <w:instrText xml:space="preserve"> PAGEREF _Toc320872886 \h </w:instrText>
        </w:r>
        <w:r>
          <w:rPr>
            <w:webHidden/>
          </w:rPr>
        </w:r>
        <w:r>
          <w:rPr>
            <w:webHidden/>
          </w:rPr>
          <w:fldChar w:fldCharType="separate"/>
        </w:r>
        <w:r w:rsidR="0047570C">
          <w:rPr>
            <w:webHidden/>
          </w:rPr>
          <w:t>70</w:t>
        </w:r>
        <w:r>
          <w:rPr>
            <w:webHidden/>
          </w:rPr>
          <w:fldChar w:fldCharType="end"/>
        </w:r>
      </w:hyperlink>
    </w:p>
    <w:p w:rsidR="00212EB2" w:rsidRDefault="0073051F">
      <w:pPr>
        <w:pStyle w:val="TOC2"/>
        <w:rPr>
          <w:rFonts w:asciiTheme="minorHAnsi" w:eastAsiaTheme="minorEastAsia" w:hAnsiTheme="minorHAnsi" w:cstheme="minorBidi"/>
          <w:b w:val="0"/>
          <w:sz w:val="22"/>
        </w:rPr>
      </w:pPr>
      <w:hyperlink w:anchor="_Toc320872887" w:history="1">
        <w:r w:rsidR="00212EB2" w:rsidRPr="00ED4AD1">
          <w:rPr>
            <w:rStyle w:val="Hyperlink"/>
          </w:rPr>
          <w:t>3.5 Τιμές Καταναλωτή</w:t>
        </w:r>
        <w:r w:rsidR="00212EB2">
          <w:rPr>
            <w:webHidden/>
          </w:rPr>
          <w:tab/>
        </w:r>
        <w:r>
          <w:rPr>
            <w:webHidden/>
          </w:rPr>
          <w:fldChar w:fldCharType="begin"/>
        </w:r>
        <w:r w:rsidR="00212EB2">
          <w:rPr>
            <w:webHidden/>
          </w:rPr>
          <w:instrText xml:space="preserve"> PAGEREF _Toc320872887 \h </w:instrText>
        </w:r>
        <w:r>
          <w:rPr>
            <w:webHidden/>
          </w:rPr>
        </w:r>
        <w:r>
          <w:rPr>
            <w:webHidden/>
          </w:rPr>
          <w:fldChar w:fldCharType="separate"/>
        </w:r>
        <w:r w:rsidR="0047570C">
          <w:rPr>
            <w:webHidden/>
          </w:rPr>
          <w:t>79</w:t>
        </w:r>
        <w:r>
          <w:rPr>
            <w:webHidden/>
          </w:rPr>
          <w:fldChar w:fldCharType="end"/>
        </w:r>
      </w:hyperlink>
    </w:p>
    <w:p w:rsidR="00212EB2" w:rsidRDefault="0073051F" w:rsidP="00212EB2">
      <w:pPr>
        <w:pStyle w:val="TOC3"/>
        <w:spacing w:line="360" w:lineRule="auto"/>
        <w:rPr>
          <w:rFonts w:asciiTheme="minorHAnsi" w:eastAsiaTheme="minorEastAsia" w:hAnsiTheme="minorHAnsi" w:cstheme="minorBidi"/>
          <w:sz w:val="22"/>
          <w:szCs w:val="22"/>
        </w:rPr>
      </w:pPr>
      <w:hyperlink w:anchor="_Toc320872888" w:history="1">
        <w:r w:rsidR="00212EB2" w:rsidRPr="00ED4AD1">
          <w:rPr>
            <w:rStyle w:val="Hyperlink"/>
            <w:rFonts w:cs="Tahoma"/>
          </w:rPr>
          <w:t>Πρόσφατες εξελίξεις</w:t>
        </w:r>
        <w:r w:rsidR="00212EB2">
          <w:rPr>
            <w:webHidden/>
          </w:rPr>
          <w:tab/>
        </w:r>
        <w:r>
          <w:rPr>
            <w:webHidden/>
          </w:rPr>
          <w:fldChar w:fldCharType="begin"/>
        </w:r>
        <w:r w:rsidR="00212EB2">
          <w:rPr>
            <w:webHidden/>
          </w:rPr>
          <w:instrText xml:space="preserve"> PAGEREF _Toc320872888 \h </w:instrText>
        </w:r>
        <w:r>
          <w:rPr>
            <w:webHidden/>
          </w:rPr>
        </w:r>
        <w:r>
          <w:rPr>
            <w:webHidden/>
          </w:rPr>
          <w:fldChar w:fldCharType="separate"/>
        </w:r>
        <w:r w:rsidR="0047570C">
          <w:rPr>
            <w:webHidden/>
          </w:rPr>
          <w:t>79</w:t>
        </w:r>
        <w:r>
          <w:rPr>
            <w:webHidden/>
          </w:rPr>
          <w:fldChar w:fldCharType="end"/>
        </w:r>
      </w:hyperlink>
    </w:p>
    <w:p w:rsidR="00212EB2" w:rsidRDefault="0073051F" w:rsidP="00212EB2">
      <w:pPr>
        <w:pStyle w:val="TOC3"/>
        <w:spacing w:line="360" w:lineRule="auto"/>
        <w:rPr>
          <w:rFonts w:asciiTheme="minorHAnsi" w:eastAsiaTheme="minorEastAsia" w:hAnsiTheme="minorHAnsi" w:cstheme="minorBidi"/>
          <w:sz w:val="22"/>
          <w:szCs w:val="22"/>
        </w:rPr>
      </w:pPr>
      <w:hyperlink w:anchor="_Toc320872889" w:history="1">
        <w:r w:rsidR="00212EB2" w:rsidRPr="00ED4AD1">
          <w:rPr>
            <w:rStyle w:val="Hyperlink"/>
            <w:rFonts w:cs="Tahoma"/>
          </w:rPr>
          <w:t>Μεσοπρόθεσμες εκτιμήσεις</w:t>
        </w:r>
        <w:r w:rsidR="00212EB2">
          <w:rPr>
            <w:webHidden/>
          </w:rPr>
          <w:tab/>
        </w:r>
        <w:r>
          <w:rPr>
            <w:webHidden/>
          </w:rPr>
          <w:fldChar w:fldCharType="begin"/>
        </w:r>
        <w:r w:rsidR="00212EB2">
          <w:rPr>
            <w:webHidden/>
          </w:rPr>
          <w:instrText xml:space="preserve"> PAGEREF _Toc320872889 \h </w:instrText>
        </w:r>
        <w:r>
          <w:rPr>
            <w:webHidden/>
          </w:rPr>
        </w:r>
        <w:r>
          <w:rPr>
            <w:webHidden/>
          </w:rPr>
          <w:fldChar w:fldCharType="separate"/>
        </w:r>
        <w:r w:rsidR="0047570C">
          <w:rPr>
            <w:webHidden/>
          </w:rPr>
          <w:t>81</w:t>
        </w:r>
        <w:r>
          <w:rPr>
            <w:webHidden/>
          </w:rPr>
          <w:fldChar w:fldCharType="end"/>
        </w:r>
      </w:hyperlink>
    </w:p>
    <w:p w:rsidR="00212EB2" w:rsidRDefault="0073051F">
      <w:pPr>
        <w:pStyle w:val="TOC2"/>
        <w:rPr>
          <w:rFonts w:asciiTheme="minorHAnsi" w:eastAsiaTheme="minorEastAsia" w:hAnsiTheme="minorHAnsi" w:cstheme="minorBidi"/>
          <w:b w:val="0"/>
          <w:sz w:val="22"/>
        </w:rPr>
      </w:pPr>
      <w:hyperlink w:anchor="_Toc320872890" w:history="1">
        <w:r w:rsidR="00212EB2" w:rsidRPr="00ED4AD1">
          <w:rPr>
            <w:rStyle w:val="Hyperlink"/>
            <w:rFonts w:cs="Tahoma"/>
          </w:rPr>
          <w:t>3.6</w:t>
        </w:r>
        <w:r w:rsidR="00212EB2">
          <w:rPr>
            <w:rFonts w:asciiTheme="minorHAnsi" w:eastAsiaTheme="minorEastAsia" w:hAnsiTheme="minorHAnsi" w:cstheme="minorBidi"/>
            <w:b w:val="0"/>
            <w:sz w:val="22"/>
          </w:rPr>
          <w:tab/>
        </w:r>
        <w:r w:rsidR="00212EB2" w:rsidRPr="00ED4AD1">
          <w:rPr>
            <w:rStyle w:val="Hyperlink"/>
            <w:rFonts w:cs="Tahoma"/>
          </w:rPr>
          <w:t>Ισοζύγιο Εξωτερικών Συναλλαγών</w:t>
        </w:r>
        <w:r w:rsidR="00212EB2">
          <w:rPr>
            <w:webHidden/>
          </w:rPr>
          <w:tab/>
        </w:r>
        <w:r>
          <w:rPr>
            <w:webHidden/>
          </w:rPr>
          <w:fldChar w:fldCharType="begin"/>
        </w:r>
        <w:r w:rsidR="00212EB2">
          <w:rPr>
            <w:webHidden/>
          </w:rPr>
          <w:instrText xml:space="preserve"> PAGEREF _Toc320872890 \h </w:instrText>
        </w:r>
        <w:r>
          <w:rPr>
            <w:webHidden/>
          </w:rPr>
        </w:r>
        <w:r>
          <w:rPr>
            <w:webHidden/>
          </w:rPr>
          <w:fldChar w:fldCharType="separate"/>
        </w:r>
        <w:r w:rsidR="0047570C">
          <w:rPr>
            <w:webHidden/>
          </w:rPr>
          <w:t>85</w:t>
        </w:r>
        <w:r>
          <w:rPr>
            <w:webHidden/>
          </w:rPr>
          <w:fldChar w:fldCharType="end"/>
        </w:r>
      </w:hyperlink>
    </w:p>
    <w:p w:rsidR="00212EB2" w:rsidRDefault="0073051F" w:rsidP="00212EB2">
      <w:pPr>
        <w:pStyle w:val="TOC3"/>
        <w:spacing w:line="360" w:lineRule="auto"/>
        <w:rPr>
          <w:rFonts w:asciiTheme="minorHAnsi" w:eastAsiaTheme="minorEastAsia" w:hAnsiTheme="minorHAnsi" w:cstheme="minorBidi"/>
          <w:sz w:val="22"/>
          <w:szCs w:val="22"/>
        </w:rPr>
      </w:pPr>
      <w:hyperlink w:anchor="_Toc320872891" w:history="1">
        <w:r w:rsidR="00212EB2" w:rsidRPr="00ED4AD1">
          <w:rPr>
            <w:rStyle w:val="Hyperlink"/>
            <w:rFonts w:cs="Tahoma"/>
          </w:rPr>
          <w:t>Ισοζύγιο Τρεχουσών Συναλλαγών</w:t>
        </w:r>
        <w:r w:rsidR="00212EB2">
          <w:rPr>
            <w:webHidden/>
          </w:rPr>
          <w:tab/>
        </w:r>
        <w:r>
          <w:rPr>
            <w:webHidden/>
          </w:rPr>
          <w:fldChar w:fldCharType="begin"/>
        </w:r>
        <w:r w:rsidR="00212EB2">
          <w:rPr>
            <w:webHidden/>
          </w:rPr>
          <w:instrText xml:space="preserve"> PAGEREF _Toc320872891 \h </w:instrText>
        </w:r>
        <w:r>
          <w:rPr>
            <w:webHidden/>
          </w:rPr>
        </w:r>
        <w:r>
          <w:rPr>
            <w:webHidden/>
          </w:rPr>
          <w:fldChar w:fldCharType="separate"/>
        </w:r>
        <w:r w:rsidR="0047570C">
          <w:rPr>
            <w:webHidden/>
          </w:rPr>
          <w:t>85</w:t>
        </w:r>
        <w:r>
          <w:rPr>
            <w:webHidden/>
          </w:rPr>
          <w:fldChar w:fldCharType="end"/>
        </w:r>
      </w:hyperlink>
    </w:p>
    <w:p w:rsidR="00212EB2" w:rsidRDefault="0073051F" w:rsidP="00212EB2">
      <w:pPr>
        <w:pStyle w:val="TOC3"/>
        <w:spacing w:line="360" w:lineRule="auto"/>
        <w:rPr>
          <w:rFonts w:asciiTheme="minorHAnsi" w:eastAsiaTheme="minorEastAsia" w:hAnsiTheme="minorHAnsi" w:cstheme="minorBidi"/>
          <w:sz w:val="22"/>
          <w:szCs w:val="22"/>
        </w:rPr>
      </w:pPr>
      <w:hyperlink w:anchor="_Toc320872892" w:history="1">
        <w:r w:rsidR="00212EB2" w:rsidRPr="00ED4AD1">
          <w:rPr>
            <w:rStyle w:val="Hyperlink"/>
            <w:rFonts w:cs="Tahoma"/>
          </w:rPr>
          <w:t>Ισοζύγιο Κεφαλαιακών Μεταβιβάσεων</w:t>
        </w:r>
        <w:r w:rsidR="00212EB2">
          <w:rPr>
            <w:webHidden/>
          </w:rPr>
          <w:tab/>
        </w:r>
        <w:r>
          <w:rPr>
            <w:webHidden/>
          </w:rPr>
          <w:fldChar w:fldCharType="begin"/>
        </w:r>
        <w:r w:rsidR="00212EB2">
          <w:rPr>
            <w:webHidden/>
          </w:rPr>
          <w:instrText xml:space="preserve"> PAGEREF _Toc320872892 \h </w:instrText>
        </w:r>
        <w:r>
          <w:rPr>
            <w:webHidden/>
          </w:rPr>
        </w:r>
        <w:r>
          <w:rPr>
            <w:webHidden/>
          </w:rPr>
          <w:fldChar w:fldCharType="separate"/>
        </w:r>
        <w:r w:rsidR="0047570C">
          <w:rPr>
            <w:webHidden/>
          </w:rPr>
          <w:t>86</w:t>
        </w:r>
        <w:r>
          <w:rPr>
            <w:webHidden/>
          </w:rPr>
          <w:fldChar w:fldCharType="end"/>
        </w:r>
      </w:hyperlink>
    </w:p>
    <w:p w:rsidR="00212EB2" w:rsidRDefault="0073051F" w:rsidP="00212EB2">
      <w:pPr>
        <w:pStyle w:val="TOC3"/>
        <w:spacing w:line="360" w:lineRule="auto"/>
        <w:rPr>
          <w:rFonts w:asciiTheme="minorHAnsi" w:eastAsiaTheme="minorEastAsia" w:hAnsiTheme="minorHAnsi" w:cstheme="minorBidi"/>
          <w:sz w:val="22"/>
          <w:szCs w:val="22"/>
        </w:rPr>
      </w:pPr>
      <w:hyperlink w:anchor="_Toc320872893" w:history="1">
        <w:r w:rsidR="00212EB2" w:rsidRPr="00ED4AD1">
          <w:rPr>
            <w:rStyle w:val="Hyperlink"/>
            <w:rFonts w:cs="Tahoma"/>
          </w:rPr>
          <w:t>Ισοζύγιο Χρηματοοικονομικών Συναλλαγών</w:t>
        </w:r>
        <w:r w:rsidR="00212EB2">
          <w:rPr>
            <w:webHidden/>
          </w:rPr>
          <w:tab/>
        </w:r>
        <w:r>
          <w:rPr>
            <w:webHidden/>
          </w:rPr>
          <w:fldChar w:fldCharType="begin"/>
        </w:r>
        <w:r w:rsidR="00212EB2">
          <w:rPr>
            <w:webHidden/>
          </w:rPr>
          <w:instrText xml:space="preserve"> PAGEREF _Toc320872893 \h </w:instrText>
        </w:r>
        <w:r>
          <w:rPr>
            <w:webHidden/>
          </w:rPr>
        </w:r>
        <w:r>
          <w:rPr>
            <w:webHidden/>
          </w:rPr>
          <w:fldChar w:fldCharType="separate"/>
        </w:r>
        <w:r w:rsidR="0047570C">
          <w:rPr>
            <w:webHidden/>
          </w:rPr>
          <w:t>86</w:t>
        </w:r>
        <w:r>
          <w:rPr>
            <w:webHidden/>
          </w:rPr>
          <w:fldChar w:fldCharType="end"/>
        </w:r>
      </w:hyperlink>
    </w:p>
    <w:p w:rsidR="00212EB2" w:rsidRDefault="0073051F" w:rsidP="00212EB2">
      <w:pPr>
        <w:pStyle w:val="TOC3"/>
        <w:spacing w:line="360" w:lineRule="auto"/>
        <w:rPr>
          <w:rFonts w:asciiTheme="minorHAnsi" w:eastAsiaTheme="minorEastAsia" w:hAnsiTheme="minorHAnsi" w:cstheme="minorBidi"/>
          <w:sz w:val="22"/>
          <w:szCs w:val="22"/>
        </w:rPr>
      </w:pPr>
      <w:hyperlink w:anchor="_Toc320872894" w:history="1">
        <w:r w:rsidR="00212EB2" w:rsidRPr="00ED4AD1">
          <w:rPr>
            <w:rStyle w:val="Hyperlink"/>
            <w:rFonts w:cs="Tahoma"/>
          </w:rPr>
          <w:t>Αποτίμηση</w:t>
        </w:r>
        <w:r w:rsidR="00212EB2">
          <w:rPr>
            <w:webHidden/>
          </w:rPr>
          <w:tab/>
        </w:r>
        <w:r>
          <w:rPr>
            <w:webHidden/>
          </w:rPr>
          <w:fldChar w:fldCharType="begin"/>
        </w:r>
        <w:r w:rsidR="00212EB2">
          <w:rPr>
            <w:webHidden/>
          </w:rPr>
          <w:instrText xml:space="preserve"> PAGEREF _Toc320872894 \h </w:instrText>
        </w:r>
        <w:r>
          <w:rPr>
            <w:webHidden/>
          </w:rPr>
        </w:r>
        <w:r>
          <w:rPr>
            <w:webHidden/>
          </w:rPr>
          <w:fldChar w:fldCharType="separate"/>
        </w:r>
        <w:r w:rsidR="0047570C">
          <w:rPr>
            <w:webHidden/>
          </w:rPr>
          <w:t>89</w:t>
        </w:r>
        <w:r>
          <w:rPr>
            <w:webHidden/>
          </w:rPr>
          <w:fldChar w:fldCharType="end"/>
        </w:r>
      </w:hyperlink>
    </w:p>
    <w:p w:rsidR="00212EB2" w:rsidRDefault="0073051F">
      <w:pPr>
        <w:pStyle w:val="TOC2"/>
        <w:rPr>
          <w:rFonts w:asciiTheme="minorHAnsi" w:eastAsiaTheme="minorEastAsia" w:hAnsiTheme="minorHAnsi" w:cstheme="minorBidi"/>
          <w:b w:val="0"/>
          <w:sz w:val="22"/>
        </w:rPr>
      </w:pPr>
      <w:hyperlink w:anchor="_Toc320872895" w:history="1">
        <w:r w:rsidR="00212EB2" w:rsidRPr="00ED4AD1">
          <w:rPr>
            <w:rStyle w:val="Hyperlink"/>
          </w:rPr>
          <w:t>4.</w:t>
        </w:r>
        <w:r w:rsidR="00212EB2">
          <w:rPr>
            <w:rFonts w:asciiTheme="minorHAnsi" w:eastAsiaTheme="minorEastAsia" w:hAnsiTheme="minorHAnsi" w:cstheme="minorBidi"/>
            <w:b w:val="0"/>
            <w:sz w:val="22"/>
          </w:rPr>
          <w:tab/>
        </w:r>
        <w:r w:rsidR="00212EB2" w:rsidRPr="00ED4AD1">
          <w:rPr>
            <w:rStyle w:val="Hyperlink"/>
            <w:rFonts w:eastAsia="Calibri"/>
            <w:caps/>
          </w:rPr>
          <w:t>Επιπτώσεις Εφαρμογής Προγράμματος Εθελοντικής Ανταλλαγής Ομολόγων με τη Συμμετοχή του Ιδιωτικού Τομέα</w:t>
        </w:r>
        <w:r w:rsidR="00212EB2">
          <w:rPr>
            <w:webHidden/>
          </w:rPr>
          <w:tab/>
        </w:r>
        <w:r>
          <w:rPr>
            <w:webHidden/>
          </w:rPr>
          <w:fldChar w:fldCharType="begin"/>
        </w:r>
        <w:r w:rsidR="00212EB2">
          <w:rPr>
            <w:webHidden/>
          </w:rPr>
          <w:instrText xml:space="preserve"> PAGEREF _Toc320872895 \h </w:instrText>
        </w:r>
        <w:r>
          <w:rPr>
            <w:webHidden/>
          </w:rPr>
        </w:r>
        <w:r>
          <w:rPr>
            <w:webHidden/>
          </w:rPr>
          <w:fldChar w:fldCharType="separate"/>
        </w:r>
        <w:r w:rsidR="0047570C">
          <w:rPr>
            <w:webHidden/>
          </w:rPr>
          <w:t>93</w:t>
        </w:r>
        <w:r>
          <w:rPr>
            <w:webHidden/>
          </w:rPr>
          <w:fldChar w:fldCharType="end"/>
        </w:r>
      </w:hyperlink>
    </w:p>
    <w:p w:rsidR="00212EB2" w:rsidRDefault="0073051F" w:rsidP="00212EB2">
      <w:pPr>
        <w:pStyle w:val="TOC3"/>
        <w:spacing w:line="360" w:lineRule="auto"/>
        <w:rPr>
          <w:rFonts w:asciiTheme="minorHAnsi" w:eastAsiaTheme="minorEastAsia" w:hAnsiTheme="minorHAnsi" w:cstheme="minorBidi"/>
          <w:sz w:val="22"/>
          <w:szCs w:val="22"/>
        </w:rPr>
      </w:pPr>
      <w:hyperlink w:anchor="_Toc320872896" w:history="1">
        <w:r w:rsidR="00212EB2" w:rsidRPr="00ED4AD1">
          <w:rPr>
            <w:rStyle w:val="Hyperlink"/>
            <w:rFonts w:cs="Tahoma"/>
          </w:rPr>
          <w:t>Ανάλυση Βιωσιμότητας Δημοσίου Χρέους</w:t>
        </w:r>
        <w:r w:rsidR="00212EB2">
          <w:rPr>
            <w:webHidden/>
          </w:rPr>
          <w:tab/>
        </w:r>
        <w:r>
          <w:rPr>
            <w:webHidden/>
          </w:rPr>
          <w:fldChar w:fldCharType="begin"/>
        </w:r>
        <w:r w:rsidR="00212EB2">
          <w:rPr>
            <w:webHidden/>
          </w:rPr>
          <w:instrText xml:space="preserve"> PAGEREF _Toc320872896 \h </w:instrText>
        </w:r>
        <w:r>
          <w:rPr>
            <w:webHidden/>
          </w:rPr>
        </w:r>
        <w:r>
          <w:rPr>
            <w:webHidden/>
          </w:rPr>
          <w:fldChar w:fldCharType="separate"/>
        </w:r>
        <w:r w:rsidR="0047570C">
          <w:rPr>
            <w:webHidden/>
          </w:rPr>
          <w:t>101</w:t>
        </w:r>
        <w:r>
          <w:rPr>
            <w:webHidden/>
          </w:rPr>
          <w:fldChar w:fldCharType="end"/>
        </w:r>
      </w:hyperlink>
    </w:p>
    <w:p w:rsidR="00212EB2" w:rsidRDefault="0073051F" w:rsidP="00212EB2">
      <w:pPr>
        <w:pStyle w:val="TOC3"/>
        <w:spacing w:line="360" w:lineRule="auto"/>
        <w:rPr>
          <w:rFonts w:asciiTheme="minorHAnsi" w:eastAsiaTheme="minorEastAsia" w:hAnsiTheme="minorHAnsi" w:cstheme="minorBidi"/>
          <w:sz w:val="22"/>
          <w:szCs w:val="22"/>
        </w:rPr>
      </w:pPr>
      <w:hyperlink w:anchor="_Toc320872897" w:history="1">
        <w:r w:rsidR="00212EB2" w:rsidRPr="00ED4AD1">
          <w:rPr>
            <w:rStyle w:val="Hyperlink"/>
            <w:rFonts w:cs="Tahoma"/>
          </w:rPr>
          <w:t>Συμπέρασμα</w:t>
        </w:r>
        <w:r w:rsidR="00212EB2">
          <w:rPr>
            <w:webHidden/>
          </w:rPr>
          <w:tab/>
        </w:r>
        <w:r>
          <w:rPr>
            <w:webHidden/>
          </w:rPr>
          <w:fldChar w:fldCharType="begin"/>
        </w:r>
        <w:r w:rsidR="00212EB2">
          <w:rPr>
            <w:webHidden/>
          </w:rPr>
          <w:instrText xml:space="preserve"> PAGEREF _Toc320872897 \h </w:instrText>
        </w:r>
        <w:r>
          <w:rPr>
            <w:webHidden/>
          </w:rPr>
        </w:r>
        <w:r>
          <w:rPr>
            <w:webHidden/>
          </w:rPr>
          <w:fldChar w:fldCharType="separate"/>
        </w:r>
        <w:r w:rsidR="0047570C">
          <w:rPr>
            <w:webHidden/>
          </w:rPr>
          <w:t>107</w:t>
        </w:r>
        <w:r>
          <w:rPr>
            <w:webHidden/>
          </w:rPr>
          <w:fldChar w:fldCharType="end"/>
        </w:r>
      </w:hyperlink>
    </w:p>
    <w:p w:rsidR="00212EB2" w:rsidRDefault="0073051F">
      <w:pPr>
        <w:pStyle w:val="TOC2"/>
        <w:rPr>
          <w:rFonts w:asciiTheme="minorHAnsi" w:eastAsiaTheme="minorEastAsia" w:hAnsiTheme="minorHAnsi" w:cstheme="minorBidi"/>
          <w:b w:val="0"/>
          <w:sz w:val="22"/>
        </w:rPr>
      </w:pPr>
      <w:hyperlink w:anchor="_Toc320872898" w:history="1">
        <w:r w:rsidR="00212EB2" w:rsidRPr="00ED4AD1">
          <w:rPr>
            <w:rStyle w:val="Hyperlink"/>
          </w:rPr>
          <w:t>5.</w:t>
        </w:r>
        <w:r w:rsidR="00212EB2">
          <w:rPr>
            <w:rFonts w:asciiTheme="minorHAnsi" w:eastAsiaTheme="minorEastAsia" w:hAnsiTheme="minorHAnsi" w:cstheme="minorBidi"/>
            <w:b w:val="0"/>
            <w:sz w:val="22"/>
          </w:rPr>
          <w:tab/>
        </w:r>
        <w:r w:rsidR="00212EB2" w:rsidRPr="00ED4AD1">
          <w:rPr>
            <w:rStyle w:val="Hyperlink"/>
          </w:rPr>
          <w:t>ΠΑΡΑΡΤΗΜΑ: ΔΙΑΡΘΡΩΤΙΚΟΙ ΔΕΙΚΤΕΣ</w:t>
        </w:r>
        <w:r w:rsidR="00212EB2">
          <w:rPr>
            <w:webHidden/>
          </w:rPr>
          <w:tab/>
        </w:r>
        <w:r>
          <w:rPr>
            <w:webHidden/>
          </w:rPr>
          <w:fldChar w:fldCharType="begin"/>
        </w:r>
        <w:r w:rsidR="00212EB2">
          <w:rPr>
            <w:webHidden/>
          </w:rPr>
          <w:instrText xml:space="preserve"> PAGEREF _Toc320872898 \h </w:instrText>
        </w:r>
        <w:r>
          <w:rPr>
            <w:webHidden/>
          </w:rPr>
        </w:r>
        <w:r>
          <w:rPr>
            <w:webHidden/>
          </w:rPr>
          <w:fldChar w:fldCharType="separate"/>
        </w:r>
        <w:r w:rsidR="0047570C">
          <w:rPr>
            <w:webHidden/>
          </w:rPr>
          <w:t>109</w:t>
        </w:r>
        <w:r>
          <w:rPr>
            <w:webHidden/>
          </w:rPr>
          <w:fldChar w:fldCharType="end"/>
        </w:r>
      </w:hyperlink>
    </w:p>
    <w:p w:rsidR="00DF63B6" w:rsidRDefault="0073051F" w:rsidP="001878B8">
      <w:pPr>
        <w:tabs>
          <w:tab w:val="right" w:leader="dot" w:pos="9180"/>
        </w:tabs>
        <w:spacing w:before="120" w:after="120" w:line="264" w:lineRule="auto"/>
        <w:ind w:left="-360"/>
        <w:jc w:val="both"/>
        <w:rPr>
          <w:rFonts w:ascii="Tahoma" w:hAnsi="Tahoma" w:cs="Tahoma"/>
          <w:highlight w:val="yellow"/>
          <w:lang w:val="en-US"/>
        </w:rPr>
        <w:sectPr w:rsidR="00DF63B6" w:rsidSect="003257F4">
          <w:headerReference w:type="even" r:id="rId18"/>
          <w:headerReference w:type="default" r:id="rId19"/>
          <w:footerReference w:type="default" r:id="rId20"/>
          <w:headerReference w:type="first" r:id="rId21"/>
          <w:footerReference w:type="first" r:id="rId22"/>
          <w:pgSz w:w="11906" w:h="16838" w:code="9"/>
          <w:pgMar w:top="899" w:right="1418" w:bottom="1258" w:left="1418" w:header="720" w:footer="720" w:gutter="0"/>
          <w:paperSrc w:first="7" w:other="7"/>
          <w:cols w:space="720" w:equalWidth="0">
            <w:col w:w="9070"/>
          </w:cols>
          <w:titlePg/>
        </w:sectPr>
      </w:pPr>
      <w:r w:rsidRPr="00B6408D">
        <w:rPr>
          <w:highlight w:val="yellow"/>
        </w:rPr>
        <w:fldChar w:fldCharType="end"/>
      </w:r>
    </w:p>
    <w:p w:rsidR="003C2DCF" w:rsidRDefault="003C2DCF" w:rsidP="00DF63B6">
      <w:pPr>
        <w:pStyle w:val="new2"/>
        <w:jc w:val="center"/>
        <w:sectPr w:rsidR="003C2DCF" w:rsidSect="005140DA">
          <w:headerReference w:type="default" r:id="rId23"/>
          <w:type w:val="continuous"/>
          <w:pgSz w:w="11906" w:h="16838" w:code="9"/>
          <w:pgMar w:top="1438" w:right="1466" w:bottom="1079" w:left="1440" w:header="720" w:footer="720" w:gutter="0"/>
          <w:paperSrc w:first="15" w:other="15"/>
          <w:cols w:space="720"/>
        </w:sectPr>
      </w:pPr>
      <w:bookmarkStart w:id="1" w:name="_Toc273446375"/>
    </w:p>
    <w:p w:rsidR="00DF63B6" w:rsidRPr="00C10CB0" w:rsidRDefault="00DF63B6" w:rsidP="00DF63B6">
      <w:pPr>
        <w:pStyle w:val="new2"/>
        <w:jc w:val="center"/>
      </w:pPr>
      <w:bookmarkStart w:id="2" w:name="_Toc320872862"/>
      <w:r w:rsidRPr="00C10CB0">
        <w:lastRenderedPageBreak/>
        <w:t>ΠΡΟΛΟΓΟΣ</w:t>
      </w:r>
      <w:bookmarkEnd w:id="1"/>
      <w:bookmarkEnd w:id="2"/>
    </w:p>
    <w:p w:rsidR="003C2DCF" w:rsidRPr="001C44EB" w:rsidRDefault="003C2DCF" w:rsidP="003C2DCF">
      <w:pPr>
        <w:spacing w:before="240" w:after="240" w:line="312" w:lineRule="auto"/>
        <w:jc w:val="both"/>
        <w:rPr>
          <w:rFonts w:ascii="Tahoma" w:hAnsi="Tahoma" w:cs="Tahoma"/>
          <w:sz w:val="22"/>
          <w:szCs w:val="22"/>
        </w:rPr>
      </w:pPr>
      <w:r>
        <w:rPr>
          <w:rFonts w:ascii="Tahoma" w:hAnsi="Tahoma" w:cs="Tahoma"/>
          <w:sz w:val="22"/>
          <w:szCs w:val="22"/>
        </w:rPr>
        <w:t>Το ΙΟΒΕ εκδίδει την πρώτη έκθεσή του για το 2012,</w:t>
      </w:r>
      <w:r w:rsidRPr="001C44EB">
        <w:rPr>
          <w:rFonts w:ascii="Tahoma" w:hAnsi="Tahoma" w:cs="Tahoma"/>
          <w:sz w:val="22"/>
          <w:szCs w:val="22"/>
        </w:rPr>
        <w:t xml:space="preserve"> στο πλαίσιο των περιοδικών επισκοπή</w:t>
      </w:r>
      <w:r w:rsidR="00774CD4">
        <w:rPr>
          <w:rFonts w:ascii="Tahoma" w:hAnsi="Tahoma" w:cs="Tahoma"/>
          <w:sz w:val="22"/>
          <w:szCs w:val="22"/>
        </w:rPr>
        <w:softHyphen/>
      </w:r>
      <w:r w:rsidRPr="001C44EB">
        <w:rPr>
          <w:rFonts w:ascii="Tahoma" w:hAnsi="Tahoma" w:cs="Tahoma"/>
          <w:sz w:val="22"/>
          <w:szCs w:val="22"/>
        </w:rPr>
        <w:t xml:space="preserve">σεων της ελληνικής οικονομίας. </w:t>
      </w:r>
      <w:r w:rsidRPr="00235C1E">
        <w:rPr>
          <w:rFonts w:ascii="Tahoma" w:hAnsi="Tahoma" w:cs="Tahoma"/>
          <w:sz w:val="22"/>
          <w:szCs w:val="22"/>
        </w:rPr>
        <w:t>Η δημοσίευσή της πραγματοποιείται σε</w:t>
      </w:r>
      <w:r>
        <w:rPr>
          <w:rFonts w:ascii="Tahoma" w:hAnsi="Tahoma" w:cs="Tahoma"/>
          <w:sz w:val="22"/>
          <w:szCs w:val="22"/>
        </w:rPr>
        <w:t xml:space="preserve"> μια </w:t>
      </w:r>
      <w:r w:rsidRPr="00235C1E">
        <w:rPr>
          <w:rFonts w:ascii="Tahoma" w:hAnsi="Tahoma" w:cs="Tahoma"/>
          <w:sz w:val="22"/>
          <w:szCs w:val="22"/>
        </w:rPr>
        <w:t xml:space="preserve">περίοδο </w:t>
      </w:r>
      <w:r>
        <w:rPr>
          <w:rFonts w:ascii="Tahoma" w:hAnsi="Tahoma" w:cs="Tahoma"/>
          <w:sz w:val="22"/>
          <w:szCs w:val="22"/>
        </w:rPr>
        <w:t xml:space="preserve">καμπής </w:t>
      </w:r>
      <w:r w:rsidRPr="00235C1E">
        <w:rPr>
          <w:rFonts w:ascii="Tahoma" w:hAnsi="Tahoma" w:cs="Tahoma"/>
          <w:sz w:val="22"/>
          <w:szCs w:val="22"/>
        </w:rPr>
        <w:t>για τη δημοσιονομική προσαρμογή</w:t>
      </w:r>
      <w:r>
        <w:rPr>
          <w:rFonts w:ascii="Tahoma" w:hAnsi="Tahoma" w:cs="Tahoma"/>
          <w:sz w:val="22"/>
          <w:szCs w:val="22"/>
        </w:rPr>
        <w:t xml:space="preserve"> της Ελλάδας, καθώς ολοκληρώθηκαν πρόσφατα οι διαπ</w:t>
      </w:r>
      <w:r w:rsidR="00774CD4">
        <w:rPr>
          <w:rFonts w:ascii="Tahoma" w:hAnsi="Tahoma" w:cs="Tahoma"/>
          <w:sz w:val="22"/>
          <w:szCs w:val="22"/>
        </w:rPr>
        <w:softHyphen/>
      </w:r>
      <w:r>
        <w:rPr>
          <w:rFonts w:ascii="Tahoma" w:hAnsi="Tahoma" w:cs="Tahoma"/>
          <w:sz w:val="22"/>
          <w:szCs w:val="22"/>
        </w:rPr>
        <w:t>ραγματεύσεις για την ανταλλαγή των ελληνικών ομολόγων και τη σύναψη νέας δανειακής σύμβασης, ωστόσο η ευόδωσή τους περιβάλλεται από σημαντικές αβεβαιότητες</w:t>
      </w:r>
      <w:r w:rsidRPr="00235C1E">
        <w:rPr>
          <w:rFonts w:ascii="Tahoma" w:hAnsi="Tahoma" w:cs="Tahoma"/>
          <w:sz w:val="22"/>
          <w:szCs w:val="22"/>
        </w:rPr>
        <w:t>.</w:t>
      </w:r>
      <w:r>
        <w:rPr>
          <w:rFonts w:ascii="Tahoma" w:hAnsi="Tahoma" w:cs="Tahoma"/>
          <w:sz w:val="22"/>
          <w:szCs w:val="22"/>
        </w:rPr>
        <w:t xml:space="preserve"> Οφείλονται κυρίως στις αμφιβολίες για τη δυνατότητα επίτευξης των στόχων που έχουν τεθεί σε συνθή</w:t>
      </w:r>
      <w:r w:rsidR="00774CD4">
        <w:rPr>
          <w:rFonts w:ascii="Tahoma" w:hAnsi="Tahoma" w:cs="Tahoma"/>
          <w:sz w:val="22"/>
          <w:szCs w:val="22"/>
        </w:rPr>
        <w:softHyphen/>
      </w:r>
      <w:r>
        <w:rPr>
          <w:rFonts w:ascii="Tahoma" w:hAnsi="Tahoma" w:cs="Tahoma"/>
          <w:sz w:val="22"/>
          <w:szCs w:val="22"/>
        </w:rPr>
        <w:t>κες έντονης ύφεσης και στη ρευστότητα γύρω από το αποτέλεσμα των προσεχών εκλογών.</w:t>
      </w:r>
      <w:r w:rsidRPr="001C44EB">
        <w:rPr>
          <w:rFonts w:ascii="Tahoma" w:hAnsi="Tahoma" w:cs="Tahoma"/>
          <w:sz w:val="22"/>
          <w:szCs w:val="22"/>
        </w:rPr>
        <w:t xml:space="preserve"> Όπως</w:t>
      </w:r>
      <w:r>
        <w:rPr>
          <w:rFonts w:ascii="Tahoma" w:hAnsi="Tahoma" w:cs="Tahoma"/>
          <w:sz w:val="22"/>
          <w:szCs w:val="22"/>
        </w:rPr>
        <w:t xml:space="preserve"> όλες οι εκθέσεις του ΙΟΒΕ,</w:t>
      </w:r>
      <w:r w:rsidRPr="001C44EB">
        <w:rPr>
          <w:rFonts w:ascii="Tahoma" w:hAnsi="Tahoma" w:cs="Tahoma"/>
          <w:sz w:val="22"/>
          <w:szCs w:val="22"/>
        </w:rPr>
        <w:t xml:space="preserve"> </w:t>
      </w:r>
      <w:r>
        <w:rPr>
          <w:rFonts w:ascii="Tahoma" w:hAnsi="Tahoma" w:cs="Tahoma"/>
          <w:sz w:val="22"/>
          <w:szCs w:val="22"/>
        </w:rPr>
        <w:t xml:space="preserve">έτσι </w:t>
      </w:r>
      <w:r w:rsidRPr="001C44EB">
        <w:rPr>
          <w:rFonts w:ascii="Tahoma" w:hAnsi="Tahoma" w:cs="Tahoma"/>
          <w:sz w:val="22"/>
          <w:szCs w:val="22"/>
        </w:rPr>
        <w:t xml:space="preserve">και αυτή αναπτύσσεται σε </w:t>
      </w:r>
      <w:r w:rsidRPr="001C44EB">
        <w:rPr>
          <w:rFonts w:ascii="Tahoma" w:hAnsi="Tahoma" w:cs="Tahoma"/>
          <w:b/>
          <w:bCs/>
          <w:sz w:val="22"/>
          <w:szCs w:val="22"/>
        </w:rPr>
        <w:t>τέσσερις ενότητες</w:t>
      </w:r>
      <w:r w:rsidRPr="00A93914">
        <w:rPr>
          <w:rFonts w:ascii="Tahoma" w:hAnsi="Tahoma" w:cs="Tahoma"/>
          <w:bCs/>
          <w:sz w:val="22"/>
          <w:szCs w:val="22"/>
        </w:rPr>
        <w:t>,</w:t>
      </w:r>
      <w:r w:rsidRPr="001C44EB">
        <w:rPr>
          <w:rFonts w:ascii="Tahoma" w:hAnsi="Tahoma" w:cs="Tahoma"/>
          <w:sz w:val="22"/>
          <w:szCs w:val="22"/>
        </w:rPr>
        <w:t xml:space="preserve"> ενώ συνοδεύεται από το </w:t>
      </w:r>
      <w:r w:rsidRPr="001C44EB">
        <w:rPr>
          <w:rFonts w:ascii="Tahoma" w:hAnsi="Tahoma" w:cs="Tahoma"/>
          <w:b/>
          <w:bCs/>
          <w:sz w:val="22"/>
          <w:szCs w:val="22"/>
        </w:rPr>
        <w:t>Παράρτημα</w:t>
      </w:r>
      <w:r w:rsidRPr="001C44EB">
        <w:rPr>
          <w:rFonts w:ascii="Tahoma" w:hAnsi="Tahoma" w:cs="Tahoma"/>
          <w:sz w:val="22"/>
          <w:szCs w:val="22"/>
        </w:rPr>
        <w:t xml:space="preserve"> των διαρθρωτικών δεικτών, στο πλαίσιο της ποσοτικής παρακολούθησης της στρατηγικής της Λισσαβόνας. Ωστόσο</w:t>
      </w:r>
      <w:r>
        <w:rPr>
          <w:rFonts w:ascii="Tahoma" w:hAnsi="Tahoma" w:cs="Tahoma"/>
          <w:sz w:val="22"/>
          <w:szCs w:val="22"/>
        </w:rPr>
        <w:t>,</w:t>
      </w:r>
      <w:r w:rsidRPr="001C44EB">
        <w:rPr>
          <w:rFonts w:ascii="Tahoma" w:hAnsi="Tahoma" w:cs="Tahoma"/>
          <w:sz w:val="22"/>
          <w:szCs w:val="22"/>
        </w:rPr>
        <w:t xml:space="preserve"> προηγείται </w:t>
      </w:r>
      <w:r w:rsidRPr="001C44EB">
        <w:rPr>
          <w:rFonts w:ascii="Tahoma" w:hAnsi="Tahoma" w:cs="Tahoma"/>
          <w:b/>
          <w:bCs/>
          <w:sz w:val="22"/>
          <w:szCs w:val="22"/>
        </w:rPr>
        <w:t>ένα κείμενο σχε</w:t>
      </w:r>
      <w:r w:rsidR="00774CD4">
        <w:rPr>
          <w:rFonts w:ascii="Tahoma" w:hAnsi="Tahoma" w:cs="Tahoma"/>
          <w:b/>
          <w:bCs/>
          <w:sz w:val="22"/>
          <w:szCs w:val="22"/>
        </w:rPr>
        <w:softHyphen/>
      </w:r>
      <w:r w:rsidRPr="001C44EB">
        <w:rPr>
          <w:rFonts w:ascii="Tahoma" w:hAnsi="Tahoma" w:cs="Tahoma"/>
          <w:b/>
          <w:bCs/>
          <w:sz w:val="22"/>
          <w:szCs w:val="22"/>
        </w:rPr>
        <w:t xml:space="preserve">τικά με τις πρόσφατες εξελίξεις και τις επιλογές οικονομικής πολιτικής. </w:t>
      </w:r>
      <w:r w:rsidRPr="001C44EB">
        <w:rPr>
          <w:rFonts w:ascii="Tahoma" w:hAnsi="Tahoma" w:cs="Tahoma"/>
          <w:sz w:val="22"/>
          <w:szCs w:val="22"/>
        </w:rPr>
        <w:t>Οι υπόλοι</w:t>
      </w:r>
      <w:r w:rsidR="00774CD4">
        <w:rPr>
          <w:rFonts w:ascii="Tahoma" w:hAnsi="Tahoma" w:cs="Tahoma"/>
          <w:sz w:val="22"/>
          <w:szCs w:val="22"/>
        </w:rPr>
        <w:softHyphen/>
      </w:r>
      <w:r w:rsidRPr="001C44EB">
        <w:rPr>
          <w:rFonts w:ascii="Tahoma" w:hAnsi="Tahoma" w:cs="Tahoma"/>
          <w:sz w:val="22"/>
          <w:szCs w:val="22"/>
        </w:rPr>
        <w:t xml:space="preserve">πες ενότητες περιλαμβάνουν τα εξής: </w:t>
      </w:r>
    </w:p>
    <w:p w:rsidR="003C2DCF" w:rsidRPr="001C44EB" w:rsidRDefault="003C2DCF" w:rsidP="003C2DCF">
      <w:pPr>
        <w:spacing w:before="240" w:after="240" w:line="312" w:lineRule="auto"/>
        <w:jc w:val="both"/>
        <w:rPr>
          <w:rFonts w:ascii="Tahoma" w:hAnsi="Tahoma" w:cs="Tahoma"/>
          <w:sz w:val="22"/>
          <w:szCs w:val="22"/>
        </w:rPr>
      </w:pPr>
      <w:r w:rsidRPr="001C44EB">
        <w:rPr>
          <w:rFonts w:ascii="Tahoma" w:hAnsi="Tahoma" w:cs="Tahoma"/>
          <w:sz w:val="22"/>
          <w:szCs w:val="22"/>
        </w:rPr>
        <w:t xml:space="preserve">Η </w:t>
      </w:r>
      <w:r w:rsidRPr="001C44EB">
        <w:rPr>
          <w:rFonts w:ascii="Tahoma" w:hAnsi="Tahoma" w:cs="Tahoma"/>
          <w:b/>
          <w:bCs/>
          <w:sz w:val="22"/>
          <w:szCs w:val="22"/>
        </w:rPr>
        <w:t>πρώτη ενότητα</w:t>
      </w:r>
      <w:r w:rsidRPr="001C44EB">
        <w:rPr>
          <w:rFonts w:ascii="Tahoma" w:hAnsi="Tahoma" w:cs="Tahoma"/>
          <w:sz w:val="22"/>
          <w:szCs w:val="22"/>
        </w:rPr>
        <w:t xml:space="preserve"> αποτελεί τη </w:t>
      </w:r>
      <w:r w:rsidRPr="001C44EB">
        <w:rPr>
          <w:rFonts w:ascii="Tahoma" w:hAnsi="Tahoma" w:cs="Tahoma"/>
          <w:b/>
          <w:bCs/>
          <w:sz w:val="22"/>
          <w:szCs w:val="22"/>
        </w:rPr>
        <w:t>συνοπτική επισκόπηση</w:t>
      </w:r>
      <w:r w:rsidRPr="001C44EB">
        <w:rPr>
          <w:rFonts w:ascii="Tahoma" w:hAnsi="Tahoma" w:cs="Tahoma"/>
          <w:sz w:val="22"/>
          <w:szCs w:val="22"/>
        </w:rPr>
        <w:t xml:space="preserve"> της έκθεσης, </w:t>
      </w:r>
      <w:r>
        <w:rPr>
          <w:rFonts w:ascii="Tahoma" w:hAnsi="Tahoma" w:cs="Tahoma"/>
          <w:sz w:val="22"/>
          <w:szCs w:val="22"/>
        </w:rPr>
        <w:t>στην οποία</w:t>
      </w:r>
      <w:r w:rsidRPr="001C44EB">
        <w:rPr>
          <w:rFonts w:ascii="Tahoma" w:hAnsi="Tahoma" w:cs="Tahoma"/>
          <w:sz w:val="22"/>
          <w:szCs w:val="22"/>
        </w:rPr>
        <w:t xml:space="preserve"> παρου</w:t>
      </w:r>
      <w:r w:rsidR="00774CD4">
        <w:rPr>
          <w:rFonts w:ascii="Tahoma" w:hAnsi="Tahoma" w:cs="Tahoma"/>
          <w:sz w:val="22"/>
          <w:szCs w:val="22"/>
        </w:rPr>
        <w:softHyphen/>
      </w:r>
      <w:r w:rsidRPr="001C44EB">
        <w:rPr>
          <w:rFonts w:ascii="Tahoma" w:hAnsi="Tahoma" w:cs="Tahoma"/>
          <w:sz w:val="22"/>
          <w:szCs w:val="22"/>
        </w:rPr>
        <w:t>σι</w:t>
      </w:r>
      <w:r>
        <w:rPr>
          <w:rFonts w:ascii="Tahoma" w:hAnsi="Tahoma" w:cs="Tahoma"/>
          <w:sz w:val="22"/>
          <w:szCs w:val="22"/>
        </w:rPr>
        <w:t>άζονται τα βασικά σημεία της, που</w:t>
      </w:r>
      <w:r w:rsidRPr="001C44EB">
        <w:rPr>
          <w:rFonts w:ascii="Tahoma" w:hAnsi="Tahoma" w:cs="Tahoma"/>
          <w:sz w:val="22"/>
          <w:szCs w:val="22"/>
        </w:rPr>
        <w:t xml:space="preserve"> αναλύ</w:t>
      </w:r>
      <w:r>
        <w:rPr>
          <w:rFonts w:ascii="Tahoma" w:hAnsi="Tahoma" w:cs="Tahoma"/>
          <w:sz w:val="22"/>
          <w:szCs w:val="22"/>
        </w:rPr>
        <w:t>ονται λεπτομερώς στις επόμενες ενότητες</w:t>
      </w:r>
      <w:r w:rsidRPr="001C44EB">
        <w:rPr>
          <w:rFonts w:ascii="Tahoma" w:hAnsi="Tahoma" w:cs="Tahoma"/>
          <w:sz w:val="22"/>
          <w:szCs w:val="22"/>
        </w:rPr>
        <w:t xml:space="preserve">. Η </w:t>
      </w:r>
      <w:r w:rsidRPr="001C44EB">
        <w:rPr>
          <w:rFonts w:ascii="Tahoma" w:hAnsi="Tahoma" w:cs="Tahoma"/>
          <w:b/>
          <w:bCs/>
          <w:sz w:val="22"/>
          <w:szCs w:val="22"/>
        </w:rPr>
        <w:t>δεύ</w:t>
      </w:r>
      <w:r w:rsidR="00A43DFA">
        <w:rPr>
          <w:rFonts w:ascii="Tahoma" w:hAnsi="Tahoma" w:cs="Tahoma"/>
          <w:b/>
          <w:bCs/>
          <w:sz w:val="22"/>
          <w:szCs w:val="22"/>
        </w:rPr>
        <w:softHyphen/>
      </w:r>
      <w:r w:rsidRPr="001C44EB">
        <w:rPr>
          <w:rFonts w:ascii="Tahoma" w:hAnsi="Tahoma" w:cs="Tahoma"/>
          <w:b/>
          <w:bCs/>
          <w:sz w:val="22"/>
          <w:szCs w:val="22"/>
        </w:rPr>
        <w:t>τε</w:t>
      </w:r>
      <w:r w:rsidR="00A43DFA">
        <w:rPr>
          <w:rFonts w:ascii="Tahoma" w:hAnsi="Tahoma" w:cs="Tahoma"/>
          <w:b/>
          <w:bCs/>
          <w:sz w:val="22"/>
          <w:szCs w:val="22"/>
        </w:rPr>
        <w:softHyphen/>
      </w:r>
      <w:r w:rsidRPr="001C44EB">
        <w:rPr>
          <w:rFonts w:ascii="Tahoma" w:hAnsi="Tahoma" w:cs="Tahoma"/>
          <w:b/>
          <w:bCs/>
          <w:sz w:val="22"/>
          <w:szCs w:val="22"/>
        </w:rPr>
        <w:t>ρη ενότητα</w:t>
      </w:r>
      <w:r w:rsidRPr="001C44EB">
        <w:rPr>
          <w:rFonts w:ascii="Tahoma" w:hAnsi="Tahoma" w:cs="Tahoma"/>
          <w:sz w:val="22"/>
          <w:szCs w:val="22"/>
        </w:rPr>
        <w:t xml:space="preserve"> εστιάζει στο γενικότερο οικονομικό περιβάλλον και περιλαμβάνει: α) την ανάλυση του </w:t>
      </w:r>
      <w:r w:rsidRPr="001C44EB">
        <w:rPr>
          <w:rFonts w:ascii="Tahoma" w:hAnsi="Tahoma" w:cs="Tahoma"/>
          <w:b/>
          <w:bCs/>
          <w:sz w:val="22"/>
          <w:szCs w:val="22"/>
        </w:rPr>
        <w:t>διεθνούς περιβάλλοντος</w:t>
      </w:r>
      <w:r>
        <w:rPr>
          <w:rFonts w:ascii="Tahoma" w:hAnsi="Tahoma" w:cs="Tahoma"/>
          <w:sz w:val="22"/>
          <w:szCs w:val="22"/>
        </w:rPr>
        <w:t>, με βάση τις πλέον πρόσφατες εκθέσεις των ΟΟΣΑ, Ευρ. Επιτροπής και</w:t>
      </w:r>
      <w:r w:rsidRPr="001C44EB">
        <w:rPr>
          <w:rFonts w:ascii="Tahoma" w:hAnsi="Tahoma" w:cs="Tahoma"/>
          <w:sz w:val="22"/>
          <w:szCs w:val="22"/>
        </w:rPr>
        <w:t xml:space="preserve"> ΔΝΤ, β) την αποτύπωση του </w:t>
      </w:r>
      <w:r w:rsidRPr="001C44EB">
        <w:rPr>
          <w:rFonts w:ascii="Tahoma" w:hAnsi="Tahoma" w:cs="Tahoma"/>
          <w:b/>
          <w:bCs/>
          <w:sz w:val="22"/>
          <w:szCs w:val="22"/>
        </w:rPr>
        <w:t>οικονομικού κλίματος</w:t>
      </w:r>
      <w:r w:rsidRPr="001C44EB">
        <w:rPr>
          <w:rFonts w:ascii="Tahoma" w:hAnsi="Tahoma" w:cs="Tahoma"/>
          <w:sz w:val="22"/>
          <w:szCs w:val="22"/>
        </w:rPr>
        <w:t xml:space="preserve"> στην Ελλάδα</w:t>
      </w:r>
      <w:r>
        <w:rPr>
          <w:rFonts w:ascii="Tahoma" w:hAnsi="Tahoma" w:cs="Tahoma"/>
          <w:sz w:val="22"/>
          <w:szCs w:val="22"/>
        </w:rPr>
        <w:t>,</w:t>
      </w:r>
      <w:r w:rsidRPr="001C44EB">
        <w:rPr>
          <w:rFonts w:ascii="Tahoma" w:hAnsi="Tahoma" w:cs="Tahoma"/>
          <w:sz w:val="22"/>
          <w:szCs w:val="22"/>
        </w:rPr>
        <w:t xml:space="preserve"> όπως αυτό σκιαγραφείται από τις έρευνες οικονομικής συγκυρίας του ΙΟΒΕ, γ) την παρο</w:t>
      </w:r>
      <w:r>
        <w:rPr>
          <w:rFonts w:ascii="Tahoma" w:hAnsi="Tahoma" w:cs="Tahoma"/>
          <w:sz w:val="22"/>
          <w:szCs w:val="22"/>
        </w:rPr>
        <w:t>υσί</w:t>
      </w:r>
      <w:r w:rsidR="00774CD4">
        <w:rPr>
          <w:rFonts w:ascii="Tahoma" w:hAnsi="Tahoma" w:cs="Tahoma"/>
          <w:sz w:val="22"/>
          <w:szCs w:val="22"/>
        </w:rPr>
        <w:softHyphen/>
      </w:r>
      <w:r>
        <w:rPr>
          <w:rFonts w:ascii="Tahoma" w:hAnsi="Tahoma" w:cs="Tahoma"/>
          <w:sz w:val="22"/>
          <w:szCs w:val="22"/>
        </w:rPr>
        <w:t xml:space="preserve">αση των τελευταίων εξελίξεων στο πεδίο των </w:t>
      </w:r>
      <w:r w:rsidRPr="00DC74A7">
        <w:rPr>
          <w:rFonts w:ascii="Tahoma" w:hAnsi="Tahoma" w:cs="Tahoma"/>
          <w:b/>
          <w:sz w:val="22"/>
          <w:szCs w:val="22"/>
        </w:rPr>
        <w:t>δημόσιων οικονομικών</w:t>
      </w:r>
      <w:r>
        <w:rPr>
          <w:rFonts w:ascii="Tahoma" w:hAnsi="Tahoma" w:cs="Tahoma"/>
          <w:sz w:val="22"/>
          <w:szCs w:val="22"/>
        </w:rPr>
        <w:t>, δηλαδή τα πρόσ</w:t>
      </w:r>
      <w:r w:rsidR="00774CD4">
        <w:rPr>
          <w:rFonts w:ascii="Tahoma" w:hAnsi="Tahoma" w:cs="Tahoma"/>
          <w:sz w:val="22"/>
          <w:szCs w:val="22"/>
        </w:rPr>
        <w:softHyphen/>
      </w:r>
      <w:r>
        <w:rPr>
          <w:rFonts w:ascii="Tahoma" w:hAnsi="Tahoma" w:cs="Tahoma"/>
          <w:sz w:val="22"/>
          <w:szCs w:val="22"/>
        </w:rPr>
        <w:t>φατα ληφθέντα μέτρα, καθώς και την υλοποίηση του προϋπολογισμού στο πρώτο δίμηνο του 2012</w:t>
      </w:r>
      <w:r w:rsidRPr="001C44EB">
        <w:rPr>
          <w:rFonts w:ascii="Tahoma" w:hAnsi="Tahoma" w:cs="Tahoma"/>
          <w:sz w:val="22"/>
          <w:szCs w:val="22"/>
        </w:rPr>
        <w:t xml:space="preserve">. </w:t>
      </w:r>
    </w:p>
    <w:p w:rsidR="003C2DCF" w:rsidRDefault="003C2DCF" w:rsidP="003C2DCF">
      <w:pPr>
        <w:spacing w:before="240" w:after="240" w:line="312" w:lineRule="auto"/>
        <w:jc w:val="both"/>
        <w:rPr>
          <w:rFonts w:ascii="Tahoma" w:hAnsi="Tahoma" w:cs="Tahoma"/>
          <w:sz w:val="22"/>
          <w:szCs w:val="22"/>
        </w:rPr>
      </w:pPr>
      <w:r w:rsidRPr="001C44EB">
        <w:rPr>
          <w:rFonts w:ascii="Tahoma" w:hAnsi="Tahoma" w:cs="Tahoma"/>
          <w:sz w:val="22"/>
          <w:szCs w:val="22"/>
        </w:rPr>
        <w:t xml:space="preserve">Η </w:t>
      </w:r>
      <w:r w:rsidRPr="001C44EB">
        <w:rPr>
          <w:rFonts w:ascii="Tahoma" w:hAnsi="Tahoma" w:cs="Tahoma"/>
          <w:b/>
          <w:bCs/>
          <w:sz w:val="22"/>
          <w:szCs w:val="22"/>
        </w:rPr>
        <w:t>τρίτη ενότητα</w:t>
      </w:r>
      <w:r>
        <w:rPr>
          <w:rFonts w:ascii="Tahoma" w:hAnsi="Tahoma" w:cs="Tahoma"/>
          <w:sz w:val="22"/>
          <w:szCs w:val="22"/>
        </w:rPr>
        <w:t xml:space="preserve"> εστιάζει στις επιδόσεις</w:t>
      </w:r>
      <w:r w:rsidRPr="001C44EB">
        <w:rPr>
          <w:rFonts w:ascii="Tahoma" w:hAnsi="Tahoma" w:cs="Tahoma"/>
          <w:sz w:val="22"/>
          <w:szCs w:val="22"/>
        </w:rPr>
        <w:t xml:space="preserve"> της ελληνικής οικονομίας</w:t>
      </w:r>
      <w:r>
        <w:rPr>
          <w:rFonts w:ascii="Tahoma" w:hAnsi="Tahoma" w:cs="Tahoma"/>
          <w:sz w:val="22"/>
          <w:szCs w:val="22"/>
        </w:rPr>
        <w:t xml:space="preserve"> το 2011 και στις προβλε</w:t>
      </w:r>
      <w:r w:rsidR="00774CD4">
        <w:rPr>
          <w:rFonts w:ascii="Tahoma" w:hAnsi="Tahoma" w:cs="Tahoma"/>
          <w:sz w:val="22"/>
          <w:szCs w:val="22"/>
        </w:rPr>
        <w:softHyphen/>
      </w:r>
      <w:r>
        <w:rPr>
          <w:rFonts w:ascii="Tahoma" w:hAnsi="Tahoma" w:cs="Tahoma"/>
          <w:sz w:val="22"/>
          <w:szCs w:val="22"/>
        </w:rPr>
        <w:t>πόμενες για το 2012</w:t>
      </w:r>
      <w:r w:rsidRPr="001C44EB">
        <w:rPr>
          <w:rFonts w:ascii="Tahoma" w:hAnsi="Tahoma" w:cs="Tahoma"/>
          <w:sz w:val="22"/>
          <w:szCs w:val="22"/>
        </w:rPr>
        <w:t xml:space="preserve">. Χαρτογραφείται καταρχήν το </w:t>
      </w:r>
      <w:r>
        <w:rPr>
          <w:rFonts w:ascii="Tahoma" w:hAnsi="Tahoma" w:cs="Tahoma"/>
          <w:sz w:val="22"/>
          <w:szCs w:val="22"/>
        </w:rPr>
        <w:t xml:space="preserve">τρέχον </w:t>
      </w:r>
      <w:r w:rsidRPr="001C44EB">
        <w:rPr>
          <w:rFonts w:ascii="Tahoma" w:hAnsi="Tahoma" w:cs="Tahoma"/>
          <w:b/>
          <w:bCs/>
          <w:sz w:val="22"/>
          <w:szCs w:val="22"/>
        </w:rPr>
        <w:t>μακροοικονομικό περιβάλλον</w:t>
      </w:r>
      <w:r>
        <w:rPr>
          <w:rFonts w:ascii="Tahoma" w:hAnsi="Tahoma" w:cs="Tahoma"/>
          <w:sz w:val="22"/>
          <w:szCs w:val="22"/>
        </w:rPr>
        <w:t>, ενώ στη συνέχεια παρουσιάζονται</w:t>
      </w:r>
      <w:r w:rsidRPr="001C44EB">
        <w:rPr>
          <w:rFonts w:ascii="Tahoma" w:hAnsi="Tahoma" w:cs="Tahoma"/>
          <w:sz w:val="22"/>
          <w:szCs w:val="22"/>
        </w:rPr>
        <w:t xml:space="preserve"> οι μεσοπρόθεσμες προοπτικές του. Καταγράφονται οι </w:t>
      </w:r>
      <w:r w:rsidRPr="001C44EB">
        <w:rPr>
          <w:rFonts w:ascii="Tahoma" w:hAnsi="Tahoma" w:cs="Tahoma"/>
          <w:b/>
          <w:bCs/>
          <w:sz w:val="22"/>
          <w:szCs w:val="22"/>
        </w:rPr>
        <w:t>εξελίξεις</w:t>
      </w:r>
      <w:r w:rsidRPr="001C44EB">
        <w:rPr>
          <w:rFonts w:ascii="Tahoma" w:hAnsi="Tahoma" w:cs="Tahoma"/>
          <w:sz w:val="22"/>
          <w:szCs w:val="22"/>
        </w:rPr>
        <w:t xml:space="preserve"> σε </w:t>
      </w:r>
      <w:r w:rsidRPr="001C44EB">
        <w:rPr>
          <w:rFonts w:ascii="Tahoma" w:hAnsi="Tahoma" w:cs="Tahoma"/>
          <w:b/>
          <w:bCs/>
          <w:sz w:val="22"/>
          <w:szCs w:val="22"/>
        </w:rPr>
        <w:t xml:space="preserve">βασικούς παραγωγικούς τομείς </w:t>
      </w:r>
      <w:r>
        <w:rPr>
          <w:rFonts w:ascii="Tahoma" w:hAnsi="Tahoma" w:cs="Tahoma"/>
          <w:sz w:val="22"/>
          <w:szCs w:val="22"/>
        </w:rPr>
        <w:t>το 2011 και</w:t>
      </w:r>
      <w:r w:rsidRPr="001C44EB">
        <w:rPr>
          <w:rFonts w:ascii="Tahoma" w:hAnsi="Tahoma" w:cs="Tahoma"/>
          <w:sz w:val="22"/>
          <w:szCs w:val="22"/>
        </w:rPr>
        <w:t xml:space="preserve"> παρουσιάζονται οι </w:t>
      </w:r>
      <w:r w:rsidRPr="001C44EB">
        <w:rPr>
          <w:rFonts w:ascii="Tahoma" w:hAnsi="Tahoma" w:cs="Tahoma"/>
          <w:b/>
          <w:bCs/>
          <w:sz w:val="22"/>
          <w:szCs w:val="22"/>
        </w:rPr>
        <w:t>εξαγωγικές επιδόσεις</w:t>
      </w:r>
      <w:r w:rsidRPr="001C44EB">
        <w:rPr>
          <w:rFonts w:ascii="Tahoma" w:hAnsi="Tahoma" w:cs="Tahoma"/>
          <w:sz w:val="22"/>
          <w:szCs w:val="22"/>
        </w:rPr>
        <w:t xml:space="preserve"> της ελληνι</w:t>
      </w:r>
      <w:r>
        <w:rPr>
          <w:rFonts w:ascii="Tahoma" w:hAnsi="Tahoma" w:cs="Tahoma"/>
          <w:sz w:val="22"/>
          <w:szCs w:val="22"/>
        </w:rPr>
        <w:t>κής οικονομίας στο ίδιο χρονικό διάστημα. Κατόπιν,</w:t>
      </w:r>
      <w:r w:rsidRPr="001C44EB">
        <w:rPr>
          <w:rFonts w:ascii="Tahoma" w:hAnsi="Tahoma" w:cs="Tahoma"/>
          <w:sz w:val="22"/>
          <w:szCs w:val="22"/>
        </w:rPr>
        <w:t xml:space="preserve"> αποδελτιώνονται οι εξελίξεις σ</w:t>
      </w:r>
      <w:r>
        <w:rPr>
          <w:rFonts w:ascii="Tahoma" w:hAnsi="Tahoma" w:cs="Tahoma"/>
          <w:sz w:val="22"/>
          <w:szCs w:val="22"/>
        </w:rPr>
        <w:t xml:space="preserve">την </w:t>
      </w:r>
      <w:r w:rsidRPr="00C76F4B">
        <w:rPr>
          <w:rFonts w:ascii="Tahoma" w:hAnsi="Tahoma" w:cs="Tahoma"/>
          <w:b/>
          <w:sz w:val="22"/>
          <w:szCs w:val="22"/>
        </w:rPr>
        <w:t>αγορά εργασίας</w:t>
      </w:r>
      <w:r w:rsidRPr="001C44EB">
        <w:rPr>
          <w:rFonts w:ascii="Tahoma" w:hAnsi="Tahoma" w:cs="Tahoma"/>
          <w:b/>
          <w:bCs/>
          <w:sz w:val="22"/>
          <w:szCs w:val="22"/>
        </w:rPr>
        <w:t xml:space="preserve"> </w:t>
      </w:r>
      <w:r>
        <w:rPr>
          <w:rFonts w:ascii="Tahoma" w:hAnsi="Tahoma" w:cs="Tahoma"/>
          <w:sz w:val="22"/>
          <w:szCs w:val="22"/>
        </w:rPr>
        <w:t>κατά το περασμένο έτος. Επίσης, αναλύεται η πορεία</w:t>
      </w:r>
      <w:r w:rsidRPr="001C44EB">
        <w:rPr>
          <w:rFonts w:ascii="Tahoma" w:hAnsi="Tahoma" w:cs="Tahoma"/>
          <w:sz w:val="22"/>
          <w:szCs w:val="22"/>
        </w:rPr>
        <w:t xml:space="preserve"> του </w:t>
      </w:r>
      <w:r w:rsidRPr="001C44EB">
        <w:rPr>
          <w:rFonts w:ascii="Tahoma" w:hAnsi="Tahoma" w:cs="Tahoma"/>
          <w:b/>
          <w:bCs/>
          <w:sz w:val="22"/>
          <w:szCs w:val="22"/>
        </w:rPr>
        <w:t>πληθωρισμού</w:t>
      </w:r>
      <w:r>
        <w:rPr>
          <w:rFonts w:ascii="Tahoma" w:hAnsi="Tahoma" w:cs="Tahoma"/>
          <w:sz w:val="22"/>
          <w:szCs w:val="22"/>
        </w:rPr>
        <w:t xml:space="preserve"> το 201 και στους δύο πρώτους μήνες φέτος</w:t>
      </w:r>
      <w:r w:rsidRPr="001C44EB">
        <w:rPr>
          <w:rFonts w:ascii="Tahoma" w:hAnsi="Tahoma" w:cs="Tahoma"/>
          <w:sz w:val="22"/>
          <w:szCs w:val="22"/>
        </w:rPr>
        <w:t>, ενώ η ενότητα ολοκληρώνεται με την παρουσίαση της</w:t>
      </w:r>
      <w:r>
        <w:rPr>
          <w:rFonts w:ascii="Tahoma" w:hAnsi="Tahoma" w:cs="Tahoma"/>
          <w:sz w:val="22"/>
          <w:szCs w:val="22"/>
        </w:rPr>
        <w:t xml:space="preserve"> περυσινής</w:t>
      </w:r>
      <w:r w:rsidRPr="001C44EB">
        <w:rPr>
          <w:rFonts w:ascii="Tahoma" w:hAnsi="Tahoma" w:cs="Tahoma"/>
          <w:sz w:val="22"/>
          <w:szCs w:val="22"/>
        </w:rPr>
        <w:t xml:space="preserve"> πορείας του </w:t>
      </w:r>
      <w:r w:rsidRPr="001C44EB">
        <w:rPr>
          <w:rFonts w:ascii="Tahoma" w:hAnsi="Tahoma" w:cs="Tahoma"/>
          <w:b/>
          <w:bCs/>
          <w:sz w:val="22"/>
          <w:szCs w:val="22"/>
        </w:rPr>
        <w:t>ισοζυγίου εξωτερικών συναλλαγών</w:t>
      </w:r>
      <w:r w:rsidRPr="001C44EB">
        <w:rPr>
          <w:rFonts w:ascii="Tahoma" w:hAnsi="Tahoma" w:cs="Tahoma"/>
          <w:sz w:val="22"/>
          <w:szCs w:val="22"/>
        </w:rPr>
        <w:t xml:space="preserve">. </w:t>
      </w:r>
    </w:p>
    <w:p w:rsidR="003C2DCF" w:rsidRPr="00A35D39" w:rsidRDefault="003C2DCF" w:rsidP="003C2DCF">
      <w:pPr>
        <w:spacing w:before="240" w:after="240" w:line="312" w:lineRule="auto"/>
        <w:jc w:val="both"/>
        <w:rPr>
          <w:rFonts w:ascii="Tahoma" w:hAnsi="Tahoma" w:cs="Tahoma"/>
          <w:sz w:val="22"/>
          <w:szCs w:val="22"/>
        </w:rPr>
      </w:pPr>
      <w:r>
        <w:rPr>
          <w:rFonts w:ascii="Tahoma" w:hAnsi="Tahoma" w:cs="Tahoma"/>
          <w:sz w:val="22"/>
          <w:szCs w:val="22"/>
        </w:rPr>
        <w:t xml:space="preserve">Στην </w:t>
      </w:r>
      <w:r w:rsidRPr="00A35D39">
        <w:rPr>
          <w:rFonts w:ascii="Tahoma" w:hAnsi="Tahoma" w:cs="Tahoma"/>
          <w:b/>
          <w:sz w:val="22"/>
          <w:szCs w:val="22"/>
        </w:rPr>
        <w:t>τέταρτη ενότητα</w:t>
      </w:r>
      <w:r>
        <w:rPr>
          <w:rFonts w:ascii="Tahoma" w:hAnsi="Tahoma" w:cs="Tahoma"/>
          <w:sz w:val="22"/>
          <w:szCs w:val="22"/>
        </w:rPr>
        <w:t xml:space="preserve"> αναλύεται </w:t>
      </w:r>
      <w:r w:rsidRPr="00611037">
        <w:rPr>
          <w:rFonts w:ascii="Tahoma" w:hAnsi="Tahoma" w:cs="Tahoma"/>
          <w:bCs/>
          <w:sz w:val="22"/>
          <w:szCs w:val="22"/>
        </w:rPr>
        <w:t>το</w:t>
      </w:r>
      <w:r w:rsidRPr="00611037">
        <w:rPr>
          <w:rFonts w:ascii="Tahoma" w:hAnsi="Tahoma" w:cs="Tahoma"/>
          <w:sz w:val="22"/>
          <w:szCs w:val="22"/>
        </w:rPr>
        <w:t xml:space="preserve"> </w:t>
      </w:r>
      <w:r w:rsidRPr="00A35D39">
        <w:rPr>
          <w:rFonts w:ascii="Tahoma" w:hAnsi="Tahoma" w:cs="Tahoma"/>
          <w:b/>
          <w:sz w:val="22"/>
          <w:szCs w:val="22"/>
        </w:rPr>
        <w:t>πρόγραμμα Εθελοντικής Ανταλλαγής Ομολόγων με τη Συμμετοχή του Ιδιωτικού Τομέα (PSI)</w:t>
      </w:r>
      <w:r>
        <w:rPr>
          <w:rFonts w:ascii="Tahoma" w:hAnsi="Tahoma" w:cs="Tahoma"/>
          <w:sz w:val="22"/>
          <w:szCs w:val="22"/>
        </w:rPr>
        <w:t>.</w:t>
      </w:r>
    </w:p>
    <w:p w:rsidR="003C2DCF" w:rsidRPr="001C44EB" w:rsidRDefault="003C2DCF" w:rsidP="003C2DCF">
      <w:pPr>
        <w:spacing w:before="240" w:after="240" w:line="312" w:lineRule="auto"/>
        <w:jc w:val="both"/>
        <w:rPr>
          <w:rFonts w:ascii="Tahoma" w:hAnsi="Tahoma" w:cs="Tahoma"/>
          <w:sz w:val="22"/>
          <w:szCs w:val="22"/>
        </w:rPr>
      </w:pPr>
      <w:r w:rsidRPr="001C44EB">
        <w:rPr>
          <w:rFonts w:ascii="Tahoma" w:hAnsi="Tahoma" w:cs="Tahoma"/>
          <w:sz w:val="22"/>
          <w:szCs w:val="22"/>
        </w:rPr>
        <w:t>Σε μεθοδολογικό επίπεδο η έκθεση αναφέρεται και στηρίζεται σε στοιχεία που ήτα</w:t>
      </w:r>
      <w:r>
        <w:rPr>
          <w:rFonts w:ascii="Tahoma" w:hAnsi="Tahoma" w:cs="Tahoma"/>
          <w:sz w:val="22"/>
          <w:szCs w:val="22"/>
        </w:rPr>
        <w:t>ν διαθέ</w:t>
      </w:r>
      <w:r w:rsidR="00774CD4">
        <w:rPr>
          <w:rFonts w:ascii="Tahoma" w:hAnsi="Tahoma" w:cs="Tahoma"/>
          <w:sz w:val="22"/>
          <w:szCs w:val="22"/>
        </w:rPr>
        <w:softHyphen/>
      </w:r>
      <w:r>
        <w:rPr>
          <w:rFonts w:ascii="Tahoma" w:hAnsi="Tahoma" w:cs="Tahoma"/>
          <w:sz w:val="22"/>
          <w:szCs w:val="22"/>
        </w:rPr>
        <w:t>σιμα μέχρι τις 26/03/2012</w:t>
      </w:r>
      <w:r w:rsidRPr="001C44EB">
        <w:rPr>
          <w:rFonts w:ascii="Tahoma" w:hAnsi="Tahoma" w:cs="Tahoma"/>
          <w:sz w:val="22"/>
          <w:szCs w:val="22"/>
        </w:rPr>
        <w:t xml:space="preserve">. </w:t>
      </w:r>
    </w:p>
    <w:p w:rsidR="003C2DCF" w:rsidRDefault="003C2DCF" w:rsidP="003C2DCF">
      <w:pPr>
        <w:spacing w:before="240" w:after="240" w:line="312" w:lineRule="auto"/>
        <w:jc w:val="both"/>
        <w:rPr>
          <w:rFonts w:ascii="Tahoma" w:hAnsi="Tahoma" w:cs="Tahoma"/>
          <w:sz w:val="22"/>
          <w:szCs w:val="22"/>
        </w:rPr>
      </w:pPr>
      <w:r w:rsidRPr="001C44EB">
        <w:rPr>
          <w:rFonts w:ascii="Tahoma" w:hAnsi="Tahoma" w:cs="Tahoma"/>
          <w:sz w:val="22"/>
          <w:szCs w:val="22"/>
        </w:rPr>
        <w:t>Η επόμενη τριμηνιαία έκθεση του ΙΟΒΕ για την ελληνική οικον</w:t>
      </w:r>
      <w:r>
        <w:rPr>
          <w:rFonts w:ascii="Tahoma" w:hAnsi="Tahoma" w:cs="Tahoma"/>
          <w:sz w:val="22"/>
          <w:szCs w:val="22"/>
        </w:rPr>
        <w:t>ομία θα εκδοθεί στα τέλη Ιου</w:t>
      </w:r>
      <w:r w:rsidR="00774CD4">
        <w:rPr>
          <w:rFonts w:ascii="Tahoma" w:hAnsi="Tahoma" w:cs="Tahoma"/>
          <w:sz w:val="22"/>
          <w:szCs w:val="22"/>
        </w:rPr>
        <w:softHyphen/>
      </w:r>
      <w:r>
        <w:rPr>
          <w:rFonts w:ascii="Tahoma" w:hAnsi="Tahoma" w:cs="Tahoma"/>
          <w:sz w:val="22"/>
          <w:szCs w:val="22"/>
        </w:rPr>
        <w:t>νίου</w:t>
      </w:r>
      <w:r w:rsidRPr="001C44EB">
        <w:rPr>
          <w:rFonts w:ascii="Tahoma" w:hAnsi="Tahoma" w:cs="Tahoma"/>
          <w:sz w:val="22"/>
          <w:szCs w:val="22"/>
        </w:rPr>
        <w:t xml:space="preserve"> του 2012.</w:t>
      </w:r>
    </w:p>
    <w:p w:rsidR="003C2DCF" w:rsidRDefault="003C2DCF" w:rsidP="003C2DCF">
      <w:pPr>
        <w:spacing w:before="240" w:after="240" w:line="312" w:lineRule="auto"/>
        <w:jc w:val="both"/>
        <w:rPr>
          <w:rFonts w:ascii="Tahoma" w:hAnsi="Tahoma" w:cs="Tahoma"/>
          <w:sz w:val="22"/>
          <w:szCs w:val="22"/>
        </w:rPr>
        <w:sectPr w:rsidR="003C2DCF" w:rsidSect="003C2DCF">
          <w:type w:val="oddPage"/>
          <w:pgSz w:w="11906" w:h="16838" w:code="9"/>
          <w:pgMar w:top="1438" w:right="1466" w:bottom="1079" w:left="1440" w:header="720" w:footer="720" w:gutter="0"/>
          <w:paperSrc w:first="15" w:other="15"/>
          <w:cols w:space="720"/>
        </w:sectPr>
      </w:pPr>
    </w:p>
    <w:p w:rsidR="00C45FD3" w:rsidRPr="001878B8" w:rsidRDefault="00C45FD3" w:rsidP="001878B8">
      <w:pPr>
        <w:pStyle w:val="new3"/>
        <w:ind w:left="0" w:firstLine="0"/>
        <w:jc w:val="center"/>
        <w:rPr>
          <w:caps/>
        </w:rPr>
      </w:pPr>
      <w:bookmarkStart w:id="3" w:name="_Toc320872863"/>
      <w:r w:rsidRPr="001878B8">
        <w:rPr>
          <w:caps/>
        </w:rPr>
        <w:lastRenderedPageBreak/>
        <w:t>«Δημοσιονομική προσαρμογή, ανταγωνιστικότητα, ρευστότητα και οικονομική ανάπτυξη»</w:t>
      </w:r>
      <w:bookmarkEnd w:id="3"/>
    </w:p>
    <w:p w:rsidR="00C45FD3" w:rsidRPr="0080493C" w:rsidRDefault="00C45FD3" w:rsidP="00C45FD3">
      <w:pPr>
        <w:spacing w:before="240" w:after="240" w:line="312" w:lineRule="auto"/>
        <w:jc w:val="both"/>
        <w:rPr>
          <w:rFonts w:ascii="Tahoma" w:hAnsi="Tahoma" w:cs="Tahoma"/>
          <w:sz w:val="22"/>
          <w:szCs w:val="22"/>
        </w:rPr>
      </w:pPr>
      <w:r w:rsidRPr="0080493C">
        <w:rPr>
          <w:rFonts w:ascii="Tahoma" w:hAnsi="Tahoma" w:cs="Tahoma"/>
          <w:sz w:val="22"/>
          <w:szCs w:val="22"/>
        </w:rPr>
        <w:t>Προτεραιότητα για την Ελλάδα σήμερα είναι να παραμείνει στην Ευρωζώνη, να συνεχίσει να έχει πρόσβαση στους επίσημους μηχανισμούς στήριξης και να επιστρέψει σταδιακά στις ιδι</w:t>
      </w:r>
      <w:r w:rsidR="00007531">
        <w:rPr>
          <w:rFonts w:ascii="Tahoma" w:hAnsi="Tahoma" w:cs="Tahoma"/>
          <w:sz w:val="22"/>
          <w:szCs w:val="22"/>
        </w:rPr>
        <w:softHyphen/>
      </w:r>
      <w:r w:rsidRPr="0080493C">
        <w:rPr>
          <w:rFonts w:ascii="Tahoma" w:hAnsi="Tahoma" w:cs="Tahoma"/>
          <w:sz w:val="22"/>
          <w:szCs w:val="22"/>
        </w:rPr>
        <w:t>ωτικές αγορές χρήματος και κεφαλαίου. Εξίσου σημαντική προτεραιότητα όμως είναι να ξε</w:t>
      </w:r>
      <w:r w:rsidR="00007531">
        <w:rPr>
          <w:rFonts w:ascii="Tahoma" w:hAnsi="Tahoma" w:cs="Tahoma"/>
          <w:sz w:val="22"/>
          <w:szCs w:val="22"/>
        </w:rPr>
        <w:softHyphen/>
      </w:r>
      <w:r w:rsidRPr="0080493C">
        <w:rPr>
          <w:rFonts w:ascii="Tahoma" w:hAnsi="Tahoma" w:cs="Tahoma"/>
          <w:sz w:val="22"/>
          <w:szCs w:val="22"/>
        </w:rPr>
        <w:t xml:space="preserve">φύγει από τη βαθιά ύφεση (-6,9% το 2011) και την μεγάλη ανεργία (το ποσοστό ανεργίας το </w:t>
      </w:r>
      <w:r w:rsidR="00301E61">
        <w:rPr>
          <w:rFonts w:ascii="Tahoma" w:hAnsi="Tahoma" w:cs="Tahoma"/>
          <w:sz w:val="22"/>
          <w:szCs w:val="22"/>
        </w:rPr>
        <w:t xml:space="preserve">τελευταίο τρίμηνο </w:t>
      </w:r>
      <w:r w:rsidRPr="0080493C">
        <w:rPr>
          <w:rFonts w:ascii="Tahoma" w:hAnsi="Tahoma" w:cs="Tahoma"/>
          <w:sz w:val="22"/>
          <w:szCs w:val="22"/>
        </w:rPr>
        <w:t xml:space="preserve">του 2011 </w:t>
      </w:r>
      <w:r w:rsidR="00301E61">
        <w:rPr>
          <w:rFonts w:ascii="Tahoma" w:hAnsi="Tahoma" w:cs="Tahoma"/>
          <w:sz w:val="22"/>
          <w:szCs w:val="22"/>
        </w:rPr>
        <w:t xml:space="preserve">προσέγγισε το </w:t>
      </w:r>
      <w:r w:rsidRPr="0080493C">
        <w:rPr>
          <w:rFonts w:ascii="Tahoma" w:hAnsi="Tahoma" w:cs="Tahoma"/>
          <w:sz w:val="22"/>
          <w:szCs w:val="22"/>
        </w:rPr>
        <w:t>21%) και να εισέλθει σε τροχιά βιώσιμης ανάπτυξης. Η ύφεση και η ανεργία που μαστίζουν σήμερα την ελληνική οικονομία είναι εντο</w:t>
      </w:r>
      <w:r w:rsidR="00007531">
        <w:rPr>
          <w:rFonts w:ascii="Tahoma" w:hAnsi="Tahoma" w:cs="Tahoma"/>
          <w:sz w:val="22"/>
          <w:szCs w:val="22"/>
        </w:rPr>
        <w:softHyphen/>
      </w:r>
      <w:r w:rsidRPr="0080493C">
        <w:rPr>
          <w:rFonts w:ascii="Tahoma" w:hAnsi="Tahoma" w:cs="Tahoma"/>
          <w:sz w:val="22"/>
          <w:szCs w:val="22"/>
        </w:rPr>
        <w:t>νότερες από τις αρχικές προβλέψεις διότι (</w:t>
      </w:r>
      <w:r w:rsidRPr="0080493C">
        <w:rPr>
          <w:rFonts w:ascii="Tahoma" w:hAnsi="Tahoma" w:cs="Tahoma"/>
          <w:sz w:val="22"/>
          <w:szCs w:val="22"/>
          <w:lang w:val="en-US"/>
        </w:rPr>
        <w:t>i</w:t>
      </w:r>
      <w:r w:rsidRPr="0080493C">
        <w:rPr>
          <w:rFonts w:ascii="Tahoma" w:hAnsi="Tahoma" w:cs="Tahoma"/>
          <w:sz w:val="22"/>
          <w:szCs w:val="22"/>
        </w:rPr>
        <w:t>) το μείγμα οικονομικής πολιτικής που ακολουθή</w:t>
      </w:r>
      <w:r w:rsidR="00007531">
        <w:rPr>
          <w:rFonts w:ascii="Tahoma" w:hAnsi="Tahoma" w:cs="Tahoma"/>
          <w:sz w:val="22"/>
          <w:szCs w:val="22"/>
        </w:rPr>
        <w:softHyphen/>
      </w:r>
      <w:r w:rsidRPr="0080493C">
        <w:rPr>
          <w:rFonts w:ascii="Tahoma" w:hAnsi="Tahoma" w:cs="Tahoma"/>
          <w:sz w:val="22"/>
          <w:szCs w:val="22"/>
        </w:rPr>
        <w:t>θηκε μέχρι σήμερα δεν ήταν το καταλληλότερο, (</w:t>
      </w:r>
      <w:r w:rsidRPr="0080493C">
        <w:rPr>
          <w:rFonts w:ascii="Tahoma" w:hAnsi="Tahoma" w:cs="Tahoma"/>
          <w:sz w:val="22"/>
          <w:szCs w:val="22"/>
          <w:lang w:val="en-US"/>
        </w:rPr>
        <w:t>ii</w:t>
      </w:r>
      <w:r w:rsidRPr="0080493C">
        <w:rPr>
          <w:rFonts w:ascii="Tahoma" w:hAnsi="Tahoma" w:cs="Tahoma"/>
          <w:sz w:val="22"/>
          <w:szCs w:val="22"/>
        </w:rPr>
        <w:t>) παράλληλα με το κόστος –σε όρους προϊόντος και απασχόλησης- της απαραίτητης δημοσιονομικής προσαρμογής, η οικονομία υφίσταται και το πρόσθετο κόστος της μεγάλης πιστωτικής στενότητας και των προβλημά</w:t>
      </w:r>
      <w:r w:rsidR="00007531">
        <w:rPr>
          <w:rFonts w:ascii="Tahoma" w:hAnsi="Tahoma" w:cs="Tahoma"/>
          <w:sz w:val="22"/>
          <w:szCs w:val="22"/>
        </w:rPr>
        <w:softHyphen/>
      </w:r>
      <w:r w:rsidRPr="0080493C">
        <w:rPr>
          <w:rFonts w:ascii="Tahoma" w:hAnsi="Tahoma" w:cs="Tahoma"/>
          <w:sz w:val="22"/>
          <w:szCs w:val="22"/>
        </w:rPr>
        <w:t>των του τραπεζικού συστήματος λόγω της κρίσης δημοσίου χρέους και της ύφεσης, (</w:t>
      </w:r>
      <w:r w:rsidRPr="0080493C">
        <w:rPr>
          <w:rFonts w:ascii="Tahoma" w:hAnsi="Tahoma" w:cs="Tahoma"/>
          <w:sz w:val="22"/>
          <w:szCs w:val="22"/>
          <w:lang w:val="en-US"/>
        </w:rPr>
        <w:t>iii</w:t>
      </w:r>
      <w:r w:rsidRPr="0080493C">
        <w:rPr>
          <w:rFonts w:ascii="Tahoma" w:hAnsi="Tahoma" w:cs="Tahoma"/>
          <w:sz w:val="22"/>
          <w:szCs w:val="22"/>
        </w:rPr>
        <w:t xml:space="preserve">) οι διεθνείς οικονομικές συνθήκες και ιδιαιτέρως αυτές που επικρατούν στην Ευρωζώνη, είναι χειρότερες από τις προβλεφθείσες. </w:t>
      </w:r>
    </w:p>
    <w:p w:rsidR="00C45FD3" w:rsidRPr="0080493C" w:rsidRDefault="00C45FD3" w:rsidP="00C45FD3">
      <w:pPr>
        <w:spacing w:before="240" w:after="240" w:line="312" w:lineRule="auto"/>
        <w:jc w:val="both"/>
        <w:rPr>
          <w:rFonts w:ascii="Tahoma" w:hAnsi="Tahoma" w:cs="Tahoma"/>
          <w:sz w:val="22"/>
          <w:szCs w:val="22"/>
        </w:rPr>
      </w:pPr>
      <w:r w:rsidRPr="0080493C">
        <w:rPr>
          <w:rFonts w:ascii="Tahoma" w:hAnsi="Tahoma" w:cs="Tahoma"/>
          <w:sz w:val="22"/>
          <w:szCs w:val="22"/>
        </w:rPr>
        <w:t xml:space="preserve">Τα προβλήματα του ακολουθούμενου μέχρι σήμερα μείγματος οικονομικής πολιτικής είναι τα εξής: </w:t>
      </w:r>
      <w:r w:rsidRPr="0080493C">
        <w:rPr>
          <w:rFonts w:ascii="Tahoma" w:hAnsi="Tahoma" w:cs="Tahoma"/>
          <w:sz w:val="22"/>
          <w:szCs w:val="22"/>
          <w:u w:val="single"/>
        </w:rPr>
        <w:t>Πρώτον</w:t>
      </w:r>
      <w:r w:rsidRPr="0080493C">
        <w:rPr>
          <w:rFonts w:ascii="Tahoma" w:hAnsi="Tahoma" w:cs="Tahoma"/>
          <w:sz w:val="22"/>
          <w:szCs w:val="22"/>
        </w:rPr>
        <w:t>, μειώθηκαν δραστικά, και πολύ περισσότερο σε σχέση με τις αρχικές προβλέ</w:t>
      </w:r>
      <w:r w:rsidR="00007531">
        <w:rPr>
          <w:rFonts w:ascii="Tahoma" w:hAnsi="Tahoma" w:cs="Tahoma"/>
          <w:sz w:val="22"/>
          <w:szCs w:val="22"/>
        </w:rPr>
        <w:softHyphen/>
      </w:r>
      <w:r w:rsidRPr="0080493C">
        <w:rPr>
          <w:rFonts w:ascii="Tahoma" w:hAnsi="Tahoma" w:cs="Tahoma"/>
          <w:sz w:val="22"/>
          <w:szCs w:val="22"/>
        </w:rPr>
        <w:t xml:space="preserve">ψεις, οι δημόσιες επενδύσεις, οι οποίες όμως χαρακτηρίζονται από υψηλό πολλαπλασιαστή εισοδήματος. </w:t>
      </w:r>
      <w:r w:rsidRPr="0080493C">
        <w:rPr>
          <w:rFonts w:ascii="Tahoma" w:hAnsi="Tahoma" w:cs="Tahoma"/>
          <w:sz w:val="22"/>
          <w:szCs w:val="22"/>
          <w:u w:val="single"/>
        </w:rPr>
        <w:t>Δεύτερον</w:t>
      </w:r>
      <w:r w:rsidRPr="0080493C">
        <w:rPr>
          <w:rFonts w:ascii="Tahoma" w:hAnsi="Tahoma" w:cs="Tahoma"/>
          <w:sz w:val="22"/>
          <w:szCs w:val="22"/>
        </w:rPr>
        <w:t xml:space="preserve">, ενώ μειώθηκαν σημαντικά και οι τρέχουσες πρωτογενείς δαπάνες της Γενικής Κυβέρνησης, η δημοσιονομική προσαρμογή ήταν κατώτερη των στόχων καθώς οι παρεμβάσεις στο φορολογικό σύστημα δεν απέδωσαν, παρά τη σημαντική αύξηση των φόρων και του φορολογικού βάρους των συνεπών φορολογουμένων, που επιβάρυναν το προϊόν, την απασχόληση και τις τιμές. </w:t>
      </w:r>
      <w:r w:rsidRPr="0080493C">
        <w:rPr>
          <w:rFonts w:ascii="Tahoma" w:hAnsi="Tahoma" w:cs="Tahoma"/>
          <w:sz w:val="22"/>
          <w:szCs w:val="22"/>
          <w:u w:val="single"/>
        </w:rPr>
        <w:t>Τρίτον</w:t>
      </w:r>
      <w:r w:rsidRPr="0080493C">
        <w:rPr>
          <w:rFonts w:ascii="Tahoma" w:hAnsi="Tahoma" w:cs="Tahoma"/>
          <w:sz w:val="22"/>
          <w:szCs w:val="22"/>
        </w:rPr>
        <w:t>, δεν υπήρξε η αναγκαία πρόοδος στην εφαρ</w:t>
      </w:r>
      <w:r w:rsidR="00007531">
        <w:rPr>
          <w:rFonts w:ascii="Tahoma" w:hAnsi="Tahoma" w:cs="Tahoma"/>
          <w:sz w:val="22"/>
          <w:szCs w:val="22"/>
        </w:rPr>
        <w:softHyphen/>
      </w:r>
      <w:r w:rsidRPr="0080493C">
        <w:rPr>
          <w:rFonts w:ascii="Tahoma" w:hAnsi="Tahoma" w:cs="Tahoma"/>
          <w:sz w:val="22"/>
          <w:szCs w:val="22"/>
        </w:rPr>
        <w:t xml:space="preserve">μογή των μέτρων βελτίωσης των συνθηκών ανταγωνισμού στις αγορές αγαθών, υπηρεσιών, επαγγελμάτων και εργασίας. </w:t>
      </w:r>
      <w:r w:rsidRPr="0080493C">
        <w:rPr>
          <w:rFonts w:ascii="Tahoma" w:hAnsi="Tahoma" w:cs="Tahoma"/>
          <w:sz w:val="22"/>
          <w:szCs w:val="22"/>
          <w:u w:val="single"/>
        </w:rPr>
        <w:t>Τέταρτον</w:t>
      </w:r>
      <w:r w:rsidRPr="0080493C">
        <w:rPr>
          <w:rFonts w:ascii="Tahoma" w:hAnsi="Tahoma" w:cs="Tahoma"/>
          <w:sz w:val="22"/>
          <w:szCs w:val="22"/>
        </w:rPr>
        <w:t>, υπήρξε μικρή πρόοδος στην άρση των πολυάριθμων εμποδίων στις επενδύσεις και την επιχειρηματική δραστηριότητα, η οποία, σε συνδυασμό με τις συνθήκες πιστωτικής στενότητας, δεν βοήθησε την ανάκαμψη των ιδιωτικών επενδύ</w:t>
      </w:r>
      <w:r w:rsidR="00007531">
        <w:rPr>
          <w:rFonts w:ascii="Tahoma" w:hAnsi="Tahoma" w:cs="Tahoma"/>
          <w:sz w:val="22"/>
          <w:szCs w:val="22"/>
        </w:rPr>
        <w:softHyphen/>
      </w:r>
      <w:r w:rsidRPr="0080493C">
        <w:rPr>
          <w:rFonts w:ascii="Tahoma" w:hAnsi="Tahoma" w:cs="Tahoma"/>
          <w:sz w:val="22"/>
          <w:szCs w:val="22"/>
        </w:rPr>
        <w:t xml:space="preserve">σεων. </w:t>
      </w:r>
      <w:r w:rsidRPr="0080493C">
        <w:rPr>
          <w:rFonts w:ascii="Tahoma" w:hAnsi="Tahoma" w:cs="Tahoma"/>
          <w:sz w:val="22"/>
          <w:szCs w:val="22"/>
          <w:u w:val="single"/>
        </w:rPr>
        <w:t>Πέμπτον</w:t>
      </w:r>
      <w:r w:rsidRPr="0080493C">
        <w:rPr>
          <w:rFonts w:ascii="Tahoma" w:hAnsi="Tahoma" w:cs="Tahoma"/>
          <w:sz w:val="22"/>
          <w:szCs w:val="22"/>
        </w:rPr>
        <w:t>, οι ιδιωτικοποιήσεις και η αξιοποίηση της ακίνητης περιουσίας του δημοσίου καθυστέρησαν αδικαιολόγητα και όταν ενεργοποιήθηκαν, το οικονομικό κλίμα είχε χειροτε</w:t>
      </w:r>
      <w:r w:rsidR="00007531">
        <w:rPr>
          <w:rFonts w:ascii="Tahoma" w:hAnsi="Tahoma" w:cs="Tahoma"/>
          <w:sz w:val="22"/>
          <w:szCs w:val="22"/>
        </w:rPr>
        <w:softHyphen/>
      </w:r>
      <w:r w:rsidRPr="0080493C">
        <w:rPr>
          <w:rFonts w:ascii="Tahoma" w:hAnsi="Tahoma" w:cs="Tahoma"/>
          <w:sz w:val="22"/>
          <w:szCs w:val="22"/>
        </w:rPr>
        <w:t xml:space="preserve">ρεύσει. </w:t>
      </w:r>
      <w:r w:rsidRPr="0080493C">
        <w:rPr>
          <w:rFonts w:ascii="Tahoma" w:hAnsi="Tahoma" w:cs="Tahoma"/>
          <w:sz w:val="22"/>
          <w:szCs w:val="22"/>
          <w:u w:val="single"/>
        </w:rPr>
        <w:t>Έκτον</w:t>
      </w:r>
      <w:r w:rsidRPr="0080493C">
        <w:rPr>
          <w:rFonts w:ascii="Tahoma" w:hAnsi="Tahoma" w:cs="Tahoma"/>
          <w:sz w:val="22"/>
          <w:szCs w:val="22"/>
        </w:rPr>
        <w:t>, ψηφίστηκαν νόμοι οι οποίοι όμως δεν εφαρμόστηκαν είτε διότι ακυρώθηκαν στην πράξη (π.χ. καμποτάζ) είτε διότι ακυρώθηκαν από ερμηνευτικές εγκυκλίους ή/και υπο</w:t>
      </w:r>
      <w:r w:rsidR="00774CD4">
        <w:rPr>
          <w:rFonts w:ascii="Tahoma" w:hAnsi="Tahoma" w:cs="Tahoma"/>
          <w:sz w:val="22"/>
          <w:szCs w:val="22"/>
        </w:rPr>
        <w:softHyphen/>
      </w:r>
      <w:r w:rsidRPr="0080493C">
        <w:rPr>
          <w:rFonts w:ascii="Tahoma" w:hAnsi="Tahoma" w:cs="Tahoma"/>
          <w:sz w:val="22"/>
          <w:szCs w:val="22"/>
        </w:rPr>
        <w:t>υργικές αποφάσεις (π.χ. κλειστά επαγγέλματα).</w:t>
      </w:r>
    </w:p>
    <w:p w:rsidR="00C45FD3" w:rsidRPr="0080493C" w:rsidRDefault="00C45FD3" w:rsidP="00C45FD3">
      <w:pPr>
        <w:spacing w:before="240" w:after="240" w:line="312" w:lineRule="auto"/>
        <w:jc w:val="both"/>
        <w:rPr>
          <w:rFonts w:ascii="Tahoma" w:hAnsi="Tahoma" w:cs="Tahoma"/>
          <w:sz w:val="22"/>
          <w:szCs w:val="22"/>
        </w:rPr>
      </w:pPr>
      <w:r w:rsidRPr="0080493C">
        <w:rPr>
          <w:rFonts w:ascii="Tahoma" w:hAnsi="Tahoma" w:cs="Tahoma"/>
          <w:sz w:val="22"/>
          <w:szCs w:val="22"/>
        </w:rPr>
        <w:t>Ως αποτέλεσμα των ανωτέρω προβλημάτων, η ύφεση είναι βαθύτερη των αρχικών προβλέ</w:t>
      </w:r>
      <w:r w:rsidR="009C6919">
        <w:rPr>
          <w:rFonts w:ascii="Tahoma" w:hAnsi="Tahoma" w:cs="Tahoma"/>
          <w:sz w:val="22"/>
          <w:szCs w:val="22"/>
        </w:rPr>
        <w:softHyphen/>
      </w:r>
      <w:r w:rsidRPr="0080493C">
        <w:rPr>
          <w:rFonts w:ascii="Tahoma" w:hAnsi="Tahoma" w:cs="Tahoma"/>
          <w:sz w:val="22"/>
          <w:szCs w:val="22"/>
        </w:rPr>
        <w:t>ψεων ενώ οι τιμές των προϊόντων και υπηρεσιών την τελευταία διετία (2010-2011) αυξήθη</w:t>
      </w:r>
      <w:r w:rsidR="009C6919">
        <w:rPr>
          <w:rFonts w:ascii="Tahoma" w:hAnsi="Tahoma" w:cs="Tahoma"/>
          <w:sz w:val="22"/>
          <w:szCs w:val="22"/>
        </w:rPr>
        <w:softHyphen/>
      </w:r>
      <w:r w:rsidRPr="0080493C">
        <w:rPr>
          <w:rFonts w:ascii="Tahoma" w:hAnsi="Tahoma" w:cs="Tahoma"/>
          <w:sz w:val="22"/>
          <w:szCs w:val="22"/>
        </w:rPr>
        <w:t>καν σημαντικά, ακόμα και αν δεν ληφθεί υπόψη η επίπτωση της αύξησης της τιμής του πε</w:t>
      </w:r>
      <w:r w:rsidR="009C6919">
        <w:rPr>
          <w:rFonts w:ascii="Tahoma" w:hAnsi="Tahoma" w:cs="Tahoma"/>
          <w:sz w:val="22"/>
          <w:szCs w:val="22"/>
        </w:rPr>
        <w:softHyphen/>
      </w:r>
      <w:r w:rsidRPr="0080493C">
        <w:rPr>
          <w:rFonts w:ascii="Tahoma" w:hAnsi="Tahoma" w:cs="Tahoma"/>
          <w:sz w:val="22"/>
          <w:szCs w:val="22"/>
        </w:rPr>
        <w:t>τρελαίου και των έμμεσων φόρων. Για παράδειγμα, η αύξηση του αποπληθωριστή της προσ</w:t>
      </w:r>
      <w:r w:rsidR="009C6919">
        <w:rPr>
          <w:rFonts w:ascii="Tahoma" w:hAnsi="Tahoma" w:cs="Tahoma"/>
          <w:sz w:val="22"/>
          <w:szCs w:val="22"/>
        </w:rPr>
        <w:softHyphen/>
      </w:r>
      <w:r w:rsidRPr="0080493C">
        <w:rPr>
          <w:rFonts w:ascii="Tahoma" w:hAnsi="Tahoma" w:cs="Tahoma"/>
          <w:sz w:val="22"/>
          <w:szCs w:val="22"/>
        </w:rPr>
        <w:t>τιθέμενης αξίας σε βασικές τιμές, που είναι απαλλαγμένος των τιμών πετρελαίου και της εμ</w:t>
      </w:r>
      <w:r w:rsidR="009C6919">
        <w:rPr>
          <w:rFonts w:ascii="Tahoma" w:hAnsi="Tahoma" w:cs="Tahoma"/>
          <w:sz w:val="22"/>
          <w:szCs w:val="22"/>
        </w:rPr>
        <w:softHyphen/>
      </w:r>
      <w:r w:rsidRPr="0080493C">
        <w:rPr>
          <w:rFonts w:ascii="Tahoma" w:hAnsi="Tahoma" w:cs="Tahoma"/>
          <w:sz w:val="22"/>
          <w:szCs w:val="22"/>
        </w:rPr>
        <w:t>μέσου φορολογίας, υπερέβη το 2% σωρρευτικώς, παρά το γεγονός ότι (α) το μέσο ονο</w:t>
      </w:r>
      <w:r w:rsidR="009C6919">
        <w:rPr>
          <w:rFonts w:ascii="Tahoma" w:hAnsi="Tahoma" w:cs="Tahoma"/>
          <w:sz w:val="22"/>
          <w:szCs w:val="22"/>
        </w:rPr>
        <w:softHyphen/>
      </w:r>
      <w:r w:rsidRPr="0080493C">
        <w:rPr>
          <w:rFonts w:ascii="Tahoma" w:hAnsi="Tahoma" w:cs="Tahoma"/>
          <w:sz w:val="22"/>
          <w:szCs w:val="22"/>
        </w:rPr>
        <w:t xml:space="preserve">μαστικό μισθολογικό κόστος στο σύνολο της οικονομίας μειώθηκε κατά 6,3% και ειδικότερα </w:t>
      </w:r>
      <w:r w:rsidRPr="0080493C">
        <w:rPr>
          <w:rFonts w:ascii="Tahoma" w:hAnsi="Tahoma" w:cs="Tahoma"/>
          <w:sz w:val="22"/>
          <w:szCs w:val="22"/>
        </w:rPr>
        <w:lastRenderedPageBreak/>
        <w:t>στον επιχειρηματικό τομέα το κόστος εργασίας ανά μονάδας προϊόντος μειώθηκε κατά 6,6% και (β) η απόκλιση μεταξύ του παραγόμενου προϊόντος και του δυνητικού προϊόντος εκτιμά</w:t>
      </w:r>
      <w:r w:rsidR="009C6919">
        <w:rPr>
          <w:rFonts w:ascii="Tahoma" w:hAnsi="Tahoma" w:cs="Tahoma"/>
          <w:sz w:val="22"/>
          <w:szCs w:val="22"/>
        </w:rPr>
        <w:softHyphen/>
      </w:r>
      <w:r w:rsidRPr="0080493C">
        <w:rPr>
          <w:rFonts w:ascii="Tahoma" w:hAnsi="Tahoma" w:cs="Tahoma"/>
          <w:sz w:val="22"/>
          <w:szCs w:val="22"/>
        </w:rPr>
        <w:t>ται μεταξύ -8% και -12%. Αυτές οι εξελίξεις στις τιμές, οι οποίες γίνονται ακόμα πιο δυσμε</w:t>
      </w:r>
      <w:r w:rsidR="009C6919">
        <w:rPr>
          <w:rFonts w:ascii="Tahoma" w:hAnsi="Tahoma" w:cs="Tahoma"/>
          <w:sz w:val="22"/>
          <w:szCs w:val="22"/>
        </w:rPr>
        <w:softHyphen/>
      </w:r>
      <w:r w:rsidRPr="0080493C">
        <w:rPr>
          <w:rFonts w:ascii="Tahoma" w:hAnsi="Tahoma" w:cs="Tahoma"/>
          <w:sz w:val="22"/>
          <w:szCs w:val="22"/>
        </w:rPr>
        <w:t>νείς αν αξιολογηθούν με βάση τους τριμηνιαίους εθνικολογιστικούς αποπληθωριστές των στοιχείων του ΑΕΠ (π.χ. ο αποπληθωριστής των εξαγωγών αγαθών και υπηρεσιών αυξήθηκε κατά 6% και ο αποπληθωριστής ιδιωτικής κατανάλωσης κατά 2,9% το 2011) εξηγούν την σχετικά μικρή βελτίωση του ελλείμματος στο ισοζύγιο τρεχουσών συναλ</w:t>
      </w:r>
      <w:r w:rsidR="00007531">
        <w:rPr>
          <w:rFonts w:ascii="Tahoma" w:hAnsi="Tahoma" w:cs="Tahoma"/>
          <w:sz w:val="22"/>
          <w:szCs w:val="22"/>
        </w:rPr>
        <w:softHyphen/>
      </w:r>
      <w:r w:rsidRPr="0080493C">
        <w:rPr>
          <w:rFonts w:ascii="Tahoma" w:hAnsi="Tahoma" w:cs="Tahoma"/>
          <w:sz w:val="22"/>
          <w:szCs w:val="22"/>
        </w:rPr>
        <w:t>λαγών παρά την πολύ μεγάλη ύφεση και την σημαντική βελτίωση του σχετικού κόστους ερ</w:t>
      </w:r>
      <w:r w:rsidR="00007531">
        <w:rPr>
          <w:rFonts w:ascii="Tahoma" w:hAnsi="Tahoma" w:cs="Tahoma"/>
          <w:sz w:val="22"/>
          <w:szCs w:val="22"/>
        </w:rPr>
        <w:softHyphen/>
      </w:r>
      <w:r w:rsidRPr="0080493C">
        <w:rPr>
          <w:rFonts w:ascii="Tahoma" w:hAnsi="Tahoma" w:cs="Tahoma"/>
          <w:sz w:val="22"/>
          <w:szCs w:val="22"/>
        </w:rPr>
        <w:t>γασίας ανά μονάδα προϊόντος.</w:t>
      </w:r>
    </w:p>
    <w:p w:rsidR="00C45FD3" w:rsidRPr="0080493C" w:rsidRDefault="00C45FD3" w:rsidP="00C45FD3">
      <w:pPr>
        <w:spacing w:before="240" w:after="240" w:line="312" w:lineRule="auto"/>
        <w:jc w:val="both"/>
        <w:rPr>
          <w:rFonts w:ascii="Tahoma" w:hAnsi="Tahoma" w:cs="Tahoma"/>
          <w:sz w:val="22"/>
          <w:szCs w:val="22"/>
        </w:rPr>
      </w:pPr>
      <w:r w:rsidRPr="0080493C">
        <w:rPr>
          <w:rFonts w:ascii="Tahoma" w:hAnsi="Tahoma" w:cs="Tahoma"/>
          <w:sz w:val="22"/>
          <w:szCs w:val="22"/>
        </w:rPr>
        <w:t>Η σημαντική αντίσταση που, μέχρι σήμερα τουλάχιστον, προβάλλουν οι τιμές παρά τη μεί</w:t>
      </w:r>
      <w:r w:rsidR="00007531">
        <w:rPr>
          <w:rFonts w:ascii="Tahoma" w:hAnsi="Tahoma" w:cs="Tahoma"/>
          <w:sz w:val="22"/>
          <w:szCs w:val="22"/>
        </w:rPr>
        <w:softHyphen/>
      </w:r>
      <w:r w:rsidRPr="0080493C">
        <w:rPr>
          <w:rFonts w:ascii="Tahoma" w:hAnsi="Tahoma" w:cs="Tahoma"/>
          <w:sz w:val="22"/>
          <w:szCs w:val="22"/>
        </w:rPr>
        <w:t>ωση του κόστους εργασίας ανά μονάδα προϊόντος και τον καταποντισμό της εγχώριας ζήτη</w:t>
      </w:r>
      <w:r w:rsidR="00007531">
        <w:rPr>
          <w:rFonts w:ascii="Tahoma" w:hAnsi="Tahoma" w:cs="Tahoma"/>
          <w:sz w:val="22"/>
          <w:szCs w:val="22"/>
        </w:rPr>
        <w:softHyphen/>
      </w:r>
      <w:r w:rsidRPr="0080493C">
        <w:rPr>
          <w:rFonts w:ascii="Tahoma" w:hAnsi="Tahoma" w:cs="Tahoma"/>
          <w:sz w:val="22"/>
          <w:szCs w:val="22"/>
        </w:rPr>
        <w:t>σης (είναι, π.χ., ενδεικτική η σύγκριση της συμπεριφοράς των τιμών μεταξύ Ελλάδος και Ιρ</w:t>
      </w:r>
      <w:r w:rsidR="009C6919">
        <w:rPr>
          <w:rFonts w:ascii="Tahoma" w:hAnsi="Tahoma" w:cs="Tahoma"/>
          <w:sz w:val="22"/>
          <w:szCs w:val="22"/>
        </w:rPr>
        <w:softHyphen/>
      </w:r>
      <w:r w:rsidRPr="0080493C">
        <w:rPr>
          <w:rFonts w:ascii="Tahoma" w:hAnsi="Tahoma" w:cs="Tahoma"/>
          <w:sz w:val="22"/>
          <w:szCs w:val="22"/>
        </w:rPr>
        <w:t>λανδίας όταν η Ιρλανδία βρέθηκε σε παρόμοια φάση του οικονομικού κύκλου) αναδεικνύει την άμεση ανάγκη ενίσχυσης του ανταγωνισμού στις αγορές αγαθών, υπηρεσιών και εργα</w:t>
      </w:r>
      <w:r w:rsidR="00007531">
        <w:rPr>
          <w:rFonts w:ascii="Tahoma" w:hAnsi="Tahoma" w:cs="Tahoma"/>
          <w:sz w:val="22"/>
          <w:szCs w:val="22"/>
        </w:rPr>
        <w:softHyphen/>
      </w:r>
      <w:r w:rsidRPr="0080493C">
        <w:rPr>
          <w:rFonts w:ascii="Tahoma" w:hAnsi="Tahoma" w:cs="Tahoma"/>
          <w:sz w:val="22"/>
          <w:szCs w:val="22"/>
        </w:rPr>
        <w:t>σίας προκειμένου το σύστημα των τιμών να γίνει πιο εύκαμπτο, βελτιώνοντας έτσι την απο</w:t>
      </w:r>
      <w:r w:rsidR="00007531">
        <w:rPr>
          <w:rFonts w:ascii="Tahoma" w:hAnsi="Tahoma" w:cs="Tahoma"/>
          <w:sz w:val="22"/>
          <w:szCs w:val="22"/>
        </w:rPr>
        <w:softHyphen/>
      </w:r>
      <w:r w:rsidRPr="0080493C">
        <w:rPr>
          <w:rFonts w:ascii="Tahoma" w:hAnsi="Tahoma" w:cs="Tahoma"/>
          <w:sz w:val="22"/>
          <w:szCs w:val="22"/>
        </w:rPr>
        <w:t>τελεσματικότητα του ακολουθούμενου μείγματος της οικονομικής πολιτικής.</w:t>
      </w:r>
    </w:p>
    <w:p w:rsidR="00C45FD3" w:rsidRPr="0080493C" w:rsidRDefault="00C45FD3" w:rsidP="00C45FD3">
      <w:pPr>
        <w:spacing w:before="240" w:after="240" w:line="312" w:lineRule="auto"/>
        <w:jc w:val="both"/>
        <w:rPr>
          <w:rFonts w:ascii="Tahoma" w:hAnsi="Tahoma" w:cs="Tahoma"/>
          <w:sz w:val="22"/>
          <w:szCs w:val="22"/>
        </w:rPr>
      </w:pPr>
      <w:r w:rsidRPr="0080493C">
        <w:rPr>
          <w:rFonts w:ascii="Tahoma" w:hAnsi="Tahoma" w:cs="Tahoma"/>
          <w:sz w:val="22"/>
          <w:szCs w:val="22"/>
        </w:rPr>
        <w:t>Σε συνδυασμό με τη σημαντική δημοσιονομική προσαρμογή που ακόμη απαιτείται (περίπου 12 δισ. ευρώ για τη διετία 2013-2014), η Ελλάδα χρειάζεται να ενισχύσει τόσο την ανταγω</w:t>
      </w:r>
      <w:r w:rsidR="00007531">
        <w:rPr>
          <w:rFonts w:ascii="Tahoma" w:hAnsi="Tahoma" w:cs="Tahoma"/>
          <w:sz w:val="22"/>
          <w:szCs w:val="22"/>
        </w:rPr>
        <w:softHyphen/>
      </w:r>
      <w:r w:rsidRPr="0080493C">
        <w:rPr>
          <w:rFonts w:ascii="Tahoma" w:hAnsi="Tahoma" w:cs="Tahoma"/>
          <w:sz w:val="22"/>
          <w:szCs w:val="22"/>
        </w:rPr>
        <w:t>νιστικότητα των εγχωρίως παραγομένων προϊόντων και υπηρεσιών σε μόνιμη βάση όσο και την αναπτυξιακή διάσταση της οικονομικής της πολιτικής προκειμένου να βγει από το φαύλο κύκλο της ύφεσης και της υπερχρέωσης. Η πρόσφατη θεσμοθέτηση μέτρων για την ενίσχυ</w:t>
      </w:r>
      <w:r w:rsidR="00007531">
        <w:rPr>
          <w:rFonts w:ascii="Tahoma" w:hAnsi="Tahoma" w:cs="Tahoma"/>
          <w:sz w:val="22"/>
          <w:szCs w:val="22"/>
        </w:rPr>
        <w:softHyphen/>
      </w:r>
      <w:r w:rsidRPr="0080493C">
        <w:rPr>
          <w:rFonts w:ascii="Tahoma" w:hAnsi="Tahoma" w:cs="Tahoma"/>
          <w:sz w:val="22"/>
          <w:szCs w:val="22"/>
        </w:rPr>
        <w:t>ση της απελευθέρωσης της αγοράς εργασίας δεν αναμένεται να έχει σημαντικές πρακτικές επιπτώσεις στους πράγματι καταβαλλόμενους μισθούς στον ιδιωτικό τομέα για περισσότερο από ένα χρόνο, ενώ και οι προταθείσες λύσεις για μείωση του μη μισθολογικού κόστους ερ</w:t>
      </w:r>
      <w:r w:rsidR="00007531">
        <w:rPr>
          <w:rFonts w:ascii="Tahoma" w:hAnsi="Tahoma" w:cs="Tahoma"/>
          <w:sz w:val="22"/>
          <w:szCs w:val="22"/>
        </w:rPr>
        <w:softHyphen/>
      </w:r>
      <w:r w:rsidRPr="0080493C">
        <w:rPr>
          <w:rFonts w:ascii="Tahoma" w:hAnsi="Tahoma" w:cs="Tahoma"/>
          <w:sz w:val="22"/>
          <w:szCs w:val="22"/>
        </w:rPr>
        <w:t>γασίας δεν μπορούν να παράγουν σημαντικά πρόσθετα αποτελέσματα που να είναι δημοσιο</w:t>
      </w:r>
      <w:r w:rsidR="00007531">
        <w:rPr>
          <w:rFonts w:ascii="Tahoma" w:hAnsi="Tahoma" w:cs="Tahoma"/>
          <w:sz w:val="22"/>
          <w:szCs w:val="22"/>
        </w:rPr>
        <w:softHyphen/>
      </w:r>
      <w:r w:rsidRPr="0080493C">
        <w:rPr>
          <w:rFonts w:ascii="Tahoma" w:hAnsi="Tahoma" w:cs="Tahoma"/>
          <w:sz w:val="22"/>
          <w:szCs w:val="22"/>
        </w:rPr>
        <w:t>νομικώς ουδέτερα. Μεγαλύτερη επίδραση στους μισθούς ασκεί το υφεσιακό κλίμα και ο κίν</w:t>
      </w:r>
      <w:r w:rsidR="00007531">
        <w:rPr>
          <w:rFonts w:ascii="Tahoma" w:hAnsi="Tahoma" w:cs="Tahoma"/>
          <w:sz w:val="22"/>
          <w:szCs w:val="22"/>
        </w:rPr>
        <w:softHyphen/>
      </w:r>
      <w:r w:rsidRPr="0080493C">
        <w:rPr>
          <w:rFonts w:ascii="Tahoma" w:hAnsi="Tahoma" w:cs="Tahoma"/>
          <w:sz w:val="22"/>
          <w:szCs w:val="22"/>
        </w:rPr>
        <w:t>δυνος της ανεργίας, στοιχεία τα οποία οδηγούν εργοδότες και εργαζόμενους σε συμφωνημέ</w:t>
      </w:r>
      <w:r w:rsidR="00007531">
        <w:rPr>
          <w:rFonts w:ascii="Tahoma" w:hAnsi="Tahoma" w:cs="Tahoma"/>
          <w:sz w:val="22"/>
          <w:szCs w:val="22"/>
        </w:rPr>
        <w:softHyphen/>
      </w:r>
      <w:r w:rsidRPr="0080493C">
        <w:rPr>
          <w:rFonts w:ascii="Tahoma" w:hAnsi="Tahoma" w:cs="Tahoma"/>
          <w:sz w:val="22"/>
          <w:szCs w:val="22"/>
        </w:rPr>
        <w:t xml:space="preserve">νες μειώσεις αμοιβών στο πλαίσιο διαπραγμάτευσης των ατομικών συμβάσεων εργασίας. Οι μειώσεις αυτές, σε συνδυασμό και με τη δυνατότητα μείωσης του κατώτατου μισθού, είναι βασικά μέσα για την επίτευξη του στόχου της μείωσης του κόστους εργασίας ανά μονάδα προϊόντος κατά 15% σε δύο χρόνια και της αντίστοιχης βελτίωσης της ανταγωνιστικότητας. </w:t>
      </w:r>
    </w:p>
    <w:p w:rsidR="00C45FD3" w:rsidRPr="0080493C" w:rsidRDefault="00C45FD3" w:rsidP="00C45FD3">
      <w:pPr>
        <w:spacing w:before="240" w:after="240" w:line="312" w:lineRule="auto"/>
        <w:jc w:val="both"/>
        <w:rPr>
          <w:rFonts w:ascii="Tahoma" w:hAnsi="Tahoma" w:cs="Tahoma"/>
          <w:sz w:val="22"/>
          <w:szCs w:val="22"/>
        </w:rPr>
      </w:pPr>
      <w:r w:rsidRPr="0080493C">
        <w:rPr>
          <w:rFonts w:ascii="Tahoma" w:hAnsi="Tahoma" w:cs="Tahoma"/>
          <w:sz w:val="22"/>
          <w:szCs w:val="22"/>
        </w:rPr>
        <w:t>Η μείωση των μισθών μπορεί να συμβάλλει στην ανάσχεση της έντονα επιδεινούμενης ανερ</w:t>
      </w:r>
      <w:r w:rsidR="00007531">
        <w:rPr>
          <w:rFonts w:ascii="Tahoma" w:hAnsi="Tahoma" w:cs="Tahoma"/>
          <w:sz w:val="22"/>
          <w:szCs w:val="22"/>
        </w:rPr>
        <w:softHyphen/>
      </w:r>
      <w:r w:rsidR="00301E61">
        <w:rPr>
          <w:rFonts w:ascii="Tahoma" w:hAnsi="Tahoma" w:cs="Tahoma"/>
          <w:sz w:val="22"/>
          <w:szCs w:val="22"/>
        </w:rPr>
        <w:t xml:space="preserve">γίας, ιδιαίτερα της διαρθρωτικής. </w:t>
      </w:r>
      <w:r w:rsidRPr="0080493C">
        <w:rPr>
          <w:rFonts w:ascii="Tahoma" w:hAnsi="Tahoma" w:cs="Tahoma"/>
          <w:sz w:val="22"/>
          <w:szCs w:val="22"/>
        </w:rPr>
        <w:t xml:space="preserve">Όμως, σε συνθήκες καταποντισμού της εγχώριας ζήτησης, δεν αρκεί για να οδηγήσει σε ανάκαμψη της </w:t>
      </w:r>
      <w:r w:rsidR="00301E61">
        <w:rPr>
          <w:rFonts w:ascii="Tahoma" w:hAnsi="Tahoma" w:cs="Tahoma"/>
          <w:sz w:val="22"/>
          <w:szCs w:val="22"/>
        </w:rPr>
        <w:t xml:space="preserve">συνολικής </w:t>
      </w:r>
      <w:r w:rsidRPr="0080493C">
        <w:rPr>
          <w:rFonts w:ascii="Tahoma" w:hAnsi="Tahoma" w:cs="Tahoma"/>
          <w:sz w:val="22"/>
          <w:szCs w:val="22"/>
        </w:rPr>
        <w:t>απασχόλησης και του προϊόντος, ενώ η ενδεχόμενη διαιώνιση της ύφεσης θα θέσει σε κίνδυνο και τα οφέλη από τη βελτίωση της ανταγωνιστικότητας. Η ενίσχυση της ανάπτυξης και της απασχόλησης καθώς και η βελτίωση της ανταγωνιστικότητας σε μόνιμη βάση πρέπει να γίνει και με την εφαρμογή μεταρ</w:t>
      </w:r>
      <w:r w:rsidR="00007531">
        <w:rPr>
          <w:rFonts w:ascii="Tahoma" w:hAnsi="Tahoma" w:cs="Tahoma"/>
          <w:sz w:val="22"/>
          <w:szCs w:val="22"/>
        </w:rPr>
        <w:softHyphen/>
      </w:r>
      <w:r w:rsidRPr="0080493C">
        <w:rPr>
          <w:rFonts w:ascii="Tahoma" w:hAnsi="Tahoma" w:cs="Tahoma"/>
          <w:sz w:val="22"/>
          <w:szCs w:val="22"/>
        </w:rPr>
        <w:t>ρυθμίσεων που αποβλέπουν στην ενίσχυση της έντασης του ανταγωνισμού σε όλες τις αγο</w:t>
      </w:r>
      <w:r w:rsidR="00007531">
        <w:rPr>
          <w:rFonts w:ascii="Tahoma" w:hAnsi="Tahoma" w:cs="Tahoma"/>
          <w:sz w:val="22"/>
          <w:szCs w:val="22"/>
        </w:rPr>
        <w:softHyphen/>
      </w:r>
      <w:r w:rsidRPr="0080493C">
        <w:rPr>
          <w:rFonts w:ascii="Tahoma" w:hAnsi="Tahoma" w:cs="Tahoma"/>
          <w:sz w:val="22"/>
          <w:szCs w:val="22"/>
        </w:rPr>
        <w:t>ρές (και όχι μόνο στην αγορά εργασίας), στην εξάλειψη των εμποδίων στην επιχειρηματικό</w:t>
      </w:r>
      <w:r w:rsidR="00007531">
        <w:rPr>
          <w:rFonts w:ascii="Tahoma" w:hAnsi="Tahoma" w:cs="Tahoma"/>
          <w:sz w:val="22"/>
          <w:szCs w:val="22"/>
        </w:rPr>
        <w:softHyphen/>
      </w:r>
      <w:r w:rsidRPr="0080493C">
        <w:rPr>
          <w:rFonts w:ascii="Tahoma" w:hAnsi="Tahoma" w:cs="Tahoma"/>
          <w:sz w:val="22"/>
          <w:szCs w:val="22"/>
        </w:rPr>
        <w:lastRenderedPageBreak/>
        <w:t>τητα και τις επενδύσεις, αλλά και με συγκεκριμένες πρωτοβουλίες για την προώθηση ιδιωτι</w:t>
      </w:r>
      <w:r w:rsidR="00007531">
        <w:rPr>
          <w:rFonts w:ascii="Tahoma" w:hAnsi="Tahoma" w:cs="Tahoma"/>
          <w:sz w:val="22"/>
          <w:szCs w:val="22"/>
        </w:rPr>
        <w:softHyphen/>
      </w:r>
      <w:r w:rsidRPr="0080493C">
        <w:rPr>
          <w:rFonts w:ascii="Tahoma" w:hAnsi="Tahoma" w:cs="Tahoma"/>
          <w:sz w:val="22"/>
          <w:szCs w:val="22"/>
        </w:rPr>
        <w:t>κών και δημοσίων επενδύσεων σε τομείς με συγκριτικά πλεονεκτήματα. Σημαντικός καταλύ</w:t>
      </w:r>
      <w:r w:rsidR="00007531">
        <w:rPr>
          <w:rFonts w:ascii="Tahoma" w:hAnsi="Tahoma" w:cs="Tahoma"/>
          <w:sz w:val="22"/>
          <w:szCs w:val="22"/>
        </w:rPr>
        <w:softHyphen/>
      </w:r>
      <w:r w:rsidRPr="0080493C">
        <w:rPr>
          <w:rFonts w:ascii="Tahoma" w:hAnsi="Tahoma" w:cs="Tahoma"/>
          <w:sz w:val="22"/>
          <w:szCs w:val="22"/>
        </w:rPr>
        <w:t>της για την προσέλκυση ξένων άμεσων επενδύσεων και την ανάπτυξη της οικονομίας την επόμενη περίοδο είναι η αξιοποίηση της δημόσιας περιουσίας. Οι ακόλουθες προτάσεις μπο</w:t>
      </w:r>
      <w:r w:rsidR="00007531">
        <w:rPr>
          <w:rFonts w:ascii="Tahoma" w:hAnsi="Tahoma" w:cs="Tahoma"/>
          <w:sz w:val="22"/>
          <w:szCs w:val="22"/>
        </w:rPr>
        <w:softHyphen/>
      </w:r>
      <w:r w:rsidRPr="0080493C">
        <w:rPr>
          <w:rFonts w:ascii="Tahoma" w:hAnsi="Tahoma" w:cs="Tahoma"/>
          <w:sz w:val="22"/>
          <w:szCs w:val="22"/>
        </w:rPr>
        <w:t>ρούν να συμβάλλουν στην επίτευξη των επιδιωκόμενων στόχων:</w:t>
      </w:r>
    </w:p>
    <w:p w:rsidR="00C45FD3" w:rsidRPr="0080493C" w:rsidRDefault="00C45FD3" w:rsidP="0050168E">
      <w:pPr>
        <w:numPr>
          <w:ilvl w:val="0"/>
          <w:numId w:val="9"/>
        </w:numPr>
        <w:tabs>
          <w:tab w:val="left" w:pos="426"/>
        </w:tabs>
        <w:spacing w:before="240" w:after="240" w:line="312" w:lineRule="auto"/>
        <w:ind w:left="0" w:firstLine="0"/>
        <w:jc w:val="both"/>
        <w:rPr>
          <w:rFonts w:ascii="Tahoma" w:hAnsi="Tahoma" w:cs="Tahoma"/>
          <w:sz w:val="22"/>
          <w:szCs w:val="22"/>
        </w:rPr>
      </w:pPr>
      <w:r w:rsidRPr="0080493C">
        <w:rPr>
          <w:rFonts w:ascii="Tahoma" w:hAnsi="Tahoma" w:cs="Tahoma"/>
          <w:sz w:val="22"/>
          <w:szCs w:val="22"/>
        </w:rPr>
        <w:t>Οι μεταρρυθμίσεις για την ενίσχυση της ανταγωνιστικότητας και της ανάπτυξης πρέπει να στοχεύσουν αφενός στην απελευθέρωση όλων των αγορών (επαγγελμάτων, προϊόντων, υπηρεσιών, εργασίας) μέσω της κατάργησης των ποικίλων και πολυπληθών εμποδίων εισό</w:t>
      </w:r>
      <w:r w:rsidR="00007531">
        <w:rPr>
          <w:rFonts w:ascii="Tahoma" w:hAnsi="Tahoma" w:cs="Tahoma"/>
          <w:sz w:val="22"/>
          <w:szCs w:val="22"/>
        </w:rPr>
        <w:softHyphen/>
      </w:r>
      <w:r w:rsidRPr="0080493C">
        <w:rPr>
          <w:rFonts w:ascii="Tahoma" w:hAnsi="Tahoma" w:cs="Tahoma"/>
          <w:sz w:val="22"/>
          <w:szCs w:val="22"/>
        </w:rPr>
        <w:t>δου σ’ αυτές καθώς και σε όλα τα σημεία της εφοδιαστικής αλυσίδας, και αφετέρου στην άρση της πληθώρας των εμποδίων στις ιδιωτικές επενδύσεις και την επιχειρηματική δραστη</w:t>
      </w:r>
      <w:r w:rsidR="00007531">
        <w:rPr>
          <w:rFonts w:ascii="Tahoma" w:hAnsi="Tahoma" w:cs="Tahoma"/>
          <w:sz w:val="22"/>
          <w:szCs w:val="22"/>
        </w:rPr>
        <w:softHyphen/>
      </w:r>
      <w:r w:rsidRPr="0080493C">
        <w:rPr>
          <w:rFonts w:ascii="Tahoma" w:hAnsi="Tahoma" w:cs="Tahoma"/>
          <w:sz w:val="22"/>
          <w:szCs w:val="22"/>
        </w:rPr>
        <w:t>ριότητα. Έχει ήδη αναφερθεί ότι το ΙΟΒΕ εκτιμά το μακροπρόθεσμο όφελος από το άνοιγμα όλων των αγορών και την άρση των εμποδίων στις επενδύσεις και την επιχειρηματικότητα στο 17% του ΑΕΠ. Παρά την επιτακτική ανάγκη αύξησης της συνολικής προσφοράς της οι</w:t>
      </w:r>
      <w:r w:rsidR="00007531">
        <w:rPr>
          <w:rFonts w:ascii="Tahoma" w:hAnsi="Tahoma" w:cs="Tahoma"/>
          <w:sz w:val="22"/>
          <w:szCs w:val="22"/>
        </w:rPr>
        <w:softHyphen/>
      </w:r>
      <w:r w:rsidRPr="0080493C">
        <w:rPr>
          <w:rFonts w:ascii="Tahoma" w:hAnsi="Tahoma" w:cs="Tahoma"/>
          <w:sz w:val="22"/>
          <w:szCs w:val="22"/>
        </w:rPr>
        <w:t>κονομίας και βελτίωσης της ανταγωνιστικότητας, η απελευθέρωση των αγορών έχει καθυ</w:t>
      </w:r>
      <w:r w:rsidR="00007531">
        <w:rPr>
          <w:rFonts w:ascii="Tahoma" w:hAnsi="Tahoma" w:cs="Tahoma"/>
          <w:sz w:val="22"/>
          <w:szCs w:val="22"/>
        </w:rPr>
        <w:softHyphen/>
      </w:r>
      <w:r w:rsidRPr="0080493C">
        <w:rPr>
          <w:rFonts w:ascii="Tahoma" w:hAnsi="Tahoma" w:cs="Tahoma"/>
          <w:sz w:val="22"/>
          <w:szCs w:val="22"/>
        </w:rPr>
        <w:t>στερήσει, ενώ από τα 250 εμπόδια στις επενδύσεις και την επιχειρηματικότητα που έχει εντοπίσει ο ΣΕΒ, λιγότερο από το 10% έχει αντιμετωπιστεί. Το πιο σημαντικό από αυτά τα εμπόδια σχετίζεται με τη νομοθεσία για τις χρήσεις γης και τις περιβαλλοντικές άδειες, με τις γνωμοδοτήσεις του ΣτΕ να συμβάλλουν σημαντικά στην καθυστέρηση ή και την εμπλοκή των υποθέσεων. Η υιοθέτηση της αρχής της «άπρακτης προθεσμίας» για την αδειοδότηση των ιδιωτικών επενδύσεων, καθώς και πρακτικών που ισχύουν σε άλλες χώρες-μέλη της Ευ</w:t>
      </w:r>
      <w:r w:rsidR="00007531">
        <w:rPr>
          <w:rFonts w:ascii="Tahoma" w:hAnsi="Tahoma" w:cs="Tahoma"/>
          <w:sz w:val="22"/>
          <w:szCs w:val="22"/>
        </w:rPr>
        <w:softHyphen/>
      </w:r>
      <w:r w:rsidRPr="0080493C">
        <w:rPr>
          <w:rFonts w:ascii="Tahoma" w:hAnsi="Tahoma" w:cs="Tahoma"/>
          <w:sz w:val="22"/>
          <w:szCs w:val="22"/>
        </w:rPr>
        <w:t>ρωζώνης, θα μπορούσαν να συμβάλλουν στον εξορθολογισμό των σχετικών διαδικασιών και στην απεμπλοκή των υποθέσεων που εκκρεμούν. Σε κάθε περίπτωση, θα πρέπει να επισπευ</w:t>
      </w:r>
      <w:r w:rsidR="00007531">
        <w:rPr>
          <w:rFonts w:ascii="Tahoma" w:hAnsi="Tahoma" w:cs="Tahoma"/>
          <w:sz w:val="22"/>
          <w:szCs w:val="22"/>
        </w:rPr>
        <w:softHyphen/>
      </w:r>
      <w:r w:rsidRPr="0080493C">
        <w:rPr>
          <w:rFonts w:ascii="Tahoma" w:hAnsi="Tahoma" w:cs="Tahoma"/>
          <w:sz w:val="22"/>
          <w:szCs w:val="22"/>
        </w:rPr>
        <w:t>τεί η ψήφιση από τη Βουλή του πολυνομοσχεδίου για την διευκόλυνση της επιχειρηματικό</w:t>
      </w:r>
      <w:r w:rsidR="00007531">
        <w:rPr>
          <w:rFonts w:ascii="Tahoma" w:hAnsi="Tahoma" w:cs="Tahoma"/>
          <w:sz w:val="22"/>
          <w:szCs w:val="22"/>
        </w:rPr>
        <w:softHyphen/>
      </w:r>
      <w:r w:rsidRPr="0080493C">
        <w:rPr>
          <w:rFonts w:ascii="Tahoma" w:hAnsi="Tahoma" w:cs="Tahoma"/>
          <w:sz w:val="22"/>
          <w:szCs w:val="22"/>
        </w:rPr>
        <w:t>τητας και των ιδιωτικών επενδύσεων, κυρίως όμως η εφαρμογή του, δεδομένου ότι η Ελ</w:t>
      </w:r>
      <w:r w:rsidR="00007531">
        <w:rPr>
          <w:rFonts w:ascii="Tahoma" w:hAnsi="Tahoma" w:cs="Tahoma"/>
          <w:sz w:val="22"/>
          <w:szCs w:val="22"/>
        </w:rPr>
        <w:softHyphen/>
      </w:r>
      <w:r w:rsidRPr="0080493C">
        <w:rPr>
          <w:rFonts w:ascii="Tahoma" w:hAnsi="Tahoma" w:cs="Tahoma"/>
          <w:sz w:val="22"/>
          <w:szCs w:val="22"/>
        </w:rPr>
        <w:t>λάδα κατατάσσεται πλέον στη θέση 100 με βάση την Έκθεση Επιχειρηματικότητας (</w:t>
      </w:r>
      <w:r w:rsidRPr="0080493C">
        <w:rPr>
          <w:rFonts w:ascii="Tahoma" w:hAnsi="Tahoma" w:cs="Tahoma"/>
          <w:sz w:val="22"/>
          <w:szCs w:val="22"/>
          <w:lang w:val="en-US"/>
        </w:rPr>
        <w:t>Doing</w:t>
      </w:r>
      <w:r w:rsidRPr="0080493C">
        <w:rPr>
          <w:rFonts w:ascii="Tahoma" w:hAnsi="Tahoma" w:cs="Tahoma"/>
          <w:sz w:val="22"/>
          <w:szCs w:val="22"/>
        </w:rPr>
        <w:t xml:space="preserve"> </w:t>
      </w:r>
      <w:r w:rsidRPr="0080493C">
        <w:rPr>
          <w:rFonts w:ascii="Tahoma" w:hAnsi="Tahoma" w:cs="Tahoma"/>
          <w:sz w:val="22"/>
          <w:szCs w:val="22"/>
          <w:lang w:val="en-US"/>
        </w:rPr>
        <w:t>Business</w:t>
      </w:r>
      <w:r w:rsidRPr="0080493C">
        <w:rPr>
          <w:rFonts w:ascii="Tahoma" w:hAnsi="Tahoma" w:cs="Tahoma"/>
          <w:sz w:val="22"/>
          <w:szCs w:val="22"/>
        </w:rPr>
        <w:t xml:space="preserve"> </w:t>
      </w:r>
      <w:r w:rsidRPr="0080493C">
        <w:rPr>
          <w:rFonts w:ascii="Tahoma" w:hAnsi="Tahoma" w:cs="Tahoma"/>
          <w:sz w:val="22"/>
          <w:szCs w:val="22"/>
          <w:lang w:val="en-US"/>
        </w:rPr>
        <w:t>Report</w:t>
      </w:r>
      <w:r w:rsidRPr="0080493C">
        <w:rPr>
          <w:rFonts w:ascii="Tahoma" w:hAnsi="Tahoma" w:cs="Tahoma"/>
          <w:sz w:val="22"/>
          <w:szCs w:val="22"/>
        </w:rPr>
        <w:t>) της Παγκόσμιας Τράπεζας (</w:t>
      </w:r>
      <w:r w:rsidRPr="0080493C">
        <w:rPr>
          <w:rFonts w:ascii="Tahoma" w:hAnsi="Tahoma" w:cs="Tahoma"/>
          <w:sz w:val="22"/>
          <w:szCs w:val="22"/>
          <w:lang w:val="en-US"/>
        </w:rPr>
        <w:t>World</w:t>
      </w:r>
      <w:r w:rsidRPr="0080493C">
        <w:rPr>
          <w:rFonts w:ascii="Tahoma" w:hAnsi="Tahoma" w:cs="Tahoma"/>
          <w:sz w:val="22"/>
          <w:szCs w:val="22"/>
        </w:rPr>
        <w:t xml:space="preserve"> </w:t>
      </w:r>
      <w:r w:rsidRPr="0080493C">
        <w:rPr>
          <w:rFonts w:ascii="Tahoma" w:hAnsi="Tahoma" w:cs="Tahoma"/>
          <w:sz w:val="22"/>
          <w:szCs w:val="22"/>
          <w:lang w:val="en-US"/>
        </w:rPr>
        <w:t>Bank</w:t>
      </w:r>
      <w:r w:rsidRPr="0080493C">
        <w:rPr>
          <w:rFonts w:ascii="Tahoma" w:hAnsi="Tahoma" w:cs="Tahoma"/>
          <w:sz w:val="22"/>
          <w:szCs w:val="22"/>
        </w:rPr>
        <w:t>).</w:t>
      </w:r>
    </w:p>
    <w:p w:rsidR="00C45FD3" w:rsidRPr="0080493C" w:rsidRDefault="00C45FD3" w:rsidP="00C45FD3">
      <w:pPr>
        <w:spacing w:before="240" w:after="240" w:line="312" w:lineRule="auto"/>
        <w:jc w:val="both"/>
        <w:rPr>
          <w:rFonts w:ascii="Tahoma" w:hAnsi="Tahoma" w:cs="Tahoma"/>
          <w:sz w:val="22"/>
          <w:szCs w:val="22"/>
        </w:rPr>
      </w:pPr>
      <w:r w:rsidRPr="0080493C">
        <w:rPr>
          <w:rFonts w:ascii="Tahoma" w:hAnsi="Tahoma" w:cs="Tahoma"/>
          <w:sz w:val="22"/>
          <w:szCs w:val="22"/>
        </w:rPr>
        <w:t>Είναι γεγονός αξιοσημείωτο ότι σε πρόσφατη ημερίδα για την ανάπτυξη και τις ιδιωτικές επενδύσεις που συνδιοργάνωσε το ΙΟΒΕ με άλλους φορείς, εκπρόσωποι της επιχειρηματικής κοινότητας τόνισαν την αρνητική επίπτωση της αστάθειας του θεσμικού και του φορολογι</w:t>
      </w:r>
      <w:r w:rsidR="00007531">
        <w:rPr>
          <w:rFonts w:ascii="Tahoma" w:hAnsi="Tahoma" w:cs="Tahoma"/>
          <w:sz w:val="22"/>
          <w:szCs w:val="22"/>
        </w:rPr>
        <w:softHyphen/>
      </w:r>
      <w:r w:rsidRPr="0080493C">
        <w:rPr>
          <w:rFonts w:ascii="Tahoma" w:hAnsi="Tahoma" w:cs="Tahoma"/>
          <w:sz w:val="22"/>
          <w:szCs w:val="22"/>
        </w:rPr>
        <w:t>κού πλαισίου, την αβεβαιότητα λόγω των τρεχουσών συνθηκών, τα προβλήματα ρευστότη</w:t>
      </w:r>
      <w:r w:rsidR="00007531">
        <w:rPr>
          <w:rFonts w:ascii="Tahoma" w:hAnsi="Tahoma" w:cs="Tahoma"/>
          <w:sz w:val="22"/>
          <w:szCs w:val="22"/>
        </w:rPr>
        <w:softHyphen/>
      </w:r>
      <w:r w:rsidRPr="0080493C">
        <w:rPr>
          <w:rFonts w:ascii="Tahoma" w:hAnsi="Tahoma" w:cs="Tahoma"/>
          <w:sz w:val="22"/>
          <w:szCs w:val="22"/>
        </w:rPr>
        <w:t>τας, την έλλειψη χωροταξικού σχεδίου και την αβεβαιότητα γύρω από τις περιβαλλοντικές άδειες, τα μεγάλα διαστήματα που ακόμα μεσολαβούν για την έγκριση μιας επένδυσης, τις ανεπάρκειες της δημόσιας διοίκησης, το νομικό φορμαλισμό, τον αναχρονιστικό αναπτυξιακό νόμο όπου ακόμη δημιουργεί στρεβλώσεις με τις επιδοτήσεις (</w:t>
      </w:r>
      <w:r w:rsidRPr="0080493C">
        <w:rPr>
          <w:rFonts w:ascii="Tahoma" w:hAnsi="Tahoma" w:cs="Tahoma"/>
          <w:sz w:val="22"/>
          <w:szCs w:val="22"/>
          <w:lang w:val="en-US"/>
        </w:rPr>
        <w:t>grants</w:t>
      </w:r>
      <w:r w:rsidRPr="0080493C">
        <w:rPr>
          <w:rFonts w:ascii="Tahoma" w:hAnsi="Tahoma" w:cs="Tahoma"/>
          <w:sz w:val="22"/>
          <w:szCs w:val="22"/>
        </w:rPr>
        <w:t xml:space="preserve">) που χορηγεί αντί να επικεντρώνεται σε φοροαπαλλαγές. </w:t>
      </w:r>
    </w:p>
    <w:p w:rsidR="00C45FD3" w:rsidRPr="0080493C" w:rsidRDefault="00C45FD3" w:rsidP="0050168E">
      <w:pPr>
        <w:numPr>
          <w:ilvl w:val="0"/>
          <w:numId w:val="9"/>
        </w:numPr>
        <w:tabs>
          <w:tab w:val="left" w:pos="426"/>
        </w:tabs>
        <w:spacing w:before="240" w:after="240" w:line="312" w:lineRule="auto"/>
        <w:ind w:left="0" w:firstLine="0"/>
        <w:jc w:val="both"/>
        <w:rPr>
          <w:rFonts w:ascii="Tahoma" w:hAnsi="Tahoma" w:cs="Tahoma"/>
          <w:sz w:val="22"/>
          <w:szCs w:val="22"/>
        </w:rPr>
      </w:pPr>
      <w:r w:rsidRPr="0080493C">
        <w:rPr>
          <w:rFonts w:ascii="Tahoma" w:hAnsi="Tahoma" w:cs="Tahoma"/>
          <w:sz w:val="22"/>
          <w:szCs w:val="22"/>
        </w:rPr>
        <w:t>Στον τομέα των δημοσίων επενδύσεων θα πρέπει να δοθεί προτεραιότητα στην πλήρη υλοποίηση του Προγράμματος Δημοσίων Επενδύσεων, το οποίο πρέπει να πάψει να θεωρεί</w:t>
      </w:r>
      <w:r w:rsidR="00007531">
        <w:rPr>
          <w:rFonts w:ascii="Tahoma" w:hAnsi="Tahoma" w:cs="Tahoma"/>
          <w:sz w:val="22"/>
          <w:szCs w:val="22"/>
        </w:rPr>
        <w:softHyphen/>
      </w:r>
      <w:r w:rsidRPr="0080493C">
        <w:rPr>
          <w:rFonts w:ascii="Tahoma" w:hAnsi="Tahoma" w:cs="Tahoma"/>
          <w:sz w:val="22"/>
          <w:szCs w:val="22"/>
        </w:rPr>
        <w:t>ται η εύκολη λύση για τη μείωση του δημοσιονομικού ελλείμματος, δεδομένου του αυξημέ</w:t>
      </w:r>
      <w:r w:rsidR="00007531">
        <w:rPr>
          <w:rFonts w:ascii="Tahoma" w:hAnsi="Tahoma" w:cs="Tahoma"/>
          <w:sz w:val="22"/>
          <w:szCs w:val="22"/>
        </w:rPr>
        <w:softHyphen/>
      </w:r>
      <w:r w:rsidRPr="0080493C">
        <w:rPr>
          <w:rFonts w:ascii="Tahoma" w:hAnsi="Tahoma" w:cs="Tahoma"/>
          <w:sz w:val="22"/>
          <w:szCs w:val="22"/>
        </w:rPr>
        <w:t xml:space="preserve">νου πλέον ποσοστού συγχρηματοδότησης των Διαρθρωτικών Ταμείων της Ευρωπαϊκής </w:t>
      </w:r>
      <w:r w:rsidRPr="0080493C">
        <w:rPr>
          <w:rFonts w:ascii="Tahoma" w:hAnsi="Tahoma" w:cs="Tahoma"/>
          <w:sz w:val="22"/>
          <w:szCs w:val="22"/>
        </w:rPr>
        <w:lastRenderedPageBreak/>
        <w:t>Ένωσης (95%) και του υψηλού εισοδηματικού πολλαπλασιαστή αυτών των επενδύσεων. Στο πλαίσιο αυτό, η Κυβέρνηση θα πρέπει να επιλέξει έναν μικρό αριθμό σημαντικών δημοσίων έργων με μεγάλη συμβολή στην οικονομική ανάπτυξη που μπορούν να απορροφήσουν σημαντικά ποσά σε σύντομο χρονικό διάστημα (οδικοί άξονες, εκσυγχρονισμός λιμανιών, μαρινών, αεροδρομίων, ορισμένα ενεργειακά έργα κλπ) προκειμένου να αυξηθεί με ταχείς ρυθμούς η απορροφητικότητα των επενδυτικών κεφαλαίων του ΕΣΠΑ που απομένουν (περίπου 14 δισ. ευρώ).</w:t>
      </w:r>
    </w:p>
    <w:p w:rsidR="00C45FD3" w:rsidRPr="0080493C" w:rsidRDefault="00C45FD3" w:rsidP="0050168E">
      <w:pPr>
        <w:numPr>
          <w:ilvl w:val="0"/>
          <w:numId w:val="9"/>
        </w:numPr>
        <w:tabs>
          <w:tab w:val="left" w:pos="426"/>
        </w:tabs>
        <w:spacing w:before="240" w:after="240" w:line="312" w:lineRule="auto"/>
        <w:ind w:left="0" w:firstLine="0"/>
        <w:jc w:val="both"/>
        <w:rPr>
          <w:rFonts w:ascii="Tahoma" w:hAnsi="Tahoma" w:cs="Tahoma"/>
          <w:sz w:val="22"/>
          <w:szCs w:val="22"/>
        </w:rPr>
      </w:pPr>
      <w:r w:rsidRPr="0080493C">
        <w:rPr>
          <w:rFonts w:ascii="Tahoma" w:hAnsi="Tahoma" w:cs="Tahoma"/>
          <w:sz w:val="22"/>
          <w:szCs w:val="22"/>
        </w:rPr>
        <w:t>Η Ευρωπαϊκή Τράπεζα Επενδύσεων θα πρέπει να παράσχει εγγυήσεις ώστε να καλύψει το κενό χρηματοδότησης που έχουν δημιουργήσει οι ελληνικές και ξένες εμπορικές τράπεζες στα μεγάλα δημόσια έργα λόγω της τρέχουσας αβεβαιότητας, ενώ θα πρέπει να αναζητη</w:t>
      </w:r>
      <w:r w:rsidR="009C6919">
        <w:rPr>
          <w:rFonts w:ascii="Tahoma" w:hAnsi="Tahoma" w:cs="Tahoma"/>
          <w:sz w:val="22"/>
          <w:szCs w:val="22"/>
        </w:rPr>
        <w:softHyphen/>
      </w:r>
      <w:r w:rsidRPr="0080493C">
        <w:rPr>
          <w:rFonts w:ascii="Tahoma" w:hAnsi="Tahoma" w:cs="Tahoma"/>
          <w:sz w:val="22"/>
          <w:szCs w:val="22"/>
        </w:rPr>
        <w:t>θούν νέα εργαλεία κεφαλαιακής ενίσχυσης, στα πρότυπα ενδεχομένως της συμμετοχής της Ευρωπαϊκής Τράπεζας Ανασυγκρότησης &amp; Ανάπτυξης (</w:t>
      </w:r>
      <w:r w:rsidRPr="0080493C">
        <w:rPr>
          <w:rFonts w:ascii="Tahoma" w:hAnsi="Tahoma" w:cs="Tahoma"/>
          <w:sz w:val="22"/>
          <w:szCs w:val="22"/>
          <w:lang w:val="en-US"/>
        </w:rPr>
        <w:t>EBRD</w:t>
      </w:r>
      <w:r w:rsidRPr="0080493C">
        <w:rPr>
          <w:rFonts w:ascii="Tahoma" w:hAnsi="Tahoma" w:cs="Tahoma"/>
          <w:sz w:val="22"/>
          <w:szCs w:val="22"/>
        </w:rPr>
        <w:t xml:space="preserve">) στις πρώην ανατολικές χώρες της ΕΕ. </w:t>
      </w:r>
    </w:p>
    <w:p w:rsidR="00C45FD3" w:rsidRPr="0080493C" w:rsidRDefault="00C45FD3" w:rsidP="0050168E">
      <w:pPr>
        <w:numPr>
          <w:ilvl w:val="0"/>
          <w:numId w:val="9"/>
        </w:numPr>
        <w:tabs>
          <w:tab w:val="left" w:pos="426"/>
        </w:tabs>
        <w:spacing w:before="240" w:after="240" w:line="312" w:lineRule="auto"/>
        <w:ind w:left="0" w:firstLine="0"/>
        <w:jc w:val="both"/>
        <w:rPr>
          <w:rFonts w:ascii="Tahoma" w:hAnsi="Tahoma" w:cs="Tahoma"/>
          <w:sz w:val="22"/>
          <w:szCs w:val="22"/>
        </w:rPr>
      </w:pPr>
      <w:r w:rsidRPr="0080493C">
        <w:rPr>
          <w:rFonts w:ascii="Tahoma" w:hAnsi="Tahoma" w:cs="Tahoma"/>
          <w:sz w:val="22"/>
          <w:szCs w:val="22"/>
        </w:rPr>
        <w:t xml:space="preserve">Το πρόγραμμα των ιδιωτικοποιήσεων μπορεί να γίνει αναπτυξιακός μοχλός κυρίως μέσω της προσέλκυσης άμεσων ξένων επενδύσεων στην Ελλάδα. </w:t>
      </w:r>
    </w:p>
    <w:p w:rsidR="00C45FD3" w:rsidRPr="0080493C" w:rsidRDefault="00C45FD3" w:rsidP="0050168E">
      <w:pPr>
        <w:numPr>
          <w:ilvl w:val="1"/>
          <w:numId w:val="9"/>
        </w:numPr>
        <w:tabs>
          <w:tab w:val="clear" w:pos="1080"/>
          <w:tab w:val="num" w:pos="-4536"/>
        </w:tabs>
        <w:spacing w:before="240" w:after="240" w:line="312" w:lineRule="auto"/>
        <w:ind w:left="426" w:hanging="284"/>
        <w:jc w:val="both"/>
        <w:rPr>
          <w:rFonts w:ascii="Tahoma" w:hAnsi="Tahoma" w:cs="Tahoma"/>
          <w:sz w:val="22"/>
          <w:szCs w:val="22"/>
        </w:rPr>
      </w:pPr>
      <w:r w:rsidRPr="0080493C">
        <w:rPr>
          <w:rFonts w:ascii="Tahoma" w:hAnsi="Tahoma" w:cs="Tahoma"/>
          <w:sz w:val="22"/>
          <w:szCs w:val="22"/>
        </w:rPr>
        <w:t>Το πρόγραμμα αξιοποίησης της ιδιωτικής περιουσίας του δημοσίου στηρίζεται κατά 50% στην αξιοποίηση της γης, κατά 35% στην αξιοποίηση υποδομών και κατά 15% στην πώληση μετοχών που σήμερα κατέχει το κράτος. Ο στόχος είσπραξης εσόδων ανέρχεται σε 19 δισ. ευρώ μέχρι το 2015, ενώ ο στόχος εσόδων μέχρι το 2020 είναι 45 δισ.</w:t>
      </w:r>
      <w:r w:rsidR="000B6769" w:rsidRPr="000B6769">
        <w:rPr>
          <w:rFonts w:ascii="Tahoma" w:hAnsi="Tahoma" w:cs="Tahoma"/>
          <w:sz w:val="22"/>
          <w:szCs w:val="22"/>
        </w:rPr>
        <w:t xml:space="preserve"> </w:t>
      </w:r>
      <w:r w:rsidRPr="0080493C">
        <w:rPr>
          <w:rFonts w:ascii="Tahoma" w:hAnsi="Tahoma" w:cs="Tahoma"/>
          <w:sz w:val="22"/>
          <w:szCs w:val="22"/>
        </w:rPr>
        <w:t>ευρώ. Το κυβερνητικό πρόγραμμα αποκρατικοποιήσεων δεν είναι κυρίως εισπρακτικό, αλλά επιδιώκει την επιτάχυνση της ανάπτυξης της ελληνικής οικονομίας κυρίως μέσω αξιοποίησης γης και υποδομών</w:t>
      </w:r>
      <w:r w:rsidRPr="0080493C">
        <w:rPr>
          <w:rStyle w:val="FootnoteReference"/>
          <w:rFonts w:cs="Tahoma"/>
          <w:sz w:val="22"/>
          <w:szCs w:val="22"/>
        </w:rPr>
        <w:footnoteReference w:id="1"/>
      </w:r>
      <w:r w:rsidRPr="0080493C">
        <w:rPr>
          <w:rFonts w:ascii="Tahoma" w:hAnsi="Tahoma" w:cs="Tahoma"/>
          <w:sz w:val="22"/>
          <w:szCs w:val="22"/>
        </w:rPr>
        <w:t>. Αναμένεται για παράδειγμα ότι η αξιοποίηση του Ελληνικού (περιοχή πρώην αεροδρομίου Αθήνας) θα προσθέσει 0,3% του ΑΕΠ στους ρυθμούς ανάπτυξης της χώρας, για κάθε έτος της χρονικής διάρκειας κατασκευών. Εντούτοις, οι διαδικασίες είναι αργές και η γραφειοκρατία δημιουργεί συστηματικά εμπόδια (μια τυπική διαδικασία ιδιωτικοποίησης διαρκεί 12-20 μήνες), ενώ η σημερινή πρακτική να παρέχονται με το σταγονόμετρο ακίνητα ή περιουσιακά στοιχεία του δημοσίου στο Ταμείο Αξιοποίησης Ιδιωτικής Περιουσίας του Δημοσίου (ΤΑΙΠΕΔ) δυναμιτίζει το πρό</w:t>
      </w:r>
      <w:r w:rsidR="009C6919">
        <w:rPr>
          <w:rFonts w:ascii="Tahoma" w:hAnsi="Tahoma" w:cs="Tahoma"/>
          <w:sz w:val="22"/>
          <w:szCs w:val="22"/>
        </w:rPr>
        <w:softHyphen/>
      </w:r>
      <w:r w:rsidRPr="0080493C">
        <w:rPr>
          <w:rFonts w:ascii="Tahoma" w:hAnsi="Tahoma" w:cs="Tahoma"/>
          <w:sz w:val="22"/>
          <w:szCs w:val="22"/>
        </w:rPr>
        <w:t>γραμμα των αποκρατικοποιήσεων και δημιουργεί φόβους ότι οι ιδιωτικοποιήσεις δεν θα επιτύχουν. Ειδικοί στο χώρο των ιδιωτικοποιήσεων τ</w:t>
      </w:r>
      <w:r>
        <w:rPr>
          <w:rFonts w:ascii="Tahoma" w:hAnsi="Tahoma" w:cs="Tahoma"/>
          <w:sz w:val="22"/>
          <w:szCs w:val="22"/>
        </w:rPr>
        <w:t xml:space="preserve">ονίζουν τη σημασία να υπάρξουν </w:t>
      </w:r>
      <w:r w:rsidRPr="0080493C">
        <w:rPr>
          <w:rFonts w:ascii="Tahoma" w:hAnsi="Tahoma" w:cs="Tahoma"/>
          <w:sz w:val="22"/>
          <w:szCs w:val="22"/>
        </w:rPr>
        <w:t xml:space="preserve">γρήγορες επιτυχίες, να δημιουργηθεί θετικό κλίμα στην οικονομία και να δοθούν έτσι τα κατάλληλα μηνύματα στους επενδυτές και την κοινωνία. Στο πλαίσιο αυτό έχουν προταθεί δυο σχέδια: </w:t>
      </w:r>
      <w:r w:rsidRPr="0080493C">
        <w:rPr>
          <w:rFonts w:ascii="Tahoma" w:hAnsi="Tahoma" w:cs="Tahoma"/>
          <w:sz w:val="22"/>
          <w:szCs w:val="22"/>
          <w:u w:val="single"/>
        </w:rPr>
        <w:t>Πρώτον</w:t>
      </w:r>
      <w:r w:rsidRPr="0080493C">
        <w:rPr>
          <w:rFonts w:ascii="Tahoma" w:hAnsi="Tahoma" w:cs="Tahoma"/>
          <w:sz w:val="22"/>
          <w:szCs w:val="22"/>
        </w:rPr>
        <w:t>, η μεταφορά περιουσιακών στοιχείων του ελληνικού δημο</w:t>
      </w:r>
      <w:r w:rsidR="009C6919">
        <w:rPr>
          <w:rFonts w:ascii="Tahoma" w:hAnsi="Tahoma" w:cs="Tahoma"/>
          <w:sz w:val="22"/>
          <w:szCs w:val="22"/>
        </w:rPr>
        <w:softHyphen/>
      </w:r>
      <w:r w:rsidRPr="0080493C">
        <w:rPr>
          <w:rFonts w:ascii="Tahoma" w:hAnsi="Tahoma" w:cs="Tahoma"/>
          <w:sz w:val="22"/>
          <w:szCs w:val="22"/>
        </w:rPr>
        <w:t>σίου σε οργανισμούς όπως η Ευρωπαϊκή Τράπεζα Επενδύσεων ή το Ευρωπαϊκό Ταμείο Χρηματοπιστωτικής Σταθερότητας,</w:t>
      </w:r>
      <w:r w:rsidRPr="0080493C">
        <w:rPr>
          <w:rFonts w:ascii="Tahoma" w:hAnsi="Tahoma" w:cs="Tahoma"/>
          <w:b/>
          <w:i/>
          <w:sz w:val="22"/>
          <w:szCs w:val="22"/>
        </w:rPr>
        <w:t xml:space="preserve"> </w:t>
      </w:r>
      <w:r w:rsidRPr="0080493C">
        <w:rPr>
          <w:rFonts w:ascii="Tahoma" w:hAnsi="Tahoma" w:cs="Tahoma"/>
          <w:sz w:val="22"/>
          <w:szCs w:val="22"/>
        </w:rPr>
        <w:t xml:space="preserve">με άμεση αποπληρωμή του ελληνικού δημοσίου από αυτούς (μετά από εκτίμηση των περιουσιακών στοιχείων από δυο ανεξάρτητους εκτιμητές) και άμεση εξόφληση μέρους του δημόσιου χρέους με το </w:t>
      </w:r>
      <w:r w:rsidRPr="0080493C">
        <w:rPr>
          <w:rFonts w:ascii="Tahoma" w:hAnsi="Tahoma" w:cs="Tahoma"/>
          <w:sz w:val="22"/>
          <w:szCs w:val="22"/>
        </w:rPr>
        <w:lastRenderedPageBreak/>
        <w:t xml:space="preserve">τίμημα. Οι οργανισμοί αυτοί, σε συνεργασία με το Ταμείο Αξιοποίησης Ιδιωτικής Περιουσίας του Δημοσίου, θα μπορούσαν σταδιακά να αξιοποιήσουν κατάλληλα αυτά τα χαρτοφυλάκια ώστε να αποφευχθεί ο κίνδυνος πώλησής τους σε υποτιμημένες αξίες. Η οποιαδήποτε θετική ή αρνητική διαφορά αξίας προκύψει θα μπορούσε να διευθετηθεί εκ των υστέρων και σε βάθος χρόνου. </w:t>
      </w:r>
      <w:r w:rsidRPr="0080493C">
        <w:rPr>
          <w:rFonts w:ascii="Tahoma" w:hAnsi="Tahoma" w:cs="Tahoma"/>
          <w:sz w:val="22"/>
          <w:szCs w:val="22"/>
          <w:u w:val="single"/>
        </w:rPr>
        <w:t>Δεύτερον</w:t>
      </w:r>
      <w:r w:rsidRPr="0080493C">
        <w:rPr>
          <w:rFonts w:ascii="Tahoma" w:hAnsi="Tahoma" w:cs="Tahoma"/>
          <w:sz w:val="22"/>
          <w:szCs w:val="22"/>
        </w:rPr>
        <w:t>, η εκχώρηση από την Ελλάδα, σε εταιρεία ειδικού σκοπού, όλων των μελλοντικών εισπράξεων από έργα παραχωρήσεων μεγάλων έργων (Αττική Οδός, Εγνατία, λιμένες, αεροδρόμια, μεγάλοι οδικοί άξονες) ώστε με την ενεχυρίαση των παραπάνω εξασφαλίσεων, ευρωπαϊκοί οργανισμοί όπως η Ευρωπαϊκή Τράπεζα Επενδύσεων να προχωρήσουν σε ένα εκτεταμένο πρόγραμμα ιδιωτικών επενδύσεων και επενδύσεων μέσω ΣΔΙΤ με ευνοϊκά επιτόκια και όρους δανεισμού, αποφεύγοντας χρονοβόρες γραφειοκρατικές διαδικασίες.</w:t>
      </w:r>
    </w:p>
    <w:p w:rsidR="00C45FD3" w:rsidRPr="0080493C" w:rsidRDefault="00C45FD3" w:rsidP="0050168E">
      <w:pPr>
        <w:numPr>
          <w:ilvl w:val="1"/>
          <w:numId w:val="9"/>
        </w:numPr>
        <w:tabs>
          <w:tab w:val="clear" w:pos="1080"/>
          <w:tab w:val="num" w:pos="-3119"/>
        </w:tabs>
        <w:spacing w:before="240" w:after="240" w:line="312" w:lineRule="auto"/>
        <w:ind w:left="426" w:hanging="284"/>
        <w:jc w:val="both"/>
        <w:rPr>
          <w:rFonts w:ascii="Tahoma" w:hAnsi="Tahoma" w:cs="Tahoma"/>
          <w:sz w:val="22"/>
          <w:szCs w:val="22"/>
        </w:rPr>
      </w:pPr>
      <w:r w:rsidRPr="0080493C">
        <w:rPr>
          <w:rFonts w:ascii="Tahoma" w:hAnsi="Tahoma" w:cs="Tahoma"/>
          <w:sz w:val="22"/>
          <w:szCs w:val="22"/>
        </w:rPr>
        <w:t>Ο εκσυγχρονισμός του συστήματος, ιδιαίτερα σε θέματα αξιοποίησης γης, μπορεί να γίνει και με τη δημιουργία νέων θεσμών όπως η «επιφάνεια». Με τον θεσμό αυτό, το ελληνικό δημόσιο δεν θα πωλεί το έδαφος της ακίνητης περιουσίας του, θα παρέχει όμως εμπράγματα δικαιώματα στους αντισυμβαλλόμενους επενδυτές, δίδοντας το δικαίωμα υποθήκευσης άρα την δυνατότητα άντλησης πρόσθετων κεφαλαίων για επενδύσεις.</w:t>
      </w:r>
    </w:p>
    <w:p w:rsidR="00C45FD3" w:rsidRPr="0080493C" w:rsidRDefault="00C45FD3" w:rsidP="0050168E">
      <w:pPr>
        <w:numPr>
          <w:ilvl w:val="1"/>
          <w:numId w:val="9"/>
        </w:numPr>
        <w:tabs>
          <w:tab w:val="clear" w:pos="1080"/>
          <w:tab w:val="num" w:pos="-3119"/>
        </w:tabs>
        <w:spacing w:before="240" w:after="240" w:line="312" w:lineRule="auto"/>
        <w:ind w:left="426" w:hanging="284"/>
        <w:jc w:val="both"/>
        <w:rPr>
          <w:rFonts w:ascii="Tahoma" w:hAnsi="Tahoma" w:cs="Tahoma"/>
          <w:sz w:val="22"/>
          <w:szCs w:val="22"/>
        </w:rPr>
      </w:pPr>
      <w:r w:rsidRPr="0080493C">
        <w:rPr>
          <w:rFonts w:ascii="Tahoma" w:hAnsi="Tahoma" w:cs="Tahoma"/>
          <w:sz w:val="22"/>
          <w:szCs w:val="22"/>
        </w:rPr>
        <w:t xml:space="preserve">Οι συμφωνίες παραχώρησης για την αξιοποίηση υποδομών όπως αεροδρόμια, λιμάνια, αυτοκινητόδρομοι, τουριστικές εγκαταστάσεις (μαρίνες) αποτελούν μια δοκιμασμένη και στην Ελλάδα πρακτική, ιδιαίτερα αν ληφθεί υπόψη ότι το πρόγραμμα αξιοποίησης της ιδιωτικής περιουσίας του δημοσίου στηρίζεται κατά 35% στην αξιοποίηση υποδομών. Μια ειδική περίπτωση μπορεί να αποτελέσουν τα δημόσια νοσοκομεία με υπερβάλλουσα δυναμικότητα, ο εξοπλισμός και οι εγκαταστάσεις των οποίων θα μπορούσαν να χρησιμοποιηθούν για την ανάπτυξη του ιατρικού τουρισμού. </w:t>
      </w:r>
    </w:p>
    <w:p w:rsidR="00C45FD3" w:rsidRPr="0080493C" w:rsidRDefault="00C45FD3" w:rsidP="0050168E">
      <w:pPr>
        <w:numPr>
          <w:ilvl w:val="1"/>
          <w:numId w:val="9"/>
        </w:numPr>
        <w:tabs>
          <w:tab w:val="clear" w:pos="1080"/>
          <w:tab w:val="num" w:pos="-3119"/>
        </w:tabs>
        <w:spacing w:before="240" w:after="240" w:line="312" w:lineRule="auto"/>
        <w:ind w:left="426" w:hanging="284"/>
        <w:jc w:val="both"/>
        <w:rPr>
          <w:rFonts w:ascii="Tahoma" w:hAnsi="Tahoma" w:cs="Tahoma"/>
          <w:sz w:val="22"/>
          <w:szCs w:val="22"/>
        </w:rPr>
      </w:pPr>
      <w:r w:rsidRPr="0080493C">
        <w:rPr>
          <w:rFonts w:ascii="Tahoma" w:hAnsi="Tahoma" w:cs="Tahoma"/>
          <w:sz w:val="22"/>
          <w:szCs w:val="22"/>
        </w:rPr>
        <w:t>Η απελευθέρωση της αγοράς ενέργειας και η ιδιωτικοποίηση της ΔΕΗ, μέσω της πώλησης μονάδων ή της δημιουργίας και πώλησης μεικτών θυγατρικών σχημάτων, παράλληλα με την παροχή στους υποψήφιους επενδυτές μεγαλύτερης ευελιξίας στην επιλογή του μείγματος καυσίμων, μπορεί να προσελκύσει πρόσθετα επενδυτικά κεφάλια. Το ίδιο και η επέκταση του προγράμματος ιδιωτικοποιήσεων στις αστικές συγκοινωνίες.</w:t>
      </w:r>
    </w:p>
    <w:p w:rsidR="00C45FD3" w:rsidRPr="0080493C" w:rsidRDefault="00C45FD3" w:rsidP="0050168E">
      <w:pPr>
        <w:numPr>
          <w:ilvl w:val="1"/>
          <w:numId w:val="9"/>
        </w:numPr>
        <w:tabs>
          <w:tab w:val="clear" w:pos="1080"/>
          <w:tab w:val="num" w:pos="-3119"/>
        </w:tabs>
        <w:spacing w:before="240" w:after="240" w:line="312" w:lineRule="auto"/>
        <w:ind w:left="426" w:hanging="284"/>
        <w:jc w:val="both"/>
        <w:rPr>
          <w:rFonts w:ascii="Tahoma" w:hAnsi="Tahoma" w:cs="Tahoma"/>
          <w:sz w:val="22"/>
          <w:szCs w:val="22"/>
        </w:rPr>
      </w:pPr>
      <w:r w:rsidRPr="0080493C">
        <w:rPr>
          <w:rFonts w:ascii="Tahoma" w:hAnsi="Tahoma" w:cs="Tahoma"/>
          <w:sz w:val="22"/>
          <w:szCs w:val="22"/>
        </w:rPr>
        <w:t xml:space="preserve">Το αποκαλούμενο “Σχέδιο </w:t>
      </w:r>
      <w:r w:rsidRPr="0080493C">
        <w:rPr>
          <w:rFonts w:ascii="Tahoma" w:hAnsi="Tahoma" w:cs="Tahoma"/>
          <w:sz w:val="22"/>
          <w:szCs w:val="22"/>
          <w:lang w:val="en-US"/>
        </w:rPr>
        <w:t>Ma</w:t>
      </w:r>
      <w:r w:rsidRPr="0080493C">
        <w:rPr>
          <w:rFonts w:ascii="Tahoma" w:hAnsi="Tahoma" w:cs="Tahoma"/>
          <w:sz w:val="22"/>
          <w:szCs w:val="22"/>
          <w:lang w:val="en-GB"/>
        </w:rPr>
        <w:t>r</w:t>
      </w:r>
      <w:r w:rsidRPr="0080493C">
        <w:rPr>
          <w:rFonts w:ascii="Tahoma" w:hAnsi="Tahoma" w:cs="Tahoma"/>
          <w:sz w:val="22"/>
          <w:szCs w:val="22"/>
          <w:lang w:val="en-US"/>
        </w:rPr>
        <w:t>shall</w:t>
      </w:r>
      <w:r w:rsidRPr="0080493C">
        <w:rPr>
          <w:rFonts w:ascii="Tahoma" w:hAnsi="Tahoma" w:cs="Tahoma"/>
          <w:sz w:val="22"/>
          <w:szCs w:val="22"/>
        </w:rPr>
        <w:t>” είναι προτιμότερο να λάβει σάρκα και οστά όχι με τη μορφή μιας νέας κρατικής επενδυτικής τράπεζας, δηλαδή μιας νέας ΕΤΒΑ, αλλά με τη μορφή ενός Σχήματος Ιδιωτικών Συμμετοχών (</w:t>
      </w:r>
      <w:r w:rsidRPr="0080493C">
        <w:rPr>
          <w:rFonts w:ascii="Tahoma" w:hAnsi="Tahoma" w:cs="Tahoma"/>
          <w:sz w:val="22"/>
          <w:szCs w:val="22"/>
          <w:lang w:val="en-US"/>
        </w:rPr>
        <w:t>Private</w:t>
      </w:r>
      <w:r w:rsidRPr="0080493C">
        <w:rPr>
          <w:rFonts w:ascii="Tahoma" w:hAnsi="Tahoma" w:cs="Tahoma"/>
          <w:sz w:val="22"/>
          <w:szCs w:val="22"/>
        </w:rPr>
        <w:t xml:space="preserve"> </w:t>
      </w:r>
      <w:r w:rsidRPr="0080493C">
        <w:rPr>
          <w:rFonts w:ascii="Tahoma" w:hAnsi="Tahoma" w:cs="Tahoma"/>
          <w:sz w:val="22"/>
          <w:szCs w:val="22"/>
          <w:lang w:val="en-US"/>
        </w:rPr>
        <w:t>Equity</w:t>
      </w:r>
      <w:r w:rsidRPr="0080493C">
        <w:rPr>
          <w:rFonts w:ascii="Tahoma" w:hAnsi="Tahoma" w:cs="Tahoma"/>
          <w:sz w:val="22"/>
          <w:szCs w:val="22"/>
        </w:rPr>
        <w:t xml:space="preserve"> </w:t>
      </w:r>
      <w:r w:rsidRPr="0080493C">
        <w:rPr>
          <w:rFonts w:ascii="Tahoma" w:hAnsi="Tahoma" w:cs="Tahoma"/>
          <w:sz w:val="22"/>
          <w:szCs w:val="22"/>
          <w:lang w:val="en-US"/>
        </w:rPr>
        <w:t>Fund</w:t>
      </w:r>
      <w:r w:rsidRPr="0080493C">
        <w:rPr>
          <w:rFonts w:ascii="Tahoma" w:hAnsi="Tahoma" w:cs="Tahoma"/>
          <w:sz w:val="22"/>
          <w:szCs w:val="22"/>
        </w:rPr>
        <w:t xml:space="preserve">) από Έλληνες και ξένους κεφαλαιούχους, με τη δυνατότητα επένδυσης σε ιδιωτικές ελληνικές εταιρίες σε ανερχόμενους κλάδους της οικονομίας, όπως ο πρωτογενής τομέας, η εξόρυξη πρώτων υλών, ο τουρισμός, οι ανανεώσιμες και όχι μόνο μορφές ενέργειας, η υγεία, μέρος της μεταποίησης και οι κλάδοι πληροφορικής και επικοινωνιών. </w:t>
      </w:r>
    </w:p>
    <w:p w:rsidR="00C45FD3" w:rsidRPr="0080493C" w:rsidRDefault="00C45FD3" w:rsidP="00C45FD3">
      <w:pPr>
        <w:spacing w:before="240" w:after="240" w:line="312" w:lineRule="auto"/>
        <w:jc w:val="both"/>
        <w:rPr>
          <w:rFonts w:ascii="Tahoma" w:hAnsi="Tahoma" w:cs="Tahoma"/>
          <w:sz w:val="22"/>
          <w:szCs w:val="22"/>
        </w:rPr>
      </w:pPr>
      <w:r w:rsidRPr="0080493C">
        <w:rPr>
          <w:rFonts w:ascii="Tahoma" w:hAnsi="Tahoma" w:cs="Tahoma"/>
          <w:sz w:val="22"/>
          <w:szCs w:val="22"/>
        </w:rPr>
        <w:t xml:space="preserve">Οι σχεδιαζόμενες και εφαρμοζόμενες μεταρρυθμίσεις, οι επενδύσεις και η αξιοποίηση της δημόσιας περιουσίας όσο ακριβείς και στοχευμένες να είναι δεν πρόκειται να αποδώσουν εάν </w:t>
      </w:r>
      <w:r w:rsidRPr="0080493C">
        <w:rPr>
          <w:rFonts w:ascii="Tahoma" w:hAnsi="Tahoma" w:cs="Tahoma"/>
          <w:sz w:val="22"/>
          <w:szCs w:val="22"/>
        </w:rPr>
        <w:lastRenderedPageBreak/>
        <w:t>δεν συνοδεύονται από τις κατάλληλες οικονομικές, θεσμικές/οργανωτικές και κοινωνικές προϋποθέσεις. Οι προϋποθέσεις αυτές είναι:</w:t>
      </w:r>
    </w:p>
    <w:p w:rsidR="00C45FD3" w:rsidRPr="0080493C" w:rsidRDefault="00C45FD3" w:rsidP="00C45FD3">
      <w:pPr>
        <w:spacing w:before="240" w:after="240" w:line="312" w:lineRule="auto"/>
        <w:jc w:val="both"/>
        <w:rPr>
          <w:rFonts w:ascii="Tahoma" w:hAnsi="Tahoma" w:cs="Tahoma"/>
          <w:sz w:val="22"/>
          <w:szCs w:val="22"/>
        </w:rPr>
      </w:pPr>
      <w:r w:rsidRPr="0080493C">
        <w:rPr>
          <w:rFonts w:ascii="Tahoma" w:hAnsi="Tahoma" w:cs="Tahoma"/>
          <w:i/>
          <w:sz w:val="22"/>
          <w:szCs w:val="22"/>
        </w:rPr>
        <w:t>Πρώτον</w:t>
      </w:r>
      <w:r w:rsidRPr="0080493C">
        <w:rPr>
          <w:rFonts w:ascii="Tahoma" w:hAnsi="Tahoma" w:cs="Tahoma"/>
          <w:sz w:val="22"/>
          <w:szCs w:val="22"/>
        </w:rPr>
        <w:t>, η άρση της διάχυτης αβεβαιότητας και η επικράτηση ενός σταθερού οικονομικού κλίματος. Η επιτυχής έκβαση του εγχειρήματος της  ανταλλαγής ομολόγων (</w:t>
      </w:r>
      <w:r w:rsidRPr="0080493C">
        <w:rPr>
          <w:rFonts w:ascii="Tahoma" w:hAnsi="Tahoma" w:cs="Tahoma"/>
          <w:sz w:val="22"/>
          <w:szCs w:val="22"/>
          <w:lang w:val="en-GB"/>
        </w:rPr>
        <w:t>PSI</w:t>
      </w:r>
      <w:r w:rsidRPr="0080493C">
        <w:rPr>
          <w:rFonts w:ascii="Tahoma" w:hAnsi="Tahoma" w:cs="Tahoma"/>
          <w:sz w:val="22"/>
          <w:szCs w:val="22"/>
        </w:rPr>
        <w:t xml:space="preserve">) και η εξασφάλιση του νέου δανείου των 130 δισ. ευρώ καλύπτουν τις ανάγκες χρηματοδότησης του δημοσίου τουλάχιστον μέχρι και το 2014, </w:t>
      </w:r>
      <w:r w:rsidRPr="00114502">
        <w:rPr>
          <w:rFonts w:ascii="Tahoma" w:hAnsi="Tahoma" w:cs="Tahoma"/>
          <w:sz w:val="22"/>
          <w:szCs w:val="22"/>
        </w:rPr>
        <w:t xml:space="preserve">προσφέροντας έτσι  τις κατάλληλες προϋποθέσεις για την άρση της διαρκούς αβεβαιότητας για την Ελληνική οικονομία. Οι </w:t>
      </w:r>
      <w:r w:rsidR="00C747B5" w:rsidRPr="00114502">
        <w:rPr>
          <w:rFonts w:ascii="Tahoma" w:hAnsi="Tahoma" w:cs="Tahoma"/>
          <w:sz w:val="22"/>
          <w:szCs w:val="22"/>
        </w:rPr>
        <w:t xml:space="preserve">ακαθάριστες </w:t>
      </w:r>
      <w:r w:rsidRPr="00114502">
        <w:rPr>
          <w:rFonts w:ascii="Tahoma" w:hAnsi="Tahoma" w:cs="Tahoma"/>
          <w:sz w:val="22"/>
          <w:szCs w:val="22"/>
        </w:rPr>
        <w:t>χρηματοδοτικές ανάγκες του δημοσίου μέχρι το 2020 μειώνονται σημαντικά (κατά περίπου €</w:t>
      </w:r>
      <w:r w:rsidR="00C747B5" w:rsidRPr="00114502">
        <w:rPr>
          <w:rFonts w:ascii="Tahoma" w:hAnsi="Tahoma" w:cs="Tahoma"/>
          <w:sz w:val="22"/>
          <w:szCs w:val="22"/>
        </w:rPr>
        <w:t>92</w:t>
      </w:r>
      <w:r w:rsidRPr="00114502">
        <w:rPr>
          <w:rFonts w:ascii="Tahoma" w:hAnsi="Tahoma" w:cs="Tahoma"/>
          <w:sz w:val="22"/>
          <w:szCs w:val="22"/>
        </w:rPr>
        <w:t xml:space="preserve"> δισ.), τα επιτόκια διαμορφώνονται σε πολύ χαμηλά επίπεδα (μεσοσταθμικά στο </w:t>
      </w:r>
      <w:r w:rsidR="00C747B5" w:rsidRPr="00114502">
        <w:rPr>
          <w:rFonts w:ascii="Tahoma" w:hAnsi="Tahoma" w:cs="Tahoma"/>
          <w:sz w:val="22"/>
          <w:szCs w:val="22"/>
        </w:rPr>
        <w:t>3,7</w:t>
      </w:r>
      <w:r w:rsidRPr="00114502">
        <w:rPr>
          <w:rFonts w:ascii="Tahoma" w:hAnsi="Tahoma" w:cs="Tahoma"/>
          <w:sz w:val="22"/>
          <w:szCs w:val="22"/>
        </w:rPr>
        <w:t>%</w:t>
      </w:r>
      <w:r w:rsidR="00C747B5" w:rsidRPr="00114502">
        <w:rPr>
          <w:rFonts w:ascii="Tahoma" w:hAnsi="Tahoma" w:cs="Tahoma"/>
          <w:sz w:val="22"/>
          <w:szCs w:val="22"/>
        </w:rPr>
        <w:t xml:space="preserve"> </w:t>
      </w:r>
      <w:r w:rsidRPr="00114502">
        <w:rPr>
          <w:rFonts w:ascii="Tahoma" w:hAnsi="Tahoma" w:cs="Tahoma"/>
          <w:sz w:val="22"/>
          <w:szCs w:val="22"/>
        </w:rPr>
        <w:t xml:space="preserve"> μέχρι το 2020</w:t>
      </w:r>
      <w:r w:rsidR="00C747B5" w:rsidRPr="00114502">
        <w:rPr>
          <w:rFonts w:ascii="Tahoma" w:hAnsi="Tahoma" w:cs="Tahoma"/>
          <w:sz w:val="22"/>
          <w:szCs w:val="22"/>
        </w:rPr>
        <w:t xml:space="preserve"> για το σύνολο του χρέους</w:t>
      </w:r>
      <w:r w:rsidR="00C747B5" w:rsidRPr="00114502">
        <w:rPr>
          <w:rStyle w:val="FootnoteReference"/>
          <w:sz w:val="22"/>
          <w:szCs w:val="22"/>
        </w:rPr>
        <w:footnoteReference w:id="2"/>
      </w:r>
      <w:r w:rsidRPr="00114502">
        <w:rPr>
          <w:rFonts w:ascii="Tahoma" w:hAnsi="Tahoma" w:cs="Tahoma"/>
          <w:sz w:val="22"/>
          <w:szCs w:val="22"/>
        </w:rPr>
        <w:t>), ενώ επεκτείνεται η περίοδος αποπληρωμής των νέων ομολόγων, διαμορφώνοντας έτσι τις κατάλληλες συνθήκες για την εκπόνηση ενός μακροχρόνιου, τουλάχιστον δεκαετούς, επιχειρησιακού σχεδίου</w:t>
      </w:r>
      <w:r w:rsidRPr="0080493C">
        <w:rPr>
          <w:rFonts w:ascii="Tahoma" w:hAnsi="Tahoma" w:cs="Tahoma"/>
          <w:sz w:val="22"/>
          <w:szCs w:val="22"/>
        </w:rPr>
        <w:t xml:space="preserve"> ανάταξης της οικονομίας. Το σχέδιο αυτό, που θα αποτελεί στην ουσία το νέο αναπτυξιακό και κοινωνικό πρότυπο της χώρας, πρέπει να εκπονηθεί από μία ελληνική ομάδα δράσης, ενώ η ίδια ομάδα θα παρακολουθεί την εφαρμογή του, σε συνεργασία με την τριμερή (</w:t>
      </w:r>
      <w:r w:rsidR="0079407A" w:rsidRPr="0080493C">
        <w:rPr>
          <w:rFonts w:ascii="Tahoma" w:hAnsi="Tahoma" w:cs="Tahoma"/>
          <w:sz w:val="22"/>
          <w:szCs w:val="22"/>
        </w:rPr>
        <w:t>τρόικα</w:t>
      </w:r>
      <w:r w:rsidRPr="0080493C">
        <w:rPr>
          <w:rFonts w:ascii="Tahoma" w:hAnsi="Tahoma" w:cs="Tahoma"/>
          <w:sz w:val="22"/>
          <w:szCs w:val="22"/>
        </w:rPr>
        <w:t>) και την ομάδα δράσης της Ευρωπαϊκής Επιτροπής.</w:t>
      </w:r>
    </w:p>
    <w:p w:rsidR="00C45FD3" w:rsidRPr="0080493C" w:rsidRDefault="00C45FD3" w:rsidP="00C45FD3">
      <w:pPr>
        <w:spacing w:before="240" w:after="240" w:line="312" w:lineRule="auto"/>
        <w:jc w:val="both"/>
        <w:rPr>
          <w:rFonts w:ascii="Tahoma" w:hAnsi="Tahoma" w:cs="Tahoma"/>
          <w:sz w:val="22"/>
          <w:szCs w:val="22"/>
        </w:rPr>
      </w:pPr>
      <w:r w:rsidRPr="0080493C">
        <w:rPr>
          <w:rFonts w:ascii="Tahoma" w:hAnsi="Tahoma" w:cs="Tahoma"/>
          <w:i/>
          <w:sz w:val="22"/>
          <w:szCs w:val="22"/>
        </w:rPr>
        <w:t>Δεύτερον</w:t>
      </w:r>
      <w:r w:rsidRPr="0080493C">
        <w:rPr>
          <w:rFonts w:ascii="Tahoma" w:hAnsi="Tahoma" w:cs="Tahoma"/>
          <w:sz w:val="22"/>
          <w:szCs w:val="22"/>
        </w:rPr>
        <w:t>, η αποκατάσταση της ρευστότητας του ιδιωτικού τομέα της οικονομίας. Σήμερα, οι προμηθευτές πρώτων υλών των ελληνικών επιχειρήσεων ζητούν την πληρωμή των προϊό</w:t>
      </w:r>
      <w:r w:rsidR="009C6919">
        <w:rPr>
          <w:rFonts w:ascii="Tahoma" w:hAnsi="Tahoma" w:cs="Tahoma"/>
          <w:sz w:val="22"/>
          <w:szCs w:val="22"/>
        </w:rPr>
        <w:softHyphen/>
      </w:r>
      <w:r w:rsidRPr="0080493C">
        <w:rPr>
          <w:rFonts w:ascii="Tahoma" w:hAnsi="Tahoma" w:cs="Tahoma"/>
          <w:sz w:val="22"/>
          <w:szCs w:val="22"/>
        </w:rPr>
        <w:t xml:space="preserve">ντων τους προκαταβολικά αντί των συμφωνηθέντων πιστώσεων, ενώ δυσκολεύονται να αποδεχθούν τις εγγυητικές επιστολές των τραπεζικών ιδρυμάτων της χώρας. Παράλληλα, όλοι οι διεθνείς ασφαλιστικοί οργανισμοί μειώνουν σημαντικά τις καλύψεις τους προς τους προμηθευτές των ελληνικών επιχειρήσεων. Επίσης, το Υπουργείο Οικονομικών συνεχίζει να μην αποπληρώνει εγκαίρως τις οφειλές του προς τις επιχειρήσεις, είτε αυτές είναι για ανατεθέντα έργα ή προμήθειες υλικών είτε για επιστροφές φόρου εισοδήματος και Φ.Π.Α. Τέλος, η φυγή των καταθέσεων από τις ελληνικές τράπεζες και τα προβλήματα που αυτές αντιμετωπίζουν </w:t>
      </w:r>
      <w:r>
        <w:rPr>
          <w:rFonts w:ascii="Tahoma" w:hAnsi="Tahoma" w:cs="Tahoma"/>
          <w:sz w:val="22"/>
          <w:szCs w:val="22"/>
        </w:rPr>
        <w:t xml:space="preserve">λόγω της απομείωσης της αξίας </w:t>
      </w:r>
      <w:r w:rsidRPr="0080493C">
        <w:rPr>
          <w:rFonts w:ascii="Tahoma" w:hAnsi="Tahoma" w:cs="Tahoma"/>
          <w:sz w:val="22"/>
          <w:szCs w:val="22"/>
        </w:rPr>
        <w:t xml:space="preserve">των ομολόγων του ελληνικού δημοσίου που έχουν στην κατοχή τους και της ύφεσης που επιδρά αρνητικά στην αξιολόγηση των κινδύνων του χαρτοφυλακίου των δανείων τους, οδηγούν σε μείωση των πιστώσεων προς τις επιχειρήσεις , σε απαιτήσεις ολοένα και υψηλότερων εγγυήσεων από αυτές και σε αύξηση των επιτοκίων αναχρηματοδότησής τους. Όλα αυτά οδηγούν σε δραματική συρρίκνωση τον παραγωγικό τομέα της χώρας και σε μεγάλη αύξηση της ανεργίας. Η συμφωνία για ανακεφαλαιοποίηση των ελληνικών τραπεζών με κονδύλια που μπορεί να φθάσουν τα 50 δισ. ευρώ από το νέο δάνειο των 130 δισ. ευρώ και η δυνατότητά τους να αρχίσουν να δανείζονται εκ νέου από την Ευρωπαϊκή Κεντρική Τράπεζα (ΕΚΤ) με καλύτερους όρους, μπορεί να συμβάλλει στη βελτίωση των συνθηκών ρευστότητας του ιδιωτικού τομέα της οικονομίας. Αυτό θα είναι αποτέλεσμα κυρίως της τόνωσης της εμπιστοσύνης στην οικονομία που θα οδηγήσει σε επανάκαμψη των καταθέσεων στο τραπεζικό σύστημα καθώς, </w:t>
      </w:r>
      <w:r w:rsidRPr="0080493C">
        <w:rPr>
          <w:rFonts w:ascii="Tahoma" w:hAnsi="Tahoma" w:cs="Tahoma"/>
          <w:sz w:val="22"/>
          <w:szCs w:val="22"/>
        </w:rPr>
        <w:lastRenderedPageBreak/>
        <w:t>ενδεχομένως,  και τη σταδιακή αποκατάσταση των συνθηκών χρηματοδότησης των ελληνικών τραπεζών από τις αγορές. Οι ακόλουθες προτάσεις θα μπορούσαν επίσης να συμβάλλουν στην εξυπηρέτηση του στόχου της βελτίωσης των συνθηκών ρευστότητας στην οικονομία:</w:t>
      </w:r>
    </w:p>
    <w:p w:rsidR="00C45FD3" w:rsidRPr="0080493C" w:rsidRDefault="00C45FD3" w:rsidP="0050168E">
      <w:pPr>
        <w:numPr>
          <w:ilvl w:val="0"/>
          <w:numId w:val="10"/>
        </w:numPr>
        <w:spacing w:before="240" w:after="240" w:line="312" w:lineRule="auto"/>
        <w:jc w:val="both"/>
        <w:rPr>
          <w:rFonts w:ascii="Tahoma" w:hAnsi="Tahoma" w:cs="Tahoma"/>
          <w:sz w:val="22"/>
          <w:szCs w:val="22"/>
        </w:rPr>
      </w:pPr>
      <w:r w:rsidRPr="0080493C">
        <w:rPr>
          <w:rFonts w:ascii="Tahoma" w:hAnsi="Tahoma" w:cs="Tahoma"/>
          <w:sz w:val="22"/>
          <w:szCs w:val="22"/>
        </w:rPr>
        <w:t>Διαβούλευση με την ΕΚΤ για τους τρόπους βελτίωσης της ρευστότητας των ελληνικών τραπεζών, δεδομένης και της πιστωτικής πολιτικής που έχει τελευταία υιοθετήσει η ΕΚΤ έναντι όλων των τραπεζών της Ευρωζώνης (</w:t>
      </w:r>
      <w:r w:rsidRPr="0080493C">
        <w:rPr>
          <w:rFonts w:ascii="Tahoma" w:hAnsi="Tahoma" w:cs="Tahoma"/>
          <w:sz w:val="22"/>
          <w:szCs w:val="22"/>
          <w:lang w:val="en-US"/>
        </w:rPr>
        <w:t>LTRO</w:t>
      </w:r>
      <w:r w:rsidRPr="0080493C">
        <w:rPr>
          <w:rFonts w:ascii="Tahoma" w:hAnsi="Tahoma" w:cs="Tahoma"/>
          <w:sz w:val="22"/>
          <w:szCs w:val="22"/>
        </w:rPr>
        <w:t>).</w:t>
      </w:r>
    </w:p>
    <w:p w:rsidR="00C45FD3" w:rsidRPr="0080493C" w:rsidRDefault="00C45FD3" w:rsidP="0050168E">
      <w:pPr>
        <w:numPr>
          <w:ilvl w:val="0"/>
          <w:numId w:val="10"/>
        </w:numPr>
        <w:spacing w:before="240" w:after="240" w:line="312" w:lineRule="auto"/>
        <w:jc w:val="both"/>
        <w:rPr>
          <w:rFonts w:ascii="Tahoma" w:hAnsi="Tahoma" w:cs="Tahoma"/>
          <w:sz w:val="22"/>
          <w:szCs w:val="22"/>
        </w:rPr>
      </w:pPr>
      <w:r w:rsidRPr="0080493C">
        <w:rPr>
          <w:rFonts w:ascii="Tahoma" w:hAnsi="Tahoma" w:cs="Tahoma"/>
          <w:sz w:val="22"/>
          <w:szCs w:val="22"/>
        </w:rPr>
        <w:t>Άμεση επιστροφή από το Ελληνικό Δημόσιο του Φ.Π.Α. επί των εξαγωγών.</w:t>
      </w:r>
    </w:p>
    <w:p w:rsidR="00C45FD3" w:rsidRPr="0080493C" w:rsidRDefault="00C45FD3" w:rsidP="0050168E">
      <w:pPr>
        <w:numPr>
          <w:ilvl w:val="0"/>
          <w:numId w:val="10"/>
        </w:numPr>
        <w:spacing w:before="240" w:after="240" w:line="312" w:lineRule="auto"/>
        <w:jc w:val="both"/>
        <w:rPr>
          <w:rFonts w:ascii="Tahoma" w:hAnsi="Tahoma" w:cs="Tahoma"/>
          <w:sz w:val="22"/>
          <w:szCs w:val="22"/>
        </w:rPr>
      </w:pPr>
      <w:r w:rsidRPr="0080493C">
        <w:rPr>
          <w:rFonts w:ascii="Tahoma" w:hAnsi="Tahoma" w:cs="Tahoma"/>
          <w:sz w:val="22"/>
          <w:szCs w:val="22"/>
        </w:rPr>
        <w:t xml:space="preserve">Άμεση αποπληρωμή των οφειλών του Δημοσίου προς τις ιδιωτικές επιχειρήσεις, οι οποίες ανέρχονται σε 6 δισ. ευρώ περίπου. </w:t>
      </w:r>
    </w:p>
    <w:p w:rsidR="00C45FD3" w:rsidRPr="0080493C" w:rsidRDefault="00C45FD3" w:rsidP="00C45FD3">
      <w:pPr>
        <w:spacing w:before="240" w:after="240" w:line="312" w:lineRule="auto"/>
        <w:jc w:val="both"/>
        <w:rPr>
          <w:rFonts w:ascii="Tahoma" w:hAnsi="Tahoma" w:cs="Tahoma"/>
          <w:sz w:val="22"/>
          <w:szCs w:val="22"/>
        </w:rPr>
      </w:pPr>
      <w:r w:rsidRPr="0080493C">
        <w:rPr>
          <w:rFonts w:ascii="Tahoma" w:hAnsi="Tahoma" w:cs="Tahoma"/>
          <w:i/>
          <w:sz w:val="22"/>
          <w:szCs w:val="22"/>
        </w:rPr>
        <w:t>Τρίτον</w:t>
      </w:r>
      <w:r w:rsidRPr="0080493C">
        <w:rPr>
          <w:rFonts w:ascii="Tahoma" w:hAnsi="Tahoma" w:cs="Tahoma"/>
          <w:sz w:val="22"/>
          <w:szCs w:val="22"/>
        </w:rPr>
        <w:t>, η δημιουργία ενός σταθερού φορολογικού πλαισίου με μακροχρόνιο ορίζοντα, η απλοποίηση του φορολογικού κώδικα, η αύξηση της διαφάνειας και η μείωση του γραφειοκρατικού κόστους. Η δραστική απλούστευση και ο εξορθολογισμός όλων των διαδικασιών και νόμων που διέπουν τη σχέση κράτους-επιχείρησης και κράτους πολίτη είναι βασικές προϋποθέσεις για την επανατοποθέτηση της οικονομίας σε σταθερές βάσεις.</w:t>
      </w:r>
    </w:p>
    <w:p w:rsidR="00C45FD3" w:rsidRPr="0080493C" w:rsidRDefault="00C45FD3" w:rsidP="00C45FD3">
      <w:pPr>
        <w:spacing w:before="240" w:after="240" w:line="312" w:lineRule="auto"/>
        <w:jc w:val="both"/>
        <w:rPr>
          <w:rFonts w:ascii="Tahoma" w:hAnsi="Tahoma" w:cs="Tahoma"/>
          <w:sz w:val="22"/>
          <w:szCs w:val="22"/>
        </w:rPr>
      </w:pPr>
      <w:r w:rsidRPr="0080493C">
        <w:rPr>
          <w:rFonts w:ascii="Tahoma" w:hAnsi="Tahoma" w:cs="Tahoma"/>
          <w:i/>
          <w:sz w:val="22"/>
          <w:szCs w:val="22"/>
        </w:rPr>
        <w:t>Τέταρτον</w:t>
      </w:r>
      <w:r w:rsidRPr="0080493C">
        <w:rPr>
          <w:rFonts w:ascii="Tahoma" w:hAnsi="Tahoma" w:cs="Tahoma"/>
          <w:sz w:val="22"/>
          <w:szCs w:val="22"/>
        </w:rPr>
        <w:t>, η ταχεία εφαρμογή των νόμων που ψηφίζονται και των αποφάσεων που λαμβάνονται. Πολλοί σήμερα αμφιβάλλουν αν η δημόσια διοίκηση είναι σε θέση να αντεπεξέλθει στο βάρος αυτών των καθηκόντων. Στο πλαίσιο αυτό ο ιδιωτικός τομέα θα μπορούσε να συνδράμει στην εφαρμογή ορισμένων κρίσιμων αποφάσεων (</w:t>
      </w:r>
      <w:r w:rsidRPr="0080493C">
        <w:rPr>
          <w:rFonts w:ascii="Tahoma" w:hAnsi="Tahoma" w:cs="Tahoma"/>
          <w:sz w:val="22"/>
          <w:szCs w:val="22"/>
          <w:lang w:val="en-US"/>
        </w:rPr>
        <w:t>outsourcing</w:t>
      </w:r>
      <w:r w:rsidRPr="0080493C">
        <w:rPr>
          <w:rFonts w:ascii="Tahoma" w:hAnsi="Tahoma" w:cs="Tahoma"/>
          <w:sz w:val="22"/>
          <w:szCs w:val="22"/>
        </w:rPr>
        <w:t>), ενώ η βελτίωση της αποδοτικότητας της δημόσιας διοίκησης σε μόνιμη βάση διέρχεται μέσα από το θεσμό των μόνιμων γενικών γραμματέων ή και υφυπουργών, και τον αποτελεσματικότερο συντονισμό του κυβερνητικού έργου.</w:t>
      </w:r>
    </w:p>
    <w:p w:rsidR="00690B78" w:rsidRDefault="00C45FD3" w:rsidP="00C45FD3">
      <w:pPr>
        <w:spacing w:before="240" w:after="240" w:line="312" w:lineRule="auto"/>
        <w:jc w:val="both"/>
        <w:rPr>
          <w:rFonts w:ascii="Tahoma" w:hAnsi="Tahoma" w:cs="Tahoma"/>
          <w:sz w:val="22"/>
          <w:szCs w:val="22"/>
        </w:rPr>
      </w:pPr>
      <w:r w:rsidRPr="0080493C">
        <w:rPr>
          <w:rFonts w:ascii="Tahoma" w:hAnsi="Tahoma" w:cs="Tahoma"/>
          <w:i/>
          <w:sz w:val="22"/>
          <w:szCs w:val="22"/>
        </w:rPr>
        <w:t>Πέμπτον</w:t>
      </w:r>
      <w:r w:rsidRPr="0080493C">
        <w:rPr>
          <w:rFonts w:ascii="Tahoma" w:hAnsi="Tahoma" w:cs="Tahoma"/>
          <w:sz w:val="22"/>
          <w:szCs w:val="22"/>
        </w:rPr>
        <w:t>, η δημιουργία κλίματος κοινωνικής συναίνεσης. Στις σημερινές κρίσιμες συνθήκες εκείνες οι πολιτικές και κοινωνικές δυνάμε</w:t>
      </w:r>
      <w:r>
        <w:rPr>
          <w:rFonts w:ascii="Tahoma" w:hAnsi="Tahoma" w:cs="Tahoma"/>
          <w:sz w:val="22"/>
          <w:szCs w:val="22"/>
        </w:rPr>
        <w:t xml:space="preserve">ις </w:t>
      </w:r>
      <w:r w:rsidRPr="0080493C">
        <w:rPr>
          <w:rFonts w:ascii="Tahoma" w:hAnsi="Tahoma" w:cs="Tahoma"/>
          <w:sz w:val="22"/>
          <w:szCs w:val="22"/>
        </w:rPr>
        <w:t>που θεωρούν ότι, παρά τις αντιξοότητες και τα σφάλματα που έχουν διαπραχθεί, η ακολουθούμενη οικονομ</w:t>
      </w:r>
      <w:r>
        <w:rPr>
          <w:rFonts w:ascii="Tahoma" w:hAnsi="Tahoma" w:cs="Tahoma"/>
          <w:sz w:val="22"/>
          <w:szCs w:val="22"/>
        </w:rPr>
        <w:t xml:space="preserve">ική πολιτική που στοχεύει στην </w:t>
      </w:r>
      <w:r w:rsidRPr="0080493C">
        <w:rPr>
          <w:rFonts w:ascii="Tahoma" w:hAnsi="Tahoma" w:cs="Tahoma"/>
          <w:sz w:val="22"/>
          <w:szCs w:val="22"/>
        </w:rPr>
        <w:t>ανάταξη της ελληνικής οικονομίας εντός της Ευρωζώνης είναι μονόδρομος, οφείλουν να παραμερίσουν τις διαφορές τους και να εξηγήσουν ευθαρσώς στον ελληνικό λαό ποιο είναι το διακύβευμα από μια ενδεχόμενη εγκατάλειψή της. Παράλληλα, οφείλουν να αναζητήσουν τους άξονες μιας σύγχρονης κοινωνικής πολιτικής πάνω στους οποίους θα στηριχτεί το νέο κοινωνικό πρότυπο της χώρας.</w:t>
      </w:r>
    </w:p>
    <w:p w:rsidR="00690B78" w:rsidRDefault="00690B78" w:rsidP="0050168E">
      <w:pPr>
        <w:pStyle w:val="new3"/>
        <w:numPr>
          <w:ilvl w:val="0"/>
          <w:numId w:val="4"/>
        </w:numPr>
        <w:ind w:left="284" w:hanging="284"/>
        <w:sectPr w:rsidR="00690B78" w:rsidSect="003C2DCF">
          <w:type w:val="oddPage"/>
          <w:pgSz w:w="11906" w:h="16838" w:code="9"/>
          <w:pgMar w:top="1438" w:right="1466" w:bottom="1079" w:left="1440" w:header="720" w:footer="720" w:gutter="0"/>
          <w:paperSrc w:first="15" w:other="15"/>
          <w:cols w:space="720"/>
        </w:sectPr>
      </w:pPr>
    </w:p>
    <w:p w:rsidR="00335A2D" w:rsidRPr="00335A2D" w:rsidRDefault="00F70B14" w:rsidP="0050168E">
      <w:pPr>
        <w:pStyle w:val="new3"/>
        <w:numPr>
          <w:ilvl w:val="0"/>
          <w:numId w:val="4"/>
        </w:numPr>
        <w:ind w:left="284" w:hanging="284"/>
      </w:pPr>
      <w:bookmarkStart w:id="4" w:name="_Toc320872864"/>
      <w:r w:rsidRPr="00F70B14">
        <w:lastRenderedPageBreak/>
        <w:t>ΣΥΝΟΠΤΙΚΗ ΕΠΙΣΚΟΠΗΣΗ - ΣΥΜΠΕΡΑΣΜΑΤΑ</w:t>
      </w:r>
      <w:bookmarkEnd w:id="4"/>
    </w:p>
    <w:p w:rsidR="009358D8" w:rsidRDefault="009358D8" w:rsidP="00690B78">
      <w:pPr>
        <w:spacing w:before="240" w:after="240" w:line="312" w:lineRule="auto"/>
        <w:jc w:val="both"/>
        <w:rPr>
          <w:rFonts w:ascii="Tahoma" w:hAnsi="Tahoma" w:cs="Tahoma"/>
          <w:b/>
          <w:i/>
          <w:sz w:val="22"/>
          <w:szCs w:val="22"/>
        </w:rPr>
        <w:sectPr w:rsidR="009358D8" w:rsidSect="00690B78">
          <w:type w:val="oddPage"/>
          <w:pgSz w:w="11906" w:h="16838" w:code="9"/>
          <w:pgMar w:top="1438" w:right="1466" w:bottom="1079" w:left="1440" w:header="720" w:footer="720" w:gutter="0"/>
          <w:paperSrc w:first="15" w:other="15"/>
          <w:cols w:space="720"/>
        </w:sectPr>
      </w:pPr>
      <w:bookmarkStart w:id="5" w:name="_Toc202325271"/>
      <w:bookmarkStart w:id="6" w:name="_Toc265759416"/>
    </w:p>
    <w:p w:rsidR="00001D11" w:rsidRDefault="00001D11" w:rsidP="004D6F5C">
      <w:pPr>
        <w:pStyle w:val="new2"/>
        <w:spacing w:before="240" w:line="312" w:lineRule="auto"/>
        <w:rPr>
          <w:rFonts w:cs="Tahoma"/>
          <w:b w:val="0"/>
          <w:i w:val="0"/>
        </w:rPr>
      </w:pPr>
      <w:bookmarkStart w:id="7" w:name="_Toc320872865"/>
      <w:r w:rsidRPr="004D6F5C">
        <w:lastRenderedPageBreak/>
        <w:t>Επιβράδυνση της ανάπτυξης της παγκόσμιας οικονομίας το 2012. εξαρτώμενη σε μεγάλο βαθμό από τη διαδικασία δημοσιονομικής προσαρμογής των οικονομιών της Ευρωζώνης</w:t>
      </w:r>
      <w:bookmarkEnd w:id="7"/>
      <w:r>
        <w:rPr>
          <w:rFonts w:cs="Tahoma"/>
          <w:b w:val="0"/>
          <w:i w:val="0"/>
        </w:rPr>
        <w:t xml:space="preserve"> </w:t>
      </w:r>
    </w:p>
    <w:p w:rsidR="00001D11" w:rsidRPr="003D495E" w:rsidRDefault="00001D11" w:rsidP="00001D11">
      <w:pPr>
        <w:spacing w:before="240" w:after="240" w:line="312" w:lineRule="auto"/>
        <w:jc w:val="both"/>
        <w:rPr>
          <w:rFonts w:ascii="Tahoma" w:hAnsi="Tahoma" w:cs="Tahoma"/>
          <w:b/>
          <w:sz w:val="22"/>
          <w:szCs w:val="22"/>
        </w:rPr>
      </w:pPr>
      <w:r>
        <w:rPr>
          <w:rFonts w:ascii="Tahoma" w:hAnsi="Tahoma" w:cs="Tahoma"/>
          <w:sz w:val="22"/>
          <w:szCs w:val="22"/>
        </w:rPr>
        <w:t>Η παγκόσμια οικονομία αναπτύχθηκε με χαμηλότερους ρυθμούς στο τελευταίο τρίμηνο του 2011. Η επιβράδυνση ήταν μεγαλύτερη στην Ευρωζώνη, από 1,3% το γ’ τρίμηνο σε 0,7% στο αμέσως επόμενο, αντανακλώντας τις επιδράσεις της εντατικοποίησης σε πολλά από τα κράτη-μέλη της προσπάθειας τιθάσευσης των δημοσιονομικών ανισορροπιών που δημιουργήθηκαν κατά την αντιμετώπιση της διεθνούς χρηματοπιστωτικής κρίσης. Οι ανησυχίες για εξάπλωση της δημοσιονομικής κρίσης σε άλλες χώρες τις Ευρωζώνης, πέραν της Ελλάδας, της Πορτογαλίας και της Ιρλανδίας, με αντίκτυπο στην ευρωστία του τραπεζικού τομέα, λειτούργησαν περιοριστικά στη ρευστότητα του τραπεζικού συστήματος. Σε ότι αφορά ορισμένες από τις πλέον ισχυρές οικονομίες εκτός Ευρωζώνης, η ανάπτυξη στις ΗΠΑ παρουσίασε για δεύτερο συνεχόμενο τρίμηνο στην περίοδο Οκτωβρίου-Δεκεμβρίου πέρυσι τάσεις σταθεροποίησης, στην περιοχή του 1,5%, ενώ συγκρατημένη στο ίδιο, χαμηλό επίπεδο, ήταν η ύφεση στην Ιαπωνία (</w:t>
      </w:r>
      <w:r>
        <w:rPr>
          <w:rFonts w:ascii="Tahoma" w:hAnsi="Tahoma" w:cs="Tahoma"/>
          <w:sz w:val="22"/>
          <w:szCs w:val="22"/>
        </w:rPr>
        <w:sym w:font="Symbol" w:char="F07E"/>
      </w:r>
      <w:r>
        <w:rPr>
          <w:rFonts w:ascii="Tahoma" w:hAnsi="Tahoma" w:cs="Tahoma"/>
          <w:sz w:val="22"/>
          <w:szCs w:val="22"/>
        </w:rPr>
        <w:t xml:space="preserve"> 0,5%). Οι αναπτυσσόμενες χώρες επηρεάστηκαν από τις εξελίξεις στην Ευρωζώνη, καθώς αποδυναμώθηκε η ζήτηση για τα προϊόντα τους, με αποτέλεσμα να εξασθενήσουν οι υψηλοί ρυθμοί μεγέθυνσης των οικονομιών τους. </w:t>
      </w:r>
      <w:r>
        <w:rPr>
          <w:rFonts w:ascii="Tahoma" w:hAnsi="Tahoma" w:cs="Tahoma"/>
          <w:b/>
          <w:sz w:val="22"/>
          <w:szCs w:val="22"/>
        </w:rPr>
        <w:t xml:space="preserve">Η περαιτέρω απώλεια αναπτυξιακής </w:t>
      </w:r>
      <w:r>
        <w:rPr>
          <w:rFonts w:ascii="Tahoma" w:hAnsi="Tahoma" w:cs="Tahoma"/>
          <w:b/>
          <w:sz w:val="22"/>
          <w:szCs w:val="22"/>
        </w:rPr>
        <w:lastRenderedPageBreak/>
        <w:t xml:space="preserve">δυναμικής στην παγκόσμια οικονομία </w:t>
      </w:r>
      <w:r w:rsidRPr="003D495E">
        <w:rPr>
          <w:rFonts w:ascii="Tahoma" w:hAnsi="Tahoma" w:cs="Tahoma"/>
          <w:b/>
          <w:sz w:val="22"/>
          <w:szCs w:val="22"/>
        </w:rPr>
        <w:t>στα τέλη του 2011</w:t>
      </w:r>
      <w:r>
        <w:rPr>
          <w:rFonts w:ascii="Tahoma" w:hAnsi="Tahoma" w:cs="Tahoma"/>
          <w:b/>
          <w:sz w:val="22"/>
          <w:szCs w:val="22"/>
        </w:rPr>
        <w:t>,</w:t>
      </w:r>
      <w:r w:rsidRPr="003D495E">
        <w:rPr>
          <w:rFonts w:ascii="Tahoma" w:hAnsi="Tahoma" w:cs="Tahoma"/>
          <w:b/>
          <w:sz w:val="22"/>
          <w:szCs w:val="22"/>
        </w:rPr>
        <w:t xml:space="preserve"> διαμόρφ</w:t>
      </w:r>
      <w:r>
        <w:rPr>
          <w:rFonts w:ascii="Tahoma" w:hAnsi="Tahoma" w:cs="Tahoma"/>
          <w:b/>
          <w:sz w:val="22"/>
          <w:szCs w:val="22"/>
        </w:rPr>
        <w:t xml:space="preserve">ωσε τη μεγέθυνση του </w:t>
      </w:r>
      <w:r w:rsidRPr="003D495E">
        <w:rPr>
          <w:rFonts w:ascii="Tahoma" w:hAnsi="Tahoma" w:cs="Tahoma"/>
          <w:b/>
          <w:sz w:val="22"/>
          <w:szCs w:val="22"/>
        </w:rPr>
        <w:t xml:space="preserve">ΑΕΠ </w:t>
      </w:r>
      <w:r>
        <w:rPr>
          <w:rFonts w:ascii="Tahoma" w:hAnsi="Tahoma" w:cs="Tahoma"/>
          <w:b/>
          <w:sz w:val="22"/>
          <w:szCs w:val="22"/>
        </w:rPr>
        <w:t xml:space="preserve">της </w:t>
      </w:r>
      <w:r w:rsidRPr="003D495E">
        <w:rPr>
          <w:rFonts w:ascii="Tahoma" w:hAnsi="Tahoma" w:cs="Tahoma"/>
          <w:b/>
          <w:sz w:val="22"/>
          <w:szCs w:val="22"/>
        </w:rPr>
        <w:t>στο σύνολο του περασμένου χρόνου στο 3,8%, από 6,2% το 2010.</w:t>
      </w:r>
    </w:p>
    <w:p w:rsidR="00001D11" w:rsidRPr="00884F05" w:rsidRDefault="00001D11" w:rsidP="00001D11">
      <w:pPr>
        <w:spacing w:before="240" w:after="240" w:line="312" w:lineRule="auto"/>
        <w:jc w:val="both"/>
        <w:rPr>
          <w:rFonts w:ascii="Tahoma" w:hAnsi="Tahoma" w:cs="Tahoma"/>
          <w:sz w:val="22"/>
          <w:szCs w:val="22"/>
        </w:rPr>
      </w:pPr>
      <w:r>
        <w:rPr>
          <w:rFonts w:ascii="Tahoma" w:hAnsi="Tahoma" w:cs="Tahoma"/>
          <w:sz w:val="22"/>
          <w:szCs w:val="22"/>
        </w:rPr>
        <w:t>Οι τάσεις που επικράτησαν στην παγκόσμια οικονομία κατά το δεύτερο εξάμηνο του 2011 θα διατηρηθούν και θα κλιμακωθούν το 2012. Η επιβράδυνση της ανάπτυξης στην Ευρωζώνη</w:t>
      </w:r>
      <w:r w:rsidRPr="00F14AC2">
        <w:rPr>
          <w:rFonts w:ascii="Tahoma" w:hAnsi="Tahoma" w:cs="Tahoma"/>
          <w:sz w:val="22"/>
          <w:szCs w:val="22"/>
        </w:rPr>
        <w:t xml:space="preserve"> </w:t>
      </w:r>
      <w:r>
        <w:rPr>
          <w:rFonts w:ascii="Tahoma" w:hAnsi="Tahoma" w:cs="Tahoma"/>
          <w:sz w:val="22"/>
          <w:szCs w:val="22"/>
        </w:rPr>
        <w:t xml:space="preserve">κατά πάσα πιθανότητα θα συνεχιστεί και θα επιταχυνθεί, εξαιτίας της εντονότερης προσπάθειας δημοσιονομικής προσαρμογής αλλά και της ηπιότερης αύξησης της ζήτησης από τις αναπτυσσόμενες οικονομίες, οδηγώντας σε ύφεση, μικρής έκτασης (-0,3% με -0,5%), βάσει των πρόσφατων σχετικών εκτιμήσεων διεθνών οργανισμών (Ευρωπαϊκή Επιτροπή, ΔΝΤ). Η συρρίκνωση της οικονομικής δραστηριότητας δεν θα επιτρέψει την υποχώρηση της ανεργίας, που παρέμεινε πέρυσι σε οριακά διψήφιο ποσοστό. Η ανερχόμενη εγχώρια ζήτηση στις ΗΠΑ θα αναχαιτίσει σε μεγάλο βαθμό τις επιπτώσεις της μείωσης του ΑΕΠ στην Ευρωζώνη στην οικονομία τους, προέρχεται όμως σε μεγάλο βαθμό από δημοσιονομικές παρεμβάσεις που διατηρούν το έλλειμμα του κρατικού προϋπολογισμού σε υψηλά επίπεδα. Επιστροφή στην ανάπτυξη φαίνεται να επιτυγχάνει η Ιαπωνία, παρά το ισχυρό πλήγμα που δέχτηκε από το σεισμό πριν ένα χρόνο. Σε ότι αφορά τις αναπτυσσόμενες χώρες, εκτός από τον αντίκτυπο από την κάμψη της προερχόμενης από την Ευρωζώνη </w:t>
      </w:r>
      <w:r>
        <w:rPr>
          <w:rFonts w:ascii="Tahoma" w:hAnsi="Tahoma" w:cs="Tahoma"/>
          <w:sz w:val="22"/>
          <w:szCs w:val="22"/>
        </w:rPr>
        <w:lastRenderedPageBreak/>
        <w:t>ζήτησης, οι οικονομίες τους θα επηρεαστούν</w:t>
      </w:r>
      <w:r w:rsidRPr="00930633">
        <w:rPr>
          <w:rFonts w:ascii="Tahoma" w:hAnsi="Tahoma" w:cs="Tahoma"/>
          <w:sz w:val="22"/>
          <w:szCs w:val="22"/>
        </w:rPr>
        <w:t xml:space="preserve"> </w:t>
      </w:r>
      <w:r>
        <w:rPr>
          <w:rFonts w:ascii="Tahoma" w:hAnsi="Tahoma" w:cs="Tahoma"/>
          <w:sz w:val="22"/>
          <w:szCs w:val="22"/>
        </w:rPr>
        <w:t xml:space="preserve">και από την αποδυνάμωση της ανόδου της εγχώριας ζήτησης που αναμένεται να σημειωθεί σε πολλές από αυτές. </w:t>
      </w:r>
      <w:r>
        <w:rPr>
          <w:rFonts w:ascii="Tahoma" w:hAnsi="Tahoma" w:cs="Tahoma"/>
          <w:b/>
          <w:sz w:val="22"/>
          <w:szCs w:val="22"/>
        </w:rPr>
        <w:t>Οι εξελίξεις στις κύριες οικονομικά χώρες και</w:t>
      </w:r>
      <w:r w:rsidRPr="00AB1948">
        <w:rPr>
          <w:rFonts w:ascii="Tahoma" w:hAnsi="Tahoma" w:cs="Tahoma"/>
          <w:b/>
          <w:sz w:val="22"/>
          <w:szCs w:val="22"/>
        </w:rPr>
        <w:t xml:space="preserve"> ζώνες που μόλις περιγράφηκαν, προβλέπεται να διαμορφώσουν το ρυθμό ανάπτυξης της παγκόσμιας οικονομίας στο 3,3% το 2012, </w:t>
      </w:r>
      <w:r>
        <w:rPr>
          <w:rFonts w:ascii="Tahoma" w:hAnsi="Tahoma" w:cs="Tahoma"/>
          <w:b/>
          <w:sz w:val="22"/>
          <w:szCs w:val="22"/>
        </w:rPr>
        <w:t>ο οποίος</w:t>
      </w:r>
      <w:r w:rsidRPr="00AB1948">
        <w:rPr>
          <w:rFonts w:ascii="Tahoma" w:hAnsi="Tahoma" w:cs="Tahoma"/>
          <w:b/>
          <w:sz w:val="22"/>
          <w:szCs w:val="22"/>
        </w:rPr>
        <w:t xml:space="preserve"> είναι σαφώς χαμηλότερος του 4,0% που ήταν η αντίστοιχη εκτίμηση στα τέλη του 2011.</w:t>
      </w:r>
      <w:r>
        <w:rPr>
          <w:rFonts w:ascii="Tahoma" w:hAnsi="Tahoma" w:cs="Tahoma"/>
          <w:sz w:val="22"/>
          <w:szCs w:val="22"/>
        </w:rPr>
        <w:t xml:space="preserve"> </w:t>
      </w:r>
    </w:p>
    <w:p w:rsidR="00001D11" w:rsidRPr="004D6F5C" w:rsidRDefault="00001D11" w:rsidP="004D6F5C">
      <w:pPr>
        <w:pStyle w:val="new2"/>
        <w:spacing w:before="240" w:line="312" w:lineRule="auto"/>
      </w:pPr>
      <w:r w:rsidRPr="004D6F5C">
        <w:t xml:space="preserve"> </w:t>
      </w:r>
      <w:bookmarkStart w:id="8" w:name="_Toc320872866"/>
      <w:r w:rsidRPr="004D6F5C">
        <w:t>Σημαντική κλιμάκωση της ύφεσης στην Ελλάδα το 2011</w:t>
      </w:r>
      <w:bookmarkEnd w:id="8"/>
    </w:p>
    <w:p w:rsidR="00001D11" w:rsidRPr="008762D6" w:rsidRDefault="00001D11" w:rsidP="00001D11">
      <w:pPr>
        <w:tabs>
          <w:tab w:val="left" w:pos="4140"/>
        </w:tabs>
        <w:autoSpaceDE w:val="0"/>
        <w:autoSpaceDN w:val="0"/>
        <w:adjustRightInd w:val="0"/>
        <w:spacing w:before="240" w:after="240" w:line="312" w:lineRule="auto"/>
        <w:ind w:right="-180"/>
        <w:jc w:val="both"/>
        <w:rPr>
          <w:rFonts w:ascii="Tahoma" w:hAnsi="Tahoma" w:cs="Tahoma"/>
          <w:b/>
          <w:sz w:val="22"/>
          <w:szCs w:val="22"/>
        </w:rPr>
      </w:pPr>
      <w:r>
        <w:rPr>
          <w:rFonts w:ascii="Tahoma" w:hAnsi="Tahoma" w:cs="Tahoma"/>
          <w:sz w:val="22"/>
          <w:szCs w:val="22"/>
        </w:rPr>
        <w:t>Η πτώση του ΑΕΠ της ελληνικής οικονομίας διευρύνθηκε εκ νέου στο τέταρτο τρίμηνο του 2011, φθάνοντας το 7,5%. Η κλιμάκωση της ύφεσης</w:t>
      </w:r>
      <w:r w:rsidRPr="00804203">
        <w:rPr>
          <w:rFonts w:ascii="Tahoma" w:hAnsi="Tahoma" w:cs="Tahoma"/>
          <w:sz w:val="22"/>
          <w:szCs w:val="22"/>
        </w:rPr>
        <w:t xml:space="preserve"> προήλθε</w:t>
      </w:r>
      <w:r>
        <w:rPr>
          <w:rFonts w:ascii="Tahoma" w:hAnsi="Tahoma" w:cs="Tahoma"/>
          <w:sz w:val="22"/>
          <w:szCs w:val="22"/>
        </w:rPr>
        <w:t xml:space="preserve"> από εξελίξεις που επηρέασαν πραγματικά οικονομικά μεγέθη, αλλά και από την έντονη επιδείνωση του εγχώριου κοινωνικοπολιτικού κλίματος. Πιο συγκεκριμένα, η εγχώρια ζήτηση δέχτηκε σημαντικές πιέσεις, πρώτον από την πλήρη εφαρμογή των δημοσιονομικών μέτρων που λήφθηκαν από τα μέσα και μετά του προηγούμενου έτους, κυρίως όσων επέφεραν μείωση του διαθέσιμου εισοδήματος των νοικοκυριών (αύξηση άμεσης φορολογίας, περικοπές συντάξεων, ενιαίο μισθολόγιο στο δημόσιο τομέα, τέλος ηλεκτροδοτούμενων δομημένων επιφανειών κ.λπ.), δεύτερον από την απότομη άνοδο της ανεργίας. Από την άλλη πλευρά, ο</w:t>
      </w:r>
      <w:r w:rsidRPr="007E644D">
        <w:rPr>
          <w:rFonts w:ascii="Tahoma" w:hAnsi="Tahoma" w:cs="Tahoma"/>
          <w:sz w:val="22"/>
          <w:szCs w:val="22"/>
        </w:rPr>
        <w:t>ι κλυδωνισμοί σε κυβερνητικό επίπεδο</w:t>
      </w:r>
      <w:r>
        <w:rPr>
          <w:rFonts w:ascii="Tahoma" w:hAnsi="Tahoma" w:cs="Tahoma"/>
          <w:sz w:val="22"/>
          <w:szCs w:val="22"/>
        </w:rPr>
        <w:t xml:space="preserve"> και οι μετέπειτα εγχώριες πολιτικές εξελίξεις</w:t>
      </w:r>
      <w:r w:rsidRPr="007E644D">
        <w:rPr>
          <w:rFonts w:ascii="Tahoma" w:hAnsi="Tahoma" w:cs="Tahoma"/>
          <w:sz w:val="22"/>
          <w:szCs w:val="22"/>
        </w:rPr>
        <w:t xml:space="preserve"> </w:t>
      </w:r>
      <w:r>
        <w:rPr>
          <w:rFonts w:ascii="Tahoma" w:hAnsi="Tahoma" w:cs="Tahoma"/>
          <w:sz w:val="22"/>
          <w:szCs w:val="22"/>
        </w:rPr>
        <w:t xml:space="preserve">για το </w:t>
      </w:r>
      <w:r w:rsidRPr="007E644D">
        <w:rPr>
          <w:rFonts w:ascii="Tahoma" w:hAnsi="Tahoma" w:cs="Tahoma"/>
          <w:sz w:val="22"/>
          <w:szCs w:val="22"/>
        </w:rPr>
        <w:t>σχηματ</w:t>
      </w:r>
      <w:r>
        <w:rPr>
          <w:rFonts w:ascii="Tahoma" w:hAnsi="Tahoma" w:cs="Tahoma"/>
          <w:sz w:val="22"/>
          <w:szCs w:val="22"/>
        </w:rPr>
        <w:t xml:space="preserve">ισμό πολυκομματικής κυβέρνησης, </w:t>
      </w:r>
      <w:r w:rsidRPr="007E644D">
        <w:rPr>
          <w:rFonts w:ascii="Tahoma" w:hAnsi="Tahoma" w:cs="Tahoma"/>
          <w:sz w:val="22"/>
          <w:szCs w:val="22"/>
        </w:rPr>
        <w:t>οι παρατεταμένες διαβουλεύσ</w:t>
      </w:r>
      <w:r>
        <w:rPr>
          <w:rFonts w:ascii="Tahoma" w:hAnsi="Tahoma" w:cs="Tahoma"/>
          <w:sz w:val="22"/>
          <w:szCs w:val="22"/>
        </w:rPr>
        <w:t xml:space="preserve">εις για τους όρους ανταλλαγής των ελληνικών </w:t>
      </w:r>
      <w:r>
        <w:rPr>
          <w:rFonts w:ascii="Tahoma" w:hAnsi="Tahoma" w:cs="Tahoma"/>
          <w:sz w:val="22"/>
          <w:szCs w:val="22"/>
        </w:rPr>
        <w:lastRenderedPageBreak/>
        <w:t>ομολόγων, καθώς και για τη νέα δανειακή σύμβαση με την τρόικα</w:t>
      </w:r>
      <w:r w:rsidRPr="007E644D">
        <w:rPr>
          <w:rFonts w:ascii="Tahoma" w:hAnsi="Tahoma" w:cs="Tahoma"/>
          <w:sz w:val="22"/>
          <w:szCs w:val="22"/>
        </w:rPr>
        <w:t xml:space="preserve">, </w:t>
      </w:r>
      <w:r>
        <w:rPr>
          <w:rFonts w:ascii="Tahoma" w:hAnsi="Tahoma" w:cs="Tahoma"/>
          <w:sz w:val="22"/>
          <w:szCs w:val="22"/>
        </w:rPr>
        <w:t xml:space="preserve">ενίσχυσαν την αβεβαιότητα και την ανησυχία στο εσωτερικό της χώρας για την πορεία της στο αμέσως επόμενο διάστημα. </w:t>
      </w:r>
      <w:r w:rsidRPr="008762D6">
        <w:rPr>
          <w:rFonts w:ascii="Tahoma" w:hAnsi="Tahoma" w:cs="Tahoma"/>
          <w:b/>
          <w:sz w:val="22"/>
          <w:szCs w:val="22"/>
        </w:rPr>
        <w:t xml:space="preserve">Ως αποτέλεσμα της ισχυροποίησης της πτωτικής τάσης του ΑΕΠ από τους παραπάνω παράγοντες στο τελευταίο τρίμηνο του 2011, η υποχώρησή του στο σύνολο του προηγούμενου έτους διαμορφώθηκε στο 6,9%, μείωση που είναι διπλάσια εκείνης το 2010 (-3,5%). Εξαιτίας της συνεχούς ύφεσης από το 2009, το εγχώριο προϊόν της Ελλάδας παρουσιάζει σωρευτική συρρίκνωση στην τριετία 2009-2011 κατά 13,1%. </w:t>
      </w:r>
    </w:p>
    <w:p w:rsidR="00001D11" w:rsidRDefault="00001D11" w:rsidP="00001D11">
      <w:pPr>
        <w:tabs>
          <w:tab w:val="left" w:pos="4140"/>
        </w:tabs>
        <w:autoSpaceDE w:val="0"/>
        <w:autoSpaceDN w:val="0"/>
        <w:adjustRightInd w:val="0"/>
        <w:spacing w:before="240" w:after="240" w:line="312" w:lineRule="auto"/>
        <w:ind w:right="-180"/>
        <w:jc w:val="both"/>
        <w:rPr>
          <w:rFonts w:ascii="Tahoma" w:hAnsi="Tahoma" w:cs="Tahoma"/>
          <w:sz w:val="22"/>
          <w:szCs w:val="22"/>
        </w:rPr>
      </w:pPr>
      <w:r>
        <w:rPr>
          <w:rFonts w:ascii="Tahoma" w:hAnsi="Tahoma" w:cs="Tahoma"/>
          <w:sz w:val="22"/>
          <w:szCs w:val="22"/>
        </w:rPr>
        <w:t xml:space="preserve">Αναλύοντας τις βασικές συνιστώσες </w:t>
      </w:r>
      <w:r w:rsidRPr="00162991">
        <w:rPr>
          <w:rFonts w:ascii="Tahoma" w:hAnsi="Tahoma" w:cs="Tahoma"/>
          <w:sz w:val="22"/>
          <w:szCs w:val="22"/>
        </w:rPr>
        <w:t>του ΑΕΠ</w:t>
      </w:r>
      <w:r>
        <w:rPr>
          <w:rFonts w:ascii="Tahoma" w:hAnsi="Tahoma" w:cs="Tahoma"/>
          <w:sz w:val="22"/>
          <w:szCs w:val="22"/>
        </w:rPr>
        <w:t xml:space="preserve"> το 2011, η πτώση</w:t>
      </w:r>
      <w:r w:rsidRPr="00162991">
        <w:rPr>
          <w:rFonts w:ascii="Tahoma" w:hAnsi="Tahoma" w:cs="Tahoma"/>
          <w:sz w:val="22"/>
          <w:szCs w:val="22"/>
        </w:rPr>
        <w:t xml:space="preserve"> της ιδιωτικής κατανάλωσης ήταν για δεύτερο συνεχή χρόνο ο </w:t>
      </w:r>
      <w:r>
        <w:rPr>
          <w:rFonts w:ascii="Tahoma" w:hAnsi="Tahoma" w:cs="Tahoma"/>
          <w:sz w:val="22"/>
          <w:szCs w:val="22"/>
        </w:rPr>
        <w:t>κύριος παράγοντας που συνέβαλε στη μεγάλη μείωσή του, φθάνοντας το 7,1%,</w:t>
      </w:r>
      <w:r w:rsidRPr="00162991">
        <w:rPr>
          <w:rFonts w:ascii="Tahoma" w:hAnsi="Tahoma" w:cs="Tahoma"/>
          <w:sz w:val="22"/>
          <w:szCs w:val="22"/>
        </w:rPr>
        <w:t xml:space="preserve"> </w:t>
      </w:r>
      <w:r>
        <w:rPr>
          <w:rFonts w:ascii="Tahoma" w:hAnsi="Tahoma" w:cs="Tahoma"/>
          <w:sz w:val="22"/>
          <w:szCs w:val="22"/>
        </w:rPr>
        <w:t>ποσοστιαία μεταβολή παραπλήσια με αυτή του</w:t>
      </w:r>
      <w:r w:rsidRPr="00162991">
        <w:rPr>
          <w:rFonts w:ascii="Tahoma" w:hAnsi="Tahoma" w:cs="Tahoma"/>
          <w:sz w:val="22"/>
          <w:szCs w:val="22"/>
        </w:rPr>
        <w:t xml:space="preserve"> ΑΕΠ</w:t>
      </w:r>
      <w:r>
        <w:rPr>
          <w:rFonts w:ascii="Tahoma" w:hAnsi="Tahoma" w:cs="Tahoma"/>
          <w:sz w:val="22"/>
          <w:szCs w:val="22"/>
        </w:rPr>
        <w:t>.</w:t>
      </w:r>
      <w:r w:rsidRPr="00162991">
        <w:rPr>
          <w:rFonts w:ascii="Tahoma" w:hAnsi="Tahoma" w:cs="Tahoma"/>
          <w:sz w:val="22"/>
          <w:szCs w:val="22"/>
        </w:rPr>
        <w:t xml:space="preserve"> </w:t>
      </w:r>
      <w:r>
        <w:rPr>
          <w:rFonts w:ascii="Tahoma" w:hAnsi="Tahoma" w:cs="Tahoma"/>
          <w:sz w:val="22"/>
          <w:szCs w:val="22"/>
        </w:rPr>
        <w:t>Μεγαλύτερη αναλογικά, αν και μικρότερη ως απόλυτο μέγεθος, ήταν η περικοπή</w:t>
      </w:r>
      <w:r w:rsidRPr="00162991">
        <w:rPr>
          <w:rFonts w:ascii="Tahoma" w:hAnsi="Tahoma" w:cs="Tahoma"/>
          <w:sz w:val="22"/>
          <w:szCs w:val="22"/>
        </w:rPr>
        <w:t xml:space="preserve"> της δημόσιας κατανάλωσης,</w:t>
      </w:r>
      <w:r>
        <w:rPr>
          <w:rFonts w:ascii="Tahoma" w:hAnsi="Tahoma" w:cs="Tahoma"/>
          <w:sz w:val="22"/>
          <w:szCs w:val="22"/>
        </w:rPr>
        <w:t xml:space="preserve"> ξεπερνώντας το 9,0%, από 7,2% το 2010</w:t>
      </w:r>
      <w:r w:rsidRPr="00162991">
        <w:rPr>
          <w:rFonts w:ascii="Tahoma" w:hAnsi="Tahoma" w:cs="Tahoma"/>
          <w:sz w:val="22"/>
          <w:szCs w:val="22"/>
        </w:rPr>
        <w:t xml:space="preserve">. </w:t>
      </w:r>
      <w:r>
        <w:rPr>
          <w:rFonts w:ascii="Tahoma" w:hAnsi="Tahoma" w:cs="Tahoma"/>
          <w:sz w:val="22"/>
          <w:szCs w:val="22"/>
        </w:rPr>
        <w:t xml:space="preserve">Στο πεδίο των επενδύσεων, ο ρυθμός υποχώρησής τους ήταν </w:t>
      </w:r>
      <w:r w:rsidRPr="0091319A">
        <w:rPr>
          <w:rFonts w:ascii="Tahoma" w:hAnsi="Tahoma" w:cs="Tahoma"/>
          <w:sz w:val="22"/>
          <w:szCs w:val="22"/>
        </w:rPr>
        <w:t>διψήφιο</w:t>
      </w:r>
      <w:r>
        <w:rPr>
          <w:rFonts w:ascii="Tahoma" w:hAnsi="Tahoma" w:cs="Tahoma"/>
          <w:sz w:val="22"/>
          <w:szCs w:val="22"/>
        </w:rPr>
        <w:t xml:space="preserve">ς, </w:t>
      </w:r>
      <w:r w:rsidRPr="0091319A">
        <w:rPr>
          <w:rFonts w:ascii="Tahoma" w:hAnsi="Tahoma" w:cs="Tahoma"/>
          <w:bCs/>
          <w:sz w:val="22"/>
          <w:szCs w:val="22"/>
        </w:rPr>
        <w:t>14,4%</w:t>
      </w:r>
      <w:r>
        <w:rPr>
          <w:rFonts w:ascii="Tahoma" w:hAnsi="Tahoma" w:cs="Tahoma"/>
          <w:bCs/>
          <w:sz w:val="22"/>
          <w:szCs w:val="22"/>
        </w:rPr>
        <w:t>,</w:t>
      </w:r>
      <w:r w:rsidRPr="0091319A">
        <w:rPr>
          <w:rFonts w:ascii="Tahoma" w:hAnsi="Tahoma" w:cs="Tahoma"/>
          <w:bCs/>
          <w:sz w:val="22"/>
          <w:szCs w:val="22"/>
        </w:rPr>
        <w:t xml:space="preserve"> ελαφρά υψηλότερος</w:t>
      </w:r>
      <w:r>
        <w:rPr>
          <w:rFonts w:ascii="Tahoma" w:hAnsi="Tahoma" w:cs="Tahoma"/>
          <w:bCs/>
          <w:sz w:val="22"/>
          <w:szCs w:val="22"/>
        </w:rPr>
        <w:t xml:space="preserve"> από τον αντίστοιχο</w:t>
      </w:r>
      <w:r w:rsidRPr="0091319A">
        <w:rPr>
          <w:rFonts w:ascii="Tahoma" w:hAnsi="Tahoma" w:cs="Tahoma"/>
          <w:bCs/>
          <w:sz w:val="22"/>
          <w:szCs w:val="22"/>
        </w:rPr>
        <w:t xml:space="preserve"> του 2010 (-13,3%)</w:t>
      </w:r>
      <w:r w:rsidRPr="0091319A">
        <w:rPr>
          <w:rFonts w:ascii="Tahoma" w:hAnsi="Tahoma" w:cs="Tahoma"/>
          <w:sz w:val="22"/>
          <w:szCs w:val="22"/>
        </w:rPr>
        <w:t>.</w:t>
      </w:r>
      <w:r w:rsidRPr="00162991">
        <w:rPr>
          <w:rFonts w:ascii="Tahoma" w:hAnsi="Tahoma" w:cs="Tahoma"/>
          <w:sz w:val="22"/>
          <w:szCs w:val="22"/>
        </w:rPr>
        <w:t xml:space="preserve"> </w:t>
      </w:r>
      <w:r w:rsidRPr="0091319A">
        <w:rPr>
          <w:rFonts w:ascii="Tahoma" w:hAnsi="Tahoma" w:cs="Tahoma"/>
          <w:bCs/>
          <w:sz w:val="22"/>
          <w:szCs w:val="22"/>
        </w:rPr>
        <w:t>Στο σύνολο των ετών 2008-2011, οι επενδυτικές δαπάνες έχουν περιοριστεί κατά 50%, α</w:t>
      </w:r>
      <w:r>
        <w:rPr>
          <w:rFonts w:ascii="Tahoma" w:hAnsi="Tahoma" w:cs="Tahoma"/>
          <w:bCs/>
          <w:sz w:val="22"/>
          <w:szCs w:val="22"/>
        </w:rPr>
        <w:t>πό τα € 54 δισ. στα € 27 δισ</w:t>
      </w:r>
      <w:r w:rsidRPr="0091319A">
        <w:rPr>
          <w:rFonts w:ascii="Tahoma" w:hAnsi="Tahoma" w:cs="Tahoma"/>
          <w:bCs/>
          <w:sz w:val="22"/>
          <w:szCs w:val="22"/>
        </w:rPr>
        <w:t>.</w:t>
      </w:r>
      <w:r>
        <w:rPr>
          <w:rFonts w:ascii="Tahoma" w:hAnsi="Tahoma" w:cs="Tahoma"/>
          <w:bCs/>
          <w:sz w:val="22"/>
          <w:szCs w:val="22"/>
        </w:rPr>
        <w:t>.</w:t>
      </w:r>
      <w:r w:rsidRPr="0091319A">
        <w:rPr>
          <w:rFonts w:ascii="Tahoma" w:hAnsi="Tahoma" w:cs="Tahoma"/>
          <w:bCs/>
          <w:sz w:val="22"/>
          <w:szCs w:val="22"/>
        </w:rPr>
        <w:t xml:space="preserve"> </w:t>
      </w:r>
      <w:r w:rsidRPr="00162991">
        <w:rPr>
          <w:rFonts w:ascii="Tahoma" w:hAnsi="Tahoma" w:cs="Tahoma"/>
          <w:sz w:val="22"/>
          <w:szCs w:val="22"/>
        </w:rPr>
        <w:t xml:space="preserve">Εν μέρει αντισταθμιστικά στις παραπάνω περιοριστικές επιδράσεις στο ΑΕΠ λειτούργησε και το 2011 το αποτέλεσμα του </w:t>
      </w:r>
      <w:r>
        <w:rPr>
          <w:rFonts w:ascii="Tahoma" w:hAnsi="Tahoma" w:cs="Tahoma"/>
          <w:sz w:val="22"/>
          <w:szCs w:val="22"/>
        </w:rPr>
        <w:t>εξωτερικού τομέα της οικονομίας</w:t>
      </w:r>
      <w:r w:rsidRPr="0091319A">
        <w:rPr>
          <w:rFonts w:ascii="Tahoma" w:hAnsi="Tahoma" w:cs="Tahoma"/>
          <w:sz w:val="22"/>
          <w:szCs w:val="22"/>
        </w:rPr>
        <w:t>:</w:t>
      </w:r>
      <w:r>
        <w:rPr>
          <w:rFonts w:ascii="Tahoma" w:hAnsi="Tahoma" w:cs="Tahoma"/>
          <w:sz w:val="22"/>
          <w:szCs w:val="22"/>
        </w:rPr>
        <w:t xml:space="preserve"> το έλλειμμά του</w:t>
      </w:r>
      <w:r w:rsidRPr="00162991">
        <w:rPr>
          <w:rFonts w:ascii="Tahoma" w:hAnsi="Tahoma" w:cs="Tahoma"/>
          <w:sz w:val="22"/>
          <w:szCs w:val="22"/>
        </w:rPr>
        <w:t xml:space="preserve"> σε εθνικολογιστικούς όρους, ως ποσοστό του ΑΕΠ, ήταν το 2011 περίπου το μισό του 2008</w:t>
      </w:r>
      <w:r>
        <w:rPr>
          <w:rFonts w:ascii="Tahoma" w:hAnsi="Tahoma" w:cs="Tahoma"/>
          <w:sz w:val="22"/>
          <w:szCs w:val="22"/>
        </w:rPr>
        <w:t>,</w:t>
      </w:r>
      <w:r w:rsidRPr="0091319A">
        <w:rPr>
          <w:rFonts w:ascii="Tahoma" w:hAnsi="Tahoma" w:cs="Tahoma"/>
          <w:sz w:val="22"/>
          <w:szCs w:val="22"/>
        </w:rPr>
        <w:t xml:space="preserve"> 6,</w:t>
      </w:r>
      <w:r w:rsidR="004D6F5C">
        <w:rPr>
          <w:rFonts w:ascii="Tahoma" w:hAnsi="Tahoma" w:cs="Tahoma"/>
          <w:sz w:val="22"/>
          <w:szCs w:val="22"/>
        </w:rPr>
        <w:t>7</w:t>
      </w:r>
      <w:r w:rsidRPr="0091319A">
        <w:rPr>
          <w:rFonts w:ascii="Tahoma" w:hAnsi="Tahoma" w:cs="Tahoma"/>
          <w:sz w:val="22"/>
          <w:szCs w:val="22"/>
        </w:rPr>
        <w:t>%</w:t>
      </w:r>
      <w:r>
        <w:rPr>
          <w:rFonts w:ascii="Tahoma" w:hAnsi="Tahoma" w:cs="Tahoma"/>
          <w:sz w:val="22"/>
          <w:szCs w:val="22"/>
        </w:rPr>
        <w:t xml:space="preserve"> έναντι 14,1%</w:t>
      </w:r>
      <w:r w:rsidRPr="00162991">
        <w:rPr>
          <w:rFonts w:ascii="Tahoma" w:hAnsi="Tahoma" w:cs="Tahoma"/>
          <w:sz w:val="22"/>
          <w:szCs w:val="22"/>
        </w:rPr>
        <w:t xml:space="preserve">. </w:t>
      </w:r>
    </w:p>
    <w:p w:rsidR="00001D11" w:rsidRPr="004D6F5C" w:rsidRDefault="00001D11" w:rsidP="004D6F5C">
      <w:pPr>
        <w:pStyle w:val="new2"/>
        <w:spacing w:before="240" w:line="312" w:lineRule="auto"/>
      </w:pPr>
      <w:bookmarkStart w:id="9" w:name="_Toc320872867"/>
      <w:r w:rsidRPr="004D6F5C">
        <w:lastRenderedPageBreak/>
        <w:t>Ισχυρός αντίκτυπος της ύφεσης το 2011 σε σημαντικούς τομείς της ελληνικής οικονομίας</w:t>
      </w:r>
      <w:bookmarkEnd w:id="9"/>
    </w:p>
    <w:p w:rsidR="00001D11" w:rsidRPr="007E07C8" w:rsidRDefault="00001D11" w:rsidP="00001D11">
      <w:pPr>
        <w:spacing w:before="240" w:after="240" w:line="312" w:lineRule="auto"/>
        <w:jc w:val="both"/>
        <w:rPr>
          <w:rFonts w:ascii="Tahoma" w:hAnsi="Tahoma" w:cs="Tahoma"/>
          <w:sz w:val="22"/>
          <w:szCs w:val="22"/>
        </w:rPr>
      </w:pPr>
      <w:r>
        <w:rPr>
          <w:rFonts w:ascii="Tahoma" w:hAnsi="Tahoma" w:cs="Tahoma"/>
          <w:sz w:val="22"/>
          <w:szCs w:val="22"/>
        </w:rPr>
        <w:t xml:space="preserve">Η συνέχιση της μείωσης του ΑΕΠ το προηγούμενο έτος, με ταχύτερο ρυθμό από ότι το 2010, είχε αντίστοιχα αποτελέσματα στην παραγωγική δραστηριότητα βασικών τομέων της ελληνικής οικονομίας. </w:t>
      </w:r>
      <w:r w:rsidRPr="008762D6">
        <w:rPr>
          <w:rFonts w:ascii="Tahoma" w:hAnsi="Tahoma" w:cs="Tahoma"/>
          <w:sz w:val="22"/>
          <w:szCs w:val="22"/>
        </w:rPr>
        <w:t xml:space="preserve">Η </w:t>
      </w:r>
      <w:r>
        <w:rPr>
          <w:rFonts w:ascii="Tahoma" w:hAnsi="Tahoma" w:cs="Tahoma"/>
          <w:sz w:val="22"/>
          <w:szCs w:val="22"/>
        </w:rPr>
        <w:t>βιομηχανική παραγωγή</w:t>
      </w:r>
      <w:r w:rsidRPr="008762D6">
        <w:rPr>
          <w:rFonts w:ascii="Tahoma" w:hAnsi="Tahoma" w:cs="Tahoma"/>
          <w:sz w:val="22"/>
          <w:szCs w:val="22"/>
        </w:rPr>
        <w:t xml:space="preserve"> </w:t>
      </w:r>
      <w:r>
        <w:rPr>
          <w:rFonts w:ascii="Tahoma" w:hAnsi="Tahoma" w:cs="Tahoma"/>
          <w:sz w:val="22"/>
          <w:szCs w:val="22"/>
        </w:rPr>
        <w:t xml:space="preserve">συρρικνώθηκε κατά 8,4% πέρυσι, έναντι μείωσης 5,9% το 2010. Ο </w:t>
      </w:r>
      <w:r w:rsidRPr="008762D6">
        <w:rPr>
          <w:rFonts w:ascii="Tahoma" w:hAnsi="Tahoma" w:cs="Tahoma"/>
          <w:sz w:val="22"/>
          <w:szCs w:val="22"/>
        </w:rPr>
        <w:t xml:space="preserve">δείκτης παραγωγής στις </w:t>
      </w:r>
      <w:r>
        <w:rPr>
          <w:rFonts w:ascii="Tahoma" w:hAnsi="Tahoma" w:cs="Tahoma"/>
          <w:sz w:val="22"/>
          <w:szCs w:val="22"/>
        </w:rPr>
        <w:t>K</w:t>
      </w:r>
      <w:r w:rsidRPr="008762D6">
        <w:rPr>
          <w:rFonts w:ascii="Tahoma" w:hAnsi="Tahoma" w:cs="Tahoma"/>
          <w:sz w:val="22"/>
          <w:szCs w:val="22"/>
        </w:rPr>
        <w:t xml:space="preserve">ατασκευές </w:t>
      </w:r>
      <w:r>
        <w:rPr>
          <w:rFonts w:ascii="Tahoma" w:hAnsi="Tahoma" w:cs="Tahoma"/>
          <w:sz w:val="22"/>
          <w:szCs w:val="22"/>
        </w:rPr>
        <w:t>υποχώρησε το 2011 στην ελάχιστη τιμή του την τελευταία πενταετία, σημειώνοντας μείωση της τάξης του</w:t>
      </w:r>
      <w:r w:rsidRPr="008762D6">
        <w:rPr>
          <w:rFonts w:ascii="Tahoma" w:hAnsi="Tahoma" w:cs="Tahoma"/>
          <w:sz w:val="22"/>
          <w:szCs w:val="22"/>
        </w:rPr>
        <w:t xml:space="preserve"> 28,0%</w:t>
      </w:r>
      <w:r>
        <w:rPr>
          <w:rFonts w:ascii="Tahoma" w:hAnsi="Tahoma" w:cs="Tahoma"/>
          <w:sz w:val="22"/>
          <w:szCs w:val="22"/>
        </w:rPr>
        <w:t>, σε συνέχεια της πτώσης του κατά 31,6% πέρυσι</w:t>
      </w:r>
      <w:r w:rsidRPr="008762D6">
        <w:rPr>
          <w:rFonts w:ascii="Tahoma" w:hAnsi="Tahoma" w:cs="Tahoma"/>
          <w:sz w:val="22"/>
          <w:szCs w:val="22"/>
        </w:rPr>
        <w:t>.</w:t>
      </w:r>
      <w:r>
        <w:rPr>
          <w:rFonts w:ascii="Tahoma" w:hAnsi="Tahoma" w:cs="Tahoma"/>
          <w:sz w:val="22"/>
          <w:szCs w:val="22"/>
        </w:rPr>
        <w:t xml:space="preserve"> Στο Λιανικό Εμπόριο, οι απώλειες του δείκτη</w:t>
      </w:r>
      <w:r w:rsidRPr="007E07C8">
        <w:rPr>
          <w:rFonts w:ascii="Tahoma" w:hAnsi="Tahoma" w:cs="Tahoma"/>
          <w:sz w:val="22"/>
          <w:szCs w:val="22"/>
        </w:rPr>
        <w:t xml:space="preserve"> </w:t>
      </w:r>
      <w:r>
        <w:rPr>
          <w:rFonts w:ascii="Tahoma" w:hAnsi="Tahoma" w:cs="Tahoma"/>
          <w:sz w:val="22"/>
          <w:szCs w:val="22"/>
        </w:rPr>
        <w:t>όγκου την περασμένη χρονιά ανήλθαν στο 10,3% από 6,3% το 2010, ενώ πλήθος δεικτών κύκλου εργασιών στις Υπηρεσίες παρουσίασαν μειώσεις άνω του 5%</w:t>
      </w:r>
      <w:r w:rsidRPr="00AE5FB0">
        <w:rPr>
          <w:rFonts w:ascii="Tahoma" w:hAnsi="Tahoma" w:cs="Tahoma"/>
          <w:sz w:val="22"/>
          <w:szCs w:val="22"/>
        </w:rPr>
        <w:t xml:space="preserve">. </w:t>
      </w:r>
    </w:p>
    <w:p w:rsidR="00001D11" w:rsidRPr="004D6F5C" w:rsidRDefault="00001D11" w:rsidP="004D6F5C">
      <w:pPr>
        <w:pStyle w:val="new2"/>
        <w:spacing w:before="240" w:line="312" w:lineRule="auto"/>
      </w:pPr>
      <w:bookmarkStart w:id="10" w:name="_Toc320872868"/>
      <w:r w:rsidRPr="004D6F5C">
        <w:t>Μεγαλύτερη απόκλιση του ελλείμματος το 2011, πρόσθετα μέτρα για το 2012</w:t>
      </w:r>
      <w:bookmarkEnd w:id="10"/>
      <w:r w:rsidRPr="004D6F5C">
        <w:t xml:space="preserve"> </w:t>
      </w:r>
    </w:p>
    <w:p w:rsidR="00001D11" w:rsidRPr="00173763" w:rsidRDefault="00001D11" w:rsidP="00001D11">
      <w:pPr>
        <w:spacing w:before="240" w:after="240" w:line="312" w:lineRule="auto"/>
        <w:jc w:val="both"/>
        <w:rPr>
          <w:b/>
        </w:rPr>
      </w:pPr>
      <w:r>
        <w:rPr>
          <w:rFonts w:ascii="Tahoma" w:hAnsi="Tahoma" w:cs="Tahoma"/>
          <w:sz w:val="22"/>
          <w:szCs w:val="22"/>
        </w:rPr>
        <w:t>Στο πλαίσιο της σύναψης της δεύτερης δανειακής σύμβασης και της υλοποίησης</w:t>
      </w:r>
      <w:r w:rsidRPr="0028095E">
        <w:rPr>
          <w:rFonts w:ascii="Tahoma" w:hAnsi="Tahoma" w:cs="Tahoma"/>
          <w:sz w:val="22"/>
          <w:szCs w:val="22"/>
        </w:rPr>
        <w:t xml:space="preserve"> του </w:t>
      </w:r>
      <w:r>
        <w:rPr>
          <w:rFonts w:ascii="Tahoma" w:hAnsi="Tahoma" w:cs="Tahoma"/>
          <w:sz w:val="22"/>
          <w:szCs w:val="22"/>
        </w:rPr>
        <w:t>συνοδευτικού Μνημονίου (ν.4046/</w:t>
      </w:r>
      <w:r w:rsidR="004D6F5C">
        <w:rPr>
          <w:rFonts w:ascii="Tahoma" w:hAnsi="Tahoma" w:cs="Tahoma"/>
          <w:sz w:val="22"/>
          <w:szCs w:val="22"/>
        </w:rPr>
        <w:t xml:space="preserve"> </w:t>
      </w:r>
      <w:r>
        <w:rPr>
          <w:rFonts w:ascii="Tahoma" w:hAnsi="Tahoma" w:cs="Tahoma"/>
          <w:sz w:val="22"/>
          <w:szCs w:val="22"/>
        </w:rPr>
        <w:t>2012)</w:t>
      </w:r>
      <w:r w:rsidRPr="0028095E">
        <w:rPr>
          <w:rFonts w:ascii="Tahoma" w:hAnsi="Tahoma" w:cs="Tahoma"/>
          <w:sz w:val="22"/>
          <w:szCs w:val="22"/>
        </w:rPr>
        <w:t xml:space="preserve">, η κυβέρνηση προχώρησε στην αναθεώρηση του </w:t>
      </w:r>
      <w:r>
        <w:rPr>
          <w:rFonts w:ascii="Tahoma" w:hAnsi="Tahoma" w:cs="Tahoma"/>
          <w:sz w:val="22"/>
          <w:szCs w:val="22"/>
        </w:rPr>
        <w:t>φετινού προϋπολογισμού. Η ανάγκη</w:t>
      </w:r>
      <w:r w:rsidRPr="00BC1F03">
        <w:rPr>
          <w:rFonts w:ascii="Tahoma" w:hAnsi="Tahoma" w:cs="Tahoma"/>
          <w:sz w:val="22"/>
          <w:szCs w:val="22"/>
        </w:rPr>
        <w:t xml:space="preserve"> </w:t>
      </w:r>
      <w:r>
        <w:rPr>
          <w:rFonts w:ascii="Tahoma" w:hAnsi="Tahoma" w:cs="Tahoma"/>
          <w:sz w:val="22"/>
          <w:szCs w:val="22"/>
        </w:rPr>
        <w:t>αναθεώρησης προήλθε από τη διευρυνόμενη</w:t>
      </w:r>
      <w:r w:rsidRPr="0028095E">
        <w:rPr>
          <w:rFonts w:ascii="Tahoma" w:hAnsi="Tahoma" w:cs="Tahoma"/>
          <w:sz w:val="22"/>
          <w:szCs w:val="22"/>
        </w:rPr>
        <w:t xml:space="preserve"> υστέρηση των φορολογικών εσόδων</w:t>
      </w:r>
      <w:r w:rsidRPr="006B677B">
        <w:rPr>
          <w:rFonts w:ascii="Tahoma" w:hAnsi="Tahoma" w:cs="Tahoma"/>
          <w:sz w:val="22"/>
          <w:szCs w:val="22"/>
        </w:rPr>
        <w:t xml:space="preserve"> </w:t>
      </w:r>
      <w:r>
        <w:rPr>
          <w:rFonts w:ascii="Tahoma" w:hAnsi="Tahoma" w:cs="Tahoma"/>
          <w:sz w:val="22"/>
          <w:szCs w:val="22"/>
        </w:rPr>
        <w:t>σε σχέση με τις εκτιμήσεις του Προϋπολογισμού του</w:t>
      </w:r>
      <w:r w:rsidRPr="0028095E">
        <w:rPr>
          <w:rFonts w:ascii="Tahoma" w:hAnsi="Tahoma" w:cs="Tahoma"/>
          <w:sz w:val="22"/>
          <w:szCs w:val="22"/>
        </w:rPr>
        <w:t xml:space="preserve"> 2012, η οποία αναμένεται να διαμορφώσει</w:t>
      </w:r>
      <w:r>
        <w:rPr>
          <w:rFonts w:ascii="Tahoma" w:hAnsi="Tahoma" w:cs="Tahoma"/>
          <w:sz w:val="22"/>
          <w:szCs w:val="22"/>
        </w:rPr>
        <w:t xml:space="preserve"> σε χαμηλότερο επίπεδο </w:t>
      </w:r>
      <w:r w:rsidRPr="0028095E">
        <w:rPr>
          <w:rFonts w:ascii="Tahoma" w:hAnsi="Tahoma" w:cs="Tahoma"/>
          <w:sz w:val="22"/>
          <w:szCs w:val="22"/>
        </w:rPr>
        <w:t xml:space="preserve">τα </w:t>
      </w:r>
      <w:r>
        <w:rPr>
          <w:rFonts w:ascii="Tahoma" w:hAnsi="Tahoma" w:cs="Tahoma"/>
          <w:sz w:val="22"/>
          <w:szCs w:val="22"/>
        </w:rPr>
        <w:t xml:space="preserve">σχετικά μεγέθη τόσο του περασμένου έτους όσο και του τρέχοντος. </w:t>
      </w:r>
      <w:r>
        <w:rPr>
          <w:rFonts w:ascii="Tahoma" w:hAnsi="Tahoma" w:cs="Tahoma"/>
          <w:b/>
          <w:sz w:val="22"/>
          <w:szCs w:val="22"/>
        </w:rPr>
        <w:t>Με το</w:t>
      </w:r>
      <w:r w:rsidRPr="00173763">
        <w:rPr>
          <w:rFonts w:ascii="Tahoma" w:hAnsi="Tahoma" w:cs="Tahoma"/>
          <w:b/>
          <w:sz w:val="22"/>
          <w:szCs w:val="22"/>
        </w:rPr>
        <w:t xml:space="preserve"> συμπληρωματικό προϋπολογισμό</w:t>
      </w:r>
      <w:r>
        <w:rPr>
          <w:rFonts w:ascii="Tahoma" w:hAnsi="Tahoma" w:cs="Tahoma"/>
          <w:b/>
          <w:sz w:val="22"/>
          <w:szCs w:val="22"/>
        </w:rPr>
        <w:t>,</w:t>
      </w:r>
      <w:r w:rsidRPr="00173763">
        <w:rPr>
          <w:rFonts w:ascii="Tahoma" w:hAnsi="Tahoma" w:cs="Tahoma"/>
          <w:b/>
          <w:sz w:val="22"/>
          <w:szCs w:val="22"/>
        </w:rPr>
        <w:t xml:space="preserve"> το έλλειμμα του </w:t>
      </w:r>
      <w:r w:rsidRPr="00173763">
        <w:rPr>
          <w:rFonts w:ascii="Tahoma" w:hAnsi="Tahoma" w:cs="Tahoma"/>
          <w:b/>
          <w:sz w:val="22"/>
          <w:szCs w:val="22"/>
        </w:rPr>
        <w:lastRenderedPageBreak/>
        <w:t xml:space="preserve">2011 προβλέπεται ότι </w:t>
      </w:r>
      <w:r>
        <w:rPr>
          <w:rFonts w:ascii="Tahoma" w:hAnsi="Tahoma" w:cs="Tahoma"/>
          <w:b/>
          <w:sz w:val="22"/>
          <w:szCs w:val="22"/>
        </w:rPr>
        <w:t>θα είναι περί τα</w:t>
      </w:r>
      <w:r w:rsidRPr="00173763">
        <w:rPr>
          <w:rFonts w:ascii="Tahoma" w:hAnsi="Tahoma" w:cs="Tahoma"/>
          <w:b/>
          <w:sz w:val="22"/>
          <w:szCs w:val="22"/>
        </w:rPr>
        <w:t xml:space="preserve"> €</w:t>
      </w:r>
      <w:r>
        <w:rPr>
          <w:rFonts w:ascii="Tahoma" w:hAnsi="Tahoma" w:cs="Tahoma"/>
          <w:b/>
          <w:sz w:val="22"/>
          <w:szCs w:val="22"/>
        </w:rPr>
        <w:t xml:space="preserve"> </w:t>
      </w:r>
      <w:r w:rsidRPr="00173763">
        <w:rPr>
          <w:rFonts w:ascii="Tahoma" w:hAnsi="Tahoma" w:cs="Tahoma"/>
          <w:b/>
          <w:sz w:val="22"/>
          <w:szCs w:val="22"/>
        </w:rPr>
        <w:t>1,3 δισ. υψηλότερο της εκτίμησης στον Προϋπολογισμό του 2012. Σε ότι αφορά το έλλειμμα του 2012, πλέον εκτιμάται ότι θα είναι</w:t>
      </w:r>
      <w:r>
        <w:rPr>
          <w:rFonts w:ascii="Tahoma" w:hAnsi="Tahoma" w:cs="Tahoma"/>
          <w:b/>
          <w:sz w:val="22"/>
          <w:szCs w:val="22"/>
        </w:rPr>
        <w:t xml:space="preserve"> κατά</w:t>
      </w:r>
      <w:r w:rsidRPr="00173763">
        <w:rPr>
          <w:rFonts w:ascii="Tahoma" w:hAnsi="Tahoma" w:cs="Tahoma"/>
          <w:b/>
          <w:sz w:val="22"/>
          <w:szCs w:val="22"/>
        </w:rPr>
        <w:t xml:space="preserve"> €</w:t>
      </w:r>
      <w:r>
        <w:rPr>
          <w:rFonts w:ascii="Tahoma" w:hAnsi="Tahoma" w:cs="Tahoma"/>
          <w:b/>
          <w:sz w:val="22"/>
          <w:szCs w:val="22"/>
        </w:rPr>
        <w:t xml:space="preserve"> </w:t>
      </w:r>
      <w:r w:rsidRPr="00173763">
        <w:rPr>
          <w:rFonts w:ascii="Tahoma" w:hAnsi="Tahoma" w:cs="Tahoma"/>
          <w:b/>
          <w:sz w:val="22"/>
          <w:szCs w:val="22"/>
        </w:rPr>
        <w:t>2,3 δισ. μεγαλύτερο, παρά τις πρόσθετες παρεμβάσεις.</w:t>
      </w:r>
    </w:p>
    <w:p w:rsidR="00001D11" w:rsidRDefault="00001D11" w:rsidP="00001D11">
      <w:pPr>
        <w:spacing w:before="240" w:after="240" w:line="312" w:lineRule="auto"/>
        <w:jc w:val="both"/>
        <w:rPr>
          <w:rFonts w:ascii="Tahoma" w:hAnsi="Tahoma" w:cs="Tahoma"/>
          <w:sz w:val="22"/>
          <w:szCs w:val="22"/>
        </w:rPr>
      </w:pPr>
      <w:r>
        <w:rPr>
          <w:rFonts w:ascii="Tahoma" w:hAnsi="Tahoma" w:cs="Tahoma"/>
          <w:sz w:val="22"/>
          <w:szCs w:val="22"/>
        </w:rPr>
        <w:t>Η αναθεώρηση του φετινού π</w:t>
      </w:r>
      <w:r w:rsidRPr="00173763">
        <w:rPr>
          <w:rFonts w:ascii="Tahoma" w:hAnsi="Tahoma" w:cs="Tahoma"/>
          <w:sz w:val="22"/>
          <w:szCs w:val="22"/>
        </w:rPr>
        <w:t>ροϋπολογισμού θεωρείται επιβεβλημένη</w:t>
      </w:r>
      <w:r>
        <w:rPr>
          <w:rFonts w:ascii="Tahoma" w:hAnsi="Tahoma" w:cs="Tahoma"/>
          <w:sz w:val="22"/>
          <w:szCs w:val="22"/>
        </w:rPr>
        <w:t>, δεδομένων</w:t>
      </w:r>
      <w:r w:rsidRPr="00173763">
        <w:rPr>
          <w:rFonts w:ascii="Tahoma" w:hAnsi="Tahoma" w:cs="Tahoma"/>
          <w:sz w:val="22"/>
          <w:szCs w:val="22"/>
        </w:rPr>
        <w:t xml:space="preserve"> του μεγαλύτερου βάθους της ύφεσης το τρέχον έτος </w:t>
      </w:r>
      <w:r>
        <w:rPr>
          <w:rFonts w:ascii="Tahoma" w:hAnsi="Tahoma" w:cs="Tahoma"/>
          <w:sz w:val="22"/>
          <w:szCs w:val="22"/>
        </w:rPr>
        <w:t xml:space="preserve">αλλά </w:t>
      </w:r>
      <w:r w:rsidRPr="00173763">
        <w:rPr>
          <w:rFonts w:ascii="Tahoma" w:hAnsi="Tahoma" w:cs="Tahoma"/>
          <w:sz w:val="22"/>
          <w:szCs w:val="22"/>
        </w:rPr>
        <w:t>κα</w:t>
      </w:r>
      <w:r>
        <w:rPr>
          <w:rFonts w:ascii="Tahoma" w:hAnsi="Tahoma" w:cs="Tahoma"/>
          <w:sz w:val="22"/>
          <w:szCs w:val="22"/>
        </w:rPr>
        <w:t>ι</w:t>
      </w:r>
      <w:r w:rsidRPr="00173763">
        <w:rPr>
          <w:rFonts w:ascii="Tahoma" w:hAnsi="Tahoma" w:cs="Tahoma"/>
          <w:sz w:val="22"/>
          <w:szCs w:val="22"/>
        </w:rPr>
        <w:t xml:space="preserve"> της </w:t>
      </w:r>
      <w:r>
        <w:rPr>
          <w:rFonts w:ascii="Tahoma" w:hAnsi="Tahoma" w:cs="Tahoma"/>
          <w:sz w:val="22"/>
          <w:szCs w:val="22"/>
        </w:rPr>
        <w:t xml:space="preserve">έντονης </w:t>
      </w:r>
      <w:r w:rsidRPr="00173763">
        <w:rPr>
          <w:rFonts w:ascii="Tahoma" w:hAnsi="Tahoma" w:cs="Tahoma"/>
          <w:sz w:val="22"/>
          <w:szCs w:val="22"/>
        </w:rPr>
        <w:t xml:space="preserve">δυστοκίας που παρατηρείται στη συλλογή εσόδων. </w:t>
      </w:r>
      <w:r>
        <w:rPr>
          <w:rFonts w:ascii="Tahoma" w:hAnsi="Tahoma" w:cs="Tahoma"/>
          <w:sz w:val="22"/>
          <w:szCs w:val="22"/>
        </w:rPr>
        <w:t>Μένει ωστόσο</w:t>
      </w:r>
      <w:r w:rsidRPr="00173763">
        <w:rPr>
          <w:rFonts w:ascii="Tahoma" w:hAnsi="Tahoma" w:cs="Tahoma"/>
          <w:sz w:val="22"/>
          <w:szCs w:val="22"/>
        </w:rPr>
        <w:t xml:space="preserve"> </w:t>
      </w:r>
      <w:r>
        <w:rPr>
          <w:rFonts w:ascii="Tahoma" w:hAnsi="Tahoma" w:cs="Tahoma"/>
          <w:sz w:val="22"/>
          <w:szCs w:val="22"/>
        </w:rPr>
        <w:t>να φανεί εάν τα μέτρα που λήφθηκαν επαρκούν</w:t>
      </w:r>
      <w:r w:rsidRPr="00173763">
        <w:rPr>
          <w:rFonts w:ascii="Tahoma" w:hAnsi="Tahoma" w:cs="Tahoma"/>
          <w:sz w:val="22"/>
          <w:szCs w:val="22"/>
        </w:rPr>
        <w:t xml:space="preserve"> για την επίτευξη των νέων στόχων. Σε γενικές γραμμές οι νέοι στόχοι κρίνεται ότι θα μπορούσαν να</w:t>
      </w:r>
      <w:r>
        <w:rPr>
          <w:rFonts w:ascii="Tahoma" w:hAnsi="Tahoma" w:cs="Tahoma"/>
          <w:sz w:val="22"/>
          <w:szCs w:val="22"/>
        </w:rPr>
        <w:t xml:space="preserve"> επιτευχθούν, εφ’ όσον εφαρμοστούν</w:t>
      </w:r>
      <w:r w:rsidRPr="00173763">
        <w:rPr>
          <w:rFonts w:ascii="Tahoma" w:hAnsi="Tahoma" w:cs="Tahoma"/>
          <w:sz w:val="22"/>
          <w:szCs w:val="22"/>
        </w:rPr>
        <w:t xml:space="preserve"> πλήρως τα ληφθέντα μέτρα.</w:t>
      </w:r>
      <w:r>
        <w:rPr>
          <w:rFonts w:ascii="Tahoma" w:hAnsi="Tahoma" w:cs="Tahoma"/>
          <w:sz w:val="22"/>
          <w:szCs w:val="22"/>
        </w:rPr>
        <w:t xml:space="preserve"> </w:t>
      </w:r>
    </w:p>
    <w:p w:rsidR="00001D11" w:rsidRPr="00D67659" w:rsidRDefault="00001D11" w:rsidP="00001D11">
      <w:pPr>
        <w:spacing w:before="240" w:after="240" w:line="312" w:lineRule="auto"/>
        <w:jc w:val="both"/>
        <w:rPr>
          <w:rFonts w:ascii="Tahoma" w:hAnsi="Tahoma" w:cs="Tahoma"/>
          <w:sz w:val="22"/>
          <w:szCs w:val="22"/>
        </w:rPr>
      </w:pPr>
      <w:r>
        <w:rPr>
          <w:rFonts w:ascii="Tahoma" w:hAnsi="Tahoma" w:cs="Tahoma"/>
          <w:sz w:val="22"/>
          <w:szCs w:val="22"/>
        </w:rPr>
        <w:t>Σε ότι αφορά την πορεία</w:t>
      </w:r>
      <w:r w:rsidRPr="00173763">
        <w:rPr>
          <w:rFonts w:ascii="Tahoma" w:hAnsi="Tahoma" w:cs="Tahoma"/>
          <w:sz w:val="22"/>
          <w:szCs w:val="22"/>
        </w:rPr>
        <w:t xml:space="preserve"> </w:t>
      </w:r>
      <w:r>
        <w:rPr>
          <w:rFonts w:ascii="Tahoma" w:hAnsi="Tahoma" w:cs="Tahoma"/>
          <w:sz w:val="22"/>
          <w:szCs w:val="22"/>
        </w:rPr>
        <w:t>της δημοσιονομικής προσαρμογής στις αρχές του 2012, σύμφωνα με τα αποτελέσματα του πρώτου διμήνου του έτους, στην πλευρά των εσόδων η μεγαλύτερη απόκλιση από τους στόχους διαγράφε</w:t>
      </w:r>
      <w:r w:rsidRPr="00173763">
        <w:rPr>
          <w:rFonts w:ascii="Tahoma" w:hAnsi="Tahoma" w:cs="Tahoma"/>
          <w:sz w:val="22"/>
          <w:szCs w:val="22"/>
        </w:rPr>
        <w:t>ται</w:t>
      </w:r>
      <w:r>
        <w:rPr>
          <w:rFonts w:ascii="Tahoma" w:hAnsi="Tahoma" w:cs="Tahoma"/>
          <w:sz w:val="22"/>
          <w:szCs w:val="22"/>
        </w:rPr>
        <w:t xml:space="preserve"> -για άλλη μια χρονιά-</w:t>
      </w:r>
      <w:r w:rsidRPr="00173763">
        <w:rPr>
          <w:rFonts w:ascii="Tahoma" w:hAnsi="Tahoma" w:cs="Tahoma"/>
          <w:sz w:val="22"/>
          <w:szCs w:val="22"/>
        </w:rPr>
        <w:t xml:space="preserve"> στους φόρους εισοδήματος και </w:t>
      </w:r>
      <w:r>
        <w:rPr>
          <w:rFonts w:ascii="Tahoma" w:hAnsi="Tahoma" w:cs="Tahoma"/>
          <w:sz w:val="22"/>
          <w:szCs w:val="22"/>
        </w:rPr>
        <w:t>στο ΦΠΑ</w:t>
      </w:r>
      <w:r w:rsidRPr="00173763">
        <w:rPr>
          <w:rFonts w:ascii="Tahoma" w:hAnsi="Tahoma" w:cs="Tahoma"/>
          <w:sz w:val="22"/>
          <w:szCs w:val="22"/>
        </w:rPr>
        <w:t>.</w:t>
      </w:r>
      <w:r>
        <w:rPr>
          <w:rFonts w:ascii="Tahoma" w:hAnsi="Tahoma" w:cs="Tahoma"/>
          <w:sz w:val="22"/>
          <w:szCs w:val="22"/>
        </w:rPr>
        <w:t xml:space="preserve"> Στο σκέλος των δαπανών, τα ασφαλιστικά τ</w:t>
      </w:r>
      <w:r w:rsidRPr="00D67659">
        <w:rPr>
          <w:rFonts w:ascii="Tahoma" w:hAnsi="Tahoma" w:cs="Tahoma"/>
          <w:sz w:val="22"/>
          <w:szCs w:val="22"/>
        </w:rPr>
        <w:t>αμεία (και ο ΟΑΕΔ) απορροφούν πόρους πολύ τ</w:t>
      </w:r>
      <w:r>
        <w:rPr>
          <w:rFonts w:ascii="Tahoma" w:hAnsi="Tahoma" w:cs="Tahoma"/>
          <w:sz w:val="22"/>
          <w:szCs w:val="22"/>
        </w:rPr>
        <w:t>αχύτερα απ’ ό,τι προβλεπόταν. Παρόμοια εξέλιξη παρουσιάζουν και οι καταναλωτικές δαπάνες, που αυξήθηκαν κατά περίπου 32%.</w:t>
      </w:r>
    </w:p>
    <w:p w:rsidR="00001D11" w:rsidRPr="004D6F5C" w:rsidRDefault="00001D11" w:rsidP="004D6F5C">
      <w:pPr>
        <w:pStyle w:val="new2"/>
        <w:spacing w:before="240" w:line="312" w:lineRule="auto"/>
      </w:pPr>
      <w:bookmarkStart w:id="11" w:name="_Toc320872869"/>
      <w:r w:rsidRPr="004D6F5C">
        <w:t>Παρατείνεται η ύφεση στην ελληνική οικονομία το 2012, με ισχυρή ένταση</w:t>
      </w:r>
      <w:bookmarkEnd w:id="11"/>
    </w:p>
    <w:p w:rsidR="00001D11" w:rsidRDefault="00001D11" w:rsidP="00001D11">
      <w:pPr>
        <w:spacing w:before="240" w:after="240" w:line="312" w:lineRule="auto"/>
        <w:jc w:val="both"/>
        <w:rPr>
          <w:rFonts w:ascii="Tahoma" w:hAnsi="Tahoma" w:cs="Tahoma"/>
          <w:sz w:val="22"/>
          <w:szCs w:val="22"/>
        </w:rPr>
      </w:pPr>
      <w:r w:rsidRPr="00C102A0">
        <w:rPr>
          <w:rFonts w:ascii="Tahoma" w:hAnsi="Tahoma" w:cs="Tahoma"/>
          <w:sz w:val="22"/>
          <w:szCs w:val="22"/>
        </w:rPr>
        <w:t xml:space="preserve">Η </w:t>
      </w:r>
      <w:r>
        <w:rPr>
          <w:rFonts w:ascii="Tahoma" w:hAnsi="Tahoma" w:cs="Tahoma"/>
          <w:sz w:val="22"/>
          <w:szCs w:val="22"/>
        </w:rPr>
        <w:t xml:space="preserve">ταχύτατα </w:t>
      </w:r>
      <w:r w:rsidRPr="00C102A0">
        <w:rPr>
          <w:rFonts w:ascii="Tahoma" w:hAnsi="Tahoma" w:cs="Tahoma"/>
          <w:sz w:val="22"/>
          <w:szCs w:val="22"/>
        </w:rPr>
        <w:t xml:space="preserve">φθίνουσα εγχώρια ζήτηση </w:t>
      </w:r>
      <w:r>
        <w:rPr>
          <w:rFonts w:ascii="Tahoma" w:hAnsi="Tahoma" w:cs="Tahoma"/>
          <w:sz w:val="22"/>
          <w:szCs w:val="22"/>
        </w:rPr>
        <w:t xml:space="preserve">κατά </w:t>
      </w:r>
      <w:r w:rsidRPr="00C102A0">
        <w:rPr>
          <w:rFonts w:ascii="Tahoma" w:hAnsi="Tahoma" w:cs="Tahoma"/>
          <w:sz w:val="22"/>
          <w:szCs w:val="22"/>
        </w:rPr>
        <w:t>τους τελευταίους μήνες του 2011, που</w:t>
      </w:r>
      <w:r w:rsidRPr="00EC206B">
        <w:rPr>
          <w:rFonts w:ascii="Tahoma" w:hAnsi="Tahoma" w:cs="Tahoma"/>
          <w:sz w:val="22"/>
          <w:szCs w:val="22"/>
        </w:rPr>
        <w:t xml:space="preserve"> </w:t>
      </w:r>
      <w:r>
        <w:rPr>
          <w:rFonts w:ascii="Tahoma" w:hAnsi="Tahoma" w:cs="Tahoma"/>
          <w:sz w:val="22"/>
          <w:szCs w:val="22"/>
        </w:rPr>
        <w:t xml:space="preserve">προήλθε </w:t>
      </w:r>
      <w:r w:rsidRPr="00EC206B">
        <w:rPr>
          <w:rFonts w:ascii="Tahoma" w:hAnsi="Tahoma" w:cs="Tahoma"/>
          <w:sz w:val="22"/>
          <w:szCs w:val="22"/>
        </w:rPr>
        <w:t>από τις διαδοχικές δέσμες δημοσιονομικών μέτρων</w:t>
      </w:r>
      <w:r>
        <w:rPr>
          <w:rFonts w:ascii="Tahoma" w:hAnsi="Tahoma" w:cs="Tahoma"/>
          <w:sz w:val="22"/>
          <w:szCs w:val="22"/>
        </w:rPr>
        <w:t xml:space="preserve"> και την αύξηση </w:t>
      </w:r>
      <w:r>
        <w:rPr>
          <w:rFonts w:ascii="Tahoma" w:hAnsi="Tahoma" w:cs="Tahoma"/>
          <w:sz w:val="22"/>
          <w:szCs w:val="22"/>
        </w:rPr>
        <w:lastRenderedPageBreak/>
        <w:t xml:space="preserve">της ανεργίας, </w:t>
      </w:r>
      <w:r w:rsidRPr="00C102A0">
        <w:rPr>
          <w:rFonts w:ascii="Tahoma" w:hAnsi="Tahoma" w:cs="Tahoma"/>
          <w:sz w:val="22"/>
          <w:szCs w:val="22"/>
        </w:rPr>
        <w:t xml:space="preserve">θα συνεχίσει </w:t>
      </w:r>
      <w:r w:rsidRPr="007679CC">
        <w:rPr>
          <w:rFonts w:ascii="Tahoma" w:hAnsi="Tahoma" w:cs="Tahoma"/>
          <w:sz w:val="22"/>
          <w:szCs w:val="22"/>
        </w:rPr>
        <w:t>να αποδυναμώνεται,</w:t>
      </w:r>
      <w:r>
        <w:rPr>
          <w:rFonts w:ascii="Tahoma" w:hAnsi="Tahoma" w:cs="Tahoma"/>
          <w:sz w:val="22"/>
          <w:szCs w:val="22"/>
        </w:rPr>
        <w:t xml:space="preserve"> τουλάχιστον στο πρώτο εξάμηνο του 2012,</w:t>
      </w:r>
      <w:r w:rsidRPr="00C102A0">
        <w:rPr>
          <w:rFonts w:ascii="Tahoma" w:hAnsi="Tahoma" w:cs="Tahoma"/>
          <w:sz w:val="22"/>
          <w:szCs w:val="22"/>
        </w:rPr>
        <w:t xml:space="preserve"> απο</w:t>
      </w:r>
      <w:r>
        <w:rPr>
          <w:rFonts w:ascii="Tahoma" w:hAnsi="Tahoma" w:cs="Tahoma"/>
          <w:sz w:val="22"/>
          <w:szCs w:val="22"/>
        </w:rPr>
        <w:t>τελώντας</w:t>
      </w:r>
      <w:r w:rsidRPr="00C102A0">
        <w:rPr>
          <w:rFonts w:ascii="Tahoma" w:hAnsi="Tahoma" w:cs="Tahoma"/>
          <w:sz w:val="22"/>
          <w:szCs w:val="22"/>
        </w:rPr>
        <w:t xml:space="preserve"> τον </w:t>
      </w:r>
      <w:r>
        <w:rPr>
          <w:rFonts w:ascii="Tahoma" w:hAnsi="Tahoma" w:cs="Tahoma"/>
          <w:sz w:val="22"/>
          <w:szCs w:val="22"/>
        </w:rPr>
        <w:t>κύριο παράγοντα διαμόρφωσης των τάσεων</w:t>
      </w:r>
      <w:r w:rsidRPr="00C102A0">
        <w:rPr>
          <w:rFonts w:ascii="Tahoma" w:hAnsi="Tahoma" w:cs="Tahoma"/>
          <w:sz w:val="22"/>
          <w:szCs w:val="22"/>
        </w:rPr>
        <w:t xml:space="preserve"> στην </w:t>
      </w:r>
      <w:r>
        <w:rPr>
          <w:rFonts w:ascii="Tahoma" w:hAnsi="Tahoma" w:cs="Tahoma"/>
          <w:bCs/>
          <w:sz w:val="22"/>
          <w:szCs w:val="22"/>
        </w:rPr>
        <w:t>ελληνική οικονομία</w:t>
      </w:r>
      <w:r w:rsidRPr="00C102A0">
        <w:rPr>
          <w:rFonts w:ascii="Tahoma" w:hAnsi="Tahoma" w:cs="Tahoma"/>
          <w:sz w:val="22"/>
          <w:szCs w:val="22"/>
        </w:rPr>
        <w:t>.</w:t>
      </w:r>
      <w:r w:rsidRPr="00C102A0">
        <w:rPr>
          <w:rFonts w:cs="Tahoma"/>
          <w:b/>
          <w:sz w:val="22"/>
          <w:szCs w:val="22"/>
        </w:rPr>
        <w:t xml:space="preserve"> </w:t>
      </w:r>
      <w:r>
        <w:rPr>
          <w:rFonts w:ascii="Tahoma" w:hAnsi="Tahoma" w:cs="Tahoma"/>
          <w:sz w:val="22"/>
          <w:szCs w:val="22"/>
        </w:rPr>
        <w:t>Σημαντικό ρόλο στις εξελίξεις στην αγορά εργασίας</w:t>
      </w:r>
      <w:r w:rsidRPr="00430553">
        <w:rPr>
          <w:rFonts w:ascii="Tahoma" w:hAnsi="Tahoma" w:cs="Tahoma"/>
          <w:sz w:val="22"/>
          <w:szCs w:val="22"/>
        </w:rPr>
        <w:t xml:space="preserve"> </w:t>
      </w:r>
      <w:r>
        <w:rPr>
          <w:rFonts w:ascii="Tahoma" w:hAnsi="Tahoma" w:cs="Tahoma"/>
          <w:sz w:val="22"/>
          <w:szCs w:val="22"/>
        </w:rPr>
        <w:t xml:space="preserve">και ακολούθως στην παραγωγική δραστηριότητα </w:t>
      </w:r>
      <w:r w:rsidRPr="00430553">
        <w:rPr>
          <w:rFonts w:ascii="Tahoma" w:hAnsi="Tahoma" w:cs="Tahoma"/>
          <w:sz w:val="22"/>
          <w:szCs w:val="22"/>
        </w:rPr>
        <w:t>το 2012, αλλά και στ</w:t>
      </w:r>
      <w:r>
        <w:rPr>
          <w:rFonts w:ascii="Tahoma" w:hAnsi="Tahoma" w:cs="Tahoma"/>
          <w:sz w:val="22"/>
          <w:szCs w:val="22"/>
        </w:rPr>
        <w:t>α επόμενα χρόνια, θα διαδραματίσουν</w:t>
      </w:r>
      <w:r w:rsidRPr="00430553">
        <w:rPr>
          <w:rFonts w:ascii="Tahoma" w:hAnsi="Tahoma" w:cs="Tahoma"/>
          <w:sz w:val="22"/>
          <w:szCs w:val="22"/>
        </w:rPr>
        <w:t xml:space="preserve"> οι πρόσφατες διαρθρωτικές παρεμβάσ</w:t>
      </w:r>
      <w:r>
        <w:rPr>
          <w:rFonts w:ascii="Tahoma" w:hAnsi="Tahoma" w:cs="Tahoma"/>
          <w:sz w:val="22"/>
          <w:szCs w:val="22"/>
        </w:rPr>
        <w:t xml:space="preserve">εις για τη </w:t>
      </w:r>
      <w:r w:rsidRPr="00430553">
        <w:rPr>
          <w:rFonts w:ascii="Tahoma" w:hAnsi="Tahoma" w:cs="Tahoma"/>
          <w:sz w:val="22"/>
          <w:szCs w:val="22"/>
        </w:rPr>
        <w:t>μείωση του μισθολογικού κόσ</w:t>
      </w:r>
      <w:r>
        <w:rPr>
          <w:rFonts w:ascii="Tahoma" w:hAnsi="Tahoma" w:cs="Tahoma"/>
          <w:sz w:val="22"/>
          <w:szCs w:val="22"/>
        </w:rPr>
        <w:t>τους στον ιδιωτικό τομέα και τις</w:t>
      </w:r>
      <w:r w:rsidRPr="00430553">
        <w:rPr>
          <w:rFonts w:ascii="Tahoma" w:hAnsi="Tahoma" w:cs="Tahoma"/>
          <w:sz w:val="22"/>
          <w:szCs w:val="22"/>
        </w:rPr>
        <w:t xml:space="preserve"> αλλαγές στις διαδικασίες διαπραγμάτευση</w:t>
      </w:r>
      <w:r>
        <w:rPr>
          <w:rFonts w:ascii="Tahoma" w:hAnsi="Tahoma" w:cs="Tahoma"/>
          <w:sz w:val="22"/>
          <w:szCs w:val="22"/>
        </w:rPr>
        <w:t>ς μεταξύ εργοδοτών-εργαζομένων. Βραχυχρόνια</w:t>
      </w:r>
      <w:r w:rsidRPr="00430553">
        <w:rPr>
          <w:rFonts w:ascii="Tahoma" w:hAnsi="Tahoma" w:cs="Tahoma"/>
          <w:sz w:val="22"/>
          <w:szCs w:val="22"/>
        </w:rPr>
        <w:t>, τα συγκεκριμένα μέτρα θα επιφέρουν νέες περικοπές στο διαθέσιμο εισόδημα των εργαζόμενων, περιορισμό της αγοραστικής τους δύναμης, που θα συγκρα</w:t>
      </w:r>
      <w:r>
        <w:rPr>
          <w:rFonts w:ascii="Tahoma" w:hAnsi="Tahoma" w:cs="Tahoma"/>
          <w:sz w:val="22"/>
          <w:szCs w:val="22"/>
        </w:rPr>
        <w:t xml:space="preserve">τηθεί σε κάποιο βαθμό από την </w:t>
      </w:r>
      <w:r w:rsidRPr="00430553">
        <w:rPr>
          <w:rFonts w:ascii="Tahoma" w:hAnsi="Tahoma" w:cs="Tahoma"/>
          <w:sz w:val="22"/>
          <w:szCs w:val="22"/>
        </w:rPr>
        <w:t xml:space="preserve">επακόλουθη αποκλιμάκωση του πληθωρισμού, συνεπώς ισχυροποίηση της ύφεσης. </w:t>
      </w:r>
      <w:r>
        <w:rPr>
          <w:rFonts w:ascii="Tahoma" w:hAnsi="Tahoma" w:cs="Tahoma"/>
          <w:sz w:val="22"/>
          <w:szCs w:val="22"/>
        </w:rPr>
        <w:t>Ωστόσο ο</w:t>
      </w:r>
      <w:r w:rsidRPr="00430553">
        <w:rPr>
          <w:rFonts w:ascii="Tahoma" w:hAnsi="Tahoma" w:cs="Tahoma"/>
          <w:sz w:val="22"/>
          <w:szCs w:val="22"/>
        </w:rPr>
        <w:t xml:space="preserve">ι </w:t>
      </w:r>
      <w:r>
        <w:rPr>
          <w:rFonts w:ascii="Tahoma" w:hAnsi="Tahoma" w:cs="Tahoma"/>
          <w:sz w:val="22"/>
          <w:szCs w:val="22"/>
        </w:rPr>
        <w:t>τελικές, πλήρεις επιδράσεις τους</w:t>
      </w:r>
      <w:r w:rsidRPr="00430553">
        <w:rPr>
          <w:rFonts w:ascii="Tahoma" w:hAnsi="Tahoma" w:cs="Tahoma"/>
          <w:sz w:val="22"/>
          <w:szCs w:val="22"/>
        </w:rPr>
        <w:t xml:space="preserve"> θα γίνο</w:t>
      </w:r>
      <w:r>
        <w:rPr>
          <w:rFonts w:ascii="Tahoma" w:hAnsi="Tahoma" w:cs="Tahoma"/>
          <w:sz w:val="22"/>
          <w:szCs w:val="22"/>
        </w:rPr>
        <w:t>υν αισθητές μέσο-μακροπρόθεσμα</w:t>
      </w:r>
      <w:r w:rsidRPr="00430553">
        <w:rPr>
          <w:rFonts w:ascii="Tahoma" w:hAnsi="Tahoma" w:cs="Tahoma"/>
          <w:sz w:val="22"/>
          <w:szCs w:val="22"/>
        </w:rPr>
        <w:t>, όταν οι επιχειρήσεις προσαρμόσουν την παραγωγή και το εργατικό δυναμικό τους στα νέα δεδομένα</w:t>
      </w:r>
      <w:r>
        <w:rPr>
          <w:rFonts w:ascii="Tahoma" w:hAnsi="Tahoma" w:cs="Tahoma"/>
          <w:sz w:val="22"/>
          <w:szCs w:val="22"/>
        </w:rPr>
        <w:t xml:space="preserve">. </w:t>
      </w:r>
    </w:p>
    <w:p w:rsidR="00001D11" w:rsidRPr="00BF1ACD" w:rsidRDefault="00001D11" w:rsidP="00001D11">
      <w:pPr>
        <w:spacing w:before="240" w:after="240" w:line="312" w:lineRule="auto"/>
        <w:jc w:val="both"/>
        <w:rPr>
          <w:rFonts w:ascii="Tahoma" w:hAnsi="Tahoma" w:cs="Tahoma"/>
          <w:sz w:val="22"/>
          <w:szCs w:val="22"/>
        </w:rPr>
      </w:pPr>
      <w:r>
        <w:rPr>
          <w:rFonts w:ascii="Tahoma" w:hAnsi="Tahoma" w:cs="Tahoma"/>
          <w:sz w:val="22"/>
          <w:szCs w:val="22"/>
        </w:rPr>
        <w:t xml:space="preserve">Στα αποτελέσματα των νέων μέτρων για την αγορά εργασίας θα πρέπει να συμπεριληφθούν και οι επιδράσεις που θα ασκήσουν στις ξένες επενδύσεις, οι οποίες πάντως συνεχίζουν να συναντούν προσκόμματα σε διαδικασίες αδειοδότησης-χρηματοδότησης, ενώ ανασταλτικά λειτουργεί το συνεχώς μεταβαλλόμενο, απρόβλεπτο εγχώριο κοινωνικοπολιτικό περιβάλλον. Ωστόσο, δημιουργούνται σταδιακά </w:t>
      </w:r>
      <w:r w:rsidRPr="00BF1ACD">
        <w:rPr>
          <w:rFonts w:ascii="Tahoma" w:hAnsi="Tahoma" w:cs="Tahoma"/>
          <w:sz w:val="22"/>
          <w:szCs w:val="22"/>
        </w:rPr>
        <w:t xml:space="preserve">προϋποθέσεις για την προσέλκυση ξένων επενδύσεων </w:t>
      </w:r>
      <w:r>
        <w:rPr>
          <w:rFonts w:ascii="Tahoma" w:hAnsi="Tahoma" w:cs="Tahoma"/>
          <w:sz w:val="22"/>
          <w:szCs w:val="22"/>
        </w:rPr>
        <w:t>και την αναθέρμανση του επενδυτικού κλίματος καθώς</w:t>
      </w:r>
      <w:r w:rsidRPr="00BF1ACD">
        <w:rPr>
          <w:rFonts w:ascii="Tahoma" w:hAnsi="Tahoma" w:cs="Tahoma"/>
          <w:sz w:val="22"/>
          <w:szCs w:val="22"/>
        </w:rPr>
        <w:t xml:space="preserve">: </w:t>
      </w:r>
      <w:r>
        <w:rPr>
          <w:rFonts w:ascii="Tahoma" w:hAnsi="Tahoma" w:cs="Tahoma"/>
          <w:sz w:val="22"/>
          <w:szCs w:val="22"/>
        </w:rPr>
        <w:t xml:space="preserve">α) </w:t>
      </w:r>
      <w:r w:rsidRPr="00BF1ACD">
        <w:rPr>
          <w:rFonts w:ascii="Tahoma" w:hAnsi="Tahoma" w:cs="Tahoma"/>
          <w:sz w:val="22"/>
          <w:szCs w:val="22"/>
        </w:rPr>
        <w:t xml:space="preserve">με τη νέα δανειακή </w:t>
      </w:r>
      <w:r w:rsidRPr="00BF1ACD">
        <w:rPr>
          <w:rFonts w:ascii="Tahoma" w:hAnsi="Tahoma" w:cs="Tahoma"/>
          <w:sz w:val="22"/>
          <w:szCs w:val="22"/>
        </w:rPr>
        <w:lastRenderedPageBreak/>
        <w:t xml:space="preserve">σύμβαση </w:t>
      </w:r>
      <w:r>
        <w:rPr>
          <w:rFonts w:ascii="Tahoma" w:hAnsi="Tahoma" w:cs="Tahoma"/>
          <w:sz w:val="22"/>
          <w:szCs w:val="22"/>
        </w:rPr>
        <w:t>αίρεται η αβεβαιότητα για την ικανότητα</w:t>
      </w:r>
      <w:r w:rsidRPr="00BF1ACD">
        <w:rPr>
          <w:rFonts w:ascii="Tahoma" w:hAnsi="Tahoma" w:cs="Tahoma"/>
          <w:sz w:val="22"/>
          <w:szCs w:val="22"/>
        </w:rPr>
        <w:t xml:space="preserve"> της Ελλάδας να συνεχίσει να εξυπηρετεί το δημόσιο χρέος της, </w:t>
      </w:r>
      <w:r>
        <w:rPr>
          <w:rFonts w:ascii="Tahoma" w:hAnsi="Tahoma" w:cs="Tahoma"/>
          <w:sz w:val="22"/>
          <w:szCs w:val="22"/>
        </w:rPr>
        <w:t xml:space="preserve">β) </w:t>
      </w:r>
      <w:r w:rsidRPr="00BF1ACD">
        <w:rPr>
          <w:rFonts w:ascii="Tahoma" w:hAnsi="Tahoma" w:cs="Tahoma"/>
          <w:sz w:val="22"/>
          <w:szCs w:val="22"/>
        </w:rPr>
        <w:t>ορισμένα επιχειρηματικά σχέδια στρατηγικών επενδύσεων που είχαν κατατεθεί στη διάρκεια του 2011 πλησιάζουν στο στάδιο της έγκρισης και θα αρχίσουν να υλοποιούνται,</w:t>
      </w:r>
      <w:r>
        <w:rPr>
          <w:rFonts w:ascii="Tahoma" w:hAnsi="Tahoma" w:cs="Tahoma"/>
          <w:sz w:val="22"/>
          <w:szCs w:val="22"/>
        </w:rPr>
        <w:t xml:space="preserve"> γ)</w:t>
      </w:r>
      <w:r w:rsidRPr="00BF1ACD">
        <w:rPr>
          <w:rFonts w:ascii="Tahoma" w:hAnsi="Tahoma" w:cs="Tahoma"/>
          <w:sz w:val="22"/>
          <w:szCs w:val="22"/>
        </w:rPr>
        <w:t xml:space="preserve"> παρουσιάζονται σημαντικές προοπτικές διευκόλυνσης της νέας επιχειρηματικότητας και των επενδύσεων με τις ρυθμίσεις που περιλαμβάνονται στο Ν</w:t>
      </w:r>
      <w:r>
        <w:rPr>
          <w:rFonts w:ascii="Tahoma" w:hAnsi="Tahoma" w:cs="Tahoma"/>
          <w:sz w:val="22"/>
          <w:szCs w:val="22"/>
        </w:rPr>
        <w:t>/Σ</w:t>
      </w:r>
      <w:r w:rsidRPr="00BF1ACD">
        <w:rPr>
          <w:rFonts w:ascii="Tahoma" w:hAnsi="Tahoma" w:cs="Tahoma"/>
          <w:sz w:val="22"/>
          <w:szCs w:val="22"/>
        </w:rPr>
        <w:t xml:space="preserve"> για τη βελτίωση του επιχειρηματικού περιβάλλοντος στη χώρα </w:t>
      </w:r>
      <w:r>
        <w:rPr>
          <w:rFonts w:ascii="Tahoma" w:hAnsi="Tahoma" w:cs="Tahoma"/>
          <w:sz w:val="22"/>
          <w:szCs w:val="22"/>
        </w:rPr>
        <w:t>και δ) σ</w:t>
      </w:r>
      <w:r w:rsidRPr="00BF1ACD">
        <w:rPr>
          <w:rFonts w:ascii="Tahoma" w:hAnsi="Tahoma" w:cs="Tahoma"/>
          <w:sz w:val="22"/>
          <w:szCs w:val="22"/>
        </w:rPr>
        <w:t>ύμφωνα με το νέο Μνημόνιο, θα δοθεί προτεραιότητα στην ολοκλήρωση των περιφερειακών πολεοδομικών σχεδίων, με συμβατότητα προς τα τέσσερα κλαδικά χωροταξικά σχέδια, μέχρι το τέλος του 2012</w:t>
      </w:r>
      <w:r>
        <w:rPr>
          <w:rFonts w:ascii="Tahoma" w:hAnsi="Tahoma" w:cs="Tahoma"/>
          <w:sz w:val="22"/>
          <w:szCs w:val="22"/>
        </w:rPr>
        <w:t>, επιλύνοντας σταδιακά το πρόβλημα της αβεβαιότητας-απροσδιοριστίας ως προς τις δυνατότητες χρήσης γης που συναντούν πολλά επενδυτικά σχέδια</w:t>
      </w:r>
      <w:r w:rsidRPr="00BF1ACD">
        <w:rPr>
          <w:rFonts w:ascii="Tahoma" w:hAnsi="Tahoma" w:cs="Tahoma"/>
          <w:sz w:val="22"/>
          <w:szCs w:val="22"/>
        </w:rPr>
        <w:t>.</w:t>
      </w:r>
    </w:p>
    <w:p w:rsidR="00001D11" w:rsidRPr="009D58BD" w:rsidRDefault="00001D11" w:rsidP="00001D11">
      <w:pPr>
        <w:autoSpaceDE w:val="0"/>
        <w:autoSpaceDN w:val="0"/>
        <w:adjustRightInd w:val="0"/>
        <w:spacing w:before="240" w:after="240" w:line="312" w:lineRule="auto"/>
        <w:jc w:val="both"/>
        <w:rPr>
          <w:rFonts w:ascii="Tahoma" w:hAnsi="Tahoma" w:cs="Tahoma"/>
          <w:sz w:val="22"/>
          <w:szCs w:val="22"/>
        </w:rPr>
      </w:pPr>
      <w:r>
        <w:rPr>
          <w:rFonts w:ascii="Tahoma" w:hAnsi="Tahoma" w:cs="Tahoma"/>
          <w:b/>
          <w:sz w:val="22"/>
          <w:szCs w:val="22"/>
        </w:rPr>
        <w:t xml:space="preserve">Αναλυτικότερα </w:t>
      </w:r>
      <w:r w:rsidRPr="00CB32D1">
        <w:rPr>
          <w:rFonts w:ascii="Tahoma" w:hAnsi="Tahoma" w:cs="Tahoma"/>
          <w:b/>
          <w:sz w:val="22"/>
          <w:szCs w:val="22"/>
        </w:rPr>
        <w:t>το 2012</w:t>
      </w:r>
      <w:r>
        <w:rPr>
          <w:rFonts w:ascii="Tahoma" w:hAnsi="Tahoma" w:cs="Tahoma"/>
          <w:sz w:val="22"/>
          <w:szCs w:val="22"/>
        </w:rPr>
        <w:t xml:space="preserve">, </w:t>
      </w:r>
      <w:r w:rsidRPr="00891DF4">
        <w:rPr>
          <w:rFonts w:ascii="Tahoma" w:hAnsi="Tahoma" w:cs="Tahoma"/>
          <w:sz w:val="22"/>
          <w:szCs w:val="22"/>
        </w:rPr>
        <w:t>η ιδ</w:t>
      </w:r>
      <w:r>
        <w:rPr>
          <w:rFonts w:ascii="Tahoma" w:hAnsi="Tahoma" w:cs="Tahoma"/>
          <w:sz w:val="22"/>
          <w:szCs w:val="22"/>
        </w:rPr>
        <w:t>ιωτική κατανάλωση θα περιοριστεί σημαντικά εκ νέου. Ε</w:t>
      </w:r>
      <w:r w:rsidRPr="00891DF4">
        <w:rPr>
          <w:rFonts w:ascii="Tahoma" w:hAnsi="Tahoma" w:cs="Tahoma"/>
          <w:sz w:val="22"/>
          <w:szCs w:val="22"/>
        </w:rPr>
        <w:t>κτεταμένε</w:t>
      </w:r>
      <w:r>
        <w:rPr>
          <w:rFonts w:ascii="Tahoma" w:hAnsi="Tahoma" w:cs="Tahoma"/>
          <w:sz w:val="22"/>
          <w:szCs w:val="22"/>
        </w:rPr>
        <w:t>ς θα είναι οι περικοπές και στις καταναλωτικές</w:t>
      </w:r>
      <w:r w:rsidRPr="00891DF4">
        <w:rPr>
          <w:rFonts w:ascii="Tahoma" w:hAnsi="Tahoma" w:cs="Tahoma"/>
          <w:sz w:val="22"/>
          <w:szCs w:val="22"/>
        </w:rPr>
        <w:t xml:space="preserve"> δαπάνες</w:t>
      </w:r>
      <w:r>
        <w:rPr>
          <w:rFonts w:ascii="Tahoma" w:hAnsi="Tahoma" w:cs="Tahoma"/>
          <w:sz w:val="22"/>
          <w:szCs w:val="22"/>
        </w:rPr>
        <w:t xml:space="preserve"> του δημοσίου</w:t>
      </w:r>
      <w:r w:rsidRPr="00891DF4">
        <w:rPr>
          <w:rFonts w:ascii="Tahoma" w:hAnsi="Tahoma" w:cs="Tahoma"/>
          <w:sz w:val="22"/>
          <w:szCs w:val="22"/>
        </w:rPr>
        <w:t xml:space="preserve">, στο πλαίσιο της εντατικοποίησης της </w:t>
      </w:r>
      <w:r>
        <w:rPr>
          <w:rFonts w:ascii="Tahoma" w:hAnsi="Tahoma" w:cs="Tahoma"/>
          <w:sz w:val="22"/>
          <w:szCs w:val="22"/>
        </w:rPr>
        <w:t xml:space="preserve">προσπάθειας </w:t>
      </w:r>
      <w:r w:rsidRPr="00891DF4">
        <w:rPr>
          <w:rFonts w:ascii="Tahoma" w:hAnsi="Tahoma" w:cs="Tahoma"/>
          <w:sz w:val="22"/>
          <w:szCs w:val="22"/>
        </w:rPr>
        <w:t>δημοσιονομικής προσαρμογής</w:t>
      </w:r>
      <w:r>
        <w:rPr>
          <w:rFonts w:ascii="Tahoma" w:hAnsi="Tahoma" w:cs="Tahoma"/>
          <w:sz w:val="22"/>
          <w:szCs w:val="22"/>
        </w:rPr>
        <w:t>. Ο</w:t>
      </w:r>
      <w:r w:rsidRPr="009D58BD">
        <w:rPr>
          <w:rFonts w:ascii="Tahoma" w:hAnsi="Tahoma" w:cs="Tahoma"/>
          <w:sz w:val="22"/>
          <w:szCs w:val="22"/>
        </w:rPr>
        <w:t>ι συνολικές εγχώριες επ</w:t>
      </w:r>
      <w:r>
        <w:rPr>
          <w:rFonts w:ascii="Tahoma" w:hAnsi="Tahoma" w:cs="Tahoma"/>
          <w:sz w:val="22"/>
          <w:szCs w:val="22"/>
        </w:rPr>
        <w:t>ενδύσεις θα υποχωρήσουν για ακόμα</w:t>
      </w:r>
      <w:r w:rsidRPr="009D58BD">
        <w:rPr>
          <w:rFonts w:ascii="Tahoma" w:hAnsi="Tahoma" w:cs="Tahoma"/>
          <w:sz w:val="22"/>
          <w:szCs w:val="22"/>
        </w:rPr>
        <w:t xml:space="preserve"> μια χρονιά, </w:t>
      </w:r>
      <w:r>
        <w:rPr>
          <w:rFonts w:ascii="Tahoma" w:hAnsi="Tahoma" w:cs="Tahoma"/>
          <w:sz w:val="22"/>
          <w:szCs w:val="22"/>
        </w:rPr>
        <w:t>εξαιτίας της αρκετά εξασθενημένης εγχώριας ζήτησης και της συνάρτησης της υλοποίησης του Προγράμματος Δημοσίων Επενδύσεων από την επίτευξη των δημοσιονομικών στόχων, όπως έγινε τα δύο προηγούμενα έτη. Η εκκίνηση ορισμένων μεγάλων ξένων επενδύσεων ενδεχομένως να συγκρατήσει την πτώση τους</w:t>
      </w:r>
      <w:r w:rsidRPr="009D58BD">
        <w:rPr>
          <w:rFonts w:ascii="Tahoma" w:hAnsi="Tahoma" w:cs="Tahoma"/>
          <w:sz w:val="22"/>
          <w:szCs w:val="22"/>
        </w:rPr>
        <w:t xml:space="preserve"> σε μικρότερη έκταση από ότι πέρυσι</w:t>
      </w:r>
      <w:r>
        <w:rPr>
          <w:rFonts w:ascii="Tahoma" w:hAnsi="Tahoma" w:cs="Tahoma"/>
          <w:sz w:val="22"/>
          <w:szCs w:val="22"/>
        </w:rPr>
        <w:t xml:space="preserve">. </w:t>
      </w:r>
      <w:r w:rsidRPr="009D58BD">
        <w:rPr>
          <w:rFonts w:ascii="Tahoma" w:hAnsi="Tahoma" w:cs="Tahoma"/>
          <w:sz w:val="22"/>
          <w:szCs w:val="22"/>
        </w:rPr>
        <w:lastRenderedPageBreak/>
        <w:t>Σε τροχιά βελτίωσης του ισοζυγίου του θα παραμείνει ο εξωτερικός τομέας και φέτος.</w:t>
      </w:r>
      <w:r w:rsidRPr="00A07C17">
        <w:rPr>
          <w:rFonts w:ascii="Tahoma" w:hAnsi="Tahoma" w:cs="Tahoma"/>
          <w:sz w:val="22"/>
          <w:szCs w:val="22"/>
        </w:rPr>
        <w:t xml:space="preserve"> </w:t>
      </w:r>
      <w:r w:rsidRPr="009D58BD">
        <w:rPr>
          <w:rFonts w:ascii="Tahoma" w:hAnsi="Tahoma" w:cs="Tahoma"/>
          <w:sz w:val="22"/>
          <w:szCs w:val="22"/>
        </w:rPr>
        <w:t xml:space="preserve">Ωστόσο, είναι πιθανό αυτή να προέλθει αποκλειστικά από την κατακόρυφη πτώση των εισαγωγών, καθώς δεν αποκλείεται και οι εξαγωγές να περιοριστούν το 2012, εξαιτίας της επιβράδυνσης </w:t>
      </w:r>
      <w:r>
        <w:rPr>
          <w:rFonts w:ascii="Tahoma" w:hAnsi="Tahoma" w:cs="Tahoma"/>
          <w:sz w:val="22"/>
          <w:szCs w:val="22"/>
        </w:rPr>
        <w:t xml:space="preserve">τόσο </w:t>
      </w:r>
      <w:r w:rsidRPr="009D58BD">
        <w:rPr>
          <w:rFonts w:ascii="Tahoma" w:hAnsi="Tahoma" w:cs="Tahoma"/>
          <w:sz w:val="22"/>
          <w:szCs w:val="22"/>
        </w:rPr>
        <w:t xml:space="preserve">της παγκόσμιας ανάπτυξης </w:t>
      </w:r>
      <w:r>
        <w:rPr>
          <w:rFonts w:ascii="Tahoma" w:hAnsi="Tahoma" w:cs="Tahoma"/>
          <w:sz w:val="22"/>
          <w:szCs w:val="22"/>
        </w:rPr>
        <w:t xml:space="preserve">όσο </w:t>
      </w:r>
      <w:r w:rsidRPr="009D58BD">
        <w:rPr>
          <w:rFonts w:ascii="Tahoma" w:hAnsi="Tahoma" w:cs="Tahoma"/>
          <w:sz w:val="22"/>
          <w:szCs w:val="22"/>
        </w:rPr>
        <w:t xml:space="preserve">και της μεγέθυνσης του διεθνούς εμπορίου. </w:t>
      </w:r>
      <w:r w:rsidRPr="009D58BD">
        <w:rPr>
          <w:rFonts w:ascii="Tahoma" w:hAnsi="Tahoma" w:cs="Tahoma"/>
          <w:b/>
          <w:sz w:val="22"/>
          <w:szCs w:val="22"/>
        </w:rPr>
        <w:t xml:space="preserve">Συνισταμένη των προηγούμενων εκτιμώμενων μεταβολών στις βασικές συνιστώσες του ΑΕΠ αποτελεί η πρόβλεψη για </w:t>
      </w:r>
      <w:r>
        <w:rPr>
          <w:rFonts w:ascii="Tahoma" w:hAnsi="Tahoma" w:cs="Tahoma"/>
          <w:b/>
          <w:sz w:val="22"/>
          <w:szCs w:val="22"/>
        </w:rPr>
        <w:t xml:space="preserve">συρρίκνωση </w:t>
      </w:r>
      <w:r w:rsidRPr="009D58BD">
        <w:rPr>
          <w:rFonts w:ascii="Tahoma" w:hAnsi="Tahoma" w:cs="Tahoma"/>
          <w:b/>
          <w:sz w:val="22"/>
          <w:szCs w:val="22"/>
        </w:rPr>
        <w:t>της ελληνικής οικονομίας</w:t>
      </w:r>
      <w:r w:rsidRPr="001C1380">
        <w:rPr>
          <w:rFonts w:ascii="Tahoma" w:hAnsi="Tahoma" w:cs="Tahoma"/>
          <w:b/>
          <w:sz w:val="22"/>
          <w:szCs w:val="22"/>
        </w:rPr>
        <w:t xml:space="preserve"> κατά 5% το</w:t>
      </w:r>
      <w:r w:rsidRPr="009D58BD">
        <w:rPr>
          <w:rFonts w:ascii="Tahoma" w:hAnsi="Tahoma" w:cs="Tahoma"/>
          <w:b/>
          <w:sz w:val="22"/>
          <w:szCs w:val="22"/>
        </w:rPr>
        <w:t xml:space="preserve"> 2012</w:t>
      </w:r>
      <w:r w:rsidRPr="009D58BD">
        <w:rPr>
          <w:rFonts w:ascii="Tahoma" w:hAnsi="Tahoma" w:cs="Tahoma"/>
          <w:sz w:val="22"/>
          <w:szCs w:val="22"/>
        </w:rPr>
        <w:t xml:space="preserve">. </w:t>
      </w:r>
    </w:p>
    <w:p w:rsidR="00001D11" w:rsidRPr="004D6F5C" w:rsidRDefault="00001D11" w:rsidP="004D6F5C">
      <w:pPr>
        <w:pStyle w:val="new2"/>
        <w:spacing w:before="240" w:line="312" w:lineRule="auto"/>
      </w:pPr>
      <w:bookmarkStart w:id="12" w:name="_Toc320872870"/>
      <w:r w:rsidRPr="004D6F5C">
        <w:t>Παραμονή της ανεργίας σε ανοδική τροχιά το 2012, με ηπιότερο ρυθμό από ότι πέρυσι</w:t>
      </w:r>
      <w:bookmarkEnd w:id="12"/>
      <w:r w:rsidRPr="004D6F5C">
        <w:t xml:space="preserve">  </w:t>
      </w:r>
    </w:p>
    <w:p w:rsidR="00001D11" w:rsidRPr="00AB4E5E" w:rsidRDefault="00001D11" w:rsidP="00001D11">
      <w:pPr>
        <w:spacing w:before="240" w:after="240" w:line="312" w:lineRule="auto"/>
        <w:jc w:val="both"/>
        <w:rPr>
          <w:rFonts w:ascii="Tahoma" w:hAnsi="Tahoma" w:cs="Tahoma"/>
          <w:b/>
          <w:sz w:val="22"/>
          <w:szCs w:val="22"/>
        </w:rPr>
      </w:pPr>
      <w:r w:rsidRPr="007679CC">
        <w:rPr>
          <w:rFonts w:ascii="Tahoma" w:hAnsi="Tahoma" w:cs="Tahoma"/>
          <w:sz w:val="22"/>
          <w:szCs w:val="22"/>
        </w:rPr>
        <w:t>Τα δεδομένα και οι συνθήκες στην αγορά εργασίας επιδεινώθηκαν εκ νέου στα τέλη του 2011</w:t>
      </w:r>
      <w:r>
        <w:rPr>
          <w:rFonts w:ascii="Tahoma" w:hAnsi="Tahoma" w:cs="Tahoma"/>
          <w:sz w:val="22"/>
          <w:szCs w:val="22"/>
        </w:rPr>
        <w:t>, ε</w:t>
      </w:r>
      <w:r w:rsidRPr="00611037">
        <w:rPr>
          <w:rFonts w:ascii="Tahoma" w:hAnsi="Tahoma" w:cs="Tahoma"/>
          <w:sz w:val="22"/>
          <w:szCs w:val="22"/>
        </w:rPr>
        <w:t xml:space="preserve">ξέλιξη </w:t>
      </w:r>
      <w:r>
        <w:rPr>
          <w:rFonts w:ascii="Tahoma" w:hAnsi="Tahoma" w:cs="Tahoma"/>
          <w:sz w:val="22"/>
          <w:szCs w:val="22"/>
        </w:rPr>
        <w:t xml:space="preserve">που </w:t>
      </w:r>
      <w:r w:rsidRPr="00611037">
        <w:rPr>
          <w:rFonts w:ascii="Tahoma" w:hAnsi="Tahoma" w:cs="Tahoma"/>
          <w:sz w:val="22"/>
          <w:szCs w:val="22"/>
        </w:rPr>
        <w:t xml:space="preserve">είχε προεξοφληθεί στην προηγούμενη τριμηνιαία έκθεση του ΙΟΒΕ, καθώς αναμενόταν ότι η παραγωγική δραστηριότητα θα προσαρμοζόταν στο δεύτερο μισό του 2011 στην αρκετά εντονότερη της αναμενόμενης υποχώρηση του ΑΕΠ, προσαρμογή με αναπόφευκτες επιπτώσεις και στην απασχόληση. </w:t>
      </w:r>
      <w:r>
        <w:rPr>
          <w:rFonts w:ascii="Tahoma" w:hAnsi="Tahoma" w:cs="Tahoma"/>
          <w:sz w:val="22"/>
          <w:szCs w:val="22"/>
        </w:rPr>
        <w:t>Έτσι</w:t>
      </w:r>
      <w:r w:rsidRPr="007679CC">
        <w:rPr>
          <w:rFonts w:ascii="Tahoma" w:hAnsi="Tahoma" w:cs="Tahoma"/>
          <w:sz w:val="22"/>
          <w:szCs w:val="22"/>
        </w:rPr>
        <w:t xml:space="preserve">, </w:t>
      </w:r>
      <w:r w:rsidRPr="007679CC">
        <w:rPr>
          <w:rFonts w:ascii="Tahoma" w:hAnsi="Tahoma" w:cs="Tahoma"/>
          <w:b/>
          <w:sz w:val="22"/>
          <w:szCs w:val="22"/>
        </w:rPr>
        <w:t>το ποσοστό ανεργίας ανήλθε στο 20,7% στο τέταρτο τρίμηνο του 2011, 6,5 εκατοστιαίες μονάδες υψηλότερα από ότι βρισκόταν στην ίδια περίοδο του 2010, ενώ συνολικά το 2011 η αύξηση της ανεργίας έφτασε τις 5,2 εκατοστιαίες μονάδες, από το 12,5% στο 17,7%.</w:t>
      </w:r>
      <w:r w:rsidRPr="007679CC">
        <w:rPr>
          <w:rFonts w:ascii="Tahoma" w:hAnsi="Tahoma" w:cs="Tahoma"/>
          <w:sz w:val="22"/>
          <w:szCs w:val="22"/>
        </w:rPr>
        <w:t xml:space="preserve"> </w:t>
      </w:r>
      <w:r w:rsidRPr="00CB3FFF">
        <w:rPr>
          <w:rFonts w:ascii="Tahoma" w:hAnsi="Tahoma" w:cs="Tahoma"/>
          <w:sz w:val="22"/>
          <w:szCs w:val="22"/>
        </w:rPr>
        <w:t xml:space="preserve">Η σημαντική πτώση της εγχώριας ζήτησης και κατά το τρέχον έτος θα </w:t>
      </w:r>
      <w:r>
        <w:rPr>
          <w:rFonts w:ascii="Tahoma" w:hAnsi="Tahoma" w:cs="Tahoma"/>
          <w:sz w:val="22"/>
          <w:szCs w:val="22"/>
        </w:rPr>
        <w:t xml:space="preserve">καθορίσει </w:t>
      </w:r>
      <w:r w:rsidRPr="00CB3FFF">
        <w:rPr>
          <w:rFonts w:ascii="Tahoma" w:hAnsi="Tahoma" w:cs="Tahoma"/>
          <w:sz w:val="22"/>
          <w:szCs w:val="22"/>
        </w:rPr>
        <w:t>τ</w:t>
      </w:r>
      <w:r>
        <w:rPr>
          <w:rFonts w:ascii="Tahoma" w:hAnsi="Tahoma" w:cs="Tahoma"/>
          <w:sz w:val="22"/>
          <w:szCs w:val="22"/>
        </w:rPr>
        <w:t xml:space="preserve">ις τάσεις </w:t>
      </w:r>
      <w:r w:rsidRPr="00CB3FFF">
        <w:rPr>
          <w:rFonts w:ascii="Tahoma" w:hAnsi="Tahoma" w:cs="Tahoma"/>
          <w:sz w:val="22"/>
          <w:szCs w:val="22"/>
        </w:rPr>
        <w:t xml:space="preserve">στην αγορά εργασίας. </w:t>
      </w:r>
      <w:r w:rsidRPr="00611037">
        <w:rPr>
          <w:rFonts w:ascii="Tahoma" w:hAnsi="Tahoma" w:cs="Tahoma"/>
          <w:sz w:val="22"/>
          <w:szCs w:val="22"/>
        </w:rPr>
        <w:t xml:space="preserve">Κομβική εξέλιξη για την </w:t>
      </w:r>
      <w:r>
        <w:rPr>
          <w:rFonts w:ascii="Tahoma" w:hAnsi="Tahoma" w:cs="Tahoma"/>
          <w:sz w:val="22"/>
          <w:szCs w:val="22"/>
        </w:rPr>
        <w:t xml:space="preserve">πορεία </w:t>
      </w:r>
      <w:r>
        <w:rPr>
          <w:rFonts w:ascii="Tahoma" w:hAnsi="Tahoma" w:cs="Tahoma"/>
          <w:sz w:val="22"/>
          <w:szCs w:val="22"/>
        </w:rPr>
        <w:lastRenderedPageBreak/>
        <w:t>της απασχόλησης εφεξής</w:t>
      </w:r>
      <w:r w:rsidRPr="00611037">
        <w:rPr>
          <w:rFonts w:ascii="Tahoma" w:hAnsi="Tahoma" w:cs="Tahoma"/>
          <w:sz w:val="22"/>
          <w:szCs w:val="22"/>
        </w:rPr>
        <w:t xml:space="preserve"> αποτελούν οι πρόσφατες ρυθμιστικές παρεμβάσεις στο μισθολογικό κόστος του ιδιωτικού τομέα και στις διαδικασίες διαπραγμάτευσης μεταξύ εργοδοτών-εργαζομένων. </w:t>
      </w:r>
      <w:r w:rsidRPr="00C1517E">
        <w:rPr>
          <w:rFonts w:ascii="Tahoma" w:hAnsi="Tahoma" w:cs="Tahoma"/>
          <w:sz w:val="22"/>
          <w:szCs w:val="22"/>
        </w:rPr>
        <w:t>Όπως επισημάνθηκε παραπάνω, βραχυχρόνια θα επιφέρουν επιδείνωση της ύφεσης, η οποία θα έχει αρνητικό αντίκτυπο και στην απασχόληση. Όμως, η πλήρης επί</w:t>
      </w:r>
      <w:r>
        <w:rPr>
          <w:rFonts w:ascii="Tahoma" w:hAnsi="Tahoma" w:cs="Tahoma"/>
          <w:sz w:val="22"/>
          <w:szCs w:val="22"/>
        </w:rPr>
        <w:t>δρασή τους στην αγορά εργασίας θα ολοκληρωθεί σε</w:t>
      </w:r>
      <w:r w:rsidRPr="00C1517E">
        <w:rPr>
          <w:rFonts w:ascii="Tahoma" w:hAnsi="Tahoma" w:cs="Tahoma"/>
          <w:sz w:val="22"/>
          <w:szCs w:val="22"/>
        </w:rPr>
        <w:t xml:space="preserve"> μέσο-μακροπρόθεσμο ορίζοντα. </w:t>
      </w:r>
      <w:r w:rsidR="004D6F5C">
        <w:rPr>
          <w:rFonts w:ascii="Tahoma" w:hAnsi="Tahoma" w:cs="Tahoma"/>
          <w:sz w:val="22"/>
          <w:szCs w:val="22"/>
        </w:rPr>
        <w:t>Στην προσαρμογ</w:t>
      </w:r>
      <w:r>
        <w:rPr>
          <w:rFonts w:ascii="Tahoma" w:hAnsi="Tahoma" w:cs="Tahoma"/>
          <w:sz w:val="22"/>
          <w:szCs w:val="22"/>
        </w:rPr>
        <w:t xml:space="preserve">ή του </w:t>
      </w:r>
      <w:r w:rsidRPr="00430553">
        <w:rPr>
          <w:rFonts w:ascii="Tahoma" w:hAnsi="Tahoma" w:cs="Tahoma"/>
          <w:sz w:val="22"/>
          <w:szCs w:val="22"/>
        </w:rPr>
        <w:t>εργατικό</w:t>
      </w:r>
      <w:r>
        <w:rPr>
          <w:rFonts w:ascii="Tahoma" w:hAnsi="Tahoma" w:cs="Tahoma"/>
          <w:sz w:val="22"/>
          <w:szCs w:val="22"/>
        </w:rPr>
        <w:t xml:space="preserve"> τους δυναμικού, οι επιχειρήσεις, ιδίως όσες έχουν παρουσία σε αγορές του εξωτερικού, θα συνεκτιμήσουν τον αντίκτυπο από </w:t>
      </w:r>
      <w:r w:rsidRPr="00C1517E">
        <w:rPr>
          <w:rFonts w:ascii="Tahoma" w:hAnsi="Tahoma" w:cs="Tahoma"/>
          <w:sz w:val="22"/>
          <w:szCs w:val="22"/>
        </w:rPr>
        <w:t>τις μεταβολές των τιμών των</w:t>
      </w:r>
      <w:r>
        <w:rPr>
          <w:rFonts w:ascii="Tahoma" w:hAnsi="Tahoma" w:cs="Tahoma"/>
          <w:sz w:val="22"/>
          <w:szCs w:val="22"/>
        </w:rPr>
        <w:t xml:space="preserve"> προϊόντων/υπηρεσιών τους λόγω μείωσης </w:t>
      </w:r>
      <w:r w:rsidRPr="00C1517E">
        <w:rPr>
          <w:rFonts w:ascii="Tahoma" w:hAnsi="Tahoma" w:cs="Tahoma"/>
          <w:sz w:val="22"/>
          <w:szCs w:val="22"/>
        </w:rPr>
        <w:t>του μισθολογικού κόστου</w:t>
      </w:r>
      <w:r>
        <w:rPr>
          <w:rFonts w:ascii="Tahoma" w:hAnsi="Tahoma" w:cs="Tahoma"/>
          <w:sz w:val="22"/>
          <w:szCs w:val="22"/>
        </w:rPr>
        <w:t>ς, στη διεθνή ζήτηση και ανταγωνιστικότητά τους</w:t>
      </w:r>
      <w:r w:rsidRPr="00C1517E">
        <w:rPr>
          <w:rFonts w:ascii="Tahoma" w:hAnsi="Tahoma" w:cs="Tahoma"/>
          <w:sz w:val="22"/>
          <w:szCs w:val="22"/>
        </w:rPr>
        <w:t xml:space="preserve">. </w:t>
      </w:r>
      <w:r>
        <w:rPr>
          <w:rFonts w:ascii="Tahoma" w:hAnsi="Tahoma" w:cs="Tahoma"/>
          <w:b/>
          <w:sz w:val="22"/>
          <w:szCs w:val="22"/>
        </w:rPr>
        <w:t xml:space="preserve">Υπό την επίδραση </w:t>
      </w:r>
      <w:r w:rsidRPr="00AB4E5E">
        <w:rPr>
          <w:rFonts w:ascii="Tahoma" w:hAnsi="Tahoma" w:cs="Tahoma"/>
          <w:b/>
          <w:sz w:val="22"/>
          <w:szCs w:val="22"/>
        </w:rPr>
        <w:t>των παραγόντων που αναλύθηκαν, το ποσοστό ανεργίας αναμένεται να διαμορφωθεί το 2012 στην περιοχή του 20%.</w:t>
      </w:r>
    </w:p>
    <w:p w:rsidR="00001D11" w:rsidRPr="004D6F5C" w:rsidRDefault="00001D11" w:rsidP="004D6F5C">
      <w:pPr>
        <w:pStyle w:val="new2"/>
        <w:spacing w:before="240" w:line="312" w:lineRule="auto"/>
      </w:pPr>
      <w:bookmarkStart w:id="13" w:name="_Toc320872871"/>
      <w:r w:rsidRPr="004D6F5C">
        <w:t>Σημαντική αποκλιμάκωση του πληθωρισμού το 2012, εξαιτίας της εξασθενημένης ζήτησης</w:t>
      </w:r>
      <w:bookmarkEnd w:id="13"/>
    </w:p>
    <w:p w:rsidR="00001D11" w:rsidRPr="009E378A" w:rsidRDefault="00001D11" w:rsidP="00001D11">
      <w:pPr>
        <w:spacing w:before="240" w:after="240" w:line="312" w:lineRule="auto"/>
        <w:jc w:val="both"/>
        <w:rPr>
          <w:rFonts w:ascii="Tahoma" w:hAnsi="Tahoma" w:cs="Tahoma"/>
          <w:sz w:val="22"/>
          <w:szCs w:val="22"/>
        </w:rPr>
      </w:pPr>
      <w:r>
        <w:rPr>
          <w:rFonts w:ascii="Tahoma" w:hAnsi="Tahoma" w:cs="Tahoma"/>
          <w:sz w:val="22"/>
          <w:szCs w:val="22"/>
        </w:rPr>
        <w:t xml:space="preserve">Οι </w:t>
      </w:r>
      <w:r w:rsidRPr="009E378A">
        <w:rPr>
          <w:rFonts w:ascii="Tahoma" w:hAnsi="Tahoma" w:cs="Tahoma"/>
          <w:sz w:val="22"/>
          <w:szCs w:val="22"/>
        </w:rPr>
        <w:t>διαδοχικές δ</w:t>
      </w:r>
      <w:r>
        <w:rPr>
          <w:rFonts w:ascii="Tahoma" w:hAnsi="Tahoma" w:cs="Tahoma"/>
          <w:sz w:val="22"/>
          <w:szCs w:val="22"/>
        </w:rPr>
        <w:t>έσμες δημοσιονομικών μέτρων, οι επιπτώσεις των οποίων στο διαθέσιμο εισόδημα δεν έχουν ακόμα εκδηλωθεί πλήρως, καθώς και η συνεχιζόμενη άνοδος</w:t>
      </w:r>
      <w:r w:rsidRPr="009E378A">
        <w:rPr>
          <w:rFonts w:ascii="Tahoma" w:hAnsi="Tahoma" w:cs="Tahoma"/>
          <w:sz w:val="22"/>
          <w:szCs w:val="22"/>
        </w:rPr>
        <w:t xml:space="preserve"> της ανεργίας</w:t>
      </w:r>
      <w:r>
        <w:rPr>
          <w:rFonts w:ascii="Tahoma" w:hAnsi="Tahoma" w:cs="Tahoma"/>
          <w:sz w:val="22"/>
          <w:szCs w:val="22"/>
        </w:rPr>
        <w:t>, θα περιορίσουν περαιτέρω το διαθέσιμο εισόδημα, τη ζήτηση και ακολούθως τον πληθωρισμό</w:t>
      </w:r>
      <w:r w:rsidRPr="009E378A">
        <w:rPr>
          <w:rFonts w:ascii="Tahoma" w:hAnsi="Tahoma" w:cs="Tahoma"/>
          <w:sz w:val="22"/>
          <w:szCs w:val="22"/>
        </w:rPr>
        <w:t xml:space="preserve">, </w:t>
      </w:r>
      <w:r>
        <w:rPr>
          <w:rFonts w:ascii="Tahoma" w:hAnsi="Tahoma" w:cs="Tahoma"/>
          <w:sz w:val="22"/>
          <w:szCs w:val="22"/>
        </w:rPr>
        <w:t xml:space="preserve">όπως ήδη </w:t>
      </w:r>
      <w:r w:rsidRPr="009E378A">
        <w:rPr>
          <w:rFonts w:ascii="Tahoma" w:hAnsi="Tahoma" w:cs="Tahoma"/>
          <w:sz w:val="22"/>
          <w:szCs w:val="22"/>
        </w:rPr>
        <w:t xml:space="preserve">συμβαίνει από τον περασμένο Οκτώβριο, μετά </w:t>
      </w:r>
      <w:r>
        <w:rPr>
          <w:rFonts w:ascii="Tahoma" w:hAnsi="Tahoma" w:cs="Tahoma"/>
          <w:sz w:val="22"/>
          <w:szCs w:val="22"/>
        </w:rPr>
        <w:t>την τελευταία αύξηση έμμεσων φόρων</w:t>
      </w:r>
      <w:r w:rsidRPr="009E378A">
        <w:rPr>
          <w:rFonts w:ascii="Tahoma" w:hAnsi="Tahoma" w:cs="Tahoma"/>
          <w:sz w:val="22"/>
          <w:szCs w:val="22"/>
        </w:rPr>
        <w:t xml:space="preserve">. </w:t>
      </w:r>
      <w:r>
        <w:rPr>
          <w:rFonts w:ascii="Tahoma" w:hAnsi="Tahoma" w:cs="Tahoma"/>
          <w:sz w:val="22"/>
          <w:szCs w:val="22"/>
        </w:rPr>
        <w:t xml:space="preserve">Την υποχώρηση του πληθωρισμού στη συνέχεια του 2012 θα υποβοηθήσει και </w:t>
      </w:r>
      <w:r w:rsidRPr="009E378A">
        <w:rPr>
          <w:rFonts w:ascii="Tahoma" w:hAnsi="Tahoma" w:cs="Tahoma"/>
          <w:sz w:val="22"/>
          <w:szCs w:val="22"/>
        </w:rPr>
        <w:t xml:space="preserve">το τεχνικό αποτέλεσμα του υψηλού επιπέδου-βάσης </w:t>
      </w:r>
      <w:r w:rsidRPr="009E378A">
        <w:rPr>
          <w:rFonts w:ascii="Tahoma" w:hAnsi="Tahoma" w:cs="Tahoma"/>
          <w:sz w:val="22"/>
          <w:szCs w:val="22"/>
        </w:rPr>
        <w:lastRenderedPageBreak/>
        <w:t>σύγκρισης του ΓΔΤΚ από τον Μάρτιο του 2011 και μετά</w:t>
      </w:r>
      <w:r>
        <w:rPr>
          <w:rFonts w:ascii="Tahoma" w:hAnsi="Tahoma" w:cs="Tahoma"/>
          <w:sz w:val="22"/>
          <w:szCs w:val="22"/>
        </w:rPr>
        <w:t>. Συνεπώς, δεν αποκλείεται η εμφάνιση αποπληθωρισμού σε ορισμένους από τους προσεχείς μήνες. Αντίρροπα σε αυτές τις περιοριστικές επιδράσεις στ</w:t>
      </w:r>
      <w:r w:rsidRPr="009E378A">
        <w:rPr>
          <w:rFonts w:ascii="Tahoma" w:hAnsi="Tahoma" w:cs="Tahoma"/>
          <w:sz w:val="22"/>
          <w:szCs w:val="22"/>
        </w:rPr>
        <w:t>ο</w:t>
      </w:r>
      <w:r>
        <w:rPr>
          <w:rFonts w:ascii="Tahoma" w:hAnsi="Tahoma" w:cs="Tahoma"/>
          <w:sz w:val="22"/>
          <w:szCs w:val="22"/>
        </w:rPr>
        <w:t>ν πληθωρισμό</w:t>
      </w:r>
      <w:r w:rsidRPr="009E378A">
        <w:rPr>
          <w:rFonts w:ascii="Tahoma" w:hAnsi="Tahoma" w:cs="Tahoma"/>
          <w:sz w:val="22"/>
          <w:szCs w:val="22"/>
        </w:rPr>
        <w:t xml:space="preserve"> θα λειτουργήσουν </w:t>
      </w:r>
      <w:r>
        <w:rPr>
          <w:rFonts w:ascii="Tahoma" w:hAnsi="Tahoma" w:cs="Tahoma"/>
          <w:sz w:val="22"/>
          <w:szCs w:val="22"/>
        </w:rPr>
        <w:t xml:space="preserve">οι </w:t>
      </w:r>
      <w:r w:rsidRPr="009E378A">
        <w:rPr>
          <w:rFonts w:ascii="Tahoma" w:hAnsi="Tahoma" w:cs="Tahoma"/>
          <w:sz w:val="22"/>
          <w:szCs w:val="22"/>
        </w:rPr>
        <w:t>αυξήσεις τιμών βασικών αγαθών (πχ. ηλεκτρικό ρεύμα) και έμμεσων φόρων</w:t>
      </w:r>
      <w:r>
        <w:rPr>
          <w:rFonts w:ascii="Tahoma" w:hAnsi="Tahoma" w:cs="Tahoma"/>
          <w:sz w:val="22"/>
          <w:szCs w:val="22"/>
        </w:rPr>
        <w:t xml:space="preserve"> (</w:t>
      </w:r>
      <w:r w:rsidRPr="009E378A">
        <w:rPr>
          <w:rFonts w:ascii="Tahoma" w:hAnsi="Tahoma" w:cs="Tahoma"/>
          <w:sz w:val="22"/>
          <w:szCs w:val="22"/>
        </w:rPr>
        <w:t>εξίσω</w:t>
      </w:r>
      <w:r>
        <w:rPr>
          <w:rFonts w:ascii="Tahoma" w:hAnsi="Tahoma" w:cs="Tahoma"/>
          <w:sz w:val="22"/>
          <w:szCs w:val="22"/>
        </w:rPr>
        <w:t>ση</w:t>
      </w:r>
      <w:r w:rsidRPr="009E378A">
        <w:rPr>
          <w:rFonts w:ascii="Tahoma" w:hAnsi="Tahoma" w:cs="Tahoma"/>
          <w:sz w:val="22"/>
          <w:szCs w:val="22"/>
        </w:rPr>
        <w:t xml:space="preserve"> ειδικού φόρου στο πετρέλαιο θέρμανσης και κίνησης από το φθινόπωρο</w:t>
      </w:r>
      <w:r>
        <w:rPr>
          <w:rFonts w:ascii="Tahoma" w:hAnsi="Tahoma" w:cs="Tahoma"/>
          <w:sz w:val="22"/>
          <w:szCs w:val="22"/>
        </w:rPr>
        <w:t>), προκειμένου να επιτευχθούν οι δημοσιονομικοί στόχοι, με την</w:t>
      </w:r>
      <w:r w:rsidRPr="009E378A">
        <w:rPr>
          <w:rFonts w:ascii="Tahoma" w:hAnsi="Tahoma" w:cs="Tahoma"/>
          <w:sz w:val="22"/>
          <w:szCs w:val="22"/>
        </w:rPr>
        <w:t xml:space="preserve"> ανασχετική δυναμικότητά τους στην αποκλ</w:t>
      </w:r>
      <w:r>
        <w:rPr>
          <w:rFonts w:ascii="Tahoma" w:hAnsi="Tahoma" w:cs="Tahoma"/>
          <w:sz w:val="22"/>
          <w:szCs w:val="22"/>
        </w:rPr>
        <w:t>ιμάκωση του πληθωρισμού να θεωρείται πάντως</w:t>
      </w:r>
      <w:r w:rsidRPr="009E378A">
        <w:rPr>
          <w:rFonts w:ascii="Tahoma" w:hAnsi="Tahoma" w:cs="Tahoma"/>
          <w:sz w:val="22"/>
          <w:szCs w:val="22"/>
        </w:rPr>
        <w:t xml:space="preserve"> περιορισμένη. </w:t>
      </w:r>
      <w:r w:rsidRPr="009E378A">
        <w:rPr>
          <w:rFonts w:ascii="Tahoma" w:hAnsi="Tahoma" w:cs="Tahoma"/>
          <w:b/>
          <w:sz w:val="22"/>
          <w:szCs w:val="22"/>
        </w:rPr>
        <w:t>Δεδομένων των παραπάνω αναμενόμενων επιδράσεων, ο πληθωρισμός προβλέπετ</w:t>
      </w:r>
      <w:r>
        <w:rPr>
          <w:rFonts w:ascii="Tahoma" w:hAnsi="Tahoma" w:cs="Tahoma"/>
          <w:b/>
          <w:sz w:val="22"/>
          <w:szCs w:val="22"/>
        </w:rPr>
        <w:t>αι να κινηθεί το 2012 σε επίπεδο λίγο χαμηλότερο</w:t>
      </w:r>
      <w:r w:rsidRPr="009E378A">
        <w:rPr>
          <w:rFonts w:ascii="Tahoma" w:hAnsi="Tahoma" w:cs="Tahoma"/>
          <w:b/>
          <w:sz w:val="22"/>
          <w:szCs w:val="22"/>
        </w:rPr>
        <w:t xml:space="preserve"> του 1%. </w:t>
      </w:r>
    </w:p>
    <w:p w:rsidR="00001D11" w:rsidRPr="004D6F5C" w:rsidRDefault="00001D11" w:rsidP="004D6F5C">
      <w:pPr>
        <w:pStyle w:val="new2"/>
        <w:spacing w:before="240" w:line="312" w:lineRule="auto"/>
      </w:pPr>
      <w:bookmarkStart w:id="14" w:name="_Toc320872872"/>
      <w:r w:rsidRPr="004D6F5C">
        <w:t>Ειδικό θέμα: «Επιπτώσεις εφαρμογής προγράμματος Εθελοντικής Ανταλλαγής Ομολόγων με τη Συμμετοχή του Ιδιωτικού Τομέα»</w:t>
      </w:r>
      <w:bookmarkEnd w:id="14"/>
    </w:p>
    <w:p w:rsidR="00001D11" w:rsidRDefault="00001D11" w:rsidP="00001D11">
      <w:pPr>
        <w:spacing w:before="240" w:after="240" w:line="312" w:lineRule="auto"/>
        <w:jc w:val="both"/>
        <w:rPr>
          <w:rFonts w:ascii="Tahoma" w:hAnsi="Tahoma" w:cs="Tahoma"/>
          <w:sz w:val="22"/>
          <w:szCs w:val="22"/>
        </w:rPr>
      </w:pPr>
      <w:r w:rsidRPr="00611037">
        <w:rPr>
          <w:rFonts w:ascii="Tahoma" w:hAnsi="Tahoma" w:cs="Tahoma"/>
          <w:bCs/>
          <w:sz w:val="22"/>
          <w:szCs w:val="22"/>
        </w:rPr>
        <w:t xml:space="preserve">Στο τελευταίο κεφάλαιο της έκθεσης παρουσιάζεται πιθανότατα </w:t>
      </w:r>
      <w:r w:rsidRPr="00611037">
        <w:rPr>
          <w:rFonts w:ascii="Tahoma" w:hAnsi="Tahoma" w:cs="Tahoma"/>
          <w:sz w:val="22"/>
          <w:szCs w:val="22"/>
        </w:rPr>
        <w:t xml:space="preserve">η σημαντικότερη εξέλιξη στο ζήτημα </w:t>
      </w:r>
      <w:r>
        <w:rPr>
          <w:rFonts w:ascii="Tahoma" w:hAnsi="Tahoma" w:cs="Tahoma"/>
          <w:sz w:val="22"/>
          <w:szCs w:val="22"/>
        </w:rPr>
        <w:t>της διαχείρισης</w:t>
      </w:r>
      <w:r w:rsidRPr="00611037">
        <w:rPr>
          <w:rFonts w:ascii="Tahoma" w:hAnsi="Tahoma" w:cs="Tahoma"/>
          <w:sz w:val="22"/>
          <w:szCs w:val="22"/>
        </w:rPr>
        <w:t xml:space="preserve"> του ελληνικού δημόσιου χρέους, </w:t>
      </w:r>
      <w:r w:rsidRPr="00611037">
        <w:rPr>
          <w:rFonts w:ascii="Tahoma" w:hAnsi="Tahoma" w:cs="Tahoma"/>
          <w:bCs/>
          <w:sz w:val="22"/>
          <w:szCs w:val="22"/>
        </w:rPr>
        <w:t>το</w:t>
      </w:r>
      <w:r w:rsidRPr="00611037">
        <w:rPr>
          <w:rFonts w:ascii="Tahoma" w:hAnsi="Tahoma" w:cs="Tahoma"/>
          <w:sz w:val="22"/>
          <w:szCs w:val="22"/>
        </w:rPr>
        <w:t xml:space="preserve"> πρόγραμμα Εθελοντικής Ανταλλαγής Ομολόγων με τη Συμμετοχή του Ιδιωτικού Τομέα (PSI)</w:t>
      </w:r>
      <w:r>
        <w:rPr>
          <w:rFonts w:ascii="Tahoma" w:hAnsi="Tahoma" w:cs="Tahoma"/>
          <w:sz w:val="22"/>
          <w:szCs w:val="22"/>
        </w:rPr>
        <w:t xml:space="preserve">, μαζί με μια ανάλυση βιωσιμότητάς του. Από τη διερεύνηση των παραπάνω </w:t>
      </w:r>
      <w:r w:rsidRPr="00611037">
        <w:rPr>
          <w:rFonts w:ascii="Tahoma" w:hAnsi="Tahoma" w:cs="Tahoma"/>
          <w:sz w:val="22"/>
          <w:szCs w:val="22"/>
        </w:rPr>
        <w:t>αναδεικνύονται τα οφέλη που απορρέουν από το πρόγραμμα</w:t>
      </w:r>
      <w:r w:rsidRPr="009B301C">
        <w:rPr>
          <w:rFonts w:ascii="Tahoma" w:hAnsi="Tahoma" w:cs="Tahoma"/>
          <w:sz w:val="22"/>
          <w:szCs w:val="22"/>
        </w:rPr>
        <w:t>,</w:t>
      </w:r>
      <w:r w:rsidRPr="00611037">
        <w:rPr>
          <w:rFonts w:ascii="Tahoma" w:hAnsi="Tahoma" w:cs="Tahoma"/>
          <w:sz w:val="22"/>
          <w:szCs w:val="22"/>
        </w:rPr>
        <w:t xml:space="preserve"> το οποίο σε </w:t>
      </w:r>
      <w:r w:rsidRPr="00611037">
        <w:rPr>
          <w:rFonts w:ascii="Tahoma" w:hAnsi="Tahoma" w:cs="Tahoma"/>
          <w:sz w:val="22"/>
          <w:szCs w:val="22"/>
        </w:rPr>
        <w:lastRenderedPageBreak/>
        <w:t>συνδυασμό με το νέο πακέτο χρηματοδότησης από τους εταίρους και το πρόγραμμα αποκρατικοποιήσεων και αξιοποίησης της δημόσιας πε</w:t>
      </w:r>
      <w:r>
        <w:rPr>
          <w:rFonts w:ascii="Tahoma" w:hAnsi="Tahoma" w:cs="Tahoma"/>
          <w:sz w:val="22"/>
          <w:szCs w:val="22"/>
        </w:rPr>
        <w:t>ριουσίας φαίνεται να δημιουργεί</w:t>
      </w:r>
      <w:r w:rsidRPr="00611037">
        <w:rPr>
          <w:rFonts w:ascii="Tahoma" w:hAnsi="Tahoma" w:cs="Tahoma"/>
          <w:sz w:val="22"/>
          <w:szCs w:val="22"/>
        </w:rPr>
        <w:t xml:space="preserve"> προϋποθέσεις βιωσιμότητας του </w:t>
      </w:r>
      <w:r>
        <w:rPr>
          <w:rFonts w:ascii="Tahoma" w:hAnsi="Tahoma" w:cs="Tahoma"/>
          <w:sz w:val="22"/>
          <w:szCs w:val="22"/>
        </w:rPr>
        <w:t xml:space="preserve">ελληνικού </w:t>
      </w:r>
      <w:r w:rsidRPr="00611037">
        <w:rPr>
          <w:rFonts w:ascii="Tahoma" w:hAnsi="Tahoma" w:cs="Tahoma"/>
          <w:sz w:val="22"/>
          <w:szCs w:val="22"/>
        </w:rPr>
        <w:t>δημόσιου χρέους. Ωστόσο</w:t>
      </w:r>
      <w:r>
        <w:rPr>
          <w:rFonts w:ascii="Tahoma" w:hAnsi="Tahoma" w:cs="Tahoma"/>
          <w:sz w:val="22"/>
          <w:szCs w:val="22"/>
        </w:rPr>
        <w:t>,</w:t>
      </w:r>
      <w:r w:rsidRPr="00611037">
        <w:rPr>
          <w:rFonts w:ascii="Tahoma" w:hAnsi="Tahoma" w:cs="Tahoma"/>
          <w:sz w:val="22"/>
          <w:szCs w:val="22"/>
        </w:rPr>
        <w:t xml:space="preserve"> οι κίνδυνοι που ελλοχεύουν για την επαλήθευση των υποθέσεων των διαφόρων σεναρίων</w:t>
      </w:r>
      <w:r>
        <w:rPr>
          <w:rFonts w:ascii="Tahoma" w:hAnsi="Tahoma" w:cs="Tahoma"/>
          <w:sz w:val="22"/>
          <w:szCs w:val="22"/>
        </w:rPr>
        <w:t xml:space="preserve"> εξέλιξης του χρέους</w:t>
      </w:r>
      <w:r w:rsidRPr="00611037">
        <w:rPr>
          <w:rFonts w:ascii="Tahoma" w:hAnsi="Tahoma" w:cs="Tahoma"/>
          <w:sz w:val="22"/>
          <w:szCs w:val="22"/>
        </w:rPr>
        <w:t xml:space="preserve"> εξακολουθούν να είναι μεγάλοι, λόγω της ευρύτερης </w:t>
      </w:r>
      <w:r w:rsidRPr="00B06E37">
        <w:rPr>
          <w:rFonts w:ascii="Tahoma" w:hAnsi="Tahoma" w:cs="Tahoma"/>
          <w:sz w:val="22"/>
          <w:szCs w:val="22"/>
        </w:rPr>
        <w:t>ρευστότητας που επικρατεί στο οικονομικό περιβάλλον</w:t>
      </w:r>
      <w:r>
        <w:rPr>
          <w:rFonts w:ascii="Tahoma" w:hAnsi="Tahoma" w:cs="Tahoma"/>
          <w:sz w:val="22"/>
          <w:szCs w:val="22"/>
        </w:rPr>
        <w:t>,</w:t>
      </w:r>
      <w:r w:rsidRPr="00B06E37">
        <w:rPr>
          <w:rFonts w:ascii="Tahoma" w:hAnsi="Tahoma" w:cs="Tahoma"/>
          <w:sz w:val="22"/>
          <w:szCs w:val="22"/>
        </w:rPr>
        <w:t xml:space="preserve"> τόσο στην Ελλάδα όσο και διεθνώς. Επίσης, η ερμηνεία των διαφόρων αναλύσεων για τη βιωσιμότητα του δημόσιου χρέους θα πρέπει να εστιάζεται στη δημιουργία των κατάλληλων συνθηκών μακροχρόνια ώστε ο λόγος του χρέους / ΑΕΠ να εισέλθει σε μια μόνιμη και διατηρήσιμη πτωτική πορεία, παρά στη μυωπική προσήλωση σε συγκεκριμένα ποσοστά. Εναπόκειται επομένως στους αρμόδιους φορείς να ασκήσουν υπεύθυνη δημοσιονομική διαχείριση, προσηλωμένη στους συμφωνηθέντες στόχους και στα προδιαγεγραμμένα χρονοδιαγράμματα, και να ακολουθήσουν αναπτυξιακές πολιτικές τα επόμενα χρόνια, ώστε να εισέλθει το χρέος σε μια πτωτική διατηρήσιμη τροχιά, βελτιώνοντας – σε αντίθεση με ότι γινόταν τα προηγούμενα χρόνια – τις προϋποθέσεις ευημερίας των επόμενων γενεών.</w:t>
      </w:r>
    </w:p>
    <w:p w:rsidR="00001D11" w:rsidRDefault="00001D11" w:rsidP="00001D11">
      <w:pPr>
        <w:spacing w:before="240" w:after="240" w:line="312" w:lineRule="auto"/>
        <w:jc w:val="both"/>
        <w:rPr>
          <w:rFonts w:ascii="Tahoma" w:hAnsi="Tahoma" w:cs="Tahoma"/>
          <w:sz w:val="22"/>
          <w:szCs w:val="22"/>
        </w:rPr>
        <w:sectPr w:rsidR="00001D11" w:rsidSect="00001D11">
          <w:type w:val="continuous"/>
          <w:pgSz w:w="11906" w:h="16838" w:code="9"/>
          <w:pgMar w:top="1438" w:right="1466" w:bottom="1079" w:left="1440" w:header="720" w:footer="720" w:gutter="0"/>
          <w:paperSrc w:first="15" w:other="15"/>
          <w:cols w:num="2" w:space="720"/>
        </w:sectPr>
      </w:pPr>
      <w:r w:rsidRPr="00B06E37">
        <w:rPr>
          <w:rFonts w:ascii="Tahoma" w:hAnsi="Tahoma" w:cs="Tahoma"/>
          <w:sz w:val="22"/>
          <w:szCs w:val="22"/>
        </w:rPr>
        <w:t xml:space="preserve"> </w:t>
      </w:r>
    </w:p>
    <w:p w:rsidR="00001D11" w:rsidRPr="007D503E" w:rsidRDefault="00001D11" w:rsidP="00001D11">
      <w:pPr>
        <w:spacing w:before="240" w:after="240" w:line="312" w:lineRule="auto"/>
        <w:jc w:val="both"/>
        <w:rPr>
          <w:rFonts w:ascii="Tahoma" w:hAnsi="Tahoma" w:cs="Tahoma"/>
          <w:sz w:val="22"/>
          <w:szCs w:val="22"/>
        </w:rPr>
      </w:pPr>
      <w:r w:rsidRPr="00B06E37">
        <w:rPr>
          <w:rFonts w:ascii="Tahoma" w:hAnsi="Tahoma" w:cs="Tahoma"/>
          <w:sz w:val="22"/>
          <w:szCs w:val="22"/>
        </w:rPr>
        <w:lastRenderedPageBreak/>
        <w:t xml:space="preserve">    </w:t>
      </w:r>
    </w:p>
    <w:p w:rsidR="00001D11" w:rsidRPr="009358D8" w:rsidRDefault="00001D11" w:rsidP="009358D8">
      <w:pPr>
        <w:spacing w:before="240" w:after="240" w:line="312" w:lineRule="auto"/>
        <w:jc w:val="both"/>
        <w:rPr>
          <w:rFonts w:ascii="Tahoma" w:hAnsi="Tahoma" w:cs="Tahoma"/>
          <w:sz w:val="22"/>
          <w:szCs w:val="22"/>
        </w:rPr>
        <w:sectPr w:rsidR="00001D11" w:rsidRPr="009358D8" w:rsidSect="009358D8">
          <w:type w:val="continuous"/>
          <w:pgSz w:w="11906" w:h="16838" w:code="9"/>
          <w:pgMar w:top="1438" w:right="1466" w:bottom="1079" w:left="1440" w:header="720" w:footer="720" w:gutter="0"/>
          <w:paperSrc w:first="15" w:other="15"/>
          <w:cols w:space="720"/>
        </w:sectPr>
      </w:pPr>
    </w:p>
    <w:p w:rsidR="00761E18" w:rsidRDefault="00761E18" w:rsidP="0050168E">
      <w:pPr>
        <w:pStyle w:val="new3"/>
        <w:numPr>
          <w:ilvl w:val="0"/>
          <w:numId w:val="4"/>
        </w:numPr>
        <w:ind w:left="284" w:hanging="284"/>
      </w:pPr>
      <w:bookmarkStart w:id="15" w:name="_Toc320872873"/>
      <w:r w:rsidRPr="00AF226D">
        <w:lastRenderedPageBreak/>
        <w:t>ΟΙΚΟΝΟΜΙΚΟ ΠΕΡΙΒΑΛΛΟΝ</w:t>
      </w:r>
      <w:bookmarkEnd w:id="5"/>
      <w:bookmarkEnd w:id="6"/>
      <w:bookmarkEnd w:id="15"/>
    </w:p>
    <w:p w:rsidR="00B26F5F" w:rsidRDefault="00B26F5F" w:rsidP="00DD74A7">
      <w:pPr>
        <w:pStyle w:val="new3"/>
        <w:spacing w:before="240" w:line="312" w:lineRule="auto"/>
        <w:ind w:left="0" w:firstLine="0"/>
        <w:jc w:val="both"/>
        <w:rPr>
          <w:rFonts w:cs="Tahoma"/>
        </w:rPr>
        <w:sectPr w:rsidR="00B26F5F" w:rsidSect="00690B78">
          <w:type w:val="oddPage"/>
          <w:pgSz w:w="11906" w:h="16838" w:code="9"/>
          <w:pgMar w:top="1438" w:right="1466" w:bottom="1079" w:left="1440" w:header="720" w:footer="720" w:gutter="0"/>
          <w:paperSrc w:first="15" w:other="15"/>
          <w:cols w:space="720"/>
        </w:sectPr>
      </w:pPr>
      <w:bookmarkStart w:id="16" w:name="_Toc202325272"/>
      <w:bookmarkStart w:id="17" w:name="_Toc265759417"/>
    </w:p>
    <w:p w:rsidR="00E54163" w:rsidRDefault="00761E18" w:rsidP="00DD74A7">
      <w:pPr>
        <w:pStyle w:val="new3"/>
        <w:spacing w:before="240" w:line="312" w:lineRule="auto"/>
        <w:ind w:left="0" w:firstLine="0"/>
        <w:jc w:val="both"/>
        <w:rPr>
          <w:rFonts w:cs="Tahoma"/>
        </w:rPr>
      </w:pPr>
      <w:bookmarkStart w:id="18" w:name="_Toc320872874"/>
      <w:r w:rsidRPr="00AF226D">
        <w:rPr>
          <w:rFonts w:cs="Tahoma"/>
        </w:rPr>
        <w:lastRenderedPageBreak/>
        <w:t>2.1 Τάσεις και Προοπτικές της Διεθνούς Οικονομίας</w:t>
      </w:r>
      <w:bookmarkEnd w:id="16"/>
      <w:bookmarkEnd w:id="17"/>
      <w:bookmarkEnd w:id="18"/>
      <w:r w:rsidRPr="00AF226D">
        <w:rPr>
          <w:rFonts w:cs="Tahoma"/>
        </w:rPr>
        <w:t xml:space="preserve"> </w:t>
      </w:r>
    </w:p>
    <w:p w:rsidR="0069710F" w:rsidRDefault="0069710F" w:rsidP="0069710F">
      <w:pPr>
        <w:pStyle w:val="new2"/>
        <w:tabs>
          <w:tab w:val="left" w:pos="4140"/>
        </w:tabs>
        <w:spacing w:before="0" w:line="312" w:lineRule="auto"/>
        <w:rPr>
          <w:rFonts w:cs="Tahoma"/>
        </w:rPr>
        <w:sectPr w:rsidR="0069710F" w:rsidSect="00AE1766">
          <w:type w:val="continuous"/>
          <w:pgSz w:w="11906" w:h="16838" w:code="9"/>
          <w:pgMar w:top="1079" w:right="1106" w:bottom="719" w:left="1440" w:header="720" w:footer="720" w:gutter="0"/>
          <w:paperSrc w:first="15" w:other="15"/>
          <w:cols w:space="720"/>
        </w:sectPr>
      </w:pPr>
    </w:p>
    <w:p w:rsidR="0069710F" w:rsidRPr="00D34ACF" w:rsidRDefault="0069710F" w:rsidP="00D34ACF">
      <w:pPr>
        <w:pStyle w:val="new2"/>
        <w:spacing w:before="240" w:line="312" w:lineRule="auto"/>
      </w:pPr>
      <w:bookmarkStart w:id="19" w:name="_Toc320872875"/>
      <w:r w:rsidRPr="00D34ACF">
        <w:lastRenderedPageBreak/>
        <w:t>Το Παγκόσμιο Περιβάλλον</w:t>
      </w:r>
      <w:bookmarkEnd w:id="19"/>
    </w:p>
    <w:p w:rsidR="0069710F" w:rsidRPr="00583AC1" w:rsidRDefault="0069710F" w:rsidP="0069710F">
      <w:pPr>
        <w:spacing w:before="240" w:after="240" w:line="312" w:lineRule="auto"/>
        <w:jc w:val="both"/>
        <w:rPr>
          <w:rFonts w:ascii="Tahoma" w:hAnsi="Tahoma" w:cs="Tahoma"/>
          <w:i/>
          <w:sz w:val="22"/>
          <w:szCs w:val="22"/>
        </w:rPr>
      </w:pPr>
      <w:r>
        <w:rPr>
          <w:rFonts w:ascii="Tahoma" w:hAnsi="Tahoma" w:cs="Tahoma"/>
          <w:sz w:val="22"/>
          <w:szCs w:val="22"/>
        </w:rPr>
        <w:t>Η παγκόσμια οικονομία αναπτύχθηκε με χαμηλότερους ρυθμούς στο τελευταίο τρίμηνο του 2011. Η επιβράδυνση ήταν μεγαλύτερη στην Ευρωζώνη, από 1,3% το γ’ τρίμηνο σε 0,7% στο αμέσως επόμενο, αντανακλώντας τις επιδράσεις της εντατικοποίησης σε πολλά από τα κράτη-μέλη της προσπάθειας τιθάσευσης των δημοσιονομικών ανισορροπιών που δημιουργήθηκαν κατά την αντιμετώπιση της διεθνούς χρηματοπιστωτικής κρίσης. Οι ανησυχίες για εξάπλωση της δημοσιονομικής κρίσης σε άλλες χώρες τις Ευρωζώνης, πέραν της Ελλάδας, της Πορτογαλίας και της Ιρλανδίας, με αντίκτυπο στην ευρωστία του τραπεζικού τομέα, λειτούργησαν περιοριστικά στη ρευστότητα του τραπεζικού συστήματος. Σε ότι αφορά ορισμένες από τις πλέον ισχυρές οικονομίες εκτός Ευρωζώνης, η ανάπτυξη στις ΗΠΑ παρουσίασε για δεύτερο συνεχόμενο τρίμηνο στην περίοδο Οκτωβρίου-Δεκεμβρίου πέρυσι τάσεις σταθεροποίησης, στην περιοχή του 1,5%, ενώ συγκρατημένη στο ίδιο, χαμηλό επίπεδο, ήταν η ύφεση στην Ιαπωνία (</w:t>
      </w:r>
      <w:r>
        <w:rPr>
          <w:rFonts w:ascii="Tahoma" w:hAnsi="Tahoma" w:cs="Tahoma"/>
          <w:sz w:val="22"/>
          <w:szCs w:val="22"/>
        </w:rPr>
        <w:sym w:font="Symbol" w:char="F07E"/>
      </w:r>
      <w:r>
        <w:rPr>
          <w:rFonts w:ascii="Tahoma" w:hAnsi="Tahoma" w:cs="Tahoma"/>
          <w:sz w:val="22"/>
          <w:szCs w:val="22"/>
        </w:rPr>
        <w:t xml:space="preserve"> 0,5%). Οι αναπτυσσόμενες χώρες </w:t>
      </w:r>
      <w:r w:rsidRPr="00622475">
        <w:rPr>
          <w:rFonts w:ascii="Tahoma" w:hAnsi="Tahoma" w:cs="Tahoma"/>
          <w:sz w:val="22"/>
          <w:szCs w:val="22"/>
        </w:rPr>
        <w:t>επηρεάστηκαν από τις εξελίξεις στην Ευρωζώνη, καθώς αποδυναμώθηκε η ζήτηση για τα προϊόντα τους, με αποτέλεσμα να εξασθενήσουν οι υψηλοί ρυθμοί μεγέθυνσης των οικονομιών τους. Η περαιτέρω απώλεια αναπτυξιακής δυναμικής στην παγκόσμια οικονομία στα τέλη του 2011, διαμόρφωσε τη μεγέθυνση του ΑΕΠ της στο σύνολο του περασμένου χρόνου στο 3,8%, από 6,2% το 2010.</w:t>
      </w:r>
    </w:p>
    <w:p w:rsidR="0069710F" w:rsidRDefault="0069710F" w:rsidP="0069710F">
      <w:pPr>
        <w:spacing w:before="240" w:after="240" w:line="312" w:lineRule="auto"/>
        <w:jc w:val="both"/>
        <w:rPr>
          <w:rFonts w:ascii="Tahoma" w:hAnsi="Tahoma" w:cs="Tahoma"/>
          <w:sz w:val="22"/>
          <w:szCs w:val="22"/>
        </w:rPr>
      </w:pPr>
      <w:r>
        <w:rPr>
          <w:rFonts w:ascii="Tahoma" w:hAnsi="Tahoma" w:cs="Tahoma"/>
          <w:sz w:val="22"/>
          <w:szCs w:val="22"/>
        </w:rPr>
        <w:lastRenderedPageBreak/>
        <w:t>Οι τάσεις που επικράτησαν στην παγκόσμια οικονομία κατά το δεύτερο εξάμηνο του 2011 θα διατηρηθούν και θα κλιμακωθούν το 2012. Η επιβράδυνση της ανάπτυξης στην Ευρωζώνη</w:t>
      </w:r>
      <w:r w:rsidRPr="00F14AC2">
        <w:rPr>
          <w:rFonts w:ascii="Tahoma" w:hAnsi="Tahoma" w:cs="Tahoma"/>
          <w:sz w:val="22"/>
          <w:szCs w:val="22"/>
        </w:rPr>
        <w:t xml:space="preserve"> </w:t>
      </w:r>
      <w:r>
        <w:rPr>
          <w:rFonts w:ascii="Tahoma" w:hAnsi="Tahoma" w:cs="Tahoma"/>
          <w:sz w:val="22"/>
          <w:szCs w:val="22"/>
        </w:rPr>
        <w:t>κατά πάσα πιθανότητα θα συνεχιστεί και θα επιταχυνθεί, εξαιτίας της εντονότερης προσπάθειας δημοσιονομικής προσαρμογής αλλά και της ηπιότερης αύξησης της ζήτησης από τις αναπτυσσόμενες οικονομίες, οδηγώντας σε ύφεση, μικρής έκτασης (-0,3% με -0,5%), βάσει των πρόσφατων σχετικών εκτιμήσεων διεθνών οργανισμών (Ευρωπαϊκή Επιτροπή, ΔΝΤ). Η συρρίκνωση της οικονομικής δραστηριότητας δεν θα επιτρέψει την υποχώρηση της ανεργίας, που παρέμεινε πέρυσι σε οριακά διψήφιο ποσοστό. Η ανερχόμενη εγχώρια ζήτηση στις ΗΠΑ θα αναχαιτίσει σε μεγάλο βαθμό τις επιπτώσεις της μείωσης του ΑΕΠ στην Ευρωζώνη στην οικονομία τους, προέρχεται όμως σε μεγάλο βαθμό από δημοσιονομικές παρεμβάσεις που διατηρούν το έλλειμμα του κρατικού προϋπολογισμού σε υψηλά επίπεδα. Επιστροφή στην ανάπτυξη φαίνεται να επιτυγχάνει η Ιαπωνία, παρά το ισχυρό πλήγμα που δέχτηκε από το σεισμό πριν ένα χρόνο. Σε ότι αφορά τις αναπτυσσόμενες χώρες, εκτός από τον αντίκτυπο από την κάμψη της προερχόμενης από την Ευρωζώνη ζήτησης, οι οικονομίες τους θα επηρεαστούν</w:t>
      </w:r>
      <w:r w:rsidRPr="00930633">
        <w:rPr>
          <w:rFonts w:ascii="Tahoma" w:hAnsi="Tahoma" w:cs="Tahoma"/>
          <w:sz w:val="22"/>
          <w:szCs w:val="22"/>
        </w:rPr>
        <w:t xml:space="preserve"> </w:t>
      </w:r>
      <w:r>
        <w:rPr>
          <w:rFonts w:ascii="Tahoma" w:hAnsi="Tahoma" w:cs="Tahoma"/>
          <w:sz w:val="22"/>
          <w:szCs w:val="22"/>
        </w:rPr>
        <w:t xml:space="preserve">και από την αποδυνάμωση της ανόδου της εγχώριας ζήτησης που αναμένεται να σημειωθεί σε πολλές από αυτές. Πιο συγκεκριμένα, ο ρυθμός ανάπτυξης για τις αναδυόμενες και αναπτυσσόμενες οικονομίες εκτιμάται στο 5,8% το 2012 (από 6,8% το 2011), </w:t>
      </w:r>
      <w:r>
        <w:rPr>
          <w:rFonts w:ascii="Tahoma" w:hAnsi="Tahoma" w:cs="Tahoma"/>
          <w:sz w:val="22"/>
          <w:szCs w:val="22"/>
        </w:rPr>
        <w:lastRenderedPageBreak/>
        <w:t xml:space="preserve">χαμηλότερα από τις αρχικές εκτιμήσεις. </w:t>
      </w:r>
      <w:r w:rsidRPr="00923C2A">
        <w:rPr>
          <w:rFonts w:ascii="Tahoma" w:hAnsi="Tahoma" w:cs="Tahoma"/>
          <w:sz w:val="22"/>
          <w:szCs w:val="22"/>
        </w:rPr>
        <w:t>Οι εξελίξεις στις κύριες οικονομικά χώρες και ζώνες που μόλις περιγράφηκαν, προβλέπεται να διαμορφώσουν το ρυθμό ανάπτυξης της παγκόσμιας οικονομίας στο 3,3% το 2012, ο οποίος είναι σαφώς χαμηλότερος του 4,0% που ήταν η αντίστοιχη εκτίμηση στα τέλη του 2011.</w:t>
      </w:r>
      <w:r>
        <w:rPr>
          <w:rFonts w:ascii="Tahoma" w:hAnsi="Tahoma" w:cs="Tahoma"/>
          <w:sz w:val="22"/>
          <w:szCs w:val="22"/>
        </w:rPr>
        <w:t xml:space="preserve"> </w:t>
      </w:r>
    </w:p>
    <w:p w:rsidR="0069710F" w:rsidRPr="00E8405F" w:rsidRDefault="0069710F" w:rsidP="0069710F">
      <w:pPr>
        <w:spacing w:before="240" w:after="240" w:line="312" w:lineRule="auto"/>
        <w:jc w:val="both"/>
        <w:rPr>
          <w:rFonts w:ascii="Tahoma" w:hAnsi="Tahoma" w:cs="Tahoma"/>
          <w:sz w:val="22"/>
          <w:szCs w:val="22"/>
        </w:rPr>
      </w:pPr>
      <w:r>
        <w:rPr>
          <w:rFonts w:ascii="Tahoma" w:hAnsi="Tahoma" w:cs="Tahoma"/>
          <w:sz w:val="22"/>
          <w:szCs w:val="22"/>
        </w:rPr>
        <w:t>Στο πεδίο του πληθωρισμού, οι τελευταίες εκτιμήσεις του ΔΝΤ κάνουν λόγο για υποχώρηση των τιμών σε παγκόσμιο επίπεδο το 2012 στο 1,5% (από 2,8% το 2011) εξαιτίας του περιορισμού της ζήτησης και της σταθεροποίησης, εάν όχι υποχώρησης, των τιμών των εμπορευμάτων. Σε ότι αφορά την εξέλιξη των ποσοστών</w:t>
      </w:r>
      <w:r w:rsidRPr="00BD3C8E">
        <w:rPr>
          <w:rFonts w:ascii="Tahoma" w:hAnsi="Tahoma" w:cs="Tahoma"/>
          <w:sz w:val="22"/>
          <w:szCs w:val="22"/>
        </w:rPr>
        <w:t xml:space="preserve"> ανεργίας</w:t>
      </w:r>
      <w:r>
        <w:rPr>
          <w:rFonts w:ascii="Tahoma" w:hAnsi="Tahoma" w:cs="Tahoma"/>
          <w:sz w:val="22"/>
          <w:szCs w:val="22"/>
        </w:rPr>
        <w:t>,</w:t>
      </w:r>
      <w:r w:rsidRPr="00BD3C8E">
        <w:rPr>
          <w:rFonts w:ascii="Tahoma" w:hAnsi="Tahoma" w:cs="Tahoma"/>
          <w:sz w:val="22"/>
          <w:szCs w:val="22"/>
        </w:rPr>
        <w:t xml:space="preserve"> αναμένεται να διαφοροποιηθ</w:t>
      </w:r>
      <w:r>
        <w:rPr>
          <w:rFonts w:ascii="Tahoma" w:hAnsi="Tahoma" w:cs="Tahoma"/>
          <w:sz w:val="22"/>
          <w:szCs w:val="22"/>
        </w:rPr>
        <w:t xml:space="preserve">εί </w:t>
      </w:r>
      <w:r w:rsidRPr="00BD3C8E">
        <w:rPr>
          <w:rFonts w:ascii="Tahoma" w:hAnsi="Tahoma" w:cs="Tahoma"/>
          <w:sz w:val="22"/>
          <w:szCs w:val="22"/>
        </w:rPr>
        <w:t>σημαντικά μεταξύ των γεωγραφικών ζωνών, με την αγορά εργασίας στις ΗΠΑ να παρουσιάζει σημάδια βελτίωσης, ενώ στην Ευρωζώνη αναμένεται επιδείνωση το 2012.</w:t>
      </w:r>
      <w:r w:rsidRPr="00E8405F">
        <w:rPr>
          <w:rFonts w:ascii="Tahoma" w:hAnsi="Tahoma" w:cs="Tahoma"/>
          <w:sz w:val="22"/>
          <w:szCs w:val="22"/>
        </w:rPr>
        <w:t xml:space="preserve">  </w:t>
      </w:r>
    </w:p>
    <w:p w:rsidR="0069710F" w:rsidRPr="006A28E0" w:rsidRDefault="0069710F" w:rsidP="0069710F">
      <w:pPr>
        <w:spacing w:before="240" w:after="240" w:line="312" w:lineRule="auto"/>
        <w:jc w:val="both"/>
        <w:rPr>
          <w:rFonts w:ascii="Tahoma" w:hAnsi="Tahoma" w:cs="Tahoma"/>
          <w:sz w:val="22"/>
          <w:szCs w:val="22"/>
        </w:rPr>
      </w:pPr>
      <w:r w:rsidRPr="006A28E0">
        <w:rPr>
          <w:rFonts w:ascii="Tahoma" w:hAnsi="Tahoma" w:cs="Tahoma"/>
          <w:sz w:val="22"/>
          <w:szCs w:val="22"/>
        </w:rPr>
        <w:t>Θα πρ</w:t>
      </w:r>
      <w:r>
        <w:rPr>
          <w:rFonts w:ascii="Tahoma" w:hAnsi="Tahoma" w:cs="Tahoma"/>
          <w:sz w:val="22"/>
          <w:szCs w:val="22"/>
        </w:rPr>
        <w:t>έπει ωστόσο να επισημανθεί ότι οι εκτιμήσεις για την ανάπτυξη της παγκόσμιας οικονομίας περιβάλλονται από σημαντικές αβεβαιότητες, οι κυριότερες εκ των οποίων προέρχονται από τη ρευστότητα γύρω από τις δυνητικές εξελίξεις στον χρηματοπιστωτικό τομέα. Η εντεινόμενη αβεβαιότητα για τις δημοσιονομικές ανισορροπίες στην Ευρωζώνη έχει οδηγήσει σε άνοδο του κόστους δανεισμού, με αποτέλεσμα οι συνθήκες της διατραπεζικής αγοράς να έχουν επιδεινωθεί. Οι προοπτικές έντονης πιστωτικής επιβράδυνσης (ή και συρρίκνωσης) που έχουν διαμορφωθεί, έχουν φυσικά αντίκτυπο και στα μεγέθη της πραγματικής οικονομίας. Επιπλέον, η ποιότητα των στοιχείων ενεργητικού των τραπεζών (</w:t>
      </w:r>
      <w:r w:rsidRPr="004F5F43">
        <w:rPr>
          <w:rFonts w:ascii="Tahoma" w:hAnsi="Tahoma" w:cs="Tahoma"/>
          <w:sz w:val="22"/>
          <w:szCs w:val="22"/>
        </w:rPr>
        <w:t xml:space="preserve">δάνεια) εξακολουθεί να αποτελεί παράγοντα ανησυχίας, καθώς σε συνθήκες </w:t>
      </w:r>
      <w:r w:rsidRPr="004F5F43">
        <w:rPr>
          <w:rFonts w:ascii="Tahoma" w:hAnsi="Tahoma" w:cs="Tahoma"/>
          <w:sz w:val="22"/>
          <w:szCs w:val="22"/>
        </w:rPr>
        <w:lastRenderedPageBreak/>
        <w:t>ύφεσης (ή επιβράδυνσης</w:t>
      </w:r>
      <w:r>
        <w:rPr>
          <w:rFonts w:ascii="Tahoma" w:hAnsi="Tahoma" w:cs="Tahoma"/>
          <w:sz w:val="22"/>
          <w:szCs w:val="22"/>
        </w:rPr>
        <w:t xml:space="preserve"> της οικονομικής δραστηριότητας</w:t>
      </w:r>
      <w:r w:rsidRPr="004F5F43">
        <w:rPr>
          <w:rFonts w:ascii="Tahoma" w:hAnsi="Tahoma" w:cs="Tahoma"/>
          <w:sz w:val="22"/>
          <w:szCs w:val="22"/>
        </w:rPr>
        <w:t>) αυξάνεται ο δείκτης μη εξυπηρετούμενων δανείων, με αρνητικές συνέπειες στα κεφάλαια των τραπεζών.</w:t>
      </w:r>
      <w:r>
        <w:rPr>
          <w:rFonts w:ascii="Tahoma" w:hAnsi="Tahoma" w:cs="Tahoma"/>
          <w:sz w:val="22"/>
          <w:szCs w:val="22"/>
        </w:rPr>
        <w:t xml:space="preserve">    </w:t>
      </w:r>
    </w:p>
    <w:p w:rsidR="0069710F" w:rsidRDefault="0069710F" w:rsidP="0069710F">
      <w:pPr>
        <w:spacing w:before="240" w:after="240" w:line="312" w:lineRule="auto"/>
        <w:jc w:val="both"/>
        <w:rPr>
          <w:rFonts w:ascii="Tahoma" w:hAnsi="Tahoma" w:cs="Tahoma"/>
          <w:sz w:val="22"/>
          <w:szCs w:val="22"/>
        </w:rPr>
      </w:pPr>
      <w:r w:rsidRPr="008041C6">
        <w:rPr>
          <w:rFonts w:ascii="Tahoma" w:hAnsi="Tahoma" w:cs="Tahoma"/>
          <w:sz w:val="22"/>
          <w:szCs w:val="22"/>
        </w:rPr>
        <w:t xml:space="preserve">Σε ότι αφορά τις σημαντικότερες οικονομίες παγκοσμίως, αυτή των </w:t>
      </w:r>
      <w:r w:rsidRPr="008041C6">
        <w:rPr>
          <w:rFonts w:ascii="Tahoma" w:hAnsi="Tahoma" w:cs="Tahoma"/>
          <w:b/>
          <w:sz w:val="22"/>
          <w:szCs w:val="22"/>
        </w:rPr>
        <w:t>ΗΠΑ</w:t>
      </w:r>
      <w:r>
        <w:rPr>
          <w:rFonts w:ascii="Tahoma" w:hAnsi="Tahoma" w:cs="Tahoma"/>
          <w:b/>
          <w:sz w:val="22"/>
          <w:szCs w:val="22"/>
        </w:rPr>
        <w:t xml:space="preserve"> </w:t>
      </w:r>
      <w:r w:rsidRPr="002B1DDB">
        <w:rPr>
          <w:rFonts w:ascii="Tahoma" w:hAnsi="Tahoma" w:cs="Tahoma"/>
          <w:sz w:val="22"/>
          <w:szCs w:val="22"/>
        </w:rPr>
        <w:t xml:space="preserve">κατέγραψε αύξηση του ΑΕΠ κατά 3% (σε τριμηνιαία βάση) το </w:t>
      </w:r>
      <w:r>
        <w:rPr>
          <w:rFonts w:ascii="Tahoma" w:hAnsi="Tahoma" w:cs="Tahoma"/>
          <w:sz w:val="22"/>
          <w:szCs w:val="22"/>
        </w:rPr>
        <w:t xml:space="preserve">δ’ </w:t>
      </w:r>
      <w:r w:rsidRPr="002B1DDB">
        <w:rPr>
          <w:rFonts w:ascii="Tahoma" w:hAnsi="Tahoma" w:cs="Tahoma"/>
          <w:sz w:val="22"/>
          <w:szCs w:val="22"/>
        </w:rPr>
        <w:t>τρίμηνο του 2011</w:t>
      </w:r>
      <w:r>
        <w:rPr>
          <w:rFonts w:ascii="Tahoma" w:hAnsi="Tahoma" w:cs="Tahoma"/>
          <w:sz w:val="22"/>
          <w:szCs w:val="22"/>
        </w:rPr>
        <w:t xml:space="preserve"> (από 1,8% στο γ’ τρίμηνο του έτους), επιταχύνοντας την ανάπτυξή της και καταγράφοντας την υψηλότερη επίδοση από το β’ τρίμηνο του 2010. Για το σύνολο του έτους, ο ρυθμός οικονομικής μεγέθυνσης διαμορφώθηκε στο 1,8%, καταγράφοντας σημαντική επιβράδυνση σε σχέση με το 2010. Ο βασικός παράγοντας που συνέβαλε στην ενίσχυση της ανάπτυξης το τελευταίο τρίμηνο του έτους είναι η αύξηση της κατανάλωσης (που αποτελεί και τη βασικότερη συνιστώσα του ΑΕΠ), η οποία αυξήθηκε κατά 2,1% (από 1,7% το προηγούμενο τρίμηνο). Η δημοσίευση πρόσφατων στοιχείων δείχνει ότι συνεχίζεται η ενίσχυσή της, με αύξηση τόσο των λιανικών πωλήσεων όσο και των καταναλωτικών δανείων. Από την άλλη πλευρά, οι δημόσιες δαπάνες συρρικνώθηκαν για πέμπτο συνεχόμενο τρίμηνο (κατά 4,4%), ενώ ο ρυθμός αύξησης των επιχειρηματικών επενδύσεων σημείωση σημαντική επιβράδυνση (στο 3% από 16% του προηγούμενου τριμήνου). Αξίζει ωστόσο να αναφερθεί ότι οι επενδύσεις που σχετίζονται με την κατασκευή κατοικιών ενισχύθηκαν σημαντικά κατά 11,5% (από 1,5%), σηματοδοτώντας μια ανάκαμψη του κατασκευαστικού τομέα. Επίσης, η συμβολή του εξωτερικού τομέα στη διαμόρφωση του ΑΕΠ ήταν σχεδόν μηδενική, καθώς ο ρυθμός αύξησης των εισαγωγών ενισχύθηκε (από </w:t>
      </w:r>
      <w:r>
        <w:rPr>
          <w:rFonts w:ascii="Tahoma" w:hAnsi="Tahoma" w:cs="Tahoma"/>
          <w:sz w:val="22"/>
          <w:szCs w:val="22"/>
        </w:rPr>
        <w:lastRenderedPageBreak/>
        <w:t xml:space="preserve">1,2% σε 3,8%) πλησιάζοντας τις επιδόσεις των εξαγωγών (από 4,7% στο 4,3%, ουσιαστικά αμετάβλητος). </w:t>
      </w:r>
    </w:p>
    <w:p w:rsidR="0069710F" w:rsidRDefault="0069710F" w:rsidP="0069710F">
      <w:pPr>
        <w:spacing w:before="240" w:after="240" w:line="312" w:lineRule="auto"/>
        <w:jc w:val="both"/>
        <w:rPr>
          <w:rFonts w:ascii="Tahoma" w:hAnsi="Tahoma" w:cs="Tahoma"/>
          <w:sz w:val="22"/>
          <w:szCs w:val="22"/>
        </w:rPr>
      </w:pPr>
      <w:r>
        <w:rPr>
          <w:rFonts w:ascii="Tahoma" w:hAnsi="Tahoma" w:cs="Tahoma"/>
          <w:sz w:val="22"/>
          <w:szCs w:val="22"/>
        </w:rPr>
        <w:t xml:space="preserve">Περνώντας στις πρώτες εξελίξεις κατά το τρέχον έτος, οι εξαγωγές κατέγραψαν τον Ιανουάριο 2012 ετήσια αύξηση 1,4%, ενώ οι εισαγωγές αυξήθηκαν κατά 2,2%, συμβάλλοντας στη διεύρυνση του εμπορικού ελλείμματος και ενισχύοντας τις ανησυχίες για αρνητική συμβολή του εξωτερικού τομέα στην οικονομική δραστηριότητα του α’ τριμήνου του έτους. Σημάδια βελτίωσης εμφανίζονται στην αγορά εργασίας, καθώς το Φεβρουάριο 2012 το ποσοστό ανεργίας διαμορφώθηκε στο 8,3% (από 9,1% την αντίστοιχη περίοδο το προηγούμενο έτος), στο χαμηλότερο επίπεδο από το Φεβρουάριο 2009. Σημειώνεται ότι από τον Οκτώβριο του 2010 καταγράφεται ενίσχυση της απασχόλησης κάθε μήνα, ιδίως στον τομέα της μεταποίησης, που έχει επιφέρει αναθέρμανση της κατανάλωσης των νοικοκυριών. Στο πεδίο του πληθωρισμού, η άνοδος των τιμών ενέργειας και των καυσίμων εντείνει τις πιέσεις για άνοδο του Δείκτη Τιμών Καταναλωτή, ο οποίος αυξήθηκε με ρυθμό 2,9% ετησίως το Φεβρουάριο του 2012. Όμως, η έντονα ανοδική τάση στις τιμές των καυσίμων αναμένεται να υποσκάψει την ανοδική πορεία της ιδιωτικής κατανάλωσης, και κατ’ επέκταση, του ΑΕΠ. </w:t>
      </w:r>
    </w:p>
    <w:p w:rsidR="0069710F" w:rsidRDefault="0069710F" w:rsidP="0069710F">
      <w:pPr>
        <w:spacing w:before="240" w:after="240" w:line="312" w:lineRule="auto"/>
        <w:jc w:val="both"/>
        <w:rPr>
          <w:rFonts w:ascii="Tahoma" w:hAnsi="Tahoma" w:cs="Tahoma"/>
          <w:sz w:val="22"/>
          <w:szCs w:val="22"/>
        </w:rPr>
      </w:pPr>
      <w:r>
        <w:rPr>
          <w:rFonts w:ascii="Tahoma" w:hAnsi="Tahoma" w:cs="Tahoma"/>
          <w:sz w:val="22"/>
          <w:szCs w:val="22"/>
        </w:rPr>
        <w:t xml:space="preserve">Στην ανάκαμψη της οικονομίας των Η.Π.Α. συμβάλλει και ο δημόσιος τομέας. Πρόσφατα στοιχεία καταδεικνύουν ότι το έλλειμμα του προϋπολογισμού μειώθηκε κατά περίπου 10% το πρώτο 5μηνο (Οκτώβριος 2011 – Φεβρουάριο 2012), με τα έσοδα να αυξάνονται κατά 2,9% και τις δαπάνες να μειώνονται κατά 2,5%. Στόχος </w:t>
      </w:r>
      <w:r>
        <w:rPr>
          <w:rFonts w:ascii="Tahoma" w:hAnsi="Tahoma" w:cs="Tahoma"/>
          <w:sz w:val="22"/>
          <w:szCs w:val="22"/>
        </w:rPr>
        <w:lastRenderedPageBreak/>
        <w:t>της κυβέρνησης για το σύνολο του δημοσιονομικού έτους του 2012 είναι το έλλειμμα να διαμορφωθεί στο 7-7,5% του ΑΕΠ, επίπεδο ωστόσο που παραμένει υψηλό. Υπό τις παραπάνω επιδράσεις, ο ρυθμός ανάπτυξης στις Η.ΠΑ.. αναμένεται να διατηρηθεί φέτος στα επίπεδα του 2011, στο 1,8%, βάσει των</w:t>
      </w:r>
      <w:r w:rsidRPr="00DA11B4">
        <w:rPr>
          <w:rFonts w:ascii="Tahoma" w:hAnsi="Tahoma" w:cs="Tahoma"/>
          <w:sz w:val="22"/>
          <w:szCs w:val="22"/>
        </w:rPr>
        <w:t xml:space="preserve"> </w:t>
      </w:r>
      <w:r>
        <w:rPr>
          <w:rFonts w:ascii="Tahoma" w:hAnsi="Tahoma" w:cs="Tahoma"/>
          <w:sz w:val="22"/>
          <w:szCs w:val="22"/>
        </w:rPr>
        <w:t>τελευταίων εκτιμήσεων του ΔΝΤ .</w:t>
      </w:r>
    </w:p>
    <w:p w:rsidR="0069710F" w:rsidRDefault="0069710F" w:rsidP="0069710F">
      <w:pPr>
        <w:spacing w:before="240" w:after="240" w:line="312" w:lineRule="auto"/>
        <w:jc w:val="both"/>
        <w:rPr>
          <w:rFonts w:ascii="Tahoma" w:hAnsi="Tahoma" w:cs="Tahoma"/>
          <w:sz w:val="22"/>
          <w:szCs w:val="22"/>
        </w:rPr>
      </w:pPr>
      <w:r>
        <w:rPr>
          <w:rFonts w:ascii="Tahoma" w:hAnsi="Tahoma" w:cs="Tahoma"/>
          <w:sz w:val="22"/>
          <w:szCs w:val="22"/>
        </w:rPr>
        <w:t>Επισημαίνεται πάντως ότι π</w:t>
      </w:r>
      <w:r w:rsidRPr="004944CA">
        <w:rPr>
          <w:rFonts w:ascii="Tahoma" w:hAnsi="Tahoma" w:cs="Tahoma"/>
          <w:sz w:val="22"/>
          <w:szCs w:val="22"/>
        </w:rPr>
        <w:t>αρά τα σημάδια σταθεροποίησης της αμερικάνικης οικονομίας, η συνεχιζόμενη κρίση χρέους στην Ευρωζώνη θα μπορούσε να απειλήσει την πορεία ανάκαμψ</w:t>
      </w:r>
      <w:r>
        <w:rPr>
          <w:rFonts w:ascii="Tahoma" w:hAnsi="Tahoma" w:cs="Tahoma"/>
          <w:sz w:val="22"/>
          <w:szCs w:val="22"/>
        </w:rPr>
        <w:t>ή</w:t>
      </w:r>
      <w:r w:rsidRPr="004944CA">
        <w:rPr>
          <w:rFonts w:ascii="Tahoma" w:hAnsi="Tahoma" w:cs="Tahoma"/>
          <w:sz w:val="22"/>
          <w:szCs w:val="22"/>
        </w:rPr>
        <w:t>ς</w:t>
      </w:r>
      <w:r>
        <w:rPr>
          <w:rFonts w:ascii="Tahoma" w:hAnsi="Tahoma" w:cs="Tahoma"/>
          <w:sz w:val="22"/>
          <w:szCs w:val="22"/>
        </w:rPr>
        <w:t xml:space="preserve"> της</w:t>
      </w:r>
      <w:r w:rsidRPr="004944CA">
        <w:rPr>
          <w:rFonts w:ascii="Tahoma" w:hAnsi="Tahoma" w:cs="Tahoma"/>
          <w:sz w:val="22"/>
          <w:szCs w:val="22"/>
        </w:rPr>
        <w:t xml:space="preserve">, δημιουργώντας περαιτέρω αναταραχή στις χρηματοπιστωτικές αγορές και αποδυναμώνοντας την παγκόσμια ζήτηση. </w:t>
      </w:r>
    </w:p>
    <w:p w:rsidR="0069710F" w:rsidRPr="0069710F" w:rsidRDefault="0069710F" w:rsidP="0069710F">
      <w:pPr>
        <w:spacing w:before="240" w:after="240" w:line="312" w:lineRule="auto"/>
        <w:jc w:val="both"/>
        <w:rPr>
          <w:rFonts w:ascii="Tahoma" w:hAnsi="Tahoma" w:cs="Tahoma"/>
          <w:color w:val="000000" w:themeColor="text1"/>
          <w:sz w:val="22"/>
          <w:szCs w:val="22"/>
        </w:rPr>
      </w:pPr>
      <w:r w:rsidRPr="0069710F">
        <w:rPr>
          <w:rFonts w:ascii="Tahoma" w:hAnsi="Tahoma" w:cs="Tahoma"/>
          <w:color w:val="000000" w:themeColor="text1"/>
          <w:sz w:val="22"/>
          <w:szCs w:val="22"/>
        </w:rPr>
        <w:t xml:space="preserve">Οι δύο μεγάλες φυσικές καταστροφές του 2011 επηρέασαν την παραγωγή και τις εξαγωγές των μεγάλων ιαπωνικών εταιρειών και οδήγησαν στη συρρίκνωση της οικονομίας της </w:t>
      </w:r>
      <w:r w:rsidRPr="0069710F">
        <w:rPr>
          <w:rFonts w:ascii="Tahoma" w:hAnsi="Tahoma" w:cs="Tahoma"/>
          <w:b/>
          <w:color w:val="000000" w:themeColor="text1"/>
          <w:sz w:val="22"/>
          <w:szCs w:val="22"/>
        </w:rPr>
        <w:t>Ιαπωνίας</w:t>
      </w:r>
      <w:r w:rsidRPr="0069710F">
        <w:rPr>
          <w:rFonts w:ascii="Tahoma" w:hAnsi="Tahoma" w:cs="Tahoma"/>
          <w:color w:val="000000" w:themeColor="text1"/>
          <w:sz w:val="22"/>
          <w:szCs w:val="22"/>
        </w:rPr>
        <w:t xml:space="preserve">. Συγκεκριμένα, κατά το τέταρτο τρίμηνο του προηγούμενου έτους το ΑΕΠ της χώρας μειώθηκε σημαντικά, κατά 2,3%, ενώ συνολικά η πτώση του το 2011 άγγιξε το 0,9%. Επιπρόσθετα, το 2011, για πρώτη φορά μετά από τρεις συνεχόμενες δεκαετίες, το εμπορικό ισοζύγιο της Ιαπωνίας κατέγραψε συνολικά έλλειμμα της τάξης των $32 δισ., αφού οι εξαγωγές της χώρας προς την Ευρώπη και την Κίνα υποχώρησαν σημαντικά. Παρά την επιβράδυνση της ζήτησης από τις ξένες αγορές και την ανατίμηση του γιέν, οι τελευταίες εκτιμήσεις (ΔΝΤ) διαβλέπουν επάνοδο σε ανάπτυξη, η οποία αναμένεται να φτάσει το 1,7% το 2012 και το 1,6% το 2013. </w:t>
      </w:r>
    </w:p>
    <w:p w:rsidR="0069710F" w:rsidRPr="0069710F" w:rsidRDefault="0069710F" w:rsidP="0069710F">
      <w:pPr>
        <w:spacing w:before="240" w:after="240" w:line="312" w:lineRule="auto"/>
        <w:jc w:val="both"/>
        <w:rPr>
          <w:rFonts w:ascii="Tahoma" w:hAnsi="Tahoma" w:cs="Tahoma"/>
          <w:color w:val="000000" w:themeColor="text1"/>
          <w:sz w:val="22"/>
          <w:szCs w:val="22"/>
        </w:rPr>
      </w:pPr>
      <w:r w:rsidRPr="0069710F">
        <w:rPr>
          <w:rFonts w:ascii="Tahoma" w:hAnsi="Tahoma" w:cs="Tahoma"/>
          <w:color w:val="000000" w:themeColor="text1"/>
          <w:sz w:val="22"/>
          <w:szCs w:val="22"/>
        </w:rPr>
        <w:t xml:space="preserve">Επηρεαζόμενος από την επιβράδυνση της ανάπτυξης διεθνώς το 2012, ο ρυθμός </w:t>
      </w:r>
      <w:r w:rsidRPr="0069710F">
        <w:rPr>
          <w:rFonts w:ascii="Tahoma" w:hAnsi="Tahoma" w:cs="Tahoma"/>
          <w:color w:val="000000" w:themeColor="text1"/>
          <w:sz w:val="22"/>
          <w:szCs w:val="22"/>
        </w:rPr>
        <w:lastRenderedPageBreak/>
        <w:t xml:space="preserve">ανόδου του ΑΕΠ της </w:t>
      </w:r>
      <w:r w:rsidRPr="0069710F">
        <w:rPr>
          <w:rFonts w:ascii="Tahoma" w:hAnsi="Tahoma" w:cs="Tahoma"/>
          <w:b/>
          <w:color w:val="000000" w:themeColor="text1"/>
          <w:sz w:val="22"/>
          <w:szCs w:val="22"/>
        </w:rPr>
        <w:t>Κίνας</w:t>
      </w:r>
      <w:r w:rsidRPr="0069710F">
        <w:rPr>
          <w:rFonts w:ascii="Tahoma" w:hAnsi="Tahoma" w:cs="Tahoma"/>
          <w:color w:val="000000" w:themeColor="text1"/>
          <w:sz w:val="22"/>
          <w:szCs w:val="22"/>
        </w:rPr>
        <w:t xml:space="preserve"> αναμένεται να αποκλιμακωθεί, υποχωρώντας στο ελάχιστο επίπεδό του κατά την τελευταία οκταετία. Οι πρόσφατες εκτιμήσεις για την ανάπτυξη έχουν αναθεωρηθεί προς τα κάτω και προβλέπουν να φθάσει το 7,5% το 2012, όταν το 2011 πλησίασε το 9,2% και το 2010 το 10,4%. Η οικονομία της Κίνας εμφανίζει άλλωστε σχετικά υψηλά επίπεδα πληθωρισμού, ο οποίος πλησιάζει το 4%, παρόλο που συνολικά το 2011 κατάφερε να μειώσει το ρυθμό ανόδου των τιμών της. Ταυτόχρονα, το έλλειμμα του κρατικού προϋπολογισμού της χώρας αναμένεται να αυξηθεί ελαφρά φέτος, στο 1,5% του ΑΕΠ (από 1,1% του ΑΕΠ το 2011). Οι εξελίξεις αυτές οδηγούν τις αρμόδιες αρχές στη λήψη δημοσιονομικών και νομισματικών μέτρων, προκειμένου να συγκρατηθούν τόσο οι αυξητικές τάσεις του δημοσίου ελλείμματος όσο και οι πληθωριστικές πιέσεις. Η επιβράδυνση της ανάπτυξης της Κίνας θα καθοριστεί σε μεγάλο βαθμό από το διεθνές περιβάλλον και ειδικότερα την κρίση κρατικού χρέους στην Ευρωζώνη. Εκτιμάται σχετικά ότι η αύξηση των εξαγωγών της Κίνας προς την ΕΕ επιβραδύνθηκε ήδη σημαντικά πέρυσι, στο 14% από 32% το 2010. </w:t>
      </w:r>
    </w:p>
    <w:p w:rsidR="0069710F" w:rsidRPr="00A43DFA" w:rsidRDefault="0069710F" w:rsidP="0069710F">
      <w:pPr>
        <w:spacing w:before="240" w:after="240" w:line="312" w:lineRule="auto"/>
        <w:jc w:val="both"/>
        <w:rPr>
          <w:rFonts w:ascii="Tahoma" w:hAnsi="Tahoma" w:cs="Tahoma"/>
          <w:color w:val="000000" w:themeColor="text1"/>
          <w:sz w:val="22"/>
          <w:szCs w:val="22"/>
        </w:rPr>
      </w:pPr>
      <w:r w:rsidRPr="0069710F">
        <w:rPr>
          <w:rFonts w:ascii="Tahoma" w:hAnsi="Tahoma" w:cs="Tahoma"/>
          <w:color w:val="000000" w:themeColor="text1"/>
          <w:sz w:val="22"/>
          <w:szCs w:val="22"/>
        </w:rPr>
        <w:t xml:space="preserve">Σε ότι αφορά τις τελευταίες οικονομικές εξελίξεις στην </w:t>
      </w:r>
      <w:r w:rsidRPr="0069710F">
        <w:rPr>
          <w:rFonts w:ascii="Tahoma" w:hAnsi="Tahoma" w:cs="Tahoma"/>
          <w:b/>
          <w:color w:val="000000" w:themeColor="text1"/>
          <w:sz w:val="22"/>
          <w:szCs w:val="22"/>
        </w:rPr>
        <w:t>Ρωσία</w:t>
      </w:r>
      <w:r w:rsidRPr="0069710F">
        <w:rPr>
          <w:rFonts w:ascii="Tahoma" w:hAnsi="Tahoma" w:cs="Tahoma"/>
          <w:color w:val="000000" w:themeColor="text1"/>
          <w:sz w:val="22"/>
          <w:szCs w:val="22"/>
        </w:rPr>
        <w:t xml:space="preserve">, μετά τις προεδρικές εκλογές του Μαρτίου 2012 και την ενίσχυση των κρατικών δαπανών που προηγήθηκε, αναμένεται ήπια αναθέρμανση στις ιδιωτικές επενδύσεις και ενίσχυση της πρόσβασης στα </w:t>
      </w:r>
      <w:r w:rsidRPr="0069710F">
        <w:rPr>
          <w:rFonts w:ascii="Tahoma" w:hAnsi="Tahoma" w:cs="Tahoma"/>
          <w:color w:val="000000" w:themeColor="text1"/>
          <w:sz w:val="22"/>
          <w:szCs w:val="22"/>
        </w:rPr>
        <w:lastRenderedPageBreak/>
        <w:t>διεθνή κεφάλαια, κυρίως ως αποτέλεσμα της αποκλιμάκωσης της πολιτικής αβεβαιότητας. Η χώρα εκτιμάται ότι θα επωφεληθεί και από τις υψηλές τιμές του πετρελαίου, όπως επίσης και από το ισχυρό ρούβλι. Στον αντίποδα, οι δυσμενείς οικονομικές εξελίξεις στην Ευρωπαϊκή Ένωση, ασκούν ισχυρές πιέσεις στις προβλέψεις για τις ρωσικές εξαγωγές πετρελαίου και φυσικού αερίου, και ακολούθως στην αυξητική συμβολή των εξαγωγών στο ΑΕΠ. Ως εκ τούτου, αναμένεται συνέχιση της ανάπτυξης της ρώσικης οικονομίας το 2012, αλλά με ηπιότερο ρυθμό, 3,3%, έναντι 4,1% το 2011.</w:t>
      </w:r>
    </w:p>
    <w:p w:rsidR="0069710F" w:rsidRPr="0069710F" w:rsidRDefault="0069710F" w:rsidP="0069710F">
      <w:pPr>
        <w:spacing w:before="240" w:after="240" w:line="312" w:lineRule="auto"/>
        <w:jc w:val="both"/>
        <w:rPr>
          <w:rFonts w:ascii="Tahoma" w:hAnsi="Tahoma" w:cs="Tahoma"/>
          <w:color w:val="000000" w:themeColor="text1"/>
          <w:sz w:val="22"/>
          <w:szCs w:val="22"/>
        </w:rPr>
      </w:pPr>
      <w:r w:rsidRPr="0069710F">
        <w:rPr>
          <w:rFonts w:ascii="Tahoma" w:hAnsi="Tahoma" w:cs="Tahoma"/>
          <w:sz w:val="22"/>
          <w:szCs w:val="22"/>
        </w:rPr>
        <w:t>Η επιφυλακτικότητα που επικρατεί για το εύρος της ανάκαμψης της παγκόσμιας οικονομίας αντανακλάται στην εξέλιξη των δεικτών οικονομικού κλίματος, όπου ενώ παρατηρείται μια βελτίωση το α’ τρίμηνο του 2012, οι εκτιμήσεις για την παρούσα κατάσταση κατέγραψαν οριακή υποχώρηση. Οι σχετικοί δείκτες οικονομικού κλίματος, που περιέχονται στο “</w:t>
      </w:r>
      <w:r w:rsidRPr="0069710F">
        <w:rPr>
          <w:rFonts w:ascii="Tahoma" w:hAnsi="Tahoma" w:cs="Tahoma"/>
          <w:sz w:val="22"/>
          <w:szCs w:val="22"/>
          <w:lang w:val="en-US"/>
        </w:rPr>
        <w:t>World</w:t>
      </w:r>
      <w:r w:rsidRPr="0069710F">
        <w:rPr>
          <w:rFonts w:ascii="Tahoma" w:hAnsi="Tahoma" w:cs="Tahoma"/>
          <w:sz w:val="22"/>
          <w:szCs w:val="22"/>
        </w:rPr>
        <w:t xml:space="preserve"> </w:t>
      </w:r>
      <w:r w:rsidRPr="0069710F">
        <w:rPr>
          <w:rFonts w:ascii="Tahoma" w:hAnsi="Tahoma" w:cs="Tahoma"/>
          <w:sz w:val="22"/>
          <w:szCs w:val="22"/>
          <w:lang w:val="en-US"/>
        </w:rPr>
        <w:t>Economic</w:t>
      </w:r>
      <w:r w:rsidRPr="0069710F">
        <w:rPr>
          <w:rFonts w:ascii="Tahoma" w:hAnsi="Tahoma" w:cs="Tahoma"/>
          <w:sz w:val="22"/>
          <w:szCs w:val="22"/>
        </w:rPr>
        <w:t xml:space="preserve"> </w:t>
      </w:r>
      <w:r w:rsidRPr="0069710F">
        <w:rPr>
          <w:rFonts w:ascii="Tahoma" w:hAnsi="Tahoma" w:cs="Tahoma"/>
          <w:sz w:val="22"/>
          <w:szCs w:val="22"/>
          <w:lang w:val="en-US"/>
        </w:rPr>
        <w:t>Su</w:t>
      </w:r>
      <w:r w:rsidRPr="0069710F">
        <w:rPr>
          <w:rFonts w:ascii="Tahoma" w:hAnsi="Tahoma" w:cs="Tahoma"/>
          <w:sz w:val="22"/>
          <w:szCs w:val="22"/>
          <w:lang w:val="en-US"/>
        </w:rPr>
        <w:t>r</w:t>
      </w:r>
      <w:r w:rsidRPr="0069710F">
        <w:rPr>
          <w:rFonts w:ascii="Tahoma" w:hAnsi="Tahoma" w:cs="Tahoma"/>
          <w:sz w:val="22"/>
          <w:szCs w:val="22"/>
          <w:lang w:val="en-US"/>
        </w:rPr>
        <w:t>vey</w:t>
      </w:r>
      <w:r w:rsidRPr="0069710F">
        <w:rPr>
          <w:rFonts w:ascii="Tahoma" w:hAnsi="Tahoma" w:cs="Tahoma"/>
          <w:sz w:val="22"/>
          <w:szCs w:val="22"/>
        </w:rPr>
        <w:t xml:space="preserve">”, το οποίο διεξάγεται από το Ινστιτούτο </w:t>
      </w:r>
      <w:r w:rsidRPr="0069710F">
        <w:rPr>
          <w:rFonts w:ascii="Tahoma" w:hAnsi="Tahoma" w:cs="Tahoma"/>
          <w:sz w:val="22"/>
          <w:szCs w:val="22"/>
          <w:lang w:val="en-US"/>
        </w:rPr>
        <w:t>IFO</w:t>
      </w:r>
      <w:r w:rsidRPr="0069710F">
        <w:rPr>
          <w:rFonts w:ascii="Tahoma" w:hAnsi="Tahoma" w:cs="Tahoma"/>
          <w:sz w:val="22"/>
          <w:szCs w:val="22"/>
        </w:rPr>
        <w:t xml:space="preserve"> της Γερμανίας, ενισχύονται για πρώτη φορά μετά το β’ τρίμηνο του 2011, ενώ ο δείκτης που εκφράζει τις εκτιμήσεις για την παρούσα κατάσταση μειώνεται για 3</w:t>
      </w:r>
      <w:r w:rsidRPr="0069710F">
        <w:rPr>
          <w:rFonts w:ascii="Tahoma" w:hAnsi="Tahoma" w:cs="Tahoma"/>
          <w:sz w:val="22"/>
          <w:szCs w:val="22"/>
          <w:vertAlign w:val="superscript"/>
        </w:rPr>
        <w:t>ο</w:t>
      </w:r>
      <w:r w:rsidRPr="0069710F">
        <w:rPr>
          <w:rFonts w:ascii="Tahoma" w:hAnsi="Tahoma" w:cs="Tahoma"/>
          <w:sz w:val="22"/>
          <w:szCs w:val="22"/>
        </w:rPr>
        <w:t xml:space="preserve"> συνεχόμενο τρίμηνο. Τα αποτελέσματα της έρευνας καταδεικνύουν ότι η ανάκαμψη της παγκόσμιας οικονομίας θα είναι δύσκολη και σαφώς ηπιότερη απ’ ότι είχε αρχικά εκτιμηθεί.</w:t>
      </w:r>
    </w:p>
    <w:p w:rsidR="0069710F" w:rsidRPr="0069710F" w:rsidRDefault="0069710F" w:rsidP="0069710F">
      <w:pPr>
        <w:spacing w:before="240" w:after="240" w:line="312" w:lineRule="auto"/>
        <w:jc w:val="both"/>
        <w:rPr>
          <w:rFonts w:ascii="Tahoma" w:hAnsi="Tahoma" w:cs="Tahoma"/>
          <w:color w:val="000000" w:themeColor="text1"/>
          <w:sz w:val="22"/>
          <w:szCs w:val="22"/>
        </w:rPr>
        <w:sectPr w:rsidR="0069710F" w:rsidRPr="0069710F" w:rsidSect="0069710F">
          <w:type w:val="continuous"/>
          <w:pgSz w:w="11906" w:h="16838" w:code="9"/>
          <w:pgMar w:top="1079" w:right="1106" w:bottom="719" w:left="1440" w:header="720" w:footer="720" w:gutter="0"/>
          <w:paperSrc w:first="15" w:other="15"/>
          <w:cols w:num="2" w:space="720"/>
        </w:sectPr>
      </w:pPr>
    </w:p>
    <w:p w:rsidR="0069710F" w:rsidRPr="0069710F" w:rsidRDefault="0069710F" w:rsidP="0069710F">
      <w:pPr>
        <w:spacing w:before="240" w:after="240" w:line="312" w:lineRule="auto"/>
        <w:jc w:val="both"/>
        <w:rPr>
          <w:rFonts w:ascii="Tahoma" w:hAnsi="Tahoma" w:cs="Tahoma"/>
          <w:color w:val="000000" w:themeColor="text1"/>
          <w:sz w:val="22"/>
          <w:szCs w:val="22"/>
        </w:rPr>
      </w:pPr>
      <w:r w:rsidRPr="0069710F">
        <w:rPr>
          <w:rFonts w:ascii="Tahoma" w:hAnsi="Tahoma" w:cs="Tahoma"/>
          <w:color w:val="000000" w:themeColor="text1"/>
          <w:sz w:val="22"/>
          <w:szCs w:val="22"/>
        </w:rPr>
        <w:lastRenderedPageBreak/>
        <w:t xml:space="preserve"> </w:t>
      </w:r>
    </w:p>
    <w:p w:rsidR="0069710F" w:rsidRPr="0069710F" w:rsidRDefault="0069710F" w:rsidP="0069710F">
      <w:pPr>
        <w:spacing w:before="240" w:after="240" w:line="312" w:lineRule="auto"/>
        <w:jc w:val="both"/>
        <w:rPr>
          <w:rFonts w:ascii="Tahoma" w:hAnsi="Tahoma" w:cs="Tahoma"/>
          <w:color w:val="000000" w:themeColor="text1"/>
          <w:sz w:val="22"/>
          <w:szCs w:val="22"/>
        </w:rPr>
        <w:sectPr w:rsidR="0069710F" w:rsidRPr="0069710F" w:rsidSect="00AE1766">
          <w:type w:val="continuous"/>
          <w:pgSz w:w="11906" w:h="16838" w:code="9"/>
          <w:pgMar w:top="1079" w:right="1106" w:bottom="719" w:left="1440" w:header="720" w:footer="720" w:gutter="0"/>
          <w:paperSrc w:first="15" w:other="15"/>
          <w:cols w:space="720"/>
        </w:sectPr>
      </w:pPr>
    </w:p>
    <w:p w:rsidR="0069710F" w:rsidRPr="006E1CDC" w:rsidRDefault="0069710F" w:rsidP="0069710F">
      <w:pPr>
        <w:pStyle w:val="new4"/>
      </w:pPr>
      <w:bookmarkStart w:id="20" w:name="_Toc198541189"/>
      <w:bookmarkStart w:id="21" w:name="_Toc198542510"/>
      <w:r w:rsidRPr="006E1CDC">
        <w:lastRenderedPageBreak/>
        <w:t>Πίνακας 2.1</w:t>
      </w:r>
    </w:p>
    <w:p w:rsidR="0069710F" w:rsidRPr="0045563E" w:rsidRDefault="0069710F" w:rsidP="0069710F">
      <w:pPr>
        <w:pStyle w:val="new4"/>
        <w:spacing w:before="120" w:after="120" w:line="240" w:lineRule="auto"/>
        <w:rPr>
          <w:b w:val="0"/>
        </w:rPr>
      </w:pPr>
      <w:bookmarkStart w:id="22" w:name="_Toc158997777"/>
      <w:bookmarkStart w:id="23" w:name="_Toc159135489"/>
      <w:bookmarkStart w:id="24" w:name="_Toc159143330"/>
      <w:bookmarkStart w:id="25" w:name="_Toc193882940"/>
      <w:bookmarkStart w:id="26" w:name="_Toc193883347"/>
      <w:bookmarkStart w:id="27" w:name="_Toc193883434"/>
      <w:bookmarkEnd w:id="20"/>
      <w:bookmarkEnd w:id="21"/>
      <w:r w:rsidRPr="006E1CDC">
        <w:rPr>
          <w:b w:val="0"/>
        </w:rPr>
        <w:t>Διεθνές Περιβάλλον - Διεθνές Νομισματικό Ταμείο (ετήσια % μεταβολή, σε πραγματικές τιμές)</w:t>
      </w:r>
    </w:p>
    <w:tbl>
      <w:tblPr>
        <w:tblW w:w="0" w:type="auto"/>
        <w:jc w:val="center"/>
        <w:tblInd w:w="-199" w:type="dxa"/>
        <w:tblBorders>
          <w:top w:val="single" w:sz="12" w:space="0" w:color="008000"/>
          <w:bottom w:val="single" w:sz="12" w:space="0" w:color="008000"/>
        </w:tblBorders>
        <w:tblLayout w:type="fixed"/>
        <w:tblLook w:val="00BF"/>
      </w:tblPr>
      <w:tblGrid>
        <w:gridCol w:w="5237"/>
        <w:gridCol w:w="762"/>
        <w:gridCol w:w="762"/>
        <w:gridCol w:w="762"/>
        <w:gridCol w:w="762"/>
      </w:tblGrid>
      <w:tr w:rsidR="0069710F" w:rsidRPr="0045563E" w:rsidTr="0069710F">
        <w:trPr>
          <w:jc w:val="center"/>
        </w:trPr>
        <w:tc>
          <w:tcPr>
            <w:tcW w:w="5237" w:type="dxa"/>
            <w:tcBorders>
              <w:top w:val="single" w:sz="12" w:space="0" w:color="008000"/>
              <w:left w:val="single" w:sz="6" w:space="0" w:color="auto"/>
              <w:bottom w:val="single" w:sz="2" w:space="0" w:color="auto"/>
              <w:right w:val="nil"/>
            </w:tcBorders>
            <w:vAlign w:val="center"/>
          </w:tcPr>
          <w:p w:rsidR="0069710F" w:rsidRPr="0045563E" w:rsidRDefault="0069710F" w:rsidP="0069710F">
            <w:pPr>
              <w:spacing w:before="10" w:after="10"/>
              <w:jc w:val="both"/>
              <w:rPr>
                <w:sz w:val="22"/>
                <w:szCs w:val="22"/>
              </w:rPr>
            </w:pPr>
          </w:p>
        </w:tc>
        <w:tc>
          <w:tcPr>
            <w:tcW w:w="762" w:type="dxa"/>
            <w:tcBorders>
              <w:top w:val="single" w:sz="12" w:space="0" w:color="008000"/>
              <w:left w:val="nil"/>
              <w:bottom w:val="single" w:sz="2" w:space="0" w:color="auto"/>
              <w:right w:val="nil"/>
            </w:tcBorders>
            <w:vAlign w:val="center"/>
          </w:tcPr>
          <w:p w:rsidR="0069710F" w:rsidRPr="0045563E" w:rsidRDefault="0069710F" w:rsidP="0069710F">
            <w:pPr>
              <w:spacing w:before="10" w:after="10"/>
              <w:jc w:val="center"/>
              <w:rPr>
                <w:rFonts w:ascii="Tahoma" w:hAnsi="Tahoma" w:cs="Tahoma"/>
                <w:lang w:val="en-US"/>
              </w:rPr>
            </w:pPr>
            <w:r w:rsidRPr="0045563E">
              <w:rPr>
                <w:rFonts w:ascii="Tahoma" w:hAnsi="Tahoma" w:cs="Tahoma"/>
                <w:lang w:val="en-US"/>
              </w:rPr>
              <w:t>2010</w:t>
            </w:r>
          </w:p>
        </w:tc>
        <w:tc>
          <w:tcPr>
            <w:tcW w:w="762" w:type="dxa"/>
            <w:tcBorders>
              <w:top w:val="single" w:sz="12" w:space="0" w:color="008000"/>
              <w:left w:val="nil"/>
              <w:bottom w:val="single" w:sz="2" w:space="0" w:color="auto"/>
              <w:right w:val="nil"/>
            </w:tcBorders>
            <w:vAlign w:val="center"/>
          </w:tcPr>
          <w:p w:rsidR="0069710F" w:rsidRPr="0045563E" w:rsidRDefault="0069710F" w:rsidP="0069710F">
            <w:pPr>
              <w:spacing w:before="10" w:after="10"/>
              <w:jc w:val="center"/>
              <w:rPr>
                <w:rFonts w:ascii="Tahoma" w:hAnsi="Tahoma" w:cs="Tahoma"/>
              </w:rPr>
            </w:pPr>
            <w:r w:rsidRPr="0045563E">
              <w:rPr>
                <w:rFonts w:ascii="Tahoma" w:hAnsi="Tahoma" w:cs="Tahoma"/>
                <w:lang w:val="en-US"/>
              </w:rPr>
              <w:t>2011</w:t>
            </w:r>
          </w:p>
        </w:tc>
        <w:tc>
          <w:tcPr>
            <w:tcW w:w="762" w:type="dxa"/>
            <w:tcBorders>
              <w:top w:val="single" w:sz="12" w:space="0" w:color="008000"/>
              <w:left w:val="nil"/>
              <w:bottom w:val="single" w:sz="2" w:space="0" w:color="auto"/>
              <w:right w:val="nil"/>
            </w:tcBorders>
            <w:vAlign w:val="center"/>
          </w:tcPr>
          <w:p w:rsidR="0069710F" w:rsidRPr="0045563E" w:rsidRDefault="0069710F" w:rsidP="0069710F">
            <w:pPr>
              <w:spacing w:before="10" w:after="10"/>
              <w:jc w:val="center"/>
              <w:rPr>
                <w:rFonts w:ascii="Tahoma" w:hAnsi="Tahoma" w:cs="Tahoma"/>
              </w:rPr>
            </w:pPr>
            <w:r w:rsidRPr="0045563E">
              <w:rPr>
                <w:rFonts w:ascii="Tahoma" w:hAnsi="Tahoma" w:cs="Tahoma"/>
                <w:lang w:val="en-US"/>
              </w:rPr>
              <w:t>2012</w:t>
            </w:r>
          </w:p>
        </w:tc>
        <w:tc>
          <w:tcPr>
            <w:tcW w:w="762" w:type="dxa"/>
            <w:tcBorders>
              <w:top w:val="single" w:sz="12" w:space="0" w:color="008000"/>
              <w:left w:val="nil"/>
              <w:bottom w:val="single" w:sz="2" w:space="0" w:color="auto"/>
              <w:right w:val="single" w:sz="6" w:space="0" w:color="auto"/>
            </w:tcBorders>
          </w:tcPr>
          <w:p w:rsidR="0069710F" w:rsidRPr="0045563E" w:rsidRDefault="0069710F" w:rsidP="0069710F">
            <w:pPr>
              <w:spacing w:before="10" w:after="10"/>
              <w:jc w:val="center"/>
              <w:rPr>
                <w:rFonts w:ascii="Tahoma" w:hAnsi="Tahoma" w:cs="Tahoma"/>
                <w:lang w:val="en-US"/>
              </w:rPr>
            </w:pPr>
            <w:r>
              <w:rPr>
                <w:rFonts w:ascii="Tahoma" w:hAnsi="Tahoma" w:cs="Tahoma"/>
                <w:lang w:val="en-US"/>
              </w:rPr>
              <w:t>2013</w:t>
            </w:r>
          </w:p>
        </w:tc>
      </w:tr>
      <w:tr w:rsidR="0069710F" w:rsidRPr="0045563E" w:rsidTr="0069710F">
        <w:trPr>
          <w:trHeight w:hRule="exact" w:val="255"/>
          <w:jc w:val="center"/>
        </w:trPr>
        <w:tc>
          <w:tcPr>
            <w:tcW w:w="5237" w:type="dxa"/>
            <w:tcBorders>
              <w:top w:val="single" w:sz="2" w:space="0" w:color="auto"/>
              <w:left w:val="single" w:sz="6" w:space="0" w:color="auto"/>
            </w:tcBorders>
            <w:vAlign w:val="center"/>
          </w:tcPr>
          <w:p w:rsidR="0069710F" w:rsidRPr="0045563E" w:rsidRDefault="0069710F" w:rsidP="0069710F">
            <w:pPr>
              <w:spacing w:before="10" w:after="10"/>
              <w:jc w:val="both"/>
              <w:rPr>
                <w:rFonts w:ascii="Tahoma" w:hAnsi="Tahoma" w:cs="Tahoma"/>
              </w:rPr>
            </w:pPr>
            <w:r w:rsidRPr="0045563E">
              <w:rPr>
                <w:rFonts w:ascii="Tahoma" w:hAnsi="Tahoma" w:cs="Tahoma"/>
              </w:rPr>
              <w:t>ΗΠΑ</w:t>
            </w:r>
          </w:p>
        </w:tc>
        <w:tc>
          <w:tcPr>
            <w:tcW w:w="762" w:type="dxa"/>
            <w:tcBorders>
              <w:top w:val="single" w:sz="2" w:space="0" w:color="auto"/>
            </w:tcBorders>
            <w:vAlign w:val="center"/>
          </w:tcPr>
          <w:p w:rsidR="0069710F" w:rsidRPr="0045563E" w:rsidRDefault="0069710F" w:rsidP="0069710F">
            <w:pPr>
              <w:spacing w:before="10" w:after="10"/>
              <w:jc w:val="center"/>
              <w:rPr>
                <w:rFonts w:ascii="Tahoma" w:hAnsi="Tahoma" w:cs="Tahoma"/>
              </w:rPr>
            </w:pPr>
            <w:r>
              <w:rPr>
                <w:rFonts w:ascii="Tahoma" w:hAnsi="Tahoma" w:cs="Tahoma"/>
              </w:rPr>
              <w:t>3,0</w:t>
            </w:r>
          </w:p>
        </w:tc>
        <w:tc>
          <w:tcPr>
            <w:tcW w:w="762" w:type="dxa"/>
            <w:tcBorders>
              <w:top w:val="single" w:sz="2" w:space="0" w:color="auto"/>
            </w:tcBorders>
            <w:vAlign w:val="center"/>
          </w:tcPr>
          <w:p w:rsidR="0069710F" w:rsidRPr="0045563E" w:rsidRDefault="0069710F" w:rsidP="0069710F">
            <w:pPr>
              <w:spacing w:before="10" w:after="10"/>
              <w:ind w:right="-92"/>
              <w:jc w:val="center"/>
              <w:rPr>
                <w:rFonts w:ascii="Tahoma" w:hAnsi="Tahoma" w:cs="Tahoma"/>
              </w:rPr>
            </w:pPr>
            <w:r>
              <w:rPr>
                <w:rFonts w:ascii="Tahoma" w:hAnsi="Tahoma" w:cs="Tahoma"/>
              </w:rPr>
              <w:t>1,8</w:t>
            </w:r>
          </w:p>
        </w:tc>
        <w:tc>
          <w:tcPr>
            <w:tcW w:w="762" w:type="dxa"/>
            <w:tcBorders>
              <w:top w:val="single" w:sz="2" w:space="0" w:color="auto"/>
              <w:right w:val="nil"/>
            </w:tcBorders>
            <w:vAlign w:val="center"/>
          </w:tcPr>
          <w:p w:rsidR="0069710F" w:rsidRPr="0045563E" w:rsidRDefault="0069710F" w:rsidP="0069710F">
            <w:pPr>
              <w:spacing w:before="10" w:after="10"/>
              <w:jc w:val="center"/>
              <w:rPr>
                <w:rFonts w:ascii="Tahoma" w:hAnsi="Tahoma" w:cs="Tahoma"/>
              </w:rPr>
            </w:pPr>
            <w:r>
              <w:rPr>
                <w:rFonts w:ascii="Tahoma" w:hAnsi="Tahoma" w:cs="Tahoma"/>
              </w:rPr>
              <w:t>1,8</w:t>
            </w:r>
          </w:p>
        </w:tc>
        <w:tc>
          <w:tcPr>
            <w:tcW w:w="762" w:type="dxa"/>
            <w:tcBorders>
              <w:top w:val="single" w:sz="2" w:space="0" w:color="auto"/>
              <w:left w:val="nil"/>
              <w:right w:val="single" w:sz="6" w:space="0" w:color="auto"/>
            </w:tcBorders>
          </w:tcPr>
          <w:p w:rsidR="0069710F" w:rsidRPr="0045563E" w:rsidRDefault="0069710F" w:rsidP="0069710F">
            <w:pPr>
              <w:spacing w:before="10" w:after="10"/>
              <w:jc w:val="center"/>
              <w:rPr>
                <w:rFonts w:ascii="Tahoma" w:hAnsi="Tahoma" w:cs="Tahoma"/>
              </w:rPr>
            </w:pPr>
            <w:r>
              <w:rPr>
                <w:rFonts w:ascii="Tahoma" w:hAnsi="Tahoma" w:cs="Tahoma"/>
              </w:rPr>
              <w:t>2,2</w:t>
            </w:r>
          </w:p>
        </w:tc>
      </w:tr>
      <w:tr w:rsidR="0069710F" w:rsidRPr="0045563E" w:rsidTr="0069710F">
        <w:trPr>
          <w:trHeight w:hRule="exact" w:val="255"/>
          <w:jc w:val="center"/>
        </w:trPr>
        <w:tc>
          <w:tcPr>
            <w:tcW w:w="5237" w:type="dxa"/>
            <w:tcBorders>
              <w:left w:val="single" w:sz="6" w:space="0" w:color="auto"/>
            </w:tcBorders>
            <w:vAlign w:val="center"/>
          </w:tcPr>
          <w:p w:rsidR="0069710F" w:rsidRPr="0045563E" w:rsidRDefault="0069710F" w:rsidP="0069710F">
            <w:pPr>
              <w:spacing w:before="10" w:after="10"/>
              <w:jc w:val="both"/>
              <w:rPr>
                <w:rFonts w:ascii="Tahoma" w:hAnsi="Tahoma" w:cs="Tahoma"/>
              </w:rPr>
            </w:pPr>
            <w:r w:rsidRPr="0045563E">
              <w:rPr>
                <w:rFonts w:ascii="Tahoma" w:hAnsi="Tahoma" w:cs="Tahoma"/>
              </w:rPr>
              <w:t>Ιαπωνία</w:t>
            </w:r>
          </w:p>
        </w:tc>
        <w:tc>
          <w:tcPr>
            <w:tcW w:w="762" w:type="dxa"/>
            <w:vAlign w:val="center"/>
          </w:tcPr>
          <w:p w:rsidR="0069710F" w:rsidRPr="0045563E" w:rsidRDefault="0069710F" w:rsidP="0069710F">
            <w:pPr>
              <w:spacing w:before="10" w:after="10"/>
              <w:jc w:val="center"/>
              <w:rPr>
                <w:rFonts w:ascii="Tahoma" w:hAnsi="Tahoma" w:cs="Tahoma"/>
              </w:rPr>
            </w:pPr>
            <w:r>
              <w:rPr>
                <w:rFonts w:ascii="Tahoma" w:hAnsi="Tahoma" w:cs="Tahoma"/>
              </w:rPr>
              <w:t>4,4</w:t>
            </w:r>
          </w:p>
        </w:tc>
        <w:tc>
          <w:tcPr>
            <w:tcW w:w="762" w:type="dxa"/>
            <w:vAlign w:val="center"/>
          </w:tcPr>
          <w:p w:rsidR="0069710F" w:rsidRPr="0045563E" w:rsidRDefault="0069710F" w:rsidP="0069710F">
            <w:pPr>
              <w:spacing w:before="10" w:after="10"/>
              <w:jc w:val="center"/>
              <w:rPr>
                <w:rFonts w:ascii="Tahoma" w:hAnsi="Tahoma" w:cs="Tahoma"/>
              </w:rPr>
            </w:pPr>
            <w:r>
              <w:rPr>
                <w:rFonts w:ascii="Tahoma" w:hAnsi="Tahoma" w:cs="Tahoma"/>
              </w:rPr>
              <w:t>-0,9</w:t>
            </w:r>
          </w:p>
        </w:tc>
        <w:tc>
          <w:tcPr>
            <w:tcW w:w="762" w:type="dxa"/>
            <w:tcBorders>
              <w:right w:val="nil"/>
            </w:tcBorders>
            <w:vAlign w:val="center"/>
          </w:tcPr>
          <w:p w:rsidR="0069710F" w:rsidRPr="0045563E" w:rsidRDefault="0069710F" w:rsidP="0069710F">
            <w:pPr>
              <w:spacing w:before="10" w:after="10"/>
              <w:jc w:val="center"/>
              <w:rPr>
                <w:rFonts w:ascii="Tahoma" w:hAnsi="Tahoma" w:cs="Tahoma"/>
              </w:rPr>
            </w:pPr>
            <w:r>
              <w:rPr>
                <w:rFonts w:ascii="Tahoma" w:hAnsi="Tahoma" w:cs="Tahoma"/>
              </w:rPr>
              <w:t>1,7</w:t>
            </w:r>
          </w:p>
        </w:tc>
        <w:tc>
          <w:tcPr>
            <w:tcW w:w="762" w:type="dxa"/>
            <w:tcBorders>
              <w:left w:val="nil"/>
              <w:right w:val="single" w:sz="6" w:space="0" w:color="auto"/>
            </w:tcBorders>
          </w:tcPr>
          <w:p w:rsidR="0069710F" w:rsidRPr="0045563E" w:rsidRDefault="0069710F" w:rsidP="0069710F">
            <w:pPr>
              <w:spacing w:before="10" w:after="10"/>
              <w:jc w:val="center"/>
              <w:rPr>
                <w:rFonts w:ascii="Tahoma" w:hAnsi="Tahoma" w:cs="Tahoma"/>
              </w:rPr>
            </w:pPr>
            <w:r>
              <w:rPr>
                <w:rFonts w:ascii="Tahoma" w:hAnsi="Tahoma" w:cs="Tahoma"/>
              </w:rPr>
              <w:t>1,6</w:t>
            </w:r>
          </w:p>
        </w:tc>
      </w:tr>
      <w:tr w:rsidR="0069710F" w:rsidRPr="0045563E" w:rsidTr="0069710F">
        <w:trPr>
          <w:trHeight w:hRule="exact" w:val="255"/>
          <w:jc w:val="center"/>
        </w:trPr>
        <w:tc>
          <w:tcPr>
            <w:tcW w:w="5237" w:type="dxa"/>
            <w:tcBorders>
              <w:left w:val="single" w:sz="6" w:space="0" w:color="auto"/>
            </w:tcBorders>
            <w:vAlign w:val="center"/>
          </w:tcPr>
          <w:p w:rsidR="0069710F" w:rsidRPr="0045563E" w:rsidRDefault="0069710F" w:rsidP="0069710F">
            <w:pPr>
              <w:spacing w:before="10" w:after="10"/>
              <w:jc w:val="both"/>
              <w:rPr>
                <w:rFonts w:ascii="Tahoma" w:hAnsi="Tahoma" w:cs="Tahoma"/>
              </w:rPr>
            </w:pPr>
            <w:r w:rsidRPr="0045563E">
              <w:rPr>
                <w:rFonts w:ascii="Tahoma" w:hAnsi="Tahoma" w:cs="Tahoma"/>
              </w:rPr>
              <w:t>Αναπτυσσόμενη Ασία</w:t>
            </w:r>
          </w:p>
        </w:tc>
        <w:tc>
          <w:tcPr>
            <w:tcW w:w="762" w:type="dxa"/>
            <w:vAlign w:val="center"/>
          </w:tcPr>
          <w:p w:rsidR="0069710F" w:rsidRPr="0045563E" w:rsidRDefault="0069710F" w:rsidP="0069710F">
            <w:pPr>
              <w:spacing w:before="10" w:after="10"/>
              <w:jc w:val="center"/>
              <w:rPr>
                <w:rFonts w:ascii="Tahoma" w:hAnsi="Tahoma" w:cs="Tahoma"/>
              </w:rPr>
            </w:pPr>
            <w:r>
              <w:rPr>
                <w:rFonts w:ascii="Tahoma" w:hAnsi="Tahoma" w:cs="Tahoma"/>
              </w:rPr>
              <w:t>9,5</w:t>
            </w:r>
          </w:p>
        </w:tc>
        <w:tc>
          <w:tcPr>
            <w:tcW w:w="762" w:type="dxa"/>
            <w:vAlign w:val="center"/>
          </w:tcPr>
          <w:p w:rsidR="0069710F" w:rsidRPr="0045563E" w:rsidRDefault="0069710F" w:rsidP="0069710F">
            <w:pPr>
              <w:spacing w:before="10" w:after="10"/>
              <w:jc w:val="center"/>
              <w:rPr>
                <w:rFonts w:ascii="Tahoma" w:hAnsi="Tahoma" w:cs="Tahoma"/>
              </w:rPr>
            </w:pPr>
            <w:r>
              <w:rPr>
                <w:rFonts w:ascii="Tahoma" w:hAnsi="Tahoma" w:cs="Tahoma"/>
              </w:rPr>
              <w:t>7,9</w:t>
            </w:r>
          </w:p>
        </w:tc>
        <w:tc>
          <w:tcPr>
            <w:tcW w:w="762" w:type="dxa"/>
            <w:tcBorders>
              <w:right w:val="nil"/>
            </w:tcBorders>
            <w:vAlign w:val="center"/>
          </w:tcPr>
          <w:p w:rsidR="0069710F" w:rsidRPr="0045563E" w:rsidRDefault="0069710F" w:rsidP="0069710F">
            <w:pPr>
              <w:spacing w:before="10" w:after="10"/>
              <w:jc w:val="center"/>
              <w:rPr>
                <w:rFonts w:ascii="Tahoma" w:hAnsi="Tahoma" w:cs="Tahoma"/>
              </w:rPr>
            </w:pPr>
            <w:r>
              <w:rPr>
                <w:rFonts w:ascii="Tahoma" w:hAnsi="Tahoma" w:cs="Tahoma"/>
              </w:rPr>
              <w:t>7,3</w:t>
            </w:r>
          </w:p>
        </w:tc>
        <w:tc>
          <w:tcPr>
            <w:tcW w:w="762" w:type="dxa"/>
            <w:tcBorders>
              <w:left w:val="nil"/>
              <w:right w:val="single" w:sz="6" w:space="0" w:color="auto"/>
            </w:tcBorders>
          </w:tcPr>
          <w:p w:rsidR="0069710F" w:rsidRPr="0045563E" w:rsidRDefault="0069710F" w:rsidP="0069710F">
            <w:pPr>
              <w:spacing w:before="10" w:after="10"/>
              <w:jc w:val="center"/>
              <w:rPr>
                <w:rFonts w:ascii="Tahoma" w:hAnsi="Tahoma" w:cs="Tahoma"/>
              </w:rPr>
            </w:pPr>
            <w:r>
              <w:rPr>
                <w:rFonts w:ascii="Tahoma" w:hAnsi="Tahoma" w:cs="Tahoma"/>
              </w:rPr>
              <w:t>7,8</w:t>
            </w:r>
          </w:p>
        </w:tc>
      </w:tr>
      <w:tr w:rsidR="0069710F" w:rsidRPr="0045563E" w:rsidTr="0069710F">
        <w:trPr>
          <w:trHeight w:hRule="exact" w:val="255"/>
          <w:jc w:val="center"/>
        </w:trPr>
        <w:tc>
          <w:tcPr>
            <w:tcW w:w="5237" w:type="dxa"/>
            <w:tcBorders>
              <w:left w:val="single" w:sz="6" w:space="0" w:color="auto"/>
            </w:tcBorders>
            <w:vAlign w:val="center"/>
          </w:tcPr>
          <w:p w:rsidR="0069710F" w:rsidRPr="0045563E" w:rsidRDefault="0069710F" w:rsidP="0069710F">
            <w:pPr>
              <w:tabs>
                <w:tab w:val="left" w:pos="292"/>
                <w:tab w:val="left" w:pos="2985"/>
              </w:tabs>
              <w:spacing w:before="10" w:after="10"/>
              <w:jc w:val="both"/>
              <w:rPr>
                <w:rFonts w:ascii="Tahoma" w:hAnsi="Tahoma" w:cs="Tahoma"/>
              </w:rPr>
            </w:pPr>
            <w:r w:rsidRPr="0045563E">
              <w:rPr>
                <w:rFonts w:ascii="Tahoma" w:hAnsi="Tahoma" w:cs="Tahoma"/>
              </w:rPr>
              <w:t>Κίνα</w:t>
            </w:r>
          </w:p>
        </w:tc>
        <w:tc>
          <w:tcPr>
            <w:tcW w:w="762" w:type="dxa"/>
            <w:vAlign w:val="center"/>
          </w:tcPr>
          <w:p w:rsidR="0069710F" w:rsidRPr="0045563E" w:rsidRDefault="0069710F" w:rsidP="0069710F">
            <w:pPr>
              <w:spacing w:before="10" w:after="10"/>
              <w:jc w:val="center"/>
              <w:rPr>
                <w:rFonts w:ascii="Tahoma" w:hAnsi="Tahoma" w:cs="Tahoma"/>
              </w:rPr>
            </w:pPr>
            <w:r w:rsidRPr="0045563E">
              <w:rPr>
                <w:rFonts w:ascii="Tahoma" w:hAnsi="Tahoma" w:cs="Tahoma"/>
              </w:rPr>
              <w:t>10,</w:t>
            </w:r>
            <w:r>
              <w:rPr>
                <w:rFonts w:ascii="Tahoma" w:hAnsi="Tahoma" w:cs="Tahoma"/>
              </w:rPr>
              <w:t>4</w:t>
            </w:r>
          </w:p>
        </w:tc>
        <w:tc>
          <w:tcPr>
            <w:tcW w:w="762" w:type="dxa"/>
            <w:vAlign w:val="center"/>
          </w:tcPr>
          <w:p w:rsidR="0069710F" w:rsidRPr="0045563E" w:rsidRDefault="0069710F" w:rsidP="0069710F">
            <w:pPr>
              <w:spacing w:before="10" w:after="10"/>
              <w:jc w:val="center"/>
              <w:rPr>
                <w:rFonts w:ascii="Tahoma" w:hAnsi="Tahoma" w:cs="Tahoma"/>
              </w:rPr>
            </w:pPr>
            <w:r>
              <w:rPr>
                <w:rFonts w:ascii="Tahoma" w:hAnsi="Tahoma" w:cs="Tahoma"/>
              </w:rPr>
              <w:t>9,2</w:t>
            </w:r>
          </w:p>
        </w:tc>
        <w:tc>
          <w:tcPr>
            <w:tcW w:w="762" w:type="dxa"/>
            <w:tcBorders>
              <w:right w:val="nil"/>
            </w:tcBorders>
            <w:vAlign w:val="center"/>
          </w:tcPr>
          <w:p w:rsidR="0069710F" w:rsidRPr="0045563E" w:rsidRDefault="0069710F" w:rsidP="0069710F">
            <w:pPr>
              <w:spacing w:before="10" w:after="10"/>
              <w:jc w:val="center"/>
              <w:rPr>
                <w:rFonts w:ascii="Tahoma" w:hAnsi="Tahoma" w:cs="Tahoma"/>
              </w:rPr>
            </w:pPr>
            <w:r>
              <w:rPr>
                <w:rFonts w:ascii="Tahoma" w:hAnsi="Tahoma" w:cs="Tahoma"/>
              </w:rPr>
              <w:t>8,2</w:t>
            </w:r>
          </w:p>
        </w:tc>
        <w:tc>
          <w:tcPr>
            <w:tcW w:w="762" w:type="dxa"/>
            <w:tcBorders>
              <w:left w:val="nil"/>
              <w:right w:val="single" w:sz="6" w:space="0" w:color="auto"/>
            </w:tcBorders>
          </w:tcPr>
          <w:p w:rsidR="0069710F" w:rsidRPr="0045563E" w:rsidRDefault="0069710F" w:rsidP="0069710F">
            <w:pPr>
              <w:spacing w:before="10" w:after="10"/>
              <w:jc w:val="center"/>
              <w:rPr>
                <w:rFonts w:ascii="Tahoma" w:hAnsi="Tahoma" w:cs="Tahoma"/>
              </w:rPr>
            </w:pPr>
            <w:r>
              <w:rPr>
                <w:rFonts w:ascii="Tahoma" w:hAnsi="Tahoma" w:cs="Tahoma"/>
              </w:rPr>
              <w:t>8,8</w:t>
            </w:r>
          </w:p>
        </w:tc>
      </w:tr>
      <w:tr w:rsidR="0069710F" w:rsidRPr="0045563E" w:rsidTr="0069710F">
        <w:trPr>
          <w:trHeight w:hRule="exact" w:val="255"/>
          <w:jc w:val="center"/>
        </w:trPr>
        <w:tc>
          <w:tcPr>
            <w:tcW w:w="5237" w:type="dxa"/>
            <w:tcBorders>
              <w:left w:val="single" w:sz="6" w:space="0" w:color="auto"/>
            </w:tcBorders>
            <w:vAlign w:val="center"/>
          </w:tcPr>
          <w:p w:rsidR="0069710F" w:rsidRPr="0045563E" w:rsidRDefault="0069710F" w:rsidP="0069710F">
            <w:pPr>
              <w:tabs>
                <w:tab w:val="left" w:pos="2844"/>
              </w:tabs>
              <w:spacing w:before="10" w:after="10"/>
              <w:jc w:val="both"/>
              <w:rPr>
                <w:rFonts w:ascii="Tahoma" w:hAnsi="Tahoma" w:cs="Tahoma"/>
              </w:rPr>
            </w:pPr>
            <w:r w:rsidRPr="0045563E">
              <w:rPr>
                <w:rFonts w:ascii="Tahoma" w:hAnsi="Tahoma" w:cs="Tahoma"/>
              </w:rPr>
              <w:t>ASEAN</w:t>
            </w:r>
            <w:r w:rsidRPr="0045563E">
              <w:rPr>
                <w:rFonts w:ascii="Tahoma" w:hAnsi="Tahoma" w:cs="Tahoma"/>
                <w:lang w:val="en-US"/>
              </w:rPr>
              <w:t>-</w:t>
            </w:r>
            <w:r w:rsidRPr="0045563E">
              <w:rPr>
                <w:rFonts w:ascii="Tahoma" w:hAnsi="Tahoma" w:cs="Tahoma"/>
              </w:rPr>
              <w:t>5</w:t>
            </w:r>
          </w:p>
        </w:tc>
        <w:tc>
          <w:tcPr>
            <w:tcW w:w="762" w:type="dxa"/>
            <w:vAlign w:val="center"/>
          </w:tcPr>
          <w:p w:rsidR="0069710F" w:rsidRPr="0045563E" w:rsidRDefault="0069710F" w:rsidP="0069710F">
            <w:pPr>
              <w:spacing w:before="10" w:after="10"/>
              <w:jc w:val="center"/>
              <w:rPr>
                <w:rFonts w:ascii="Tahoma" w:hAnsi="Tahoma" w:cs="Tahoma"/>
              </w:rPr>
            </w:pPr>
            <w:r>
              <w:rPr>
                <w:rFonts w:ascii="Tahoma" w:hAnsi="Tahoma" w:cs="Tahoma"/>
              </w:rPr>
              <w:t>6,9</w:t>
            </w:r>
          </w:p>
        </w:tc>
        <w:tc>
          <w:tcPr>
            <w:tcW w:w="762" w:type="dxa"/>
            <w:vAlign w:val="center"/>
          </w:tcPr>
          <w:p w:rsidR="0069710F" w:rsidRPr="0045563E" w:rsidRDefault="0069710F" w:rsidP="0069710F">
            <w:pPr>
              <w:spacing w:before="10" w:after="10"/>
              <w:jc w:val="center"/>
              <w:rPr>
                <w:rFonts w:ascii="Tahoma" w:hAnsi="Tahoma" w:cs="Tahoma"/>
              </w:rPr>
            </w:pPr>
            <w:r>
              <w:rPr>
                <w:rFonts w:ascii="Tahoma" w:hAnsi="Tahoma" w:cs="Tahoma"/>
              </w:rPr>
              <w:t>4,8</w:t>
            </w:r>
          </w:p>
        </w:tc>
        <w:tc>
          <w:tcPr>
            <w:tcW w:w="762" w:type="dxa"/>
            <w:tcBorders>
              <w:right w:val="nil"/>
            </w:tcBorders>
            <w:vAlign w:val="center"/>
          </w:tcPr>
          <w:p w:rsidR="0069710F" w:rsidRPr="0045563E" w:rsidRDefault="0069710F" w:rsidP="0069710F">
            <w:pPr>
              <w:spacing w:before="10" w:after="10"/>
              <w:jc w:val="center"/>
              <w:rPr>
                <w:rFonts w:ascii="Tahoma" w:hAnsi="Tahoma" w:cs="Tahoma"/>
              </w:rPr>
            </w:pPr>
            <w:r>
              <w:rPr>
                <w:rFonts w:ascii="Tahoma" w:hAnsi="Tahoma" w:cs="Tahoma"/>
              </w:rPr>
              <w:t>5,2</w:t>
            </w:r>
          </w:p>
        </w:tc>
        <w:tc>
          <w:tcPr>
            <w:tcW w:w="762" w:type="dxa"/>
            <w:tcBorders>
              <w:left w:val="nil"/>
              <w:right w:val="single" w:sz="6" w:space="0" w:color="auto"/>
            </w:tcBorders>
          </w:tcPr>
          <w:p w:rsidR="0069710F" w:rsidRPr="0045563E" w:rsidRDefault="0069710F" w:rsidP="0069710F">
            <w:pPr>
              <w:spacing w:before="10" w:after="10"/>
              <w:jc w:val="center"/>
              <w:rPr>
                <w:rFonts w:ascii="Tahoma" w:hAnsi="Tahoma" w:cs="Tahoma"/>
              </w:rPr>
            </w:pPr>
            <w:r>
              <w:rPr>
                <w:rFonts w:ascii="Tahoma" w:hAnsi="Tahoma" w:cs="Tahoma"/>
              </w:rPr>
              <w:t>5,6</w:t>
            </w:r>
          </w:p>
        </w:tc>
      </w:tr>
      <w:tr w:rsidR="0069710F" w:rsidRPr="0045563E" w:rsidTr="0069710F">
        <w:trPr>
          <w:trHeight w:hRule="exact" w:val="255"/>
          <w:jc w:val="center"/>
        </w:trPr>
        <w:tc>
          <w:tcPr>
            <w:tcW w:w="5237" w:type="dxa"/>
            <w:tcBorders>
              <w:left w:val="single" w:sz="6" w:space="0" w:color="auto"/>
            </w:tcBorders>
            <w:vAlign w:val="center"/>
          </w:tcPr>
          <w:p w:rsidR="0069710F" w:rsidRPr="0045563E" w:rsidRDefault="0069710F" w:rsidP="0069710F">
            <w:pPr>
              <w:spacing w:before="10" w:after="10"/>
              <w:jc w:val="both"/>
              <w:rPr>
                <w:rFonts w:ascii="Tahoma" w:hAnsi="Tahoma" w:cs="Tahoma"/>
              </w:rPr>
            </w:pPr>
            <w:r w:rsidRPr="0045563E">
              <w:rPr>
                <w:rFonts w:ascii="Tahoma" w:hAnsi="Tahoma" w:cs="Tahoma"/>
              </w:rPr>
              <w:t>Ευρωζώνη</w:t>
            </w:r>
          </w:p>
        </w:tc>
        <w:tc>
          <w:tcPr>
            <w:tcW w:w="762" w:type="dxa"/>
            <w:vAlign w:val="center"/>
          </w:tcPr>
          <w:p w:rsidR="0069710F" w:rsidRPr="0045563E" w:rsidRDefault="0069710F" w:rsidP="0069710F">
            <w:pPr>
              <w:spacing w:before="10" w:after="10"/>
              <w:jc w:val="center"/>
              <w:rPr>
                <w:rFonts w:ascii="Tahoma" w:hAnsi="Tahoma" w:cs="Tahoma"/>
              </w:rPr>
            </w:pPr>
            <w:r>
              <w:rPr>
                <w:rFonts w:ascii="Tahoma" w:hAnsi="Tahoma" w:cs="Tahoma"/>
              </w:rPr>
              <w:t>1,9</w:t>
            </w:r>
          </w:p>
        </w:tc>
        <w:tc>
          <w:tcPr>
            <w:tcW w:w="762" w:type="dxa"/>
            <w:vAlign w:val="center"/>
          </w:tcPr>
          <w:p w:rsidR="0069710F" w:rsidRPr="0045563E" w:rsidRDefault="0069710F" w:rsidP="0069710F">
            <w:pPr>
              <w:spacing w:before="10" w:after="10"/>
              <w:jc w:val="center"/>
              <w:rPr>
                <w:rFonts w:ascii="Tahoma" w:hAnsi="Tahoma" w:cs="Tahoma"/>
              </w:rPr>
            </w:pPr>
            <w:r>
              <w:rPr>
                <w:rFonts w:ascii="Tahoma" w:hAnsi="Tahoma" w:cs="Tahoma"/>
              </w:rPr>
              <w:t>1,6</w:t>
            </w:r>
          </w:p>
        </w:tc>
        <w:tc>
          <w:tcPr>
            <w:tcW w:w="762" w:type="dxa"/>
            <w:tcBorders>
              <w:right w:val="nil"/>
            </w:tcBorders>
            <w:vAlign w:val="center"/>
          </w:tcPr>
          <w:p w:rsidR="0069710F" w:rsidRPr="0045563E" w:rsidRDefault="0069710F" w:rsidP="0069710F">
            <w:pPr>
              <w:spacing w:before="10" w:after="10"/>
              <w:jc w:val="center"/>
              <w:rPr>
                <w:rFonts w:ascii="Tahoma" w:hAnsi="Tahoma" w:cs="Tahoma"/>
              </w:rPr>
            </w:pPr>
            <w:r>
              <w:rPr>
                <w:rFonts w:ascii="Tahoma" w:hAnsi="Tahoma" w:cs="Tahoma"/>
              </w:rPr>
              <w:t>-0,5</w:t>
            </w:r>
          </w:p>
        </w:tc>
        <w:tc>
          <w:tcPr>
            <w:tcW w:w="762" w:type="dxa"/>
            <w:tcBorders>
              <w:left w:val="nil"/>
              <w:right w:val="single" w:sz="6" w:space="0" w:color="auto"/>
            </w:tcBorders>
          </w:tcPr>
          <w:p w:rsidR="0069710F" w:rsidRPr="0045563E" w:rsidRDefault="0069710F" w:rsidP="0069710F">
            <w:pPr>
              <w:spacing w:before="10" w:after="10"/>
              <w:jc w:val="center"/>
              <w:rPr>
                <w:rFonts w:ascii="Tahoma" w:hAnsi="Tahoma" w:cs="Tahoma"/>
              </w:rPr>
            </w:pPr>
            <w:r>
              <w:rPr>
                <w:rFonts w:ascii="Tahoma" w:hAnsi="Tahoma" w:cs="Tahoma"/>
              </w:rPr>
              <w:t>0,8</w:t>
            </w:r>
          </w:p>
        </w:tc>
      </w:tr>
      <w:tr w:rsidR="0069710F" w:rsidRPr="0045563E" w:rsidTr="0069710F">
        <w:trPr>
          <w:trHeight w:hRule="exact" w:val="255"/>
          <w:jc w:val="center"/>
        </w:trPr>
        <w:tc>
          <w:tcPr>
            <w:tcW w:w="5237" w:type="dxa"/>
            <w:tcBorders>
              <w:left w:val="single" w:sz="6" w:space="0" w:color="auto"/>
            </w:tcBorders>
            <w:vAlign w:val="center"/>
          </w:tcPr>
          <w:p w:rsidR="0069710F" w:rsidRPr="0045563E" w:rsidRDefault="0069710F" w:rsidP="0069710F">
            <w:pPr>
              <w:spacing w:before="10" w:after="10"/>
              <w:jc w:val="both"/>
              <w:rPr>
                <w:rFonts w:ascii="Tahoma" w:hAnsi="Tahoma" w:cs="Tahoma"/>
              </w:rPr>
            </w:pPr>
            <w:r w:rsidRPr="0045563E">
              <w:rPr>
                <w:rFonts w:ascii="Tahoma" w:hAnsi="Tahoma" w:cs="Tahoma"/>
              </w:rPr>
              <w:t>Κοινοπολιτεία Ανεξάρτητων Κρατών (CIS)</w:t>
            </w:r>
          </w:p>
        </w:tc>
        <w:tc>
          <w:tcPr>
            <w:tcW w:w="762" w:type="dxa"/>
            <w:vAlign w:val="center"/>
          </w:tcPr>
          <w:p w:rsidR="0069710F" w:rsidRPr="0045563E" w:rsidRDefault="0069710F" w:rsidP="0069710F">
            <w:pPr>
              <w:spacing w:before="10" w:after="10"/>
              <w:jc w:val="center"/>
              <w:rPr>
                <w:rFonts w:ascii="Tahoma" w:hAnsi="Tahoma" w:cs="Tahoma"/>
              </w:rPr>
            </w:pPr>
            <w:r>
              <w:rPr>
                <w:rFonts w:ascii="Tahoma" w:hAnsi="Tahoma" w:cs="Tahoma"/>
              </w:rPr>
              <w:t>4,6</w:t>
            </w:r>
          </w:p>
        </w:tc>
        <w:tc>
          <w:tcPr>
            <w:tcW w:w="762" w:type="dxa"/>
            <w:vAlign w:val="center"/>
          </w:tcPr>
          <w:p w:rsidR="0069710F" w:rsidRPr="0045563E" w:rsidRDefault="0069710F" w:rsidP="0069710F">
            <w:pPr>
              <w:spacing w:before="10" w:after="10"/>
              <w:jc w:val="center"/>
              <w:rPr>
                <w:rFonts w:ascii="Tahoma" w:hAnsi="Tahoma" w:cs="Tahoma"/>
              </w:rPr>
            </w:pPr>
            <w:r>
              <w:rPr>
                <w:rFonts w:ascii="Tahoma" w:hAnsi="Tahoma" w:cs="Tahoma"/>
              </w:rPr>
              <w:t>4,5</w:t>
            </w:r>
          </w:p>
        </w:tc>
        <w:tc>
          <w:tcPr>
            <w:tcW w:w="762" w:type="dxa"/>
            <w:tcBorders>
              <w:right w:val="nil"/>
            </w:tcBorders>
            <w:vAlign w:val="center"/>
          </w:tcPr>
          <w:p w:rsidR="0069710F" w:rsidRPr="0045563E" w:rsidRDefault="0069710F" w:rsidP="0069710F">
            <w:pPr>
              <w:spacing w:before="10" w:after="10"/>
              <w:jc w:val="center"/>
              <w:rPr>
                <w:rFonts w:ascii="Tahoma" w:hAnsi="Tahoma" w:cs="Tahoma"/>
              </w:rPr>
            </w:pPr>
            <w:r>
              <w:rPr>
                <w:rFonts w:ascii="Tahoma" w:hAnsi="Tahoma" w:cs="Tahoma"/>
              </w:rPr>
              <w:t>3,7</w:t>
            </w:r>
          </w:p>
        </w:tc>
        <w:tc>
          <w:tcPr>
            <w:tcW w:w="762" w:type="dxa"/>
            <w:tcBorders>
              <w:left w:val="nil"/>
              <w:right w:val="single" w:sz="6" w:space="0" w:color="auto"/>
            </w:tcBorders>
          </w:tcPr>
          <w:p w:rsidR="0069710F" w:rsidRPr="0045563E" w:rsidRDefault="0069710F" w:rsidP="0069710F">
            <w:pPr>
              <w:spacing w:before="10" w:after="10"/>
              <w:jc w:val="center"/>
              <w:rPr>
                <w:rFonts w:ascii="Tahoma" w:hAnsi="Tahoma" w:cs="Tahoma"/>
              </w:rPr>
            </w:pPr>
            <w:r>
              <w:rPr>
                <w:rFonts w:ascii="Tahoma" w:hAnsi="Tahoma" w:cs="Tahoma"/>
              </w:rPr>
              <w:t>3,8</w:t>
            </w:r>
          </w:p>
        </w:tc>
      </w:tr>
      <w:tr w:rsidR="0069710F" w:rsidRPr="0045563E" w:rsidTr="0069710F">
        <w:trPr>
          <w:trHeight w:hRule="exact" w:val="255"/>
          <w:jc w:val="center"/>
        </w:trPr>
        <w:tc>
          <w:tcPr>
            <w:tcW w:w="5237" w:type="dxa"/>
            <w:tcBorders>
              <w:left w:val="single" w:sz="6" w:space="0" w:color="auto"/>
            </w:tcBorders>
            <w:vAlign w:val="center"/>
          </w:tcPr>
          <w:p w:rsidR="0069710F" w:rsidRPr="0045563E" w:rsidRDefault="0069710F" w:rsidP="0069710F">
            <w:pPr>
              <w:tabs>
                <w:tab w:val="left" w:pos="292"/>
                <w:tab w:val="left" w:pos="2985"/>
              </w:tabs>
              <w:spacing w:before="10" w:after="10"/>
              <w:jc w:val="both"/>
              <w:rPr>
                <w:rFonts w:ascii="Tahoma" w:hAnsi="Tahoma" w:cs="Tahoma"/>
              </w:rPr>
            </w:pPr>
            <w:r>
              <w:rPr>
                <w:rFonts w:ascii="Tahoma" w:hAnsi="Tahoma" w:cs="Tahoma"/>
              </w:rPr>
              <w:t>εκ των οποίων</w:t>
            </w:r>
            <w:r>
              <w:rPr>
                <w:rFonts w:ascii="Tahoma" w:hAnsi="Tahoma" w:cs="Tahoma"/>
                <w:lang w:val="en-US"/>
              </w:rPr>
              <w:t xml:space="preserve"> </w:t>
            </w:r>
            <w:r w:rsidRPr="0045563E">
              <w:rPr>
                <w:rFonts w:ascii="Tahoma" w:hAnsi="Tahoma" w:cs="Tahoma"/>
              </w:rPr>
              <w:t>Ρωσία</w:t>
            </w:r>
          </w:p>
        </w:tc>
        <w:tc>
          <w:tcPr>
            <w:tcW w:w="762" w:type="dxa"/>
            <w:vAlign w:val="center"/>
          </w:tcPr>
          <w:p w:rsidR="0069710F" w:rsidRPr="0045563E" w:rsidRDefault="0069710F" w:rsidP="0069710F">
            <w:pPr>
              <w:spacing w:before="10" w:after="10"/>
              <w:jc w:val="center"/>
              <w:rPr>
                <w:rFonts w:ascii="Tahoma" w:hAnsi="Tahoma" w:cs="Tahoma"/>
              </w:rPr>
            </w:pPr>
            <w:r>
              <w:rPr>
                <w:rFonts w:ascii="Tahoma" w:hAnsi="Tahoma" w:cs="Tahoma"/>
              </w:rPr>
              <w:t>4,0</w:t>
            </w:r>
          </w:p>
        </w:tc>
        <w:tc>
          <w:tcPr>
            <w:tcW w:w="762" w:type="dxa"/>
            <w:vAlign w:val="center"/>
          </w:tcPr>
          <w:p w:rsidR="0069710F" w:rsidRPr="0045563E" w:rsidRDefault="0069710F" w:rsidP="0069710F">
            <w:pPr>
              <w:spacing w:before="10" w:after="10"/>
              <w:jc w:val="center"/>
              <w:rPr>
                <w:rFonts w:ascii="Tahoma" w:hAnsi="Tahoma" w:cs="Tahoma"/>
              </w:rPr>
            </w:pPr>
            <w:r>
              <w:rPr>
                <w:rFonts w:ascii="Tahoma" w:hAnsi="Tahoma" w:cs="Tahoma"/>
              </w:rPr>
              <w:t>4,1</w:t>
            </w:r>
          </w:p>
        </w:tc>
        <w:tc>
          <w:tcPr>
            <w:tcW w:w="762" w:type="dxa"/>
            <w:tcBorders>
              <w:right w:val="nil"/>
            </w:tcBorders>
            <w:vAlign w:val="center"/>
          </w:tcPr>
          <w:p w:rsidR="0069710F" w:rsidRPr="0045563E" w:rsidRDefault="0069710F" w:rsidP="0069710F">
            <w:pPr>
              <w:spacing w:before="10" w:after="10"/>
              <w:jc w:val="center"/>
              <w:rPr>
                <w:rFonts w:ascii="Tahoma" w:hAnsi="Tahoma" w:cs="Tahoma"/>
              </w:rPr>
            </w:pPr>
            <w:r>
              <w:rPr>
                <w:rFonts w:ascii="Tahoma" w:hAnsi="Tahoma" w:cs="Tahoma"/>
              </w:rPr>
              <w:t>3,3</w:t>
            </w:r>
          </w:p>
        </w:tc>
        <w:tc>
          <w:tcPr>
            <w:tcW w:w="762" w:type="dxa"/>
            <w:tcBorders>
              <w:left w:val="nil"/>
              <w:right w:val="single" w:sz="6" w:space="0" w:color="auto"/>
            </w:tcBorders>
          </w:tcPr>
          <w:p w:rsidR="0069710F" w:rsidRPr="0045563E" w:rsidRDefault="0069710F" w:rsidP="0069710F">
            <w:pPr>
              <w:spacing w:before="10" w:after="10"/>
              <w:jc w:val="center"/>
              <w:rPr>
                <w:rFonts w:ascii="Tahoma" w:hAnsi="Tahoma" w:cs="Tahoma"/>
              </w:rPr>
            </w:pPr>
            <w:r>
              <w:rPr>
                <w:rFonts w:ascii="Tahoma" w:hAnsi="Tahoma" w:cs="Tahoma"/>
              </w:rPr>
              <w:t>3,5</w:t>
            </w:r>
          </w:p>
        </w:tc>
      </w:tr>
      <w:tr w:rsidR="0069710F" w:rsidRPr="0045563E" w:rsidTr="0069710F">
        <w:trPr>
          <w:trHeight w:hRule="exact" w:val="255"/>
          <w:jc w:val="center"/>
        </w:trPr>
        <w:tc>
          <w:tcPr>
            <w:tcW w:w="5237" w:type="dxa"/>
            <w:tcBorders>
              <w:left w:val="single" w:sz="6" w:space="0" w:color="auto"/>
            </w:tcBorders>
            <w:vAlign w:val="center"/>
          </w:tcPr>
          <w:p w:rsidR="0069710F" w:rsidRPr="0045563E" w:rsidRDefault="0069710F" w:rsidP="0069710F">
            <w:pPr>
              <w:tabs>
                <w:tab w:val="left" w:pos="74"/>
              </w:tabs>
              <w:rPr>
                <w:rFonts w:ascii="Tahoma" w:hAnsi="Tahoma" w:cs="Tahoma"/>
              </w:rPr>
            </w:pPr>
            <w:r w:rsidRPr="0045563E">
              <w:rPr>
                <w:rFonts w:ascii="Tahoma" w:hAnsi="Tahoma" w:cs="Tahoma"/>
              </w:rPr>
              <w:t>Μέση Ανατολή και Βόρεια Αφρική</w:t>
            </w:r>
          </w:p>
        </w:tc>
        <w:tc>
          <w:tcPr>
            <w:tcW w:w="762" w:type="dxa"/>
            <w:vAlign w:val="center"/>
          </w:tcPr>
          <w:p w:rsidR="0069710F" w:rsidRPr="0045563E" w:rsidRDefault="0069710F" w:rsidP="0069710F">
            <w:pPr>
              <w:spacing w:before="10" w:after="10"/>
              <w:jc w:val="center"/>
              <w:rPr>
                <w:rFonts w:ascii="Tahoma" w:hAnsi="Tahoma" w:cs="Tahoma"/>
              </w:rPr>
            </w:pPr>
            <w:r>
              <w:rPr>
                <w:rFonts w:ascii="Tahoma" w:hAnsi="Tahoma" w:cs="Tahoma"/>
              </w:rPr>
              <w:t>4,3</w:t>
            </w:r>
          </w:p>
        </w:tc>
        <w:tc>
          <w:tcPr>
            <w:tcW w:w="762" w:type="dxa"/>
            <w:vAlign w:val="center"/>
          </w:tcPr>
          <w:p w:rsidR="0069710F" w:rsidRPr="0045563E" w:rsidRDefault="0069710F" w:rsidP="0069710F">
            <w:pPr>
              <w:spacing w:before="10" w:after="10"/>
              <w:jc w:val="center"/>
              <w:rPr>
                <w:rFonts w:ascii="Tahoma" w:hAnsi="Tahoma" w:cs="Tahoma"/>
              </w:rPr>
            </w:pPr>
            <w:r>
              <w:rPr>
                <w:rFonts w:ascii="Tahoma" w:hAnsi="Tahoma" w:cs="Tahoma"/>
              </w:rPr>
              <w:t>3,1</w:t>
            </w:r>
          </w:p>
        </w:tc>
        <w:tc>
          <w:tcPr>
            <w:tcW w:w="762" w:type="dxa"/>
            <w:tcBorders>
              <w:right w:val="nil"/>
            </w:tcBorders>
            <w:vAlign w:val="center"/>
          </w:tcPr>
          <w:p w:rsidR="0069710F" w:rsidRPr="0045563E" w:rsidRDefault="0069710F" w:rsidP="0069710F">
            <w:pPr>
              <w:spacing w:before="10" w:after="10"/>
              <w:jc w:val="center"/>
              <w:rPr>
                <w:rFonts w:ascii="Tahoma" w:hAnsi="Tahoma" w:cs="Tahoma"/>
              </w:rPr>
            </w:pPr>
            <w:r>
              <w:rPr>
                <w:rFonts w:ascii="Tahoma" w:hAnsi="Tahoma" w:cs="Tahoma"/>
              </w:rPr>
              <w:t>3,2</w:t>
            </w:r>
          </w:p>
        </w:tc>
        <w:tc>
          <w:tcPr>
            <w:tcW w:w="762" w:type="dxa"/>
            <w:tcBorders>
              <w:left w:val="nil"/>
              <w:right w:val="single" w:sz="6" w:space="0" w:color="auto"/>
            </w:tcBorders>
          </w:tcPr>
          <w:p w:rsidR="0069710F" w:rsidRPr="0045563E" w:rsidRDefault="0069710F" w:rsidP="0069710F">
            <w:pPr>
              <w:spacing w:before="10" w:after="10"/>
              <w:jc w:val="center"/>
              <w:rPr>
                <w:rFonts w:ascii="Tahoma" w:hAnsi="Tahoma" w:cs="Tahoma"/>
              </w:rPr>
            </w:pPr>
            <w:r>
              <w:rPr>
                <w:rFonts w:ascii="Tahoma" w:hAnsi="Tahoma" w:cs="Tahoma"/>
              </w:rPr>
              <w:t>3,6</w:t>
            </w:r>
          </w:p>
        </w:tc>
      </w:tr>
      <w:tr w:rsidR="0069710F" w:rsidRPr="0045563E" w:rsidTr="0069710F">
        <w:trPr>
          <w:trHeight w:hRule="exact" w:val="255"/>
          <w:jc w:val="center"/>
        </w:trPr>
        <w:tc>
          <w:tcPr>
            <w:tcW w:w="5237" w:type="dxa"/>
            <w:tcBorders>
              <w:left w:val="single" w:sz="6" w:space="0" w:color="auto"/>
            </w:tcBorders>
            <w:vAlign w:val="center"/>
          </w:tcPr>
          <w:p w:rsidR="0069710F" w:rsidRPr="0045563E" w:rsidRDefault="0069710F" w:rsidP="0069710F">
            <w:pPr>
              <w:tabs>
                <w:tab w:val="left" w:pos="74"/>
              </w:tabs>
              <w:rPr>
                <w:rFonts w:ascii="Tahoma" w:hAnsi="Tahoma" w:cs="Tahoma"/>
              </w:rPr>
            </w:pPr>
            <w:r w:rsidRPr="0045563E">
              <w:rPr>
                <w:rFonts w:ascii="Tahoma" w:hAnsi="Tahoma" w:cs="Tahoma"/>
              </w:rPr>
              <w:t>Υποσαχάρια Αφρική</w:t>
            </w:r>
          </w:p>
        </w:tc>
        <w:tc>
          <w:tcPr>
            <w:tcW w:w="762" w:type="dxa"/>
            <w:vAlign w:val="center"/>
          </w:tcPr>
          <w:p w:rsidR="0069710F" w:rsidRPr="0045563E" w:rsidRDefault="0069710F" w:rsidP="0069710F">
            <w:pPr>
              <w:spacing w:before="10" w:after="10"/>
              <w:jc w:val="center"/>
              <w:rPr>
                <w:rFonts w:ascii="Tahoma" w:hAnsi="Tahoma" w:cs="Tahoma"/>
              </w:rPr>
            </w:pPr>
            <w:r>
              <w:rPr>
                <w:rFonts w:ascii="Tahoma" w:hAnsi="Tahoma" w:cs="Tahoma"/>
              </w:rPr>
              <w:t>5,3</w:t>
            </w:r>
          </w:p>
          <w:p w:rsidR="0069710F" w:rsidRPr="0045563E" w:rsidRDefault="0069710F" w:rsidP="0069710F">
            <w:pPr>
              <w:spacing w:before="10" w:after="10"/>
              <w:jc w:val="center"/>
              <w:rPr>
                <w:rFonts w:ascii="Tahoma" w:hAnsi="Tahoma" w:cs="Tahoma"/>
              </w:rPr>
            </w:pPr>
          </w:p>
        </w:tc>
        <w:tc>
          <w:tcPr>
            <w:tcW w:w="762" w:type="dxa"/>
            <w:vAlign w:val="center"/>
          </w:tcPr>
          <w:p w:rsidR="0069710F" w:rsidRPr="0045563E" w:rsidRDefault="0069710F" w:rsidP="0069710F">
            <w:pPr>
              <w:spacing w:before="10" w:after="10"/>
              <w:jc w:val="center"/>
              <w:rPr>
                <w:rFonts w:ascii="Tahoma" w:hAnsi="Tahoma" w:cs="Tahoma"/>
              </w:rPr>
            </w:pPr>
            <w:r>
              <w:rPr>
                <w:rFonts w:ascii="Tahoma" w:hAnsi="Tahoma" w:cs="Tahoma"/>
              </w:rPr>
              <w:t>4,9</w:t>
            </w:r>
          </w:p>
        </w:tc>
        <w:tc>
          <w:tcPr>
            <w:tcW w:w="762" w:type="dxa"/>
            <w:tcBorders>
              <w:right w:val="nil"/>
            </w:tcBorders>
            <w:vAlign w:val="center"/>
          </w:tcPr>
          <w:p w:rsidR="0069710F" w:rsidRPr="0045563E" w:rsidRDefault="0069710F" w:rsidP="0069710F">
            <w:pPr>
              <w:spacing w:before="10" w:after="10"/>
              <w:jc w:val="center"/>
              <w:rPr>
                <w:rFonts w:ascii="Tahoma" w:hAnsi="Tahoma" w:cs="Tahoma"/>
              </w:rPr>
            </w:pPr>
            <w:r>
              <w:rPr>
                <w:rFonts w:ascii="Tahoma" w:hAnsi="Tahoma" w:cs="Tahoma"/>
              </w:rPr>
              <w:t>5,5</w:t>
            </w:r>
          </w:p>
        </w:tc>
        <w:tc>
          <w:tcPr>
            <w:tcW w:w="762" w:type="dxa"/>
            <w:tcBorders>
              <w:left w:val="nil"/>
              <w:right w:val="single" w:sz="6" w:space="0" w:color="auto"/>
            </w:tcBorders>
          </w:tcPr>
          <w:p w:rsidR="0069710F" w:rsidRPr="0045563E" w:rsidRDefault="0069710F" w:rsidP="0069710F">
            <w:pPr>
              <w:spacing w:before="10" w:after="10"/>
              <w:jc w:val="center"/>
              <w:rPr>
                <w:rFonts w:ascii="Tahoma" w:hAnsi="Tahoma" w:cs="Tahoma"/>
              </w:rPr>
            </w:pPr>
            <w:r>
              <w:rPr>
                <w:rFonts w:ascii="Tahoma" w:hAnsi="Tahoma" w:cs="Tahoma"/>
              </w:rPr>
              <w:t>5,3</w:t>
            </w:r>
          </w:p>
        </w:tc>
      </w:tr>
      <w:tr w:rsidR="0069710F" w:rsidRPr="0045563E" w:rsidTr="0069710F">
        <w:trPr>
          <w:trHeight w:hRule="exact" w:val="255"/>
          <w:jc w:val="center"/>
        </w:trPr>
        <w:tc>
          <w:tcPr>
            <w:tcW w:w="5237" w:type="dxa"/>
            <w:tcBorders>
              <w:left w:val="single" w:sz="6" w:space="0" w:color="auto"/>
              <w:bottom w:val="single" w:sz="12" w:space="0" w:color="008000"/>
            </w:tcBorders>
            <w:vAlign w:val="center"/>
          </w:tcPr>
          <w:p w:rsidR="0069710F" w:rsidRPr="0045563E" w:rsidRDefault="0069710F" w:rsidP="0069710F">
            <w:pPr>
              <w:spacing w:before="10" w:after="10"/>
              <w:jc w:val="both"/>
              <w:rPr>
                <w:rFonts w:ascii="Tahoma" w:hAnsi="Tahoma" w:cs="Tahoma"/>
              </w:rPr>
            </w:pPr>
            <w:r w:rsidRPr="0045563E">
              <w:rPr>
                <w:rFonts w:ascii="Tahoma" w:hAnsi="Tahoma" w:cs="Tahoma"/>
              </w:rPr>
              <w:t>Παγκόσμια οικονομία</w:t>
            </w:r>
          </w:p>
        </w:tc>
        <w:tc>
          <w:tcPr>
            <w:tcW w:w="762" w:type="dxa"/>
            <w:tcBorders>
              <w:bottom w:val="single" w:sz="12" w:space="0" w:color="008000"/>
            </w:tcBorders>
            <w:vAlign w:val="center"/>
          </w:tcPr>
          <w:p w:rsidR="0069710F" w:rsidRPr="00664A23" w:rsidRDefault="0069710F" w:rsidP="0069710F">
            <w:pPr>
              <w:spacing w:before="10" w:after="10"/>
              <w:jc w:val="center"/>
              <w:rPr>
                <w:rFonts w:ascii="Tahoma" w:hAnsi="Tahoma" w:cs="Tahoma"/>
                <w:lang w:val="en-US"/>
              </w:rPr>
            </w:pPr>
            <w:r w:rsidRPr="0045563E">
              <w:rPr>
                <w:rFonts w:ascii="Tahoma" w:hAnsi="Tahoma" w:cs="Tahoma"/>
              </w:rPr>
              <w:t>5,</w:t>
            </w:r>
            <w:r>
              <w:rPr>
                <w:rFonts w:ascii="Tahoma" w:hAnsi="Tahoma" w:cs="Tahoma"/>
                <w:lang w:val="en-US"/>
              </w:rPr>
              <w:t>2</w:t>
            </w:r>
          </w:p>
        </w:tc>
        <w:tc>
          <w:tcPr>
            <w:tcW w:w="762" w:type="dxa"/>
            <w:tcBorders>
              <w:bottom w:val="single" w:sz="12" w:space="0" w:color="008000"/>
            </w:tcBorders>
            <w:vAlign w:val="center"/>
          </w:tcPr>
          <w:p w:rsidR="0069710F" w:rsidRPr="00664A23" w:rsidRDefault="0069710F" w:rsidP="0069710F">
            <w:pPr>
              <w:spacing w:before="10" w:after="10"/>
              <w:jc w:val="center"/>
              <w:rPr>
                <w:rFonts w:ascii="Tahoma" w:hAnsi="Tahoma" w:cs="Tahoma"/>
                <w:lang w:val="en-US"/>
              </w:rPr>
            </w:pPr>
            <w:r>
              <w:rPr>
                <w:rFonts w:ascii="Tahoma" w:hAnsi="Tahoma" w:cs="Tahoma"/>
                <w:lang w:val="en-US"/>
              </w:rPr>
              <w:t>3,8</w:t>
            </w:r>
          </w:p>
        </w:tc>
        <w:tc>
          <w:tcPr>
            <w:tcW w:w="762" w:type="dxa"/>
            <w:tcBorders>
              <w:bottom w:val="single" w:sz="12" w:space="0" w:color="008000"/>
              <w:right w:val="nil"/>
            </w:tcBorders>
            <w:vAlign w:val="center"/>
          </w:tcPr>
          <w:p w:rsidR="0069710F" w:rsidRPr="0045563E" w:rsidRDefault="0069710F" w:rsidP="0069710F">
            <w:pPr>
              <w:spacing w:before="10" w:after="10"/>
              <w:jc w:val="center"/>
              <w:rPr>
                <w:rFonts w:ascii="Tahoma" w:hAnsi="Tahoma" w:cs="Tahoma"/>
              </w:rPr>
            </w:pPr>
            <w:r>
              <w:rPr>
                <w:rFonts w:ascii="Tahoma" w:hAnsi="Tahoma" w:cs="Tahoma"/>
              </w:rPr>
              <w:t>3,3</w:t>
            </w:r>
          </w:p>
        </w:tc>
        <w:tc>
          <w:tcPr>
            <w:tcW w:w="762" w:type="dxa"/>
            <w:tcBorders>
              <w:left w:val="nil"/>
              <w:bottom w:val="single" w:sz="12" w:space="0" w:color="008000"/>
              <w:right w:val="single" w:sz="6" w:space="0" w:color="auto"/>
            </w:tcBorders>
          </w:tcPr>
          <w:p w:rsidR="0069710F" w:rsidRPr="0045563E" w:rsidRDefault="0069710F" w:rsidP="0069710F">
            <w:pPr>
              <w:spacing w:before="10" w:after="10"/>
              <w:jc w:val="center"/>
              <w:rPr>
                <w:rFonts w:ascii="Tahoma" w:hAnsi="Tahoma" w:cs="Tahoma"/>
              </w:rPr>
            </w:pPr>
            <w:r>
              <w:rPr>
                <w:rFonts w:ascii="Tahoma" w:hAnsi="Tahoma" w:cs="Tahoma"/>
              </w:rPr>
              <w:t>3,9</w:t>
            </w:r>
          </w:p>
        </w:tc>
      </w:tr>
    </w:tbl>
    <w:p w:rsidR="0069710F" w:rsidRPr="0045563E" w:rsidRDefault="0069710F" w:rsidP="0069710F">
      <w:pPr>
        <w:tabs>
          <w:tab w:val="left" w:pos="0"/>
        </w:tabs>
        <w:ind w:right="-290"/>
        <w:jc w:val="both"/>
        <w:rPr>
          <w:rFonts w:ascii="Tahoma" w:hAnsi="Tahoma" w:cs="Tahoma"/>
          <w:sz w:val="16"/>
          <w:szCs w:val="16"/>
        </w:rPr>
      </w:pPr>
      <w:r w:rsidRPr="0045563E">
        <w:rPr>
          <w:rFonts w:ascii="Tahoma" w:hAnsi="Tahoma" w:cs="Tahoma"/>
          <w:b/>
          <w:sz w:val="16"/>
          <w:szCs w:val="16"/>
        </w:rPr>
        <w:t>Αναπτυσσόμενη Ασία</w:t>
      </w:r>
      <w:r w:rsidRPr="0045563E">
        <w:rPr>
          <w:rFonts w:ascii="Tahoma" w:hAnsi="Tahoma" w:cs="Tahoma"/>
          <w:sz w:val="16"/>
          <w:szCs w:val="16"/>
        </w:rPr>
        <w:t>: Βιετνάμ, Ινδία, Ινδονησία, Κίνα, Μαλαισία, Ταϊλάνδη, Φιλιππίνες.</w:t>
      </w:r>
    </w:p>
    <w:p w:rsidR="0069710F" w:rsidRPr="0045563E" w:rsidRDefault="0069710F" w:rsidP="0069710F">
      <w:pPr>
        <w:jc w:val="both"/>
        <w:rPr>
          <w:rFonts w:ascii="Tahoma" w:hAnsi="Tahoma" w:cs="Tahoma"/>
          <w:sz w:val="16"/>
          <w:szCs w:val="16"/>
        </w:rPr>
      </w:pPr>
      <w:r w:rsidRPr="0045563E">
        <w:rPr>
          <w:rFonts w:ascii="Tahoma" w:hAnsi="Tahoma" w:cs="Tahoma"/>
          <w:b/>
          <w:sz w:val="16"/>
          <w:szCs w:val="16"/>
        </w:rPr>
        <w:t>ASEAN5</w:t>
      </w:r>
      <w:r w:rsidRPr="0045563E">
        <w:rPr>
          <w:rFonts w:ascii="Tahoma" w:hAnsi="Tahoma" w:cs="Tahoma"/>
          <w:sz w:val="16"/>
          <w:szCs w:val="16"/>
        </w:rPr>
        <w:t>: Βιετνάμ, Ινδονησία, Μαλαισία, Ταϊλάνδη, Φιλιππίνες.</w:t>
      </w:r>
    </w:p>
    <w:p w:rsidR="0069710F" w:rsidRPr="0045563E" w:rsidRDefault="0069710F" w:rsidP="0069710F">
      <w:pPr>
        <w:tabs>
          <w:tab w:val="left" w:pos="0"/>
        </w:tabs>
        <w:ind w:right="-290"/>
        <w:jc w:val="both"/>
        <w:rPr>
          <w:rFonts w:ascii="Tahoma" w:hAnsi="Tahoma" w:cs="Tahoma"/>
          <w:sz w:val="16"/>
          <w:szCs w:val="16"/>
        </w:rPr>
      </w:pPr>
      <w:r w:rsidRPr="0045563E">
        <w:rPr>
          <w:rFonts w:ascii="Tahoma" w:hAnsi="Tahoma" w:cs="Tahoma"/>
          <w:b/>
          <w:sz w:val="16"/>
          <w:szCs w:val="16"/>
        </w:rPr>
        <w:t>Μέση Ανατολή και Βόρεια Αφρική</w:t>
      </w:r>
      <w:r w:rsidRPr="0045563E">
        <w:rPr>
          <w:rFonts w:ascii="Tahoma" w:hAnsi="Tahoma" w:cs="Tahoma"/>
          <w:sz w:val="16"/>
          <w:szCs w:val="16"/>
        </w:rPr>
        <w:t>: Αίγυπτος, Αλγερία, Μαρόκο, Ην. Αραβικά Εμιράτα, Ιορδανία, Ιράκ, Ιράν, Κατάρ, Κουβέιτ, Λίβανος, Λιβύη, Μαυριτανία, Μπαχρέιν, Ομάν, Σαουδική Αραβία, Σουδάν Συρία, Υεμένη, Τζιμπουτί, Τυνησία.</w:t>
      </w:r>
    </w:p>
    <w:p w:rsidR="0069710F" w:rsidRPr="00A43DFA" w:rsidRDefault="0069710F" w:rsidP="0069710F">
      <w:pPr>
        <w:jc w:val="both"/>
        <w:rPr>
          <w:rStyle w:val="fnorgcountry-name"/>
          <w:rFonts w:ascii="Tahoma" w:hAnsi="Tahoma" w:cs="Tahoma"/>
          <w:sz w:val="16"/>
          <w:szCs w:val="16"/>
        </w:rPr>
      </w:pPr>
      <w:r w:rsidRPr="0045563E">
        <w:rPr>
          <w:rFonts w:ascii="Tahoma" w:hAnsi="Tahoma" w:cs="Tahoma"/>
          <w:b/>
          <w:sz w:val="16"/>
          <w:szCs w:val="16"/>
        </w:rPr>
        <w:t>Υποσαχάρια Αφρική</w:t>
      </w:r>
      <w:r w:rsidRPr="0045563E">
        <w:rPr>
          <w:rFonts w:ascii="Tahoma" w:hAnsi="Tahoma" w:cs="Tahoma"/>
          <w:sz w:val="16"/>
          <w:szCs w:val="16"/>
        </w:rPr>
        <w:t xml:space="preserve">: Αγκόλα, </w:t>
      </w:r>
      <w:r w:rsidRPr="0045563E">
        <w:rPr>
          <w:rStyle w:val="fnorgcountry-name"/>
          <w:rFonts w:ascii="Tahoma" w:hAnsi="Tahoma" w:cs="Tahoma"/>
          <w:sz w:val="16"/>
          <w:szCs w:val="16"/>
        </w:rPr>
        <w:t xml:space="preserve">Αιθιοπία, Ακτή Ελεφαντοστού, Γκαμπόν, </w:t>
      </w:r>
      <w:r w:rsidRPr="0045563E">
        <w:rPr>
          <w:rFonts w:ascii="Tahoma" w:hAnsi="Tahoma" w:cs="Tahoma"/>
          <w:sz w:val="16"/>
          <w:szCs w:val="16"/>
        </w:rPr>
        <w:t xml:space="preserve">Ισημερινή Γουινέα, </w:t>
      </w:r>
      <w:r w:rsidRPr="0045563E">
        <w:rPr>
          <w:rStyle w:val="fnorgcountry-name"/>
          <w:rFonts w:ascii="Tahoma" w:hAnsi="Tahoma" w:cs="Tahoma"/>
          <w:sz w:val="16"/>
          <w:szCs w:val="16"/>
        </w:rPr>
        <w:t xml:space="preserve">Καμερούν, Κένυα, Κονγκό, Μαυρίκιος, Μποτσουάνα, Ναμίμπια, </w:t>
      </w:r>
      <w:r w:rsidRPr="0045563E">
        <w:rPr>
          <w:rFonts w:ascii="Tahoma" w:hAnsi="Tahoma" w:cs="Tahoma"/>
          <w:sz w:val="16"/>
          <w:szCs w:val="16"/>
        </w:rPr>
        <w:t xml:space="preserve">Νιγηρία, </w:t>
      </w:r>
      <w:r w:rsidRPr="0045563E">
        <w:rPr>
          <w:rStyle w:val="fnorgcountry-name"/>
          <w:rFonts w:ascii="Tahoma" w:hAnsi="Tahoma" w:cs="Tahoma"/>
          <w:sz w:val="16"/>
          <w:szCs w:val="16"/>
        </w:rPr>
        <w:t>Νότια Αφρική, Ουγκάντα, Πράσινο Ακρωτήρι, Σεϋχέλλες, Σουαζιλάνδη, Τανζανία, Τσαντ, κ.α.</w:t>
      </w:r>
    </w:p>
    <w:p w:rsidR="0069710F" w:rsidRPr="0069710F" w:rsidRDefault="0069710F" w:rsidP="0069710F">
      <w:pPr>
        <w:jc w:val="both"/>
        <w:rPr>
          <w:rFonts w:ascii="Tahoma" w:hAnsi="Tahoma" w:cs="Tahoma"/>
          <w:sz w:val="16"/>
          <w:szCs w:val="16"/>
          <w:lang w:val="en-US"/>
        </w:rPr>
      </w:pPr>
      <w:r>
        <w:rPr>
          <w:rStyle w:val="fnorgcountry-name"/>
          <w:rFonts w:ascii="Tahoma" w:hAnsi="Tahoma" w:cs="Tahoma"/>
          <w:b/>
          <w:sz w:val="16"/>
          <w:szCs w:val="16"/>
        </w:rPr>
        <w:t>Πηγή</w:t>
      </w:r>
      <w:r w:rsidRPr="0069710F">
        <w:rPr>
          <w:rStyle w:val="fnorgcountry-name"/>
          <w:rFonts w:ascii="Tahoma" w:hAnsi="Tahoma" w:cs="Tahoma"/>
          <w:b/>
          <w:sz w:val="16"/>
          <w:szCs w:val="16"/>
          <w:lang w:val="en-US"/>
        </w:rPr>
        <w:t xml:space="preserve">: </w:t>
      </w:r>
      <w:r>
        <w:rPr>
          <w:rStyle w:val="fnorgcountry-name"/>
          <w:rFonts w:ascii="Tahoma" w:hAnsi="Tahoma" w:cs="Tahoma"/>
          <w:sz w:val="16"/>
          <w:szCs w:val="16"/>
          <w:lang w:val="en-US"/>
        </w:rPr>
        <w:t xml:space="preserve">World Economic Outlook Update, </w:t>
      </w:r>
      <w:r w:rsidRPr="0069710F">
        <w:rPr>
          <w:rStyle w:val="fnorgcountry-name"/>
          <w:rFonts w:ascii="Tahoma" w:hAnsi="Tahoma" w:cs="Tahoma"/>
          <w:i/>
          <w:sz w:val="16"/>
          <w:szCs w:val="16"/>
          <w:lang w:val="en-US"/>
        </w:rPr>
        <w:t>IMF</w:t>
      </w:r>
      <w:r>
        <w:rPr>
          <w:rStyle w:val="fnorgcountry-name"/>
          <w:rFonts w:ascii="Tahoma" w:hAnsi="Tahoma" w:cs="Tahoma"/>
          <w:sz w:val="16"/>
          <w:szCs w:val="16"/>
          <w:lang w:val="en-US"/>
        </w:rPr>
        <w:t>, January 2012</w:t>
      </w:r>
    </w:p>
    <w:p w:rsidR="0069710F" w:rsidRPr="0069710F" w:rsidRDefault="0069710F" w:rsidP="0069710F">
      <w:pPr>
        <w:pStyle w:val="new4"/>
        <w:rPr>
          <w:highlight w:val="yellow"/>
          <w:lang w:val="en-US"/>
        </w:rPr>
      </w:pPr>
    </w:p>
    <w:p w:rsidR="0069710F" w:rsidRPr="00884203" w:rsidRDefault="0069710F" w:rsidP="0069710F">
      <w:pPr>
        <w:pStyle w:val="new4"/>
      </w:pPr>
      <w:r w:rsidRPr="00884203">
        <w:t>Πίνακας 2.2</w:t>
      </w:r>
    </w:p>
    <w:p w:rsidR="0069710F" w:rsidRPr="00884203" w:rsidRDefault="0069710F" w:rsidP="0069710F">
      <w:pPr>
        <w:pStyle w:val="new4"/>
        <w:rPr>
          <w:b w:val="0"/>
        </w:rPr>
      </w:pPr>
      <w:bookmarkStart w:id="28" w:name="_Toc90808141"/>
      <w:bookmarkStart w:id="29" w:name="_Toc99433485"/>
      <w:bookmarkStart w:id="30" w:name="_Toc110690307"/>
      <w:bookmarkStart w:id="31" w:name="_Toc137359908"/>
      <w:bookmarkStart w:id="32" w:name="_Toc158997778"/>
      <w:bookmarkStart w:id="33" w:name="_Toc159135490"/>
      <w:bookmarkStart w:id="34" w:name="_Toc159143331"/>
      <w:bookmarkStart w:id="35" w:name="_Toc193613283"/>
      <w:bookmarkStart w:id="36" w:name="_Toc193882941"/>
      <w:bookmarkStart w:id="37" w:name="_Toc193883083"/>
      <w:bookmarkStart w:id="38" w:name="_Toc193883348"/>
      <w:bookmarkStart w:id="39" w:name="_Toc193883435"/>
      <w:r w:rsidRPr="00884203">
        <w:rPr>
          <w:b w:val="0"/>
        </w:rPr>
        <w:t>IFO - Εκτιμήσεις για την παγκόσμια οικονομία</w:t>
      </w:r>
      <w:bookmarkEnd w:id="28"/>
      <w:r w:rsidRPr="00884203">
        <w:rPr>
          <w:b w:val="0"/>
        </w:rPr>
        <w:t xml:space="preserve"> (Δείκτες, 2005=10</w:t>
      </w:r>
      <w:bookmarkEnd w:id="22"/>
      <w:bookmarkEnd w:id="23"/>
      <w:bookmarkEnd w:id="24"/>
      <w:bookmarkEnd w:id="25"/>
      <w:bookmarkEnd w:id="26"/>
      <w:bookmarkEnd w:id="27"/>
      <w:bookmarkEnd w:id="29"/>
      <w:bookmarkEnd w:id="30"/>
      <w:bookmarkEnd w:id="31"/>
      <w:bookmarkEnd w:id="32"/>
      <w:bookmarkEnd w:id="33"/>
      <w:bookmarkEnd w:id="34"/>
      <w:bookmarkEnd w:id="35"/>
      <w:bookmarkEnd w:id="36"/>
      <w:bookmarkEnd w:id="37"/>
      <w:bookmarkEnd w:id="38"/>
      <w:bookmarkEnd w:id="39"/>
      <w:r w:rsidRPr="00884203">
        <w:rPr>
          <w:b w:val="0"/>
        </w:rPr>
        <w:t>0)</w:t>
      </w: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378"/>
        <w:gridCol w:w="804"/>
        <w:gridCol w:w="8"/>
        <w:gridCol w:w="870"/>
        <w:gridCol w:w="8"/>
        <w:gridCol w:w="977"/>
        <w:gridCol w:w="7"/>
        <w:gridCol w:w="913"/>
        <w:gridCol w:w="7"/>
        <w:gridCol w:w="796"/>
        <w:gridCol w:w="7"/>
        <w:gridCol w:w="869"/>
        <w:gridCol w:w="7"/>
        <w:gridCol w:w="977"/>
        <w:gridCol w:w="7"/>
        <w:gridCol w:w="913"/>
        <w:gridCol w:w="7"/>
        <w:gridCol w:w="757"/>
        <w:gridCol w:w="7"/>
      </w:tblGrid>
      <w:tr w:rsidR="0069710F" w:rsidRPr="00884203" w:rsidTr="00824B57">
        <w:trPr>
          <w:trHeight w:hRule="exact" w:val="648"/>
        </w:trPr>
        <w:tc>
          <w:tcPr>
            <w:tcW w:w="739" w:type="pct"/>
            <w:tcBorders>
              <w:bottom w:val="single" w:sz="4" w:space="0" w:color="auto"/>
            </w:tcBorders>
          </w:tcPr>
          <w:p w:rsidR="0069710F" w:rsidRPr="00884203" w:rsidRDefault="0069710F" w:rsidP="0069710F">
            <w:pPr>
              <w:spacing w:before="40" w:after="40"/>
              <w:rPr>
                <w:rFonts w:ascii="Tahoma" w:hAnsi="Tahoma" w:cs="Tahoma"/>
                <w:b/>
                <w:bCs/>
              </w:rPr>
            </w:pPr>
            <w:r w:rsidRPr="00884203">
              <w:rPr>
                <w:rFonts w:ascii="Tahoma" w:hAnsi="Tahoma" w:cs="Tahoma"/>
                <w:b/>
                <w:bCs/>
              </w:rPr>
              <w:t>Τρίμηνο / Έτος</w:t>
            </w:r>
          </w:p>
        </w:tc>
        <w:tc>
          <w:tcPr>
            <w:tcW w:w="435" w:type="pct"/>
            <w:gridSpan w:val="2"/>
            <w:tcBorders>
              <w:bottom w:val="single" w:sz="4" w:space="0" w:color="auto"/>
              <w:right w:val="nil"/>
            </w:tcBorders>
          </w:tcPr>
          <w:p w:rsidR="0069710F" w:rsidRPr="00884203" w:rsidRDefault="0069710F" w:rsidP="0069710F">
            <w:pPr>
              <w:jc w:val="center"/>
              <w:rPr>
                <w:rFonts w:ascii="Tahoma" w:hAnsi="Tahoma" w:cs="Tahoma"/>
                <w:b/>
                <w:bCs/>
                <w:lang w:val="en-US"/>
              </w:rPr>
            </w:pPr>
            <w:r w:rsidRPr="00884203">
              <w:rPr>
                <w:rFonts w:ascii="Tahoma" w:hAnsi="Tahoma" w:cs="Tahoma"/>
                <w:b/>
                <w:bCs/>
                <w:lang w:val="en-US"/>
              </w:rPr>
              <w:t>I/10</w:t>
            </w:r>
          </w:p>
        </w:tc>
        <w:tc>
          <w:tcPr>
            <w:tcW w:w="470" w:type="pct"/>
            <w:gridSpan w:val="2"/>
            <w:tcBorders>
              <w:left w:val="nil"/>
              <w:bottom w:val="single" w:sz="4" w:space="0" w:color="auto"/>
              <w:right w:val="nil"/>
            </w:tcBorders>
          </w:tcPr>
          <w:p w:rsidR="0069710F" w:rsidRPr="00884203" w:rsidRDefault="0069710F" w:rsidP="0069710F">
            <w:pPr>
              <w:jc w:val="center"/>
              <w:rPr>
                <w:rFonts w:ascii="Tahoma" w:hAnsi="Tahoma" w:cs="Tahoma"/>
                <w:b/>
                <w:bCs/>
                <w:lang w:val="en-US"/>
              </w:rPr>
            </w:pPr>
            <w:r w:rsidRPr="00884203">
              <w:rPr>
                <w:rFonts w:ascii="Tahoma" w:hAnsi="Tahoma" w:cs="Tahoma"/>
                <w:b/>
                <w:bCs/>
                <w:lang w:val="en-US"/>
              </w:rPr>
              <w:t>II/10</w:t>
            </w:r>
          </w:p>
        </w:tc>
        <w:tc>
          <w:tcPr>
            <w:tcW w:w="528" w:type="pct"/>
            <w:gridSpan w:val="2"/>
            <w:tcBorders>
              <w:left w:val="nil"/>
              <w:bottom w:val="single" w:sz="4" w:space="0" w:color="auto"/>
              <w:right w:val="nil"/>
            </w:tcBorders>
          </w:tcPr>
          <w:p w:rsidR="0069710F" w:rsidRPr="00884203" w:rsidRDefault="0069710F" w:rsidP="0069710F">
            <w:pPr>
              <w:jc w:val="center"/>
              <w:rPr>
                <w:rFonts w:ascii="Tahoma" w:hAnsi="Tahoma" w:cs="Tahoma"/>
                <w:b/>
                <w:bCs/>
                <w:lang w:val="en-US"/>
              </w:rPr>
            </w:pPr>
            <w:r w:rsidRPr="00884203">
              <w:rPr>
                <w:rFonts w:ascii="Tahoma" w:hAnsi="Tahoma" w:cs="Tahoma"/>
                <w:b/>
                <w:bCs/>
                <w:lang w:val="en-US"/>
              </w:rPr>
              <w:t>I</w:t>
            </w:r>
            <w:r w:rsidRPr="00884203">
              <w:rPr>
                <w:rFonts w:ascii="Tahoma" w:hAnsi="Tahoma" w:cs="Tahoma"/>
                <w:b/>
                <w:bCs/>
              </w:rPr>
              <w:t>ΙΙ/</w:t>
            </w:r>
            <w:r w:rsidRPr="00884203">
              <w:rPr>
                <w:rFonts w:ascii="Tahoma" w:hAnsi="Tahoma" w:cs="Tahoma"/>
                <w:b/>
                <w:bCs/>
                <w:lang w:val="en-US"/>
              </w:rPr>
              <w:t>1</w:t>
            </w:r>
            <w:r w:rsidRPr="00884203">
              <w:rPr>
                <w:rFonts w:ascii="Tahoma" w:hAnsi="Tahoma" w:cs="Tahoma"/>
                <w:b/>
                <w:bCs/>
              </w:rPr>
              <w:t>0</w:t>
            </w:r>
          </w:p>
        </w:tc>
        <w:tc>
          <w:tcPr>
            <w:tcW w:w="494" w:type="pct"/>
            <w:gridSpan w:val="2"/>
            <w:tcBorders>
              <w:left w:val="nil"/>
              <w:bottom w:val="single" w:sz="4" w:space="0" w:color="auto"/>
              <w:right w:val="nil"/>
            </w:tcBorders>
          </w:tcPr>
          <w:p w:rsidR="0069710F" w:rsidRPr="00884203" w:rsidRDefault="0069710F" w:rsidP="0069710F">
            <w:pPr>
              <w:jc w:val="center"/>
              <w:rPr>
                <w:rFonts w:ascii="Tahoma" w:hAnsi="Tahoma" w:cs="Tahoma"/>
                <w:b/>
                <w:bCs/>
                <w:lang w:val="en-US"/>
              </w:rPr>
            </w:pPr>
            <w:r w:rsidRPr="00884203">
              <w:rPr>
                <w:rFonts w:ascii="Tahoma" w:hAnsi="Tahoma" w:cs="Tahoma"/>
                <w:b/>
                <w:bCs/>
                <w:lang w:val="en-US"/>
              </w:rPr>
              <w:t>IV/10</w:t>
            </w:r>
          </w:p>
        </w:tc>
        <w:tc>
          <w:tcPr>
            <w:tcW w:w="431" w:type="pct"/>
            <w:gridSpan w:val="2"/>
            <w:tcBorders>
              <w:left w:val="nil"/>
              <w:bottom w:val="single" w:sz="4" w:space="0" w:color="auto"/>
              <w:right w:val="nil"/>
            </w:tcBorders>
          </w:tcPr>
          <w:p w:rsidR="0069710F" w:rsidRPr="00884203" w:rsidRDefault="0069710F" w:rsidP="0069710F">
            <w:pPr>
              <w:jc w:val="center"/>
              <w:rPr>
                <w:rFonts w:ascii="Tahoma" w:hAnsi="Tahoma" w:cs="Tahoma"/>
                <w:b/>
                <w:bCs/>
                <w:lang w:val="en-US"/>
              </w:rPr>
            </w:pPr>
            <w:r w:rsidRPr="00884203">
              <w:rPr>
                <w:rFonts w:ascii="Tahoma" w:hAnsi="Tahoma" w:cs="Tahoma"/>
                <w:b/>
                <w:bCs/>
                <w:lang w:val="en-US"/>
              </w:rPr>
              <w:t>Ι/11</w:t>
            </w:r>
          </w:p>
        </w:tc>
        <w:tc>
          <w:tcPr>
            <w:tcW w:w="470" w:type="pct"/>
            <w:gridSpan w:val="2"/>
            <w:tcBorders>
              <w:left w:val="nil"/>
              <w:bottom w:val="single" w:sz="4" w:space="0" w:color="auto"/>
              <w:right w:val="nil"/>
            </w:tcBorders>
          </w:tcPr>
          <w:p w:rsidR="0069710F" w:rsidRPr="00884203" w:rsidRDefault="0069710F" w:rsidP="0069710F">
            <w:pPr>
              <w:jc w:val="center"/>
              <w:rPr>
                <w:rFonts w:ascii="Tahoma" w:hAnsi="Tahoma" w:cs="Tahoma"/>
                <w:b/>
                <w:bCs/>
                <w:lang w:val="en-US"/>
              </w:rPr>
            </w:pPr>
            <w:r w:rsidRPr="00884203">
              <w:rPr>
                <w:rFonts w:ascii="Tahoma" w:hAnsi="Tahoma" w:cs="Tahoma"/>
                <w:b/>
                <w:bCs/>
              </w:rPr>
              <w:t>Ι</w:t>
            </w:r>
            <w:r w:rsidRPr="00884203">
              <w:rPr>
                <w:rFonts w:ascii="Tahoma" w:hAnsi="Tahoma" w:cs="Tahoma"/>
                <w:b/>
                <w:bCs/>
                <w:lang w:val="en-US"/>
              </w:rPr>
              <w:t>Ι/11</w:t>
            </w:r>
          </w:p>
        </w:tc>
        <w:tc>
          <w:tcPr>
            <w:tcW w:w="528" w:type="pct"/>
            <w:gridSpan w:val="2"/>
            <w:tcBorders>
              <w:left w:val="nil"/>
              <w:bottom w:val="single" w:sz="4" w:space="0" w:color="auto"/>
              <w:right w:val="nil"/>
            </w:tcBorders>
          </w:tcPr>
          <w:p w:rsidR="0069710F" w:rsidRPr="00884203" w:rsidRDefault="0069710F" w:rsidP="0069710F">
            <w:pPr>
              <w:jc w:val="center"/>
              <w:rPr>
                <w:rFonts w:ascii="Tahoma" w:hAnsi="Tahoma" w:cs="Tahoma"/>
                <w:b/>
                <w:bCs/>
              </w:rPr>
            </w:pPr>
            <w:r w:rsidRPr="00884203">
              <w:rPr>
                <w:rFonts w:ascii="Tahoma" w:hAnsi="Tahoma" w:cs="Tahoma"/>
                <w:b/>
                <w:bCs/>
              </w:rPr>
              <w:t>ΙΙΙ/11</w:t>
            </w:r>
          </w:p>
        </w:tc>
        <w:tc>
          <w:tcPr>
            <w:tcW w:w="494" w:type="pct"/>
            <w:gridSpan w:val="2"/>
            <w:tcBorders>
              <w:left w:val="nil"/>
              <w:bottom w:val="single" w:sz="4" w:space="0" w:color="auto"/>
              <w:right w:val="nil"/>
            </w:tcBorders>
          </w:tcPr>
          <w:p w:rsidR="0069710F" w:rsidRPr="00884203" w:rsidRDefault="0069710F" w:rsidP="0069710F">
            <w:pPr>
              <w:jc w:val="center"/>
              <w:rPr>
                <w:rFonts w:ascii="Tahoma" w:hAnsi="Tahoma" w:cs="Tahoma"/>
                <w:b/>
                <w:bCs/>
              </w:rPr>
            </w:pPr>
            <w:r w:rsidRPr="00884203">
              <w:rPr>
                <w:rFonts w:ascii="Tahoma" w:hAnsi="Tahoma" w:cs="Tahoma"/>
                <w:b/>
                <w:bCs/>
              </w:rPr>
              <w:t>ΙV/11</w:t>
            </w:r>
          </w:p>
        </w:tc>
        <w:tc>
          <w:tcPr>
            <w:tcW w:w="410" w:type="pct"/>
            <w:gridSpan w:val="2"/>
            <w:tcBorders>
              <w:left w:val="nil"/>
              <w:bottom w:val="single" w:sz="4" w:space="0" w:color="auto"/>
            </w:tcBorders>
          </w:tcPr>
          <w:p w:rsidR="0069710F" w:rsidRPr="00884203" w:rsidRDefault="0069710F" w:rsidP="0069710F">
            <w:pPr>
              <w:jc w:val="center"/>
              <w:rPr>
                <w:rFonts w:ascii="Tahoma" w:hAnsi="Tahoma" w:cs="Tahoma"/>
                <w:b/>
                <w:bCs/>
                <w:lang w:val="en-US"/>
              </w:rPr>
            </w:pPr>
            <w:r w:rsidRPr="00884203">
              <w:rPr>
                <w:rFonts w:ascii="Tahoma" w:hAnsi="Tahoma" w:cs="Tahoma"/>
                <w:b/>
                <w:bCs/>
                <w:lang w:val="en-US"/>
              </w:rPr>
              <w:t>I/12</w:t>
            </w:r>
          </w:p>
        </w:tc>
      </w:tr>
      <w:tr w:rsidR="0069710F" w:rsidRPr="00884203" w:rsidTr="00824B57">
        <w:trPr>
          <w:gridAfter w:val="1"/>
          <w:wAfter w:w="4" w:type="pct"/>
          <w:trHeight w:hRule="exact" w:val="536"/>
        </w:trPr>
        <w:tc>
          <w:tcPr>
            <w:tcW w:w="739" w:type="pct"/>
            <w:tcBorders>
              <w:top w:val="single" w:sz="4" w:space="0" w:color="92D050"/>
            </w:tcBorders>
            <w:vAlign w:val="center"/>
          </w:tcPr>
          <w:p w:rsidR="0069710F" w:rsidRPr="00884203" w:rsidRDefault="0069710F" w:rsidP="00824B57">
            <w:pPr>
              <w:jc w:val="center"/>
              <w:rPr>
                <w:rFonts w:ascii="Tahoma" w:hAnsi="Tahoma" w:cs="Tahoma"/>
              </w:rPr>
            </w:pPr>
            <w:r w:rsidRPr="00884203">
              <w:rPr>
                <w:rFonts w:ascii="Tahoma" w:hAnsi="Tahoma" w:cs="Tahoma"/>
              </w:rPr>
              <w:t>Οικονομικό Κλίμα</w:t>
            </w:r>
          </w:p>
        </w:tc>
        <w:tc>
          <w:tcPr>
            <w:tcW w:w="431" w:type="pct"/>
            <w:tcBorders>
              <w:top w:val="single" w:sz="4" w:space="0" w:color="92D050"/>
              <w:bottom w:val="single" w:sz="4" w:space="0" w:color="auto"/>
              <w:right w:val="nil"/>
            </w:tcBorders>
            <w:vAlign w:val="center"/>
          </w:tcPr>
          <w:p w:rsidR="0069710F" w:rsidRPr="00884203" w:rsidRDefault="0069710F" w:rsidP="00824B57">
            <w:pPr>
              <w:jc w:val="center"/>
              <w:rPr>
                <w:rFonts w:ascii="Tahoma" w:hAnsi="Tahoma" w:cs="Tahoma"/>
              </w:rPr>
            </w:pPr>
            <w:r w:rsidRPr="00884203">
              <w:rPr>
                <w:rFonts w:ascii="Tahoma" w:hAnsi="Tahoma" w:cs="Tahoma"/>
                <w:lang w:val="en-US"/>
              </w:rPr>
              <w:t>99,5</w:t>
            </w:r>
          </w:p>
        </w:tc>
        <w:tc>
          <w:tcPr>
            <w:tcW w:w="470" w:type="pct"/>
            <w:gridSpan w:val="2"/>
            <w:tcBorders>
              <w:top w:val="single" w:sz="4" w:space="0" w:color="92D050"/>
              <w:left w:val="nil"/>
              <w:bottom w:val="single" w:sz="4" w:space="0" w:color="auto"/>
              <w:right w:val="nil"/>
            </w:tcBorders>
            <w:vAlign w:val="center"/>
          </w:tcPr>
          <w:p w:rsidR="0069710F" w:rsidRPr="00884203" w:rsidRDefault="0069710F" w:rsidP="00824B57">
            <w:pPr>
              <w:jc w:val="center"/>
              <w:rPr>
                <w:rFonts w:ascii="Tahoma" w:hAnsi="Tahoma" w:cs="Tahoma"/>
                <w:lang w:val="en-US"/>
              </w:rPr>
            </w:pPr>
            <w:r w:rsidRPr="00884203">
              <w:rPr>
                <w:rFonts w:ascii="Tahoma" w:hAnsi="Tahoma" w:cs="Tahoma"/>
                <w:lang w:val="en-US"/>
              </w:rPr>
              <w:t>104,1</w:t>
            </w:r>
          </w:p>
        </w:tc>
        <w:tc>
          <w:tcPr>
            <w:tcW w:w="528" w:type="pct"/>
            <w:gridSpan w:val="2"/>
            <w:tcBorders>
              <w:top w:val="single" w:sz="4" w:space="0" w:color="92D050"/>
              <w:left w:val="nil"/>
              <w:bottom w:val="single" w:sz="4" w:space="0" w:color="auto"/>
              <w:right w:val="nil"/>
            </w:tcBorders>
            <w:vAlign w:val="center"/>
          </w:tcPr>
          <w:p w:rsidR="0069710F" w:rsidRPr="00884203" w:rsidRDefault="0069710F" w:rsidP="00824B57">
            <w:pPr>
              <w:jc w:val="center"/>
              <w:rPr>
                <w:rFonts w:ascii="Tahoma" w:hAnsi="Tahoma" w:cs="Tahoma"/>
                <w:lang w:val="en-US"/>
              </w:rPr>
            </w:pPr>
            <w:r w:rsidRPr="00884203">
              <w:rPr>
                <w:rFonts w:ascii="Tahoma" w:hAnsi="Tahoma" w:cs="Tahoma"/>
                <w:lang w:val="en-US"/>
              </w:rPr>
              <w:t>103,2</w:t>
            </w:r>
          </w:p>
        </w:tc>
        <w:tc>
          <w:tcPr>
            <w:tcW w:w="494" w:type="pct"/>
            <w:gridSpan w:val="2"/>
            <w:tcBorders>
              <w:top w:val="single" w:sz="4" w:space="0" w:color="92D050"/>
              <w:left w:val="nil"/>
              <w:bottom w:val="single" w:sz="4" w:space="0" w:color="auto"/>
              <w:right w:val="nil"/>
            </w:tcBorders>
            <w:vAlign w:val="center"/>
          </w:tcPr>
          <w:p w:rsidR="0069710F" w:rsidRPr="00884203" w:rsidRDefault="0069710F" w:rsidP="00824B57">
            <w:pPr>
              <w:jc w:val="center"/>
              <w:rPr>
                <w:rFonts w:ascii="Tahoma" w:hAnsi="Tahoma" w:cs="Tahoma"/>
                <w:lang w:val="en-US"/>
              </w:rPr>
            </w:pPr>
            <w:r w:rsidRPr="00884203">
              <w:rPr>
                <w:rFonts w:ascii="Tahoma" w:hAnsi="Tahoma" w:cs="Tahoma"/>
                <w:lang w:val="en-US"/>
              </w:rPr>
              <w:t>98,6</w:t>
            </w:r>
          </w:p>
        </w:tc>
        <w:tc>
          <w:tcPr>
            <w:tcW w:w="431" w:type="pct"/>
            <w:gridSpan w:val="2"/>
            <w:tcBorders>
              <w:top w:val="single" w:sz="4" w:space="0" w:color="92D050"/>
              <w:left w:val="nil"/>
              <w:bottom w:val="single" w:sz="4" w:space="0" w:color="auto"/>
              <w:right w:val="nil"/>
            </w:tcBorders>
            <w:vAlign w:val="center"/>
          </w:tcPr>
          <w:p w:rsidR="0069710F" w:rsidRPr="00884203" w:rsidRDefault="0069710F" w:rsidP="00824B57">
            <w:pPr>
              <w:jc w:val="center"/>
              <w:rPr>
                <w:rFonts w:ascii="Tahoma" w:hAnsi="Tahoma" w:cs="Tahoma"/>
                <w:lang w:val="en-US"/>
              </w:rPr>
            </w:pPr>
            <w:r w:rsidRPr="00884203">
              <w:rPr>
                <w:rFonts w:ascii="Tahoma" w:hAnsi="Tahoma" w:cs="Tahoma"/>
              </w:rPr>
              <w:t>106,8</w:t>
            </w:r>
          </w:p>
        </w:tc>
        <w:tc>
          <w:tcPr>
            <w:tcW w:w="470" w:type="pct"/>
            <w:gridSpan w:val="2"/>
            <w:tcBorders>
              <w:top w:val="single" w:sz="4" w:space="0" w:color="92D050"/>
              <w:left w:val="nil"/>
              <w:bottom w:val="single" w:sz="4" w:space="0" w:color="auto"/>
              <w:right w:val="nil"/>
            </w:tcBorders>
            <w:vAlign w:val="center"/>
          </w:tcPr>
          <w:p w:rsidR="0069710F" w:rsidRPr="00884203" w:rsidRDefault="0069710F" w:rsidP="00824B57">
            <w:pPr>
              <w:jc w:val="center"/>
              <w:rPr>
                <w:rFonts w:ascii="Tahoma" w:hAnsi="Tahoma" w:cs="Tahoma"/>
              </w:rPr>
            </w:pPr>
            <w:r w:rsidRPr="00884203">
              <w:rPr>
                <w:rFonts w:ascii="Tahoma" w:hAnsi="Tahoma" w:cs="Tahoma"/>
                <w:lang w:val="en-US"/>
              </w:rPr>
              <w:t>107</w:t>
            </w:r>
            <w:r w:rsidRPr="00884203">
              <w:rPr>
                <w:rFonts w:ascii="Tahoma" w:hAnsi="Tahoma" w:cs="Tahoma"/>
              </w:rPr>
              <w:t>,</w:t>
            </w:r>
            <w:r w:rsidRPr="00884203">
              <w:rPr>
                <w:rFonts w:ascii="Tahoma" w:hAnsi="Tahoma" w:cs="Tahoma"/>
                <w:lang w:val="en-US"/>
              </w:rPr>
              <w:t>7</w:t>
            </w:r>
          </w:p>
        </w:tc>
        <w:tc>
          <w:tcPr>
            <w:tcW w:w="528" w:type="pct"/>
            <w:gridSpan w:val="2"/>
            <w:tcBorders>
              <w:top w:val="single" w:sz="4" w:space="0" w:color="92D050"/>
              <w:left w:val="nil"/>
              <w:bottom w:val="single" w:sz="4" w:space="0" w:color="auto"/>
              <w:right w:val="nil"/>
            </w:tcBorders>
            <w:vAlign w:val="center"/>
          </w:tcPr>
          <w:p w:rsidR="0069710F" w:rsidRPr="00884203" w:rsidRDefault="0069710F" w:rsidP="00824B57">
            <w:pPr>
              <w:jc w:val="center"/>
              <w:rPr>
                <w:rFonts w:ascii="Tahoma" w:hAnsi="Tahoma" w:cs="Tahoma"/>
              </w:rPr>
            </w:pPr>
            <w:r w:rsidRPr="00884203">
              <w:rPr>
                <w:rFonts w:ascii="Tahoma" w:hAnsi="Tahoma" w:cs="Tahoma"/>
                <w:lang w:val="en-US"/>
              </w:rPr>
              <w:t>9</w:t>
            </w:r>
            <w:r w:rsidRPr="00884203">
              <w:rPr>
                <w:rFonts w:ascii="Tahoma" w:hAnsi="Tahoma" w:cs="Tahoma"/>
              </w:rPr>
              <w:t>7,7</w:t>
            </w:r>
          </w:p>
        </w:tc>
        <w:tc>
          <w:tcPr>
            <w:tcW w:w="494" w:type="pct"/>
            <w:gridSpan w:val="2"/>
            <w:tcBorders>
              <w:top w:val="single" w:sz="4" w:space="0" w:color="92D050"/>
              <w:left w:val="nil"/>
              <w:bottom w:val="single" w:sz="4" w:space="0" w:color="auto"/>
              <w:right w:val="nil"/>
            </w:tcBorders>
            <w:vAlign w:val="center"/>
          </w:tcPr>
          <w:p w:rsidR="0069710F" w:rsidRPr="00884203" w:rsidRDefault="0069710F" w:rsidP="00824B57">
            <w:pPr>
              <w:jc w:val="center"/>
              <w:rPr>
                <w:rFonts w:ascii="Tahoma" w:hAnsi="Tahoma" w:cs="Tahoma"/>
                <w:bCs/>
              </w:rPr>
            </w:pPr>
            <w:r w:rsidRPr="00884203">
              <w:rPr>
                <w:rFonts w:ascii="Tahoma" w:hAnsi="Tahoma" w:cs="Tahoma"/>
                <w:bCs/>
              </w:rPr>
              <w:t>78,7</w:t>
            </w:r>
          </w:p>
        </w:tc>
        <w:tc>
          <w:tcPr>
            <w:tcW w:w="410" w:type="pct"/>
            <w:gridSpan w:val="2"/>
            <w:tcBorders>
              <w:top w:val="single" w:sz="4" w:space="0" w:color="92D050"/>
              <w:left w:val="nil"/>
              <w:bottom w:val="single" w:sz="4" w:space="0" w:color="auto"/>
            </w:tcBorders>
            <w:vAlign w:val="center"/>
          </w:tcPr>
          <w:p w:rsidR="0069710F" w:rsidRPr="00884203" w:rsidRDefault="0069710F" w:rsidP="00824B57">
            <w:pPr>
              <w:jc w:val="center"/>
              <w:rPr>
                <w:rFonts w:ascii="Tahoma" w:hAnsi="Tahoma" w:cs="Tahoma"/>
              </w:rPr>
            </w:pPr>
            <w:r w:rsidRPr="00884203">
              <w:rPr>
                <w:rFonts w:ascii="Tahoma" w:hAnsi="Tahoma" w:cs="Tahoma"/>
              </w:rPr>
              <w:t>82,4</w:t>
            </w:r>
          </w:p>
        </w:tc>
      </w:tr>
      <w:tr w:rsidR="0069710F" w:rsidRPr="00884203" w:rsidTr="00824B57">
        <w:trPr>
          <w:gridAfter w:val="1"/>
          <w:wAfter w:w="4" w:type="pct"/>
          <w:trHeight w:hRule="exact" w:val="539"/>
        </w:trPr>
        <w:tc>
          <w:tcPr>
            <w:tcW w:w="739" w:type="pct"/>
            <w:vAlign w:val="center"/>
          </w:tcPr>
          <w:p w:rsidR="0069710F" w:rsidRPr="00884203" w:rsidRDefault="0069710F" w:rsidP="00824B57">
            <w:pPr>
              <w:jc w:val="center"/>
              <w:rPr>
                <w:rFonts w:ascii="Tahoma" w:hAnsi="Tahoma" w:cs="Tahoma"/>
              </w:rPr>
            </w:pPr>
            <w:r w:rsidRPr="00884203">
              <w:rPr>
                <w:rFonts w:ascii="Tahoma" w:hAnsi="Tahoma" w:cs="Tahoma"/>
              </w:rPr>
              <w:t>Παρούσα Κατάσταση</w:t>
            </w:r>
          </w:p>
        </w:tc>
        <w:tc>
          <w:tcPr>
            <w:tcW w:w="431" w:type="pct"/>
            <w:tcBorders>
              <w:top w:val="single" w:sz="4" w:space="0" w:color="auto"/>
              <w:bottom w:val="single" w:sz="4" w:space="0" w:color="auto"/>
              <w:right w:val="nil"/>
            </w:tcBorders>
            <w:vAlign w:val="center"/>
          </w:tcPr>
          <w:p w:rsidR="0069710F" w:rsidRPr="00884203" w:rsidRDefault="0069710F" w:rsidP="00824B57">
            <w:pPr>
              <w:jc w:val="center"/>
              <w:rPr>
                <w:rFonts w:ascii="Tahoma" w:hAnsi="Tahoma" w:cs="Tahoma"/>
                <w:lang w:val="en-US"/>
              </w:rPr>
            </w:pPr>
            <w:r w:rsidRPr="00884203">
              <w:rPr>
                <w:rFonts w:ascii="Tahoma" w:hAnsi="Tahoma" w:cs="Tahoma"/>
                <w:lang w:val="en-US"/>
              </w:rPr>
              <w:t>67,3</w:t>
            </w:r>
          </w:p>
        </w:tc>
        <w:tc>
          <w:tcPr>
            <w:tcW w:w="470" w:type="pct"/>
            <w:gridSpan w:val="2"/>
            <w:tcBorders>
              <w:top w:val="single" w:sz="4" w:space="0" w:color="auto"/>
              <w:left w:val="nil"/>
              <w:bottom w:val="single" w:sz="4" w:space="0" w:color="auto"/>
              <w:right w:val="nil"/>
            </w:tcBorders>
            <w:vAlign w:val="center"/>
          </w:tcPr>
          <w:p w:rsidR="0069710F" w:rsidRPr="00884203" w:rsidRDefault="0069710F" w:rsidP="00824B57">
            <w:pPr>
              <w:jc w:val="center"/>
              <w:rPr>
                <w:rFonts w:ascii="Tahoma" w:hAnsi="Tahoma" w:cs="Tahoma"/>
                <w:lang w:val="en-US"/>
              </w:rPr>
            </w:pPr>
            <w:r w:rsidRPr="00884203">
              <w:rPr>
                <w:rFonts w:ascii="Tahoma" w:hAnsi="Tahoma" w:cs="Tahoma"/>
                <w:lang w:val="en-US"/>
              </w:rPr>
              <w:t>80,4</w:t>
            </w:r>
          </w:p>
        </w:tc>
        <w:tc>
          <w:tcPr>
            <w:tcW w:w="528" w:type="pct"/>
            <w:gridSpan w:val="2"/>
            <w:tcBorders>
              <w:top w:val="single" w:sz="4" w:space="0" w:color="auto"/>
              <w:left w:val="nil"/>
              <w:bottom w:val="single" w:sz="4" w:space="0" w:color="auto"/>
              <w:right w:val="nil"/>
            </w:tcBorders>
            <w:vAlign w:val="center"/>
          </w:tcPr>
          <w:p w:rsidR="0069710F" w:rsidRPr="00884203" w:rsidRDefault="0069710F" w:rsidP="00824B57">
            <w:pPr>
              <w:jc w:val="center"/>
              <w:rPr>
                <w:rFonts w:ascii="Tahoma" w:hAnsi="Tahoma" w:cs="Tahoma"/>
                <w:lang w:val="en-US"/>
              </w:rPr>
            </w:pPr>
            <w:r w:rsidRPr="00884203">
              <w:rPr>
                <w:rFonts w:ascii="Tahoma" w:hAnsi="Tahoma" w:cs="Tahoma"/>
                <w:lang w:val="en-US"/>
              </w:rPr>
              <w:t>93,5</w:t>
            </w:r>
          </w:p>
        </w:tc>
        <w:tc>
          <w:tcPr>
            <w:tcW w:w="494" w:type="pct"/>
            <w:gridSpan w:val="2"/>
            <w:tcBorders>
              <w:top w:val="single" w:sz="4" w:space="0" w:color="auto"/>
              <w:left w:val="nil"/>
              <w:bottom w:val="single" w:sz="4" w:space="0" w:color="auto"/>
              <w:right w:val="nil"/>
            </w:tcBorders>
            <w:vAlign w:val="center"/>
          </w:tcPr>
          <w:p w:rsidR="0069710F" w:rsidRPr="00884203" w:rsidRDefault="0069710F" w:rsidP="00824B57">
            <w:pPr>
              <w:jc w:val="center"/>
              <w:rPr>
                <w:rFonts w:ascii="Tahoma" w:hAnsi="Tahoma" w:cs="Tahoma"/>
                <w:lang w:val="en-US"/>
              </w:rPr>
            </w:pPr>
            <w:r w:rsidRPr="00884203">
              <w:rPr>
                <w:rFonts w:ascii="Tahoma" w:hAnsi="Tahoma" w:cs="Tahoma"/>
                <w:lang w:val="en-US"/>
              </w:rPr>
              <w:t>95,3</w:t>
            </w:r>
          </w:p>
        </w:tc>
        <w:tc>
          <w:tcPr>
            <w:tcW w:w="431" w:type="pct"/>
            <w:gridSpan w:val="2"/>
            <w:tcBorders>
              <w:top w:val="single" w:sz="4" w:space="0" w:color="auto"/>
              <w:left w:val="nil"/>
              <w:bottom w:val="single" w:sz="4" w:space="0" w:color="auto"/>
              <w:right w:val="nil"/>
            </w:tcBorders>
            <w:vAlign w:val="center"/>
          </w:tcPr>
          <w:p w:rsidR="0069710F" w:rsidRPr="00884203" w:rsidRDefault="0069710F" w:rsidP="00824B57">
            <w:pPr>
              <w:jc w:val="center"/>
              <w:rPr>
                <w:rFonts w:ascii="Tahoma" w:hAnsi="Tahoma" w:cs="Tahoma"/>
                <w:lang w:val="en-US"/>
              </w:rPr>
            </w:pPr>
            <w:r w:rsidRPr="00884203">
              <w:rPr>
                <w:rFonts w:ascii="Tahoma" w:hAnsi="Tahoma" w:cs="Tahoma"/>
              </w:rPr>
              <w:t>102,8</w:t>
            </w:r>
          </w:p>
        </w:tc>
        <w:tc>
          <w:tcPr>
            <w:tcW w:w="470" w:type="pct"/>
            <w:gridSpan w:val="2"/>
            <w:tcBorders>
              <w:top w:val="single" w:sz="4" w:space="0" w:color="auto"/>
              <w:left w:val="nil"/>
              <w:bottom w:val="single" w:sz="4" w:space="0" w:color="auto"/>
              <w:right w:val="nil"/>
            </w:tcBorders>
            <w:vAlign w:val="center"/>
          </w:tcPr>
          <w:p w:rsidR="0069710F" w:rsidRPr="00884203" w:rsidRDefault="0069710F" w:rsidP="00824B57">
            <w:pPr>
              <w:jc w:val="center"/>
              <w:rPr>
                <w:rFonts w:ascii="Tahoma" w:hAnsi="Tahoma" w:cs="Tahoma"/>
              </w:rPr>
            </w:pPr>
            <w:r w:rsidRPr="00884203">
              <w:rPr>
                <w:rFonts w:ascii="Tahoma" w:hAnsi="Tahoma" w:cs="Tahoma"/>
                <w:lang w:val="en-US"/>
              </w:rPr>
              <w:t>108</w:t>
            </w:r>
            <w:r w:rsidRPr="00884203">
              <w:rPr>
                <w:rFonts w:ascii="Tahoma" w:hAnsi="Tahoma" w:cs="Tahoma"/>
              </w:rPr>
              <w:t>,</w:t>
            </w:r>
            <w:r w:rsidRPr="00884203">
              <w:rPr>
                <w:rFonts w:ascii="Tahoma" w:hAnsi="Tahoma" w:cs="Tahoma"/>
                <w:lang w:val="en-US"/>
              </w:rPr>
              <w:t>4</w:t>
            </w:r>
          </w:p>
        </w:tc>
        <w:tc>
          <w:tcPr>
            <w:tcW w:w="528" w:type="pct"/>
            <w:gridSpan w:val="2"/>
            <w:tcBorders>
              <w:top w:val="single" w:sz="4" w:space="0" w:color="auto"/>
              <w:left w:val="nil"/>
              <w:bottom w:val="single" w:sz="4" w:space="0" w:color="auto"/>
              <w:right w:val="nil"/>
            </w:tcBorders>
            <w:vAlign w:val="center"/>
          </w:tcPr>
          <w:p w:rsidR="0069710F" w:rsidRPr="00884203" w:rsidRDefault="0069710F" w:rsidP="00824B57">
            <w:pPr>
              <w:jc w:val="center"/>
              <w:rPr>
                <w:rFonts w:ascii="Tahoma" w:hAnsi="Tahoma" w:cs="Tahoma"/>
              </w:rPr>
            </w:pPr>
            <w:r w:rsidRPr="00884203">
              <w:rPr>
                <w:rFonts w:ascii="Tahoma" w:hAnsi="Tahoma" w:cs="Tahoma"/>
              </w:rPr>
              <w:t>99,1</w:t>
            </w:r>
          </w:p>
        </w:tc>
        <w:tc>
          <w:tcPr>
            <w:tcW w:w="494" w:type="pct"/>
            <w:gridSpan w:val="2"/>
            <w:tcBorders>
              <w:top w:val="single" w:sz="4" w:space="0" w:color="auto"/>
              <w:left w:val="nil"/>
              <w:bottom w:val="single" w:sz="4" w:space="0" w:color="auto"/>
              <w:right w:val="nil"/>
            </w:tcBorders>
            <w:vAlign w:val="center"/>
          </w:tcPr>
          <w:p w:rsidR="0069710F" w:rsidRPr="00884203" w:rsidRDefault="0069710F" w:rsidP="00824B57">
            <w:pPr>
              <w:jc w:val="center"/>
              <w:rPr>
                <w:rFonts w:ascii="Tahoma" w:hAnsi="Tahoma" w:cs="Tahoma"/>
                <w:bCs/>
              </w:rPr>
            </w:pPr>
            <w:r w:rsidRPr="00884203">
              <w:rPr>
                <w:rFonts w:ascii="Tahoma" w:hAnsi="Tahoma" w:cs="Tahoma"/>
                <w:bCs/>
              </w:rPr>
              <w:t>86,0</w:t>
            </w:r>
          </w:p>
        </w:tc>
        <w:tc>
          <w:tcPr>
            <w:tcW w:w="410" w:type="pct"/>
            <w:gridSpan w:val="2"/>
            <w:tcBorders>
              <w:top w:val="single" w:sz="4" w:space="0" w:color="auto"/>
              <w:left w:val="nil"/>
              <w:bottom w:val="single" w:sz="4" w:space="0" w:color="auto"/>
            </w:tcBorders>
            <w:vAlign w:val="center"/>
          </w:tcPr>
          <w:p w:rsidR="0069710F" w:rsidRPr="00884203" w:rsidRDefault="0069710F" w:rsidP="00824B57">
            <w:pPr>
              <w:jc w:val="center"/>
              <w:rPr>
                <w:rFonts w:ascii="Tahoma" w:hAnsi="Tahoma" w:cs="Tahoma"/>
              </w:rPr>
            </w:pPr>
            <w:r w:rsidRPr="00884203">
              <w:rPr>
                <w:rFonts w:ascii="Tahoma" w:hAnsi="Tahoma" w:cs="Tahoma"/>
              </w:rPr>
              <w:t>84,1</w:t>
            </w:r>
          </w:p>
        </w:tc>
      </w:tr>
      <w:tr w:rsidR="0069710F" w:rsidRPr="00884203" w:rsidTr="00824B57">
        <w:trPr>
          <w:gridAfter w:val="1"/>
          <w:wAfter w:w="4" w:type="pct"/>
          <w:trHeight w:hRule="exact" w:val="452"/>
        </w:trPr>
        <w:tc>
          <w:tcPr>
            <w:tcW w:w="739" w:type="pct"/>
            <w:vAlign w:val="center"/>
          </w:tcPr>
          <w:p w:rsidR="0069710F" w:rsidRPr="00884203" w:rsidRDefault="0069710F" w:rsidP="00824B57">
            <w:pPr>
              <w:jc w:val="center"/>
              <w:rPr>
                <w:rFonts w:ascii="Tahoma" w:hAnsi="Tahoma" w:cs="Tahoma"/>
                <w:lang w:val="en-GB"/>
              </w:rPr>
            </w:pPr>
            <w:r w:rsidRPr="00884203">
              <w:rPr>
                <w:rFonts w:ascii="Tahoma" w:hAnsi="Tahoma" w:cs="Tahoma"/>
              </w:rPr>
              <w:t>Προσδοκίες</w:t>
            </w:r>
          </w:p>
        </w:tc>
        <w:tc>
          <w:tcPr>
            <w:tcW w:w="431" w:type="pct"/>
            <w:tcBorders>
              <w:top w:val="single" w:sz="4" w:space="0" w:color="auto"/>
              <w:right w:val="nil"/>
            </w:tcBorders>
            <w:vAlign w:val="center"/>
          </w:tcPr>
          <w:p w:rsidR="0069710F" w:rsidRPr="00884203" w:rsidRDefault="0069710F" w:rsidP="00824B57">
            <w:pPr>
              <w:jc w:val="center"/>
              <w:rPr>
                <w:rFonts w:ascii="Tahoma" w:hAnsi="Tahoma" w:cs="Tahoma"/>
              </w:rPr>
            </w:pPr>
            <w:r w:rsidRPr="00884203">
              <w:rPr>
                <w:rFonts w:ascii="Tahoma" w:hAnsi="Tahoma" w:cs="Tahoma"/>
                <w:lang w:val="en-US"/>
              </w:rPr>
              <w:t>129,8</w:t>
            </w:r>
          </w:p>
        </w:tc>
        <w:tc>
          <w:tcPr>
            <w:tcW w:w="470" w:type="pct"/>
            <w:gridSpan w:val="2"/>
            <w:tcBorders>
              <w:top w:val="single" w:sz="4" w:space="0" w:color="auto"/>
              <w:left w:val="nil"/>
              <w:right w:val="nil"/>
            </w:tcBorders>
            <w:vAlign w:val="center"/>
          </w:tcPr>
          <w:p w:rsidR="0069710F" w:rsidRPr="00884203" w:rsidRDefault="0069710F" w:rsidP="00824B57">
            <w:pPr>
              <w:jc w:val="center"/>
              <w:rPr>
                <w:rFonts w:ascii="Tahoma" w:hAnsi="Tahoma" w:cs="Tahoma"/>
                <w:lang w:val="en-US"/>
              </w:rPr>
            </w:pPr>
            <w:r w:rsidRPr="00884203">
              <w:rPr>
                <w:rFonts w:ascii="Tahoma" w:hAnsi="Tahoma" w:cs="Tahoma"/>
                <w:lang w:val="en-US"/>
              </w:rPr>
              <w:t>126,3</w:t>
            </w:r>
          </w:p>
        </w:tc>
        <w:tc>
          <w:tcPr>
            <w:tcW w:w="528" w:type="pct"/>
            <w:gridSpan w:val="2"/>
            <w:tcBorders>
              <w:top w:val="single" w:sz="4" w:space="0" w:color="auto"/>
              <w:left w:val="nil"/>
              <w:right w:val="nil"/>
            </w:tcBorders>
            <w:vAlign w:val="center"/>
          </w:tcPr>
          <w:p w:rsidR="0069710F" w:rsidRPr="00884203" w:rsidRDefault="0069710F" w:rsidP="00824B57">
            <w:pPr>
              <w:jc w:val="center"/>
              <w:rPr>
                <w:rFonts w:ascii="Tahoma" w:hAnsi="Tahoma" w:cs="Tahoma"/>
                <w:lang w:val="en-US"/>
              </w:rPr>
            </w:pPr>
            <w:r w:rsidRPr="00884203">
              <w:rPr>
                <w:rFonts w:ascii="Tahoma" w:hAnsi="Tahoma" w:cs="Tahoma"/>
                <w:lang w:val="en-US"/>
              </w:rPr>
              <w:t>112,3</w:t>
            </w:r>
          </w:p>
        </w:tc>
        <w:tc>
          <w:tcPr>
            <w:tcW w:w="494" w:type="pct"/>
            <w:gridSpan w:val="2"/>
            <w:tcBorders>
              <w:top w:val="single" w:sz="4" w:space="0" w:color="auto"/>
              <w:left w:val="nil"/>
              <w:right w:val="nil"/>
            </w:tcBorders>
            <w:vAlign w:val="center"/>
          </w:tcPr>
          <w:p w:rsidR="0069710F" w:rsidRPr="00884203" w:rsidRDefault="0069710F" w:rsidP="00824B57">
            <w:pPr>
              <w:jc w:val="center"/>
              <w:rPr>
                <w:rFonts w:ascii="Tahoma" w:hAnsi="Tahoma" w:cs="Tahoma"/>
                <w:lang w:val="en-US"/>
              </w:rPr>
            </w:pPr>
            <w:r w:rsidRPr="00884203">
              <w:rPr>
                <w:rFonts w:ascii="Tahoma" w:hAnsi="Tahoma" w:cs="Tahoma"/>
                <w:lang w:val="en-US"/>
              </w:rPr>
              <w:t>101,8</w:t>
            </w:r>
          </w:p>
        </w:tc>
        <w:tc>
          <w:tcPr>
            <w:tcW w:w="431" w:type="pct"/>
            <w:gridSpan w:val="2"/>
            <w:tcBorders>
              <w:top w:val="single" w:sz="4" w:space="0" w:color="auto"/>
              <w:left w:val="nil"/>
              <w:right w:val="nil"/>
            </w:tcBorders>
            <w:vAlign w:val="center"/>
          </w:tcPr>
          <w:p w:rsidR="0069710F" w:rsidRPr="00884203" w:rsidRDefault="0069710F" w:rsidP="00824B57">
            <w:pPr>
              <w:jc w:val="center"/>
              <w:rPr>
                <w:rFonts w:ascii="Tahoma" w:hAnsi="Tahoma" w:cs="Tahoma"/>
                <w:lang w:val="en-US"/>
              </w:rPr>
            </w:pPr>
            <w:r w:rsidRPr="00884203">
              <w:rPr>
                <w:rFonts w:ascii="Tahoma" w:hAnsi="Tahoma" w:cs="Tahoma"/>
              </w:rPr>
              <w:t>110,5</w:t>
            </w:r>
          </w:p>
        </w:tc>
        <w:tc>
          <w:tcPr>
            <w:tcW w:w="470" w:type="pct"/>
            <w:gridSpan w:val="2"/>
            <w:tcBorders>
              <w:top w:val="single" w:sz="4" w:space="0" w:color="auto"/>
              <w:left w:val="nil"/>
              <w:right w:val="nil"/>
            </w:tcBorders>
            <w:vAlign w:val="center"/>
          </w:tcPr>
          <w:p w:rsidR="0069710F" w:rsidRPr="00884203" w:rsidRDefault="0069710F" w:rsidP="00824B57">
            <w:pPr>
              <w:jc w:val="center"/>
              <w:rPr>
                <w:rFonts w:ascii="Tahoma" w:hAnsi="Tahoma" w:cs="Tahoma"/>
              </w:rPr>
            </w:pPr>
            <w:r w:rsidRPr="00884203">
              <w:rPr>
                <w:rFonts w:ascii="Tahoma" w:hAnsi="Tahoma" w:cs="Tahoma"/>
                <w:lang w:val="en-US"/>
              </w:rPr>
              <w:t>107</w:t>
            </w:r>
            <w:r w:rsidRPr="00884203">
              <w:rPr>
                <w:rFonts w:ascii="Tahoma" w:hAnsi="Tahoma" w:cs="Tahoma"/>
              </w:rPr>
              <w:t>,</w:t>
            </w:r>
            <w:r w:rsidRPr="00884203">
              <w:rPr>
                <w:rFonts w:ascii="Tahoma" w:hAnsi="Tahoma" w:cs="Tahoma"/>
                <w:lang w:val="en-US"/>
              </w:rPr>
              <w:t>0</w:t>
            </w:r>
          </w:p>
        </w:tc>
        <w:tc>
          <w:tcPr>
            <w:tcW w:w="528" w:type="pct"/>
            <w:gridSpan w:val="2"/>
            <w:tcBorders>
              <w:top w:val="single" w:sz="4" w:space="0" w:color="auto"/>
              <w:left w:val="nil"/>
              <w:right w:val="nil"/>
            </w:tcBorders>
            <w:vAlign w:val="center"/>
          </w:tcPr>
          <w:p w:rsidR="0069710F" w:rsidRPr="00884203" w:rsidRDefault="0069710F" w:rsidP="00824B57">
            <w:pPr>
              <w:jc w:val="center"/>
              <w:rPr>
                <w:rFonts w:ascii="Tahoma" w:hAnsi="Tahoma" w:cs="Tahoma"/>
              </w:rPr>
            </w:pPr>
            <w:r w:rsidRPr="00884203">
              <w:rPr>
                <w:rFonts w:ascii="Tahoma" w:hAnsi="Tahoma" w:cs="Tahoma"/>
              </w:rPr>
              <w:t>96,5</w:t>
            </w:r>
          </w:p>
        </w:tc>
        <w:tc>
          <w:tcPr>
            <w:tcW w:w="494" w:type="pct"/>
            <w:gridSpan w:val="2"/>
            <w:tcBorders>
              <w:top w:val="single" w:sz="4" w:space="0" w:color="auto"/>
              <w:left w:val="nil"/>
              <w:right w:val="nil"/>
            </w:tcBorders>
            <w:vAlign w:val="center"/>
          </w:tcPr>
          <w:p w:rsidR="0069710F" w:rsidRPr="00884203" w:rsidRDefault="0069710F" w:rsidP="00824B57">
            <w:pPr>
              <w:jc w:val="center"/>
              <w:rPr>
                <w:rFonts w:ascii="Tahoma" w:hAnsi="Tahoma" w:cs="Tahoma"/>
                <w:bCs/>
              </w:rPr>
            </w:pPr>
            <w:r w:rsidRPr="00884203">
              <w:rPr>
                <w:rFonts w:ascii="Tahoma" w:hAnsi="Tahoma" w:cs="Tahoma"/>
                <w:bCs/>
              </w:rPr>
              <w:t>71,9</w:t>
            </w:r>
          </w:p>
        </w:tc>
        <w:tc>
          <w:tcPr>
            <w:tcW w:w="410" w:type="pct"/>
            <w:gridSpan w:val="2"/>
            <w:tcBorders>
              <w:top w:val="single" w:sz="4" w:space="0" w:color="auto"/>
              <w:left w:val="nil"/>
            </w:tcBorders>
            <w:vAlign w:val="center"/>
          </w:tcPr>
          <w:p w:rsidR="0069710F" w:rsidRPr="00884203" w:rsidRDefault="0069710F" w:rsidP="00824B57">
            <w:pPr>
              <w:jc w:val="center"/>
              <w:rPr>
                <w:rFonts w:ascii="Tahoma" w:hAnsi="Tahoma" w:cs="Tahoma"/>
              </w:rPr>
            </w:pPr>
            <w:r w:rsidRPr="00884203">
              <w:rPr>
                <w:rFonts w:ascii="Tahoma" w:hAnsi="Tahoma" w:cs="Tahoma"/>
              </w:rPr>
              <w:t>80,7</w:t>
            </w:r>
          </w:p>
        </w:tc>
      </w:tr>
    </w:tbl>
    <w:p w:rsidR="0069710F" w:rsidRPr="00884203" w:rsidRDefault="0069710F" w:rsidP="0069710F">
      <w:pPr>
        <w:pStyle w:val="4"/>
        <w:spacing w:line="240" w:lineRule="auto"/>
        <w:jc w:val="both"/>
        <w:rPr>
          <w:rFonts w:ascii="Tahoma" w:hAnsi="Tahoma" w:cs="Tahoma"/>
          <w:b w:val="0"/>
          <w:sz w:val="16"/>
          <w:szCs w:val="16"/>
          <w:lang w:val="en-US"/>
        </w:rPr>
      </w:pPr>
      <w:bookmarkStart w:id="40" w:name="_Toc70766562"/>
      <w:bookmarkStart w:id="41" w:name="_Toc90808143"/>
      <w:bookmarkStart w:id="42" w:name="_Toc99372672"/>
      <w:bookmarkStart w:id="43" w:name="_Toc99372918"/>
      <w:bookmarkStart w:id="44" w:name="_Toc99433486"/>
      <w:bookmarkStart w:id="45" w:name="_Toc110690308"/>
      <w:bookmarkStart w:id="46" w:name="_Toc137359909"/>
      <w:bookmarkStart w:id="47" w:name="_Toc158997779"/>
      <w:bookmarkStart w:id="48" w:name="_Toc159036724"/>
      <w:bookmarkStart w:id="49" w:name="_Toc159135491"/>
      <w:bookmarkStart w:id="50" w:name="_Toc159143332"/>
      <w:r w:rsidRPr="00884203">
        <w:rPr>
          <w:rFonts w:ascii="Tahoma" w:hAnsi="Tahoma" w:cs="Tahoma"/>
          <w:iCs/>
          <w:sz w:val="16"/>
          <w:szCs w:val="16"/>
        </w:rPr>
        <w:t>Πηγή</w:t>
      </w:r>
      <w:r w:rsidRPr="00884203">
        <w:rPr>
          <w:rFonts w:ascii="Tahoma" w:hAnsi="Tahoma" w:cs="Tahoma"/>
          <w:iCs/>
          <w:sz w:val="16"/>
          <w:szCs w:val="16"/>
          <w:lang w:val="en-US"/>
        </w:rPr>
        <w:t>:</w:t>
      </w:r>
      <w:r w:rsidRPr="00884203">
        <w:rPr>
          <w:rFonts w:ascii="Tahoma" w:hAnsi="Tahoma" w:cs="Tahoma"/>
          <w:b w:val="0"/>
          <w:sz w:val="16"/>
          <w:szCs w:val="16"/>
          <w:lang w:val="en-US"/>
        </w:rPr>
        <w:t xml:space="preserve"> IFO, World Economic Survey, WES </w:t>
      </w:r>
      <w:r w:rsidRPr="00884203">
        <w:rPr>
          <w:rFonts w:ascii="Tahoma" w:hAnsi="Tahoma" w:cs="Tahoma"/>
          <w:b w:val="0"/>
          <w:sz w:val="16"/>
          <w:szCs w:val="16"/>
          <w:lang w:val="en-GB"/>
        </w:rPr>
        <w:t>02</w:t>
      </w:r>
      <w:r w:rsidRPr="00884203">
        <w:rPr>
          <w:rFonts w:ascii="Tahoma" w:hAnsi="Tahoma" w:cs="Tahoma"/>
          <w:b w:val="0"/>
          <w:sz w:val="16"/>
          <w:szCs w:val="16"/>
          <w:lang w:val="en-US"/>
        </w:rPr>
        <w:t>/</w:t>
      </w:r>
      <w:bookmarkEnd w:id="40"/>
      <w:bookmarkEnd w:id="41"/>
      <w:bookmarkEnd w:id="42"/>
      <w:bookmarkEnd w:id="43"/>
      <w:bookmarkEnd w:id="44"/>
      <w:bookmarkEnd w:id="45"/>
      <w:bookmarkEnd w:id="46"/>
      <w:bookmarkEnd w:id="47"/>
      <w:bookmarkEnd w:id="48"/>
      <w:bookmarkEnd w:id="49"/>
      <w:bookmarkEnd w:id="50"/>
      <w:r w:rsidRPr="00884203">
        <w:rPr>
          <w:rFonts w:ascii="Tahoma" w:hAnsi="Tahoma" w:cs="Tahoma"/>
          <w:b w:val="0"/>
          <w:sz w:val="16"/>
          <w:szCs w:val="16"/>
          <w:lang w:val="en-GB"/>
        </w:rPr>
        <w:t>201</w:t>
      </w:r>
      <w:r w:rsidRPr="00884203">
        <w:rPr>
          <w:rFonts w:ascii="Tahoma" w:hAnsi="Tahoma" w:cs="Tahoma"/>
          <w:b w:val="0"/>
          <w:sz w:val="16"/>
          <w:szCs w:val="16"/>
          <w:lang w:val="en-US"/>
        </w:rPr>
        <w:t>2</w:t>
      </w:r>
    </w:p>
    <w:p w:rsidR="0069710F" w:rsidRPr="00884203" w:rsidRDefault="0069710F" w:rsidP="0069710F">
      <w:pPr>
        <w:pStyle w:val="4"/>
        <w:spacing w:line="240" w:lineRule="auto"/>
        <w:jc w:val="both"/>
        <w:rPr>
          <w:rFonts w:ascii="Tahoma" w:hAnsi="Tahoma" w:cs="Tahoma"/>
          <w:b w:val="0"/>
          <w:sz w:val="18"/>
          <w:szCs w:val="18"/>
          <w:lang w:val="en-US"/>
        </w:rPr>
      </w:pPr>
    </w:p>
    <w:p w:rsidR="0069710F" w:rsidRPr="00884203" w:rsidRDefault="0069710F" w:rsidP="0069710F">
      <w:pPr>
        <w:pStyle w:val="new4"/>
      </w:pPr>
      <w:bookmarkStart w:id="51" w:name="_Toc193883084"/>
      <w:bookmarkStart w:id="52" w:name="_Toc137359910"/>
      <w:bookmarkStart w:id="53" w:name="_Toc158997780"/>
      <w:bookmarkStart w:id="54" w:name="_Toc159135492"/>
      <w:bookmarkStart w:id="55" w:name="_Toc159143333"/>
      <w:bookmarkStart w:id="56" w:name="_Toc193882942"/>
      <w:bookmarkStart w:id="57" w:name="_Toc193883349"/>
      <w:bookmarkStart w:id="58" w:name="_Toc193883436"/>
      <w:bookmarkStart w:id="59" w:name="_Toc202325719"/>
      <w:bookmarkStart w:id="60" w:name="_Toc202326806"/>
      <w:bookmarkStart w:id="61" w:name="_Toc198541193"/>
      <w:bookmarkStart w:id="62" w:name="_Toc198542514"/>
      <w:r w:rsidRPr="00884203">
        <w:t>Πίνακας 2.3</w:t>
      </w:r>
      <w:bookmarkEnd w:id="51"/>
    </w:p>
    <w:p w:rsidR="0069710F" w:rsidRPr="00884203" w:rsidRDefault="0069710F" w:rsidP="0069710F">
      <w:pPr>
        <w:pStyle w:val="new4"/>
        <w:rPr>
          <w:b w:val="0"/>
        </w:rPr>
      </w:pPr>
      <w:bookmarkStart w:id="63" w:name="_Toc90808145"/>
      <w:bookmarkStart w:id="64" w:name="_Toc99433488"/>
      <w:bookmarkStart w:id="65" w:name="_Toc110690310"/>
      <w:bookmarkStart w:id="66" w:name="_Toc137359911"/>
      <w:bookmarkStart w:id="67" w:name="_Toc158997781"/>
      <w:bookmarkStart w:id="68" w:name="_Toc159135493"/>
      <w:bookmarkStart w:id="69" w:name="_Toc159143334"/>
      <w:bookmarkStart w:id="70" w:name="_Toc193613284"/>
      <w:bookmarkStart w:id="71" w:name="_Toc193882943"/>
      <w:bookmarkStart w:id="72" w:name="_Toc193883085"/>
      <w:bookmarkStart w:id="73" w:name="_Toc193883350"/>
      <w:bookmarkStart w:id="74" w:name="_Toc193883437"/>
      <w:r w:rsidRPr="00884203">
        <w:rPr>
          <w:b w:val="0"/>
        </w:rPr>
        <w:t>IFO - Δείκτης οικονομικού κλίματος στις οικονομικές ζώνες</w:t>
      </w:r>
      <w:bookmarkEnd w:id="63"/>
      <w:r w:rsidRPr="00884203">
        <w:rPr>
          <w:b w:val="0"/>
        </w:rPr>
        <w:t xml:space="preserve"> (2005=100)</w:t>
      </w:r>
      <w:bookmarkEnd w:id="52"/>
      <w:bookmarkEnd w:id="53"/>
      <w:bookmarkEnd w:id="54"/>
      <w:bookmarkEnd w:id="55"/>
      <w:bookmarkEnd w:id="56"/>
      <w:bookmarkEnd w:id="57"/>
      <w:bookmarkEnd w:id="58"/>
      <w:bookmarkEnd w:id="59"/>
      <w:bookmarkEnd w:id="60"/>
      <w:bookmarkEnd w:id="61"/>
      <w:bookmarkEnd w:id="62"/>
      <w:bookmarkEnd w:id="64"/>
      <w:bookmarkEnd w:id="65"/>
      <w:bookmarkEnd w:id="66"/>
      <w:bookmarkEnd w:id="67"/>
      <w:bookmarkEnd w:id="68"/>
      <w:bookmarkEnd w:id="69"/>
      <w:bookmarkEnd w:id="70"/>
      <w:bookmarkEnd w:id="71"/>
      <w:bookmarkEnd w:id="72"/>
      <w:bookmarkEnd w:id="73"/>
      <w:bookmarkEnd w:id="74"/>
    </w:p>
    <w:tbl>
      <w:tblPr>
        <w:tblW w:w="4570" w:type="pct"/>
        <w:jc w:val="center"/>
        <w:tblBorders>
          <w:top w:val="single" w:sz="12" w:space="0" w:color="008000"/>
          <w:bottom w:val="single" w:sz="12" w:space="0" w:color="008000"/>
        </w:tblBorders>
        <w:tblCellMar>
          <w:left w:w="58" w:type="dxa"/>
          <w:right w:w="58" w:type="dxa"/>
        </w:tblCellMar>
        <w:tblLook w:val="00BF"/>
      </w:tblPr>
      <w:tblGrid>
        <w:gridCol w:w="1766"/>
        <w:gridCol w:w="614"/>
        <w:gridCol w:w="755"/>
        <w:gridCol w:w="864"/>
        <w:gridCol w:w="797"/>
        <w:gridCol w:w="681"/>
        <w:gridCol w:w="756"/>
        <w:gridCol w:w="865"/>
        <w:gridCol w:w="797"/>
        <w:gridCol w:w="766"/>
      </w:tblGrid>
      <w:tr w:rsidR="0069710F" w:rsidRPr="00884203" w:rsidTr="00824B57">
        <w:trPr>
          <w:trHeight w:hRule="exact" w:val="569"/>
          <w:jc w:val="center"/>
        </w:trPr>
        <w:tc>
          <w:tcPr>
            <w:tcW w:w="1026" w:type="pct"/>
            <w:tcBorders>
              <w:top w:val="single" w:sz="4" w:space="0" w:color="auto"/>
              <w:left w:val="single" w:sz="4" w:space="0" w:color="auto"/>
              <w:bottom w:val="single" w:sz="6" w:space="0" w:color="008000"/>
              <w:right w:val="single" w:sz="4" w:space="0" w:color="auto"/>
            </w:tcBorders>
            <w:vAlign w:val="center"/>
          </w:tcPr>
          <w:p w:rsidR="0069710F" w:rsidRPr="00884203" w:rsidRDefault="0069710F" w:rsidP="0069710F">
            <w:pPr>
              <w:pStyle w:val="BodyText"/>
              <w:spacing w:before="40" w:after="40" w:line="240" w:lineRule="auto"/>
              <w:jc w:val="left"/>
              <w:rPr>
                <w:rFonts w:ascii="Tahoma" w:hAnsi="Tahoma" w:cs="Tahoma"/>
                <w:b/>
                <w:sz w:val="20"/>
                <w:szCs w:val="20"/>
              </w:rPr>
            </w:pPr>
            <w:r w:rsidRPr="00884203">
              <w:rPr>
                <w:rFonts w:ascii="Tahoma" w:hAnsi="Tahoma" w:cs="Tahoma"/>
                <w:b/>
                <w:sz w:val="20"/>
                <w:szCs w:val="20"/>
              </w:rPr>
              <w:t>Τρίμηνο / Έτος</w:t>
            </w:r>
          </w:p>
        </w:tc>
        <w:tc>
          <w:tcPr>
            <w:tcW w:w="300" w:type="pct"/>
            <w:tcBorders>
              <w:top w:val="single" w:sz="4" w:space="0" w:color="auto"/>
              <w:bottom w:val="single" w:sz="6" w:space="0" w:color="008000"/>
            </w:tcBorders>
            <w:vAlign w:val="center"/>
          </w:tcPr>
          <w:p w:rsidR="0069710F" w:rsidRPr="00884203" w:rsidRDefault="0069710F" w:rsidP="0069710F">
            <w:pPr>
              <w:jc w:val="center"/>
              <w:rPr>
                <w:rFonts w:ascii="Tahoma" w:hAnsi="Tahoma" w:cs="Tahoma"/>
                <w:b/>
                <w:bCs/>
                <w:lang w:val="en-US"/>
              </w:rPr>
            </w:pPr>
            <w:r w:rsidRPr="00884203">
              <w:rPr>
                <w:rFonts w:ascii="Tahoma" w:hAnsi="Tahoma" w:cs="Tahoma"/>
                <w:b/>
                <w:bCs/>
                <w:lang w:val="en-US"/>
              </w:rPr>
              <w:t>I/10</w:t>
            </w:r>
          </w:p>
        </w:tc>
        <w:tc>
          <w:tcPr>
            <w:tcW w:w="442" w:type="pct"/>
            <w:tcBorders>
              <w:top w:val="single" w:sz="4" w:space="0" w:color="auto"/>
              <w:bottom w:val="single" w:sz="6" w:space="0" w:color="008000"/>
            </w:tcBorders>
            <w:vAlign w:val="center"/>
          </w:tcPr>
          <w:p w:rsidR="0069710F" w:rsidRPr="00884203" w:rsidRDefault="0069710F" w:rsidP="0069710F">
            <w:pPr>
              <w:jc w:val="center"/>
              <w:rPr>
                <w:rFonts w:ascii="Tahoma" w:hAnsi="Tahoma" w:cs="Tahoma"/>
                <w:b/>
                <w:bCs/>
                <w:lang w:val="en-US"/>
              </w:rPr>
            </w:pPr>
            <w:r w:rsidRPr="00884203">
              <w:rPr>
                <w:rFonts w:ascii="Tahoma" w:hAnsi="Tahoma" w:cs="Tahoma"/>
                <w:b/>
                <w:bCs/>
                <w:lang w:val="en-US"/>
              </w:rPr>
              <w:t>II/10</w:t>
            </w:r>
          </w:p>
        </w:tc>
        <w:tc>
          <w:tcPr>
            <w:tcW w:w="505" w:type="pct"/>
            <w:tcBorders>
              <w:top w:val="single" w:sz="4" w:space="0" w:color="auto"/>
              <w:bottom w:val="single" w:sz="6" w:space="0" w:color="008000"/>
            </w:tcBorders>
            <w:vAlign w:val="center"/>
          </w:tcPr>
          <w:p w:rsidR="0069710F" w:rsidRPr="00884203" w:rsidRDefault="0069710F" w:rsidP="0069710F">
            <w:pPr>
              <w:jc w:val="center"/>
              <w:rPr>
                <w:rFonts w:ascii="Tahoma" w:hAnsi="Tahoma" w:cs="Tahoma"/>
                <w:b/>
                <w:bCs/>
                <w:lang w:val="en-US"/>
              </w:rPr>
            </w:pPr>
            <w:r w:rsidRPr="00884203">
              <w:rPr>
                <w:rFonts w:ascii="Tahoma" w:hAnsi="Tahoma" w:cs="Tahoma"/>
                <w:b/>
                <w:bCs/>
                <w:lang w:val="en-US"/>
              </w:rPr>
              <w:t>III/10</w:t>
            </w:r>
          </w:p>
        </w:tc>
        <w:tc>
          <w:tcPr>
            <w:tcW w:w="466" w:type="pct"/>
            <w:tcBorders>
              <w:top w:val="single" w:sz="4" w:space="0" w:color="auto"/>
              <w:bottom w:val="single" w:sz="6" w:space="0" w:color="008000"/>
            </w:tcBorders>
            <w:vAlign w:val="center"/>
          </w:tcPr>
          <w:p w:rsidR="0069710F" w:rsidRPr="00884203" w:rsidRDefault="0069710F" w:rsidP="0069710F">
            <w:pPr>
              <w:jc w:val="center"/>
              <w:rPr>
                <w:rFonts w:ascii="Tahoma" w:hAnsi="Tahoma" w:cs="Tahoma"/>
                <w:b/>
                <w:bCs/>
                <w:lang w:val="en-US"/>
              </w:rPr>
            </w:pPr>
            <w:r w:rsidRPr="00884203">
              <w:rPr>
                <w:rFonts w:ascii="Tahoma" w:hAnsi="Tahoma" w:cs="Tahoma"/>
                <w:b/>
                <w:bCs/>
                <w:lang w:val="en-US"/>
              </w:rPr>
              <w:t>IV</w:t>
            </w:r>
            <w:r w:rsidRPr="00884203">
              <w:rPr>
                <w:rFonts w:ascii="Tahoma" w:hAnsi="Tahoma" w:cs="Tahoma"/>
                <w:b/>
                <w:bCs/>
              </w:rPr>
              <w:t>/</w:t>
            </w:r>
            <w:r w:rsidRPr="00884203">
              <w:rPr>
                <w:rFonts w:ascii="Tahoma" w:hAnsi="Tahoma" w:cs="Tahoma"/>
                <w:b/>
                <w:bCs/>
                <w:lang w:val="en-US"/>
              </w:rPr>
              <w:t>1</w:t>
            </w:r>
            <w:r w:rsidRPr="00884203">
              <w:rPr>
                <w:rFonts w:ascii="Tahoma" w:hAnsi="Tahoma" w:cs="Tahoma"/>
                <w:b/>
                <w:bCs/>
              </w:rPr>
              <w:t>0</w:t>
            </w:r>
          </w:p>
        </w:tc>
        <w:tc>
          <w:tcPr>
            <w:tcW w:w="399" w:type="pct"/>
            <w:tcBorders>
              <w:top w:val="single" w:sz="4" w:space="0" w:color="auto"/>
              <w:bottom w:val="single" w:sz="6" w:space="0" w:color="008000"/>
            </w:tcBorders>
            <w:vAlign w:val="center"/>
          </w:tcPr>
          <w:p w:rsidR="0069710F" w:rsidRPr="00884203" w:rsidRDefault="0069710F" w:rsidP="0069710F">
            <w:pPr>
              <w:jc w:val="center"/>
              <w:rPr>
                <w:rFonts w:ascii="Tahoma" w:hAnsi="Tahoma" w:cs="Tahoma"/>
                <w:b/>
                <w:bCs/>
                <w:lang w:val="en-US"/>
              </w:rPr>
            </w:pPr>
            <w:r w:rsidRPr="00884203">
              <w:rPr>
                <w:rFonts w:ascii="Tahoma" w:hAnsi="Tahoma" w:cs="Tahoma"/>
                <w:b/>
                <w:bCs/>
                <w:lang w:val="en-US"/>
              </w:rPr>
              <w:t>Ι/11</w:t>
            </w:r>
          </w:p>
        </w:tc>
        <w:tc>
          <w:tcPr>
            <w:tcW w:w="442" w:type="pct"/>
            <w:tcBorders>
              <w:top w:val="single" w:sz="4" w:space="0" w:color="auto"/>
              <w:bottom w:val="single" w:sz="6" w:space="0" w:color="008000"/>
            </w:tcBorders>
            <w:vAlign w:val="center"/>
          </w:tcPr>
          <w:p w:rsidR="0069710F" w:rsidRPr="00884203" w:rsidRDefault="0069710F" w:rsidP="0069710F">
            <w:pPr>
              <w:jc w:val="center"/>
              <w:rPr>
                <w:rFonts w:ascii="Tahoma" w:hAnsi="Tahoma" w:cs="Tahoma"/>
                <w:b/>
                <w:bCs/>
                <w:lang w:val="en-US"/>
              </w:rPr>
            </w:pPr>
            <w:r w:rsidRPr="00884203">
              <w:rPr>
                <w:rFonts w:ascii="Tahoma" w:hAnsi="Tahoma" w:cs="Tahoma"/>
                <w:b/>
                <w:bCs/>
                <w:lang w:val="en-US"/>
              </w:rPr>
              <w:t>IΙ/11</w:t>
            </w:r>
          </w:p>
        </w:tc>
        <w:tc>
          <w:tcPr>
            <w:tcW w:w="505" w:type="pct"/>
            <w:tcBorders>
              <w:top w:val="single" w:sz="4" w:space="0" w:color="auto"/>
              <w:bottom w:val="single" w:sz="6" w:space="0" w:color="008000"/>
            </w:tcBorders>
            <w:vAlign w:val="center"/>
          </w:tcPr>
          <w:p w:rsidR="0069710F" w:rsidRPr="00884203" w:rsidRDefault="0069710F" w:rsidP="0069710F">
            <w:pPr>
              <w:jc w:val="center"/>
              <w:rPr>
                <w:rFonts w:ascii="Tahoma" w:hAnsi="Tahoma" w:cs="Tahoma"/>
                <w:b/>
                <w:bCs/>
              </w:rPr>
            </w:pPr>
            <w:r w:rsidRPr="00884203">
              <w:rPr>
                <w:rFonts w:ascii="Tahoma" w:hAnsi="Tahoma" w:cs="Tahoma"/>
                <w:b/>
                <w:bCs/>
              </w:rPr>
              <w:t>ΙΙΙ/11</w:t>
            </w:r>
          </w:p>
        </w:tc>
        <w:tc>
          <w:tcPr>
            <w:tcW w:w="466" w:type="pct"/>
            <w:tcBorders>
              <w:top w:val="single" w:sz="4" w:space="0" w:color="auto"/>
              <w:bottom w:val="single" w:sz="6" w:space="0" w:color="008000"/>
            </w:tcBorders>
            <w:vAlign w:val="center"/>
          </w:tcPr>
          <w:p w:rsidR="0069710F" w:rsidRPr="00884203" w:rsidRDefault="0069710F" w:rsidP="0069710F">
            <w:pPr>
              <w:jc w:val="center"/>
              <w:rPr>
                <w:rFonts w:ascii="Tahoma" w:hAnsi="Tahoma" w:cs="Tahoma"/>
                <w:b/>
                <w:bCs/>
                <w:lang w:val="en-GB"/>
              </w:rPr>
            </w:pPr>
            <w:r w:rsidRPr="00884203">
              <w:rPr>
                <w:rFonts w:ascii="Tahoma" w:hAnsi="Tahoma" w:cs="Tahoma"/>
                <w:b/>
                <w:bCs/>
                <w:lang w:val="en-GB"/>
              </w:rPr>
              <w:t>IV/11</w:t>
            </w:r>
          </w:p>
        </w:tc>
        <w:tc>
          <w:tcPr>
            <w:tcW w:w="448" w:type="pct"/>
            <w:tcBorders>
              <w:top w:val="single" w:sz="4" w:space="0" w:color="auto"/>
              <w:bottom w:val="single" w:sz="6" w:space="0" w:color="008000"/>
              <w:right w:val="single" w:sz="4" w:space="0" w:color="auto"/>
            </w:tcBorders>
            <w:vAlign w:val="center"/>
          </w:tcPr>
          <w:p w:rsidR="0069710F" w:rsidRPr="00884203" w:rsidRDefault="0069710F" w:rsidP="0069710F">
            <w:pPr>
              <w:jc w:val="center"/>
              <w:rPr>
                <w:rFonts w:ascii="Tahoma" w:hAnsi="Tahoma" w:cs="Tahoma"/>
                <w:b/>
                <w:bCs/>
                <w:lang w:val="en-US"/>
              </w:rPr>
            </w:pPr>
            <w:r w:rsidRPr="00884203">
              <w:rPr>
                <w:rFonts w:ascii="Tahoma" w:hAnsi="Tahoma" w:cs="Tahoma"/>
                <w:b/>
                <w:bCs/>
                <w:lang w:val="en-US"/>
              </w:rPr>
              <w:t>I/12</w:t>
            </w:r>
          </w:p>
        </w:tc>
      </w:tr>
      <w:tr w:rsidR="0069710F" w:rsidRPr="00884203" w:rsidTr="00824B57">
        <w:trPr>
          <w:trHeight w:hRule="exact" w:val="537"/>
          <w:jc w:val="center"/>
        </w:trPr>
        <w:tc>
          <w:tcPr>
            <w:tcW w:w="1026" w:type="pct"/>
            <w:tcBorders>
              <w:top w:val="single" w:sz="6" w:space="0" w:color="008000"/>
              <w:left w:val="single" w:sz="4" w:space="0" w:color="auto"/>
              <w:bottom w:val="single" w:sz="4" w:space="0" w:color="auto"/>
              <w:right w:val="single" w:sz="4" w:space="0" w:color="auto"/>
            </w:tcBorders>
            <w:vAlign w:val="center"/>
          </w:tcPr>
          <w:p w:rsidR="0069710F" w:rsidRPr="00884203" w:rsidRDefault="0069710F" w:rsidP="0069710F">
            <w:pPr>
              <w:pStyle w:val="BodyText"/>
              <w:spacing w:before="40" w:after="40" w:line="240" w:lineRule="auto"/>
              <w:jc w:val="left"/>
              <w:rPr>
                <w:rFonts w:ascii="Tahoma" w:hAnsi="Tahoma" w:cs="Tahoma"/>
                <w:sz w:val="20"/>
                <w:szCs w:val="20"/>
              </w:rPr>
            </w:pPr>
            <w:r w:rsidRPr="00884203">
              <w:rPr>
                <w:rFonts w:ascii="Tahoma" w:hAnsi="Tahoma" w:cs="Tahoma"/>
                <w:sz w:val="20"/>
                <w:szCs w:val="20"/>
              </w:rPr>
              <w:t>Βόρεια Αμερική</w:t>
            </w:r>
          </w:p>
        </w:tc>
        <w:tc>
          <w:tcPr>
            <w:tcW w:w="300" w:type="pct"/>
            <w:tcBorders>
              <w:top w:val="nil"/>
              <w:bottom w:val="single" w:sz="4" w:space="0" w:color="auto"/>
            </w:tcBorders>
            <w:vAlign w:val="center"/>
          </w:tcPr>
          <w:p w:rsidR="0069710F" w:rsidRPr="00884203" w:rsidRDefault="0069710F" w:rsidP="0069710F">
            <w:pPr>
              <w:jc w:val="center"/>
              <w:rPr>
                <w:rFonts w:ascii="Tahoma" w:hAnsi="Tahoma" w:cs="Tahoma"/>
              </w:rPr>
            </w:pPr>
            <w:r w:rsidRPr="00884203">
              <w:rPr>
                <w:rFonts w:ascii="Tahoma" w:hAnsi="Tahoma" w:cs="Tahoma"/>
                <w:lang w:val="en-US"/>
              </w:rPr>
              <w:t>90,4</w:t>
            </w:r>
          </w:p>
        </w:tc>
        <w:tc>
          <w:tcPr>
            <w:tcW w:w="442" w:type="pct"/>
            <w:tcBorders>
              <w:top w:val="nil"/>
              <w:bottom w:val="single" w:sz="4" w:space="0" w:color="auto"/>
            </w:tcBorders>
            <w:vAlign w:val="center"/>
          </w:tcPr>
          <w:p w:rsidR="0069710F" w:rsidRPr="00884203" w:rsidRDefault="0069710F" w:rsidP="0069710F">
            <w:pPr>
              <w:jc w:val="center"/>
              <w:rPr>
                <w:rFonts w:ascii="Tahoma" w:hAnsi="Tahoma" w:cs="Tahoma"/>
                <w:lang w:val="en-US"/>
              </w:rPr>
            </w:pPr>
            <w:r w:rsidRPr="00884203">
              <w:rPr>
                <w:rFonts w:ascii="Tahoma" w:hAnsi="Tahoma" w:cs="Tahoma"/>
                <w:lang w:val="en-US"/>
              </w:rPr>
              <w:t>95,4</w:t>
            </w:r>
          </w:p>
        </w:tc>
        <w:tc>
          <w:tcPr>
            <w:tcW w:w="505" w:type="pct"/>
            <w:tcBorders>
              <w:top w:val="nil"/>
              <w:bottom w:val="single" w:sz="4" w:space="0" w:color="auto"/>
            </w:tcBorders>
            <w:vAlign w:val="center"/>
          </w:tcPr>
          <w:p w:rsidR="0069710F" w:rsidRPr="00884203" w:rsidRDefault="0069710F" w:rsidP="0069710F">
            <w:pPr>
              <w:jc w:val="center"/>
              <w:rPr>
                <w:rFonts w:ascii="Tahoma" w:hAnsi="Tahoma" w:cs="Tahoma"/>
                <w:lang w:val="en-US"/>
              </w:rPr>
            </w:pPr>
            <w:r w:rsidRPr="00884203">
              <w:rPr>
                <w:rFonts w:ascii="Tahoma" w:hAnsi="Tahoma" w:cs="Tahoma"/>
                <w:lang w:val="en-US"/>
              </w:rPr>
              <w:t>88,7</w:t>
            </w:r>
          </w:p>
        </w:tc>
        <w:tc>
          <w:tcPr>
            <w:tcW w:w="466" w:type="pct"/>
            <w:tcBorders>
              <w:top w:val="nil"/>
              <w:bottom w:val="single" w:sz="4" w:space="0" w:color="auto"/>
            </w:tcBorders>
            <w:vAlign w:val="center"/>
          </w:tcPr>
          <w:p w:rsidR="0069710F" w:rsidRPr="00884203" w:rsidRDefault="0069710F" w:rsidP="0069710F">
            <w:pPr>
              <w:jc w:val="center"/>
              <w:rPr>
                <w:rFonts w:ascii="Tahoma" w:hAnsi="Tahoma" w:cs="Tahoma"/>
                <w:lang w:val="en-US"/>
              </w:rPr>
            </w:pPr>
            <w:r w:rsidRPr="00884203">
              <w:rPr>
                <w:rFonts w:ascii="Tahoma" w:hAnsi="Tahoma" w:cs="Tahoma"/>
                <w:lang w:val="en-US"/>
              </w:rPr>
              <w:t>82,8</w:t>
            </w:r>
          </w:p>
        </w:tc>
        <w:tc>
          <w:tcPr>
            <w:tcW w:w="399" w:type="pct"/>
            <w:tcBorders>
              <w:top w:val="nil"/>
              <w:bottom w:val="single" w:sz="4" w:space="0" w:color="auto"/>
            </w:tcBorders>
            <w:vAlign w:val="center"/>
          </w:tcPr>
          <w:p w:rsidR="0069710F" w:rsidRPr="00884203" w:rsidRDefault="0069710F" w:rsidP="0069710F">
            <w:pPr>
              <w:jc w:val="center"/>
              <w:rPr>
                <w:rFonts w:ascii="Tahoma" w:hAnsi="Tahoma" w:cs="Tahoma"/>
                <w:lang w:val="en-US"/>
              </w:rPr>
            </w:pPr>
            <w:r w:rsidRPr="00884203">
              <w:rPr>
                <w:rFonts w:ascii="Tahoma" w:hAnsi="Tahoma" w:cs="Tahoma"/>
              </w:rPr>
              <w:t>104,6</w:t>
            </w:r>
          </w:p>
        </w:tc>
        <w:tc>
          <w:tcPr>
            <w:tcW w:w="442" w:type="pct"/>
            <w:tcBorders>
              <w:top w:val="nil"/>
              <w:bottom w:val="single" w:sz="4" w:space="0" w:color="auto"/>
            </w:tcBorders>
            <w:vAlign w:val="center"/>
          </w:tcPr>
          <w:p w:rsidR="0069710F" w:rsidRPr="00884203" w:rsidRDefault="0069710F" w:rsidP="0069710F">
            <w:pPr>
              <w:jc w:val="center"/>
              <w:rPr>
                <w:rFonts w:ascii="Tahoma" w:hAnsi="Tahoma" w:cs="Tahoma"/>
              </w:rPr>
            </w:pPr>
            <w:r w:rsidRPr="00884203">
              <w:rPr>
                <w:rFonts w:ascii="Tahoma" w:hAnsi="Tahoma" w:cs="Tahoma"/>
              </w:rPr>
              <w:t>98,7</w:t>
            </w:r>
          </w:p>
        </w:tc>
        <w:tc>
          <w:tcPr>
            <w:tcW w:w="505" w:type="pct"/>
            <w:tcBorders>
              <w:top w:val="nil"/>
              <w:bottom w:val="single" w:sz="4" w:space="0" w:color="auto"/>
            </w:tcBorders>
            <w:vAlign w:val="center"/>
          </w:tcPr>
          <w:p w:rsidR="0069710F" w:rsidRPr="00884203" w:rsidRDefault="0069710F" w:rsidP="0069710F">
            <w:pPr>
              <w:jc w:val="center"/>
              <w:rPr>
                <w:rFonts w:ascii="Tahoma" w:hAnsi="Tahoma" w:cs="Tahoma"/>
                <w:lang w:val="en-US"/>
              </w:rPr>
            </w:pPr>
            <w:r w:rsidRPr="00884203">
              <w:rPr>
                <w:rFonts w:ascii="Tahoma" w:hAnsi="Tahoma" w:cs="Tahoma"/>
                <w:lang w:val="en-US"/>
              </w:rPr>
              <w:t>81</w:t>
            </w:r>
            <w:r w:rsidRPr="00884203">
              <w:rPr>
                <w:rFonts w:ascii="Tahoma" w:hAnsi="Tahoma" w:cs="Tahoma"/>
              </w:rPr>
              <w:t>,</w:t>
            </w:r>
            <w:r w:rsidRPr="00884203">
              <w:rPr>
                <w:rFonts w:ascii="Tahoma" w:hAnsi="Tahoma" w:cs="Tahoma"/>
                <w:lang w:val="en-US"/>
              </w:rPr>
              <w:t>2</w:t>
            </w:r>
          </w:p>
        </w:tc>
        <w:tc>
          <w:tcPr>
            <w:tcW w:w="466" w:type="pct"/>
            <w:tcBorders>
              <w:top w:val="nil"/>
              <w:bottom w:val="single" w:sz="4" w:space="0" w:color="auto"/>
            </w:tcBorders>
            <w:vAlign w:val="center"/>
          </w:tcPr>
          <w:p w:rsidR="0069710F" w:rsidRPr="00884203" w:rsidRDefault="0069710F" w:rsidP="0069710F">
            <w:pPr>
              <w:jc w:val="center"/>
              <w:rPr>
                <w:rFonts w:ascii="Tahoma" w:hAnsi="Tahoma" w:cs="Tahoma"/>
              </w:rPr>
            </w:pPr>
            <w:r w:rsidRPr="00884203">
              <w:rPr>
                <w:rFonts w:ascii="Tahoma" w:hAnsi="Tahoma" w:cs="Tahoma"/>
              </w:rPr>
              <w:t>69,5</w:t>
            </w:r>
          </w:p>
        </w:tc>
        <w:tc>
          <w:tcPr>
            <w:tcW w:w="448" w:type="pct"/>
            <w:tcBorders>
              <w:top w:val="nil"/>
              <w:bottom w:val="single" w:sz="4" w:space="0" w:color="auto"/>
              <w:right w:val="single" w:sz="4" w:space="0" w:color="auto"/>
            </w:tcBorders>
            <w:vAlign w:val="center"/>
          </w:tcPr>
          <w:p w:rsidR="0069710F" w:rsidRPr="00884203" w:rsidRDefault="0069710F" w:rsidP="0069710F">
            <w:pPr>
              <w:jc w:val="center"/>
              <w:rPr>
                <w:rFonts w:ascii="Tahoma" w:hAnsi="Tahoma" w:cs="Tahoma"/>
              </w:rPr>
            </w:pPr>
            <w:r w:rsidRPr="00884203">
              <w:rPr>
                <w:rFonts w:ascii="Tahoma" w:hAnsi="Tahoma" w:cs="Tahoma"/>
              </w:rPr>
              <w:t>87,9</w:t>
            </w:r>
          </w:p>
        </w:tc>
      </w:tr>
      <w:tr w:rsidR="0069710F" w:rsidRPr="00884203" w:rsidTr="00824B57">
        <w:trPr>
          <w:trHeight w:hRule="exact" w:val="543"/>
          <w:jc w:val="center"/>
        </w:trPr>
        <w:tc>
          <w:tcPr>
            <w:tcW w:w="1026" w:type="pct"/>
            <w:tcBorders>
              <w:top w:val="single" w:sz="4" w:space="0" w:color="auto"/>
              <w:left w:val="single" w:sz="4" w:space="0" w:color="auto"/>
              <w:bottom w:val="single" w:sz="4" w:space="0" w:color="auto"/>
              <w:right w:val="single" w:sz="4" w:space="0" w:color="auto"/>
            </w:tcBorders>
            <w:vAlign w:val="center"/>
          </w:tcPr>
          <w:p w:rsidR="0069710F" w:rsidRPr="00884203" w:rsidRDefault="0069710F" w:rsidP="0069710F">
            <w:pPr>
              <w:pStyle w:val="BodyText"/>
              <w:spacing w:before="40" w:after="40" w:line="240" w:lineRule="auto"/>
              <w:jc w:val="left"/>
              <w:rPr>
                <w:rFonts w:ascii="Tahoma" w:hAnsi="Tahoma" w:cs="Tahoma"/>
                <w:sz w:val="20"/>
                <w:szCs w:val="20"/>
              </w:rPr>
            </w:pPr>
            <w:r w:rsidRPr="00884203">
              <w:rPr>
                <w:rFonts w:ascii="Tahoma" w:hAnsi="Tahoma" w:cs="Tahoma"/>
                <w:sz w:val="20"/>
                <w:szCs w:val="20"/>
              </w:rPr>
              <w:t>Δυτική Ευρώπη</w:t>
            </w:r>
          </w:p>
        </w:tc>
        <w:tc>
          <w:tcPr>
            <w:tcW w:w="300" w:type="pct"/>
            <w:tcBorders>
              <w:top w:val="single" w:sz="4" w:space="0" w:color="auto"/>
              <w:bottom w:val="single" w:sz="4" w:space="0" w:color="auto"/>
            </w:tcBorders>
            <w:vAlign w:val="center"/>
          </w:tcPr>
          <w:p w:rsidR="0069710F" w:rsidRPr="00884203" w:rsidRDefault="0069710F" w:rsidP="0069710F">
            <w:pPr>
              <w:jc w:val="center"/>
              <w:rPr>
                <w:rFonts w:ascii="Tahoma" w:hAnsi="Tahoma" w:cs="Tahoma"/>
              </w:rPr>
            </w:pPr>
            <w:r w:rsidRPr="00884203">
              <w:rPr>
                <w:rFonts w:ascii="Tahoma" w:hAnsi="Tahoma" w:cs="Tahoma"/>
                <w:lang w:val="en-US"/>
              </w:rPr>
              <w:t>98,3</w:t>
            </w:r>
          </w:p>
        </w:tc>
        <w:tc>
          <w:tcPr>
            <w:tcW w:w="442" w:type="pct"/>
            <w:tcBorders>
              <w:top w:val="single" w:sz="4" w:space="0" w:color="auto"/>
              <w:bottom w:val="single" w:sz="4" w:space="0" w:color="auto"/>
            </w:tcBorders>
            <w:vAlign w:val="center"/>
          </w:tcPr>
          <w:p w:rsidR="0069710F" w:rsidRPr="00884203" w:rsidRDefault="0069710F" w:rsidP="0069710F">
            <w:pPr>
              <w:jc w:val="center"/>
              <w:rPr>
                <w:rFonts w:ascii="Tahoma" w:hAnsi="Tahoma" w:cs="Tahoma"/>
                <w:lang w:val="en-US"/>
              </w:rPr>
            </w:pPr>
            <w:r w:rsidRPr="00884203">
              <w:rPr>
                <w:rFonts w:ascii="Tahoma" w:hAnsi="Tahoma" w:cs="Tahoma"/>
                <w:lang w:val="en-US"/>
              </w:rPr>
              <w:t>99,3</w:t>
            </w:r>
          </w:p>
        </w:tc>
        <w:tc>
          <w:tcPr>
            <w:tcW w:w="505" w:type="pct"/>
            <w:tcBorders>
              <w:top w:val="single" w:sz="4" w:space="0" w:color="auto"/>
              <w:bottom w:val="single" w:sz="4" w:space="0" w:color="auto"/>
            </w:tcBorders>
            <w:vAlign w:val="center"/>
          </w:tcPr>
          <w:p w:rsidR="0069710F" w:rsidRPr="00884203" w:rsidRDefault="0069710F" w:rsidP="0069710F">
            <w:pPr>
              <w:jc w:val="center"/>
              <w:rPr>
                <w:rFonts w:ascii="Tahoma" w:hAnsi="Tahoma" w:cs="Tahoma"/>
                <w:lang w:val="en-US"/>
              </w:rPr>
            </w:pPr>
            <w:r w:rsidRPr="00884203">
              <w:rPr>
                <w:rFonts w:ascii="Tahoma" w:hAnsi="Tahoma" w:cs="Tahoma"/>
                <w:lang w:val="en-US"/>
              </w:rPr>
              <w:t>102,2</w:t>
            </w:r>
          </w:p>
        </w:tc>
        <w:tc>
          <w:tcPr>
            <w:tcW w:w="466" w:type="pct"/>
            <w:tcBorders>
              <w:top w:val="single" w:sz="4" w:space="0" w:color="auto"/>
              <w:bottom w:val="single" w:sz="4" w:space="0" w:color="auto"/>
            </w:tcBorders>
            <w:vAlign w:val="center"/>
          </w:tcPr>
          <w:p w:rsidR="0069710F" w:rsidRPr="00884203" w:rsidRDefault="0069710F" w:rsidP="0069710F">
            <w:pPr>
              <w:jc w:val="center"/>
              <w:rPr>
                <w:rFonts w:ascii="Tahoma" w:hAnsi="Tahoma" w:cs="Tahoma"/>
                <w:lang w:val="en-US"/>
              </w:rPr>
            </w:pPr>
            <w:r w:rsidRPr="00884203">
              <w:rPr>
                <w:rFonts w:ascii="Tahoma" w:hAnsi="Tahoma" w:cs="Tahoma"/>
                <w:lang w:val="en-US"/>
              </w:rPr>
              <w:t>105,2</w:t>
            </w:r>
          </w:p>
        </w:tc>
        <w:tc>
          <w:tcPr>
            <w:tcW w:w="399" w:type="pct"/>
            <w:tcBorders>
              <w:top w:val="single" w:sz="4" w:space="0" w:color="auto"/>
              <w:bottom w:val="single" w:sz="4" w:space="0" w:color="auto"/>
            </w:tcBorders>
            <w:vAlign w:val="center"/>
          </w:tcPr>
          <w:p w:rsidR="0069710F" w:rsidRPr="00884203" w:rsidRDefault="0069710F" w:rsidP="0069710F">
            <w:pPr>
              <w:jc w:val="center"/>
              <w:rPr>
                <w:rFonts w:ascii="Tahoma" w:hAnsi="Tahoma" w:cs="Tahoma"/>
                <w:lang w:val="en-US"/>
              </w:rPr>
            </w:pPr>
            <w:r w:rsidRPr="00884203">
              <w:rPr>
                <w:rFonts w:ascii="Tahoma" w:hAnsi="Tahoma" w:cs="Tahoma"/>
              </w:rPr>
              <w:t>113,2</w:t>
            </w:r>
          </w:p>
        </w:tc>
        <w:tc>
          <w:tcPr>
            <w:tcW w:w="442" w:type="pct"/>
            <w:tcBorders>
              <w:top w:val="single" w:sz="4" w:space="0" w:color="auto"/>
              <w:bottom w:val="single" w:sz="4" w:space="0" w:color="auto"/>
            </w:tcBorders>
            <w:vAlign w:val="center"/>
          </w:tcPr>
          <w:p w:rsidR="0069710F" w:rsidRPr="00884203" w:rsidRDefault="0069710F" w:rsidP="0069710F">
            <w:pPr>
              <w:jc w:val="center"/>
              <w:rPr>
                <w:rFonts w:ascii="Tahoma" w:hAnsi="Tahoma" w:cs="Tahoma"/>
              </w:rPr>
            </w:pPr>
            <w:r w:rsidRPr="00884203">
              <w:rPr>
                <w:rFonts w:ascii="Tahoma" w:hAnsi="Tahoma" w:cs="Tahoma"/>
              </w:rPr>
              <w:t>115,1</w:t>
            </w:r>
          </w:p>
        </w:tc>
        <w:tc>
          <w:tcPr>
            <w:tcW w:w="505" w:type="pct"/>
            <w:tcBorders>
              <w:top w:val="single" w:sz="4" w:space="0" w:color="auto"/>
              <w:bottom w:val="single" w:sz="4" w:space="0" w:color="auto"/>
            </w:tcBorders>
            <w:vAlign w:val="center"/>
          </w:tcPr>
          <w:p w:rsidR="0069710F" w:rsidRPr="00884203" w:rsidRDefault="0069710F" w:rsidP="0069710F">
            <w:pPr>
              <w:jc w:val="center"/>
              <w:rPr>
                <w:rFonts w:ascii="Tahoma" w:hAnsi="Tahoma" w:cs="Tahoma"/>
              </w:rPr>
            </w:pPr>
            <w:r w:rsidRPr="00884203">
              <w:rPr>
                <w:rFonts w:ascii="Tahoma" w:hAnsi="Tahoma" w:cs="Tahoma"/>
              </w:rPr>
              <w:t>105,2</w:t>
            </w:r>
          </w:p>
        </w:tc>
        <w:tc>
          <w:tcPr>
            <w:tcW w:w="466" w:type="pct"/>
            <w:tcBorders>
              <w:top w:val="single" w:sz="4" w:space="0" w:color="auto"/>
              <w:bottom w:val="single" w:sz="4" w:space="0" w:color="auto"/>
            </w:tcBorders>
            <w:vAlign w:val="center"/>
          </w:tcPr>
          <w:p w:rsidR="0069710F" w:rsidRPr="00884203" w:rsidRDefault="0069710F" w:rsidP="0069710F">
            <w:pPr>
              <w:jc w:val="center"/>
              <w:rPr>
                <w:rFonts w:ascii="Tahoma" w:hAnsi="Tahoma" w:cs="Tahoma"/>
              </w:rPr>
            </w:pPr>
            <w:r w:rsidRPr="00884203">
              <w:rPr>
                <w:rFonts w:ascii="Tahoma" w:hAnsi="Tahoma" w:cs="Tahoma"/>
              </w:rPr>
              <w:t>81,4</w:t>
            </w:r>
          </w:p>
        </w:tc>
        <w:tc>
          <w:tcPr>
            <w:tcW w:w="448" w:type="pct"/>
            <w:tcBorders>
              <w:top w:val="single" w:sz="4" w:space="0" w:color="auto"/>
              <w:bottom w:val="single" w:sz="4" w:space="0" w:color="auto"/>
              <w:right w:val="single" w:sz="4" w:space="0" w:color="auto"/>
            </w:tcBorders>
            <w:vAlign w:val="center"/>
          </w:tcPr>
          <w:p w:rsidR="0069710F" w:rsidRPr="00884203" w:rsidRDefault="0069710F" w:rsidP="0069710F">
            <w:pPr>
              <w:jc w:val="center"/>
              <w:rPr>
                <w:rFonts w:ascii="Tahoma" w:hAnsi="Tahoma" w:cs="Tahoma"/>
              </w:rPr>
            </w:pPr>
            <w:r w:rsidRPr="00884203">
              <w:rPr>
                <w:rFonts w:ascii="Tahoma" w:hAnsi="Tahoma" w:cs="Tahoma"/>
              </w:rPr>
              <w:t>82,4</w:t>
            </w:r>
          </w:p>
        </w:tc>
      </w:tr>
      <w:tr w:rsidR="0069710F" w:rsidRPr="00884203" w:rsidTr="00824B57">
        <w:trPr>
          <w:trHeight w:hRule="exact" w:val="340"/>
          <w:jc w:val="center"/>
        </w:trPr>
        <w:tc>
          <w:tcPr>
            <w:tcW w:w="1026" w:type="pct"/>
            <w:tcBorders>
              <w:top w:val="single" w:sz="4" w:space="0" w:color="auto"/>
              <w:left w:val="single" w:sz="4" w:space="0" w:color="auto"/>
              <w:bottom w:val="single" w:sz="4" w:space="0" w:color="auto"/>
              <w:right w:val="single" w:sz="4" w:space="0" w:color="auto"/>
            </w:tcBorders>
            <w:vAlign w:val="center"/>
          </w:tcPr>
          <w:p w:rsidR="0069710F" w:rsidRPr="00884203" w:rsidRDefault="0069710F" w:rsidP="0069710F">
            <w:pPr>
              <w:pStyle w:val="BodyText"/>
              <w:spacing w:before="40" w:after="40" w:line="240" w:lineRule="auto"/>
              <w:jc w:val="left"/>
              <w:rPr>
                <w:rFonts w:ascii="Tahoma" w:hAnsi="Tahoma" w:cs="Tahoma"/>
                <w:sz w:val="20"/>
                <w:szCs w:val="20"/>
                <w:lang w:val="en-GB"/>
              </w:rPr>
            </w:pPr>
            <w:r w:rsidRPr="00884203">
              <w:rPr>
                <w:rFonts w:ascii="Tahoma" w:hAnsi="Tahoma" w:cs="Tahoma"/>
                <w:sz w:val="20"/>
                <w:szCs w:val="20"/>
              </w:rPr>
              <w:t>Ασία</w:t>
            </w:r>
          </w:p>
        </w:tc>
        <w:tc>
          <w:tcPr>
            <w:tcW w:w="300" w:type="pct"/>
            <w:tcBorders>
              <w:top w:val="single" w:sz="4" w:space="0" w:color="auto"/>
              <w:bottom w:val="single" w:sz="4" w:space="0" w:color="auto"/>
            </w:tcBorders>
            <w:vAlign w:val="center"/>
          </w:tcPr>
          <w:p w:rsidR="0069710F" w:rsidRPr="00884203" w:rsidRDefault="0069710F" w:rsidP="0069710F">
            <w:pPr>
              <w:jc w:val="center"/>
              <w:rPr>
                <w:rFonts w:ascii="Tahoma" w:hAnsi="Tahoma" w:cs="Tahoma"/>
              </w:rPr>
            </w:pPr>
            <w:r w:rsidRPr="00884203">
              <w:rPr>
                <w:rFonts w:ascii="Tahoma" w:hAnsi="Tahoma" w:cs="Tahoma"/>
                <w:lang w:val="en-US"/>
              </w:rPr>
              <w:t>108,8</w:t>
            </w:r>
          </w:p>
        </w:tc>
        <w:tc>
          <w:tcPr>
            <w:tcW w:w="442" w:type="pct"/>
            <w:tcBorders>
              <w:top w:val="single" w:sz="4" w:space="0" w:color="auto"/>
              <w:bottom w:val="single" w:sz="4" w:space="0" w:color="auto"/>
            </w:tcBorders>
            <w:vAlign w:val="center"/>
          </w:tcPr>
          <w:p w:rsidR="0069710F" w:rsidRPr="00884203" w:rsidRDefault="0069710F" w:rsidP="0069710F">
            <w:pPr>
              <w:jc w:val="center"/>
              <w:rPr>
                <w:rFonts w:ascii="Tahoma" w:hAnsi="Tahoma" w:cs="Tahoma"/>
                <w:lang w:val="en-US"/>
              </w:rPr>
            </w:pPr>
            <w:r w:rsidRPr="00884203">
              <w:rPr>
                <w:rFonts w:ascii="Tahoma" w:hAnsi="Tahoma" w:cs="Tahoma"/>
                <w:lang w:val="en-US"/>
              </w:rPr>
              <w:t>113,2</w:t>
            </w:r>
          </w:p>
        </w:tc>
        <w:tc>
          <w:tcPr>
            <w:tcW w:w="505" w:type="pct"/>
            <w:tcBorders>
              <w:top w:val="single" w:sz="4" w:space="0" w:color="auto"/>
              <w:bottom w:val="single" w:sz="4" w:space="0" w:color="auto"/>
            </w:tcBorders>
            <w:vAlign w:val="center"/>
          </w:tcPr>
          <w:p w:rsidR="0069710F" w:rsidRPr="00884203" w:rsidRDefault="0069710F" w:rsidP="0069710F">
            <w:pPr>
              <w:jc w:val="center"/>
              <w:rPr>
                <w:rFonts w:ascii="Tahoma" w:hAnsi="Tahoma" w:cs="Tahoma"/>
                <w:lang w:val="en-US"/>
              </w:rPr>
            </w:pPr>
            <w:r w:rsidRPr="00884203">
              <w:rPr>
                <w:rFonts w:ascii="Tahoma" w:hAnsi="Tahoma" w:cs="Tahoma"/>
                <w:lang w:val="en-US"/>
              </w:rPr>
              <w:t>107,9</w:t>
            </w:r>
          </w:p>
        </w:tc>
        <w:tc>
          <w:tcPr>
            <w:tcW w:w="466" w:type="pct"/>
            <w:tcBorders>
              <w:top w:val="single" w:sz="4" w:space="0" w:color="auto"/>
              <w:bottom w:val="single" w:sz="4" w:space="0" w:color="auto"/>
            </w:tcBorders>
            <w:vAlign w:val="center"/>
          </w:tcPr>
          <w:p w:rsidR="0069710F" w:rsidRPr="00884203" w:rsidRDefault="0069710F" w:rsidP="0069710F">
            <w:pPr>
              <w:jc w:val="center"/>
              <w:rPr>
                <w:rFonts w:ascii="Tahoma" w:hAnsi="Tahoma" w:cs="Tahoma"/>
                <w:lang w:val="en-US"/>
              </w:rPr>
            </w:pPr>
            <w:r w:rsidRPr="00884203">
              <w:rPr>
                <w:rFonts w:ascii="Tahoma" w:hAnsi="Tahoma" w:cs="Tahoma"/>
                <w:lang w:val="en-US"/>
              </w:rPr>
              <w:t>95,6</w:t>
            </w:r>
          </w:p>
        </w:tc>
        <w:tc>
          <w:tcPr>
            <w:tcW w:w="399" w:type="pct"/>
            <w:tcBorders>
              <w:top w:val="single" w:sz="4" w:space="0" w:color="auto"/>
              <w:bottom w:val="single" w:sz="4" w:space="0" w:color="auto"/>
            </w:tcBorders>
            <w:vAlign w:val="center"/>
          </w:tcPr>
          <w:p w:rsidR="0069710F" w:rsidRPr="00884203" w:rsidRDefault="0069710F" w:rsidP="0069710F">
            <w:pPr>
              <w:jc w:val="center"/>
              <w:rPr>
                <w:rFonts w:ascii="Tahoma" w:hAnsi="Tahoma" w:cs="Tahoma"/>
                <w:lang w:val="en-US"/>
              </w:rPr>
            </w:pPr>
            <w:r w:rsidRPr="00884203">
              <w:rPr>
                <w:rFonts w:ascii="Tahoma" w:hAnsi="Tahoma" w:cs="Tahoma"/>
              </w:rPr>
              <w:t>105,3</w:t>
            </w:r>
          </w:p>
        </w:tc>
        <w:tc>
          <w:tcPr>
            <w:tcW w:w="442" w:type="pct"/>
            <w:tcBorders>
              <w:top w:val="single" w:sz="4" w:space="0" w:color="auto"/>
              <w:bottom w:val="single" w:sz="4" w:space="0" w:color="auto"/>
            </w:tcBorders>
            <w:vAlign w:val="center"/>
          </w:tcPr>
          <w:p w:rsidR="0069710F" w:rsidRPr="00884203" w:rsidRDefault="0069710F" w:rsidP="0069710F">
            <w:pPr>
              <w:jc w:val="center"/>
              <w:rPr>
                <w:rFonts w:ascii="Tahoma" w:hAnsi="Tahoma" w:cs="Tahoma"/>
              </w:rPr>
            </w:pPr>
            <w:r w:rsidRPr="00884203">
              <w:rPr>
                <w:rFonts w:ascii="Tahoma" w:hAnsi="Tahoma" w:cs="Tahoma"/>
              </w:rPr>
              <w:t>101,8</w:t>
            </w:r>
          </w:p>
        </w:tc>
        <w:tc>
          <w:tcPr>
            <w:tcW w:w="505" w:type="pct"/>
            <w:tcBorders>
              <w:top w:val="single" w:sz="4" w:space="0" w:color="auto"/>
              <w:bottom w:val="single" w:sz="4" w:space="0" w:color="auto"/>
            </w:tcBorders>
            <w:vAlign w:val="center"/>
          </w:tcPr>
          <w:p w:rsidR="0069710F" w:rsidRPr="00884203" w:rsidRDefault="0069710F" w:rsidP="0069710F">
            <w:pPr>
              <w:jc w:val="center"/>
              <w:rPr>
                <w:rFonts w:ascii="Tahoma" w:hAnsi="Tahoma" w:cs="Tahoma"/>
              </w:rPr>
            </w:pPr>
            <w:r w:rsidRPr="00884203">
              <w:rPr>
                <w:rFonts w:ascii="Tahoma" w:hAnsi="Tahoma" w:cs="Tahoma"/>
              </w:rPr>
              <w:t>94,7</w:t>
            </w:r>
          </w:p>
        </w:tc>
        <w:tc>
          <w:tcPr>
            <w:tcW w:w="466" w:type="pct"/>
            <w:tcBorders>
              <w:top w:val="single" w:sz="4" w:space="0" w:color="auto"/>
              <w:bottom w:val="single" w:sz="4" w:space="0" w:color="auto"/>
            </w:tcBorders>
            <w:vAlign w:val="center"/>
          </w:tcPr>
          <w:p w:rsidR="0069710F" w:rsidRPr="00884203" w:rsidRDefault="0069710F" w:rsidP="0069710F">
            <w:pPr>
              <w:jc w:val="center"/>
              <w:rPr>
                <w:rFonts w:ascii="Tahoma" w:hAnsi="Tahoma" w:cs="Tahoma"/>
              </w:rPr>
            </w:pPr>
            <w:r w:rsidRPr="00884203">
              <w:rPr>
                <w:rFonts w:ascii="Tahoma" w:hAnsi="Tahoma" w:cs="Tahoma"/>
              </w:rPr>
              <w:t>77,2</w:t>
            </w:r>
          </w:p>
        </w:tc>
        <w:tc>
          <w:tcPr>
            <w:tcW w:w="448" w:type="pct"/>
            <w:tcBorders>
              <w:top w:val="single" w:sz="4" w:space="0" w:color="auto"/>
              <w:bottom w:val="single" w:sz="4" w:space="0" w:color="auto"/>
              <w:right w:val="single" w:sz="4" w:space="0" w:color="auto"/>
            </w:tcBorders>
            <w:vAlign w:val="center"/>
          </w:tcPr>
          <w:p w:rsidR="0069710F" w:rsidRPr="00884203" w:rsidRDefault="0069710F" w:rsidP="0069710F">
            <w:pPr>
              <w:jc w:val="center"/>
              <w:rPr>
                <w:rFonts w:ascii="Tahoma" w:hAnsi="Tahoma" w:cs="Tahoma"/>
              </w:rPr>
            </w:pPr>
            <w:r w:rsidRPr="00884203">
              <w:rPr>
                <w:rFonts w:ascii="Tahoma" w:hAnsi="Tahoma" w:cs="Tahoma"/>
              </w:rPr>
              <w:t>74,6</w:t>
            </w:r>
          </w:p>
        </w:tc>
      </w:tr>
    </w:tbl>
    <w:p w:rsidR="0069710F" w:rsidRPr="00884203" w:rsidRDefault="0069710F" w:rsidP="0069710F">
      <w:pPr>
        <w:pStyle w:val="4"/>
        <w:spacing w:line="240" w:lineRule="auto"/>
        <w:jc w:val="both"/>
        <w:rPr>
          <w:rFonts w:ascii="Tahoma" w:hAnsi="Tahoma" w:cs="Tahoma"/>
          <w:iCs/>
          <w:sz w:val="16"/>
          <w:szCs w:val="16"/>
        </w:rPr>
      </w:pPr>
    </w:p>
    <w:p w:rsidR="0069710F" w:rsidRPr="00884203" w:rsidRDefault="0069710F" w:rsidP="0069710F">
      <w:pPr>
        <w:pStyle w:val="4"/>
        <w:spacing w:line="240" w:lineRule="auto"/>
        <w:jc w:val="both"/>
        <w:rPr>
          <w:rFonts w:ascii="Tahoma" w:hAnsi="Tahoma" w:cs="Tahoma"/>
          <w:b w:val="0"/>
          <w:sz w:val="16"/>
          <w:szCs w:val="16"/>
          <w:lang w:val="en-US"/>
        </w:rPr>
      </w:pPr>
      <w:r w:rsidRPr="00884203">
        <w:rPr>
          <w:rFonts w:ascii="Tahoma" w:hAnsi="Tahoma" w:cs="Tahoma"/>
          <w:iCs/>
          <w:sz w:val="16"/>
          <w:szCs w:val="16"/>
        </w:rPr>
        <w:t>Πηγή</w:t>
      </w:r>
      <w:r w:rsidRPr="00884203">
        <w:rPr>
          <w:rFonts w:ascii="Tahoma" w:hAnsi="Tahoma" w:cs="Tahoma"/>
          <w:iCs/>
          <w:sz w:val="16"/>
          <w:szCs w:val="16"/>
          <w:lang w:val="en-US"/>
        </w:rPr>
        <w:t>:</w:t>
      </w:r>
      <w:r w:rsidRPr="00884203">
        <w:rPr>
          <w:rFonts w:ascii="Tahoma" w:hAnsi="Tahoma" w:cs="Tahoma"/>
          <w:b w:val="0"/>
          <w:sz w:val="16"/>
          <w:szCs w:val="16"/>
          <w:lang w:val="en-US"/>
        </w:rPr>
        <w:t xml:space="preserve"> IFO, World Economic Survey, WES </w:t>
      </w:r>
      <w:r w:rsidRPr="00884203">
        <w:rPr>
          <w:rFonts w:ascii="Tahoma" w:hAnsi="Tahoma" w:cs="Tahoma"/>
          <w:b w:val="0"/>
          <w:sz w:val="16"/>
          <w:szCs w:val="16"/>
          <w:lang w:val="en-GB"/>
        </w:rPr>
        <w:t>02</w:t>
      </w:r>
      <w:r w:rsidRPr="00884203">
        <w:rPr>
          <w:rFonts w:ascii="Tahoma" w:hAnsi="Tahoma" w:cs="Tahoma"/>
          <w:b w:val="0"/>
          <w:sz w:val="16"/>
          <w:szCs w:val="16"/>
          <w:lang w:val="en-US"/>
        </w:rPr>
        <w:t>/</w:t>
      </w:r>
      <w:r w:rsidRPr="00884203">
        <w:rPr>
          <w:rFonts w:ascii="Tahoma" w:hAnsi="Tahoma" w:cs="Tahoma"/>
          <w:b w:val="0"/>
          <w:sz w:val="16"/>
          <w:szCs w:val="16"/>
          <w:lang w:val="en-GB"/>
        </w:rPr>
        <w:t>201</w:t>
      </w:r>
      <w:r w:rsidRPr="00884203">
        <w:rPr>
          <w:rFonts w:ascii="Tahoma" w:hAnsi="Tahoma" w:cs="Tahoma"/>
          <w:b w:val="0"/>
          <w:sz w:val="16"/>
          <w:szCs w:val="16"/>
          <w:lang w:val="en-US"/>
        </w:rPr>
        <w:t>2</w:t>
      </w:r>
    </w:p>
    <w:p w:rsidR="0069710F" w:rsidRDefault="0069710F" w:rsidP="0069710F">
      <w:pPr>
        <w:pStyle w:val="new4"/>
        <w:spacing w:after="0" w:line="312" w:lineRule="auto"/>
        <w:jc w:val="both"/>
        <w:rPr>
          <w:lang w:val="en-GB"/>
        </w:rPr>
        <w:sectPr w:rsidR="0069710F" w:rsidSect="0069710F">
          <w:pgSz w:w="11906" w:h="16838" w:code="9"/>
          <w:pgMar w:top="1079" w:right="1106" w:bottom="719" w:left="1440" w:header="720" w:footer="720" w:gutter="0"/>
          <w:paperSrc w:first="15" w:other="15"/>
          <w:cols w:space="720"/>
        </w:sectPr>
      </w:pPr>
    </w:p>
    <w:p w:rsidR="0069710F" w:rsidRPr="00884203" w:rsidRDefault="0069710F" w:rsidP="0069710F">
      <w:pPr>
        <w:pStyle w:val="new4"/>
        <w:spacing w:after="0" w:line="312" w:lineRule="auto"/>
        <w:jc w:val="both"/>
        <w:rPr>
          <w:lang w:val="en-GB"/>
        </w:rPr>
      </w:pPr>
    </w:p>
    <w:p w:rsidR="0069710F" w:rsidRPr="00A43DFA" w:rsidRDefault="0069710F" w:rsidP="0069710F">
      <w:pPr>
        <w:pStyle w:val="new2"/>
        <w:spacing w:before="240" w:line="312" w:lineRule="auto"/>
        <w:rPr>
          <w:rFonts w:cs="Tahoma"/>
          <w:b w:val="0"/>
          <w:i w:val="0"/>
          <w:lang w:val="en-US"/>
        </w:rPr>
        <w:sectPr w:rsidR="0069710F" w:rsidRPr="00A43DFA" w:rsidSect="0069710F">
          <w:pgSz w:w="11906" w:h="16838" w:code="9"/>
          <w:pgMar w:top="1079" w:right="1106" w:bottom="719" w:left="1440" w:header="720" w:footer="720" w:gutter="0"/>
          <w:paperSrc w:first="15" w:other="15"/>
          <w:cols w:space="720"/>
        </w:sectPr>
      </w:pPr>
      <w:bookmarkStart w:id="75" w:name="_Toc202325274"/>
      <w:bookmarkStart w:id="76" w:name="_Toc265759419"/>
      <w:bookmarkStart w:id="77" w:name="_Toc158997782"/>
      <w:bookmarkStart w:id="78" w:name="_Toc159135494"/>
      <w:bookmarkStart w:id="79" w:name="_Toc159143335"/>
    </w:p>
    <w:p w:rsidR="0069710F" w:rsidRPr="00D34ACF" w:rsidRDefault="0069710F" w:rsidP="00D34ACF">
      <w:pPr>
        <w:spacing w:before="240" w:after="240" w:line="312" w:lineRule="auto"/>
        <w:jc w:val="both"/>
        <w:rPr>
          <w:rFonts w:ascii="Tahoma" w:hAnsi="Tahoma" w:cs="Tahoma"/>
          <w:sz w:val="22"/>
          <w:szCs w:val="22"/>
        </w:rPr>
      </w:pPr>
      <w:r w:rsidRPr="00D34ACF">
        <w:rPr>
          <w:rFonts w:ascii="Tahoma" w:hAnsi="Tahoma" w:cs="Tahoma"/>
          <w:sz w:val="22"/>
          <w:szCs w:val="22"/>
        </w:rPr>
        <w:lastRenderedPageBreak/>
        <w:t xml:space="preserve">Αναλυτικότερα, ο δείκτης οικονομικού κλίματος στην παγκόσμια οικονομία το α’ τρίμηνο του έτους σημείωσε μικρή αύξηση σε σύγκριση με το αμέσως προηγούμενο τρίμηνο (Πίνακας 2.2). Παρόλα αυτά, ο δείκτης εξακολουθεί να παραμένει χαμηλότερα από τον μακροχρόνιο μέσο όρο του (96,9 μονάδες). Η βελτίωση του εν λόγω δείκτη οφείλεται αποκλειστικά στις ελαφρώς πιο αισιόδοξες εκτιμήσεις για τις προοπτικές της κατάστασης της οικονομίας τους επόμενους 6 μήνες. Όσον αφορά στις προσδοκίες για την πορεία της παγκόσμιας οικονομίας, αυτές κατέγραψαν βελτίωση, ύστερα από 3 συνεχόμενα τρίμηνα επιδείνωσης του σχετικού δείκτη, κυρίως λόγω της άρσης των ανησυχιών για πληθωριστικές πιέσεις και της προσδοκίας ότι τα επιτόκια θα παραμείνουν σταθερά βραχυχρόνια ή/και θα καταγράψουν μικρή μείωση τους επόμενους 6 μήνες. Αντιθέτως, η αξιόλογη της τρέχουσας κατάστασης παρέμεινε για ακόμη ένα τρίμηνο αρνητική, με το ρυθμό μείωσης του σχετικού δείκτη όμως να μειώνεται σημαντικά σε σχέση με την προηγούμενη περίοδο. Σε γενικές γραμμές οι τάσεις για την πορεία της παγκόσμιας ανάπτυξης αλλάζουν ελαφρά, με τις προσδοκίες για ανάκαμψη να προέρχονται από τις ΗΠΑ, ενώ οι αναπτυξιακές προοπτικές για τις αναδυόμενες οικονομίες είναι πλέον ηπιότερες και αναμένεται ακόμα λύση στη κρίση χρέους της Ευρώπης, επηρεάζοντας αρνητικά την παγκόσμια οικονομία.       </w:t>
      </w:r>
    </w:p>
    <w:p w:rsidR="0069710F" w:rsidRPr="00D34ACF" w:rsidRDefault="0069710F" w:rsidP="00D34ACF">
      <w:pPr>
        <w:spacing w:before="240" w:after="240" w:line="312" w:lineRule="auto"/>
        <w:jc w:val="both"/>
        <w:rPr>
          <w:rFonts w:ascii="Tahoma" w:hAnsi="Tahoma" w:cs="Tahoma"/>
          <w:sz w:val="22"/>
          <w:szCs w:val="22"/>
        </w:rPr>
      </w:pPr>
      <w:r w:rsidRPr="00D34ACF">
        <w:rPr>
          <w:rFonts w:ascii="Tahoma" w:hAnsi="Tahoma" w:cs="Tahoma"/>
          <w:sz w:val="22"/>
          <w:szCs w:val="22"/>
        </w:rPr>
        <w:t xml:space="preserve">Σε επίπεδο οικονομικών ζωνών (Πίνακας 2.3), το οικονομικό κλίμα βελτιώθηκε σημαντικά στη Βόρεια Αμερική, αντιστρέφοντας την καθοδική πορεία που καταγράφονταν τα δυο προηγούμενα τρίμηνα. Στη Βόρεια Αμερική, και ιδίως στις </w:t>
      </w:r>
      <w:r w:rsidRPr="00D34ACF">
        <w:rPr>
          <w:rFonts w:ascii="Tahoma" w:hAnsi="Tahoma" w:cs="Tahoma"/>
          <w:sz w:val="22"/>
          <w:szCs w:val="22"/>
        </w:rPr>
        <w:lastRenderedPageBreak/>
        <w:t xml:space="preserve">ΗΠΑ, σημειώθηκε βελτίωση ιδιαίτερα στην αξιολόγηση της τρέχουσας κατάστασης της οικονομίας, ενώ πιο θετικές είναι οι εκτιμήσεις για τις προοπτικές τους επόμενους 6 μήνες, σε σχέση με τις αντίστοιχες προσδοκίες πριν 3 μήνες. Καθοριστικό παράγοντα για την αντιστροφή του κλίματος αποτέλεσαν τα στοιχεία για την αγορά εργασίας στις ΗΠΑ τον Ιανουάριο, όπου η ανεργία μειώθηκε σχεδόν σε χαμηλό τριετίας (στο 8,3%), με τον αριθμό των νέων θέσεων εργασίας να είναι μεγαλύτερος από αυτές που χάθηκαν στον ιδιωτικό τομέα. Στη Δυτική Ευρώπη το οικονομικό κλίμα μεταβλήθηκε οριακά θετικά, εξαιτίας των πιο αισιόδοξων προοπτικών για τους επόμενους 6 μήνες. Η αρνητική αξιολόγηση όμως της τρέχουσας κατάστασης της οικονομίας σε σχέση με το προηγούμενο τρίμηνο ενισχύει τον σκεπτικισμό για τη διατηρησιμότητα της ανοδικής τάσης. Η κρίση στην ευρωζώνη παραμένει, και παρά την απομάκρυνση του κινδύνου για πιστωτική ασφυξία ύστερα από τις κινήσεις στήριξης της ΕΚΤ, η ανησυχία για την κεφαλαιακή ενίσχυση των τραπεζών διατηρείται, με τις τράπεζες να είναι επιφυλακτικές στη χορήγηση πιστώσεων. Από την άλλη πλευρά, τα στοιχεία για την Ασία δείχνουν μια επιβράδυνση, με τον δείκτη του οικονομικού κλίματος να συνεχίζει την καθοδική του πορεία για 4ο συνεχόμενο τρίμηνο. Η κυρία αιτία για την υποχώρηση του δείκτη ακόμα χαμηλότερα από τον μακροχρόνιο μέσο όρο είναι η πιο αρνητική αξιολόγηση για την τρέχουσα κατάσταση της οικονομίας, ενώ οι προοπτικές για την επόμενη περίοδο είναι επιφυλακτικές.        </w:t>
      </w:r>
    </w:p>
    <w:p w:rsidR="0069710F" w:rsidRPr="00D34ACF" w:rsidRDefault="0069710F" w:rsidP="00D34ACF">
      <w:pPr>
        <w:pStyle w:val="new2"/>
        <w:spacing w:before="240" w:line="312" w:lineRule="auto"/>
      </w:pPr>
      <w:bookmarkStart w:id="80" w:name="_Toc320872876"/>
      <w:r w:rsidRPr="00D34ACF">
        <w:t>Οικονομίες της ΕΕ και της Ευρωζώνης</w:t>
      </w:r>
      <w:bookmarkEnd w:id="75"/>
      <w:bookmarkEnd w:id="76"/>
      <w:bookmarkEnd w:id="80"/>
    </w:p>
    <w:p w:rsidR="0069710F" w:rsidRDefault="0069710F" w:rsidP="0069710F">
      <w:pPr>
        <w:spacing w:before="240" w:after="240" w:line="312" w:lineRule="auto"/>
        <w:jc w:val="both"/>
        <w:rPr>
          <w:rFonts w:ascii="Tahoma" w:hAnsi="Tahoma" w:cs="Tahoma"/>
          <w:sz w:val="22"/>
          <w:szCs w:val="22"/>
        </w:rPr>
      </w:pPr>
      <w:r>
        <w:rPr>
          <w:rFonts w:ascii="Tahoma" w:hAnsi="Tahoma" w:cs="Tahoma"/>
          <w:sz w:val="22"/>
          <w:szCs w:val="22"/>
        </w:rPr>
        <w:lastRenderedPageBreak/>
        <w:t xml:space="preserve">Για το σύνολο του προηγούμενου έτους το </w:t>
      </w:r>
      <w:r w:rsidRPr="00D34ACF">
        <w:rPr>
          <w:rFonts w:ascii="Tahoma" w:hAnsi="Tahoma" w:cs="Tahoma"/>
          <w:b/>
          <w:sz w:val="22"/>
          <w:szCs w:val="22"/>
        </w:rPr>
        <w:t>ΑΕΠ</w:t>
      </w:r>
      <w:r>
        <w:rPr>
          <w:rFonts w:ascii="Tahoma" w:hAnsi="Tahoma" w:cs="Tahoma"/>
          <w:sz w:val="22"/>
          <w:szCs w:val="22"/>
        </w:rPr>
        <w:t xml:space="preserve"> στην ΕΕ-27 εκτιμάται ότι αυξήθηκε κατά 1,5%, ενώ στην Ευρωζώνη ο ρυθμός ανάπτυξης διαμορφώθηκε στο 1,4% (από 2% και 1,9% αντίστοιχα το 2010)</w:t>
      </w:r>
      <w:r>
        <w:rPr>
          <w:rStyle w:val="FootnoteReference"/>
          <w:rFonts w:cs="Tahoma"/>
          <w:sz w:val="22"/>
          <w:szCs w:val="22"/>
        </w:rPr>
        <w:footnoteReference w:id="3"/>
      </w:r>
      <w:r>
        <w:rPr>
          <w:rFonts w:ascii="Tahoma" w:hAnsi="Tahoma" w:cs="Tahoma"/>
          <w:sz w:val="22"/>
          <w:szCs w:val="22"/>
        </w:rPr>
        <w:t xml:space="preserve">, σύμφωνα με τις τελευταίες εκτιμήσεις της Ευρωπαϊκής Επιτροπής. Εντούτοις, η απώλεια της αναπτυξιακής δυναμικής της ευρωπαϊκής οικονομίας αποδείχθηκε μεγαλύτερη από τις αρχικές εκτιμήσεις. Σύμφωνα με τις προσωρινές εκτιμήσεις της Eurostat, το δ’ τρίμηνο του 2011 το ΑΕΠ μειώθηκε κατά 0,3% σε σχέση με το προηγούμενο τρίμηνο. </w:t>
      </w:r>
      <w:r w:rsidRPr="00CF11F4">
        <w:rPr>
          <w:rFonts w:ascii="Tahoma" w:hAnsi="Tahoma" w:cs="Tahoma"/>
          <w:sz w:val="22"/>
          <w:szCs w:val="22"/>
        </w:rPr>
        <w:t>Σε ετήσια βάση ο ρυθμός ανάπτυξης υποχώρησε</w:t>
      </w:r>
      <w:r>
        <w:rPr>
          <w:rFonts w:ascii="Tahoma" w:hAnsi="Tahoma" w:cs="Tahoma"/>
          <w:sz w:val="22"/>
          <w:szCs w:val="22"/>
        </w:rPr>
        <w:t xml:space="preserve"> το τελευταίο τρίμηνο πέρυσι</w:t>
      </w:r>
      <w:r w:rsidRPr="00CF11F4">
        <w:rPr>
          <w:rFonts w:ascii="Tahoma" w:hAnsi="Tahoma" w:cs="Tahoma"/>
          <w:sz w:val="22"/>
          <w:szCs w:val="22"/>
        </w:rPr>
        <w:t xml:space="preserve"> στο 0,9% στην ΕΕ-27 και στο 0,7% στην Ευρωζώνη (έναντι 1,4% και 1,3% αντίστοιχα το </w:t>
      </w:r>
      <w:r>
        <w:rPr>
          <w:rFonts w:ascii="Tahoma" w:hAnsi="Tahoma" w:cs="Tahoma"/>
          <w:sz w:val="22"/>
          <w:szCs w:val="22"/>
        </w:rPr>
        <w:t>γ΄</w:t>
      </w:r>
      <w:r w:rsidRPr="00CF11F4">
        <w:rPr>
          <w:rFonts w:ascii="Tahoma" w:hAnsi="Tahoma" w:cs="Tahoma"/>
          <w:sz w:val="22"/>
          <w:szCs w:val="22"/>
        </w:rPr>
        <w:t>τρίμηνο)</w:t>
      </w:r>
      <w:r>
        <w:rPr>
          <w:rStyle w:val="FootnoteReference"/>
          <w:rFonts w:cs="Tahoma"/>
          <w:sz w:val="22"/>
          <w:szCs w:val="22"/>
        </w:rPr>
        <w:footnoteReference w:id="4"/>
      </w:r>
      <w:r w:rsidRPr="00CF11F4">
        <w:rPr>
          <w:rFonts w:ascii="Tahoma" w:hAnsi="Tahoma" w:cs="Tahoma"/>
          <w:sz w:val="22"/>
          <w:szCs w:val="22"/>
        </w:rPr>
        <w:t xml:space="preserve">. Η εγχώρια ζήτηση φαίνεται ότι είχε τη μεγαλύτερη συμβολή στην επιβράδυνση της οικονομικής δραστηριότητας. </w:t>
      </w:r>
    </w:p>
    <w:p w:rsidR="0069710F" w:rsidRDefault="0069710F" w:rsidP="0069710F">
      <w:pPr>
        <w:spacing w:before="240" w:after="240" w:line="312" w:lineRule="auto"/>
        <w:jc w:val="both"/>
        <w:rPr>
          <w:rFonts w:ascii="Tahoma" w:hAnsi="Tahoma" w:cs="Tahoma"/>
          <w:sz w:val="22"/>
          <w:szCs w:val="22"/>
        </w:rPr>
      </w:pPr>
      <w:r w:rsidRPr="00CF11F4">
        <w:rPr>
          <w:rFonts w:ascii="Tahoma" w:hAnsi="Tahoma" w:cs="Tahoma"/>
          <w:sz w:val="22"/>
          <w:szCs w:val="22"/>
        </w:rPr>
        <w:t>Οι εκτιμήσεις για την πορεία τ</w:t>
      </w:r>
      <w:r>
        <w:rPr>
          <w:rFonts w:ascii="Tahoma" w:hAnsi="Tahoma" w:cs="Tahoma"/>
          <w:sz w:val="22"/>
          <w:szCs w:val="22"/>
        </w:rPr>
        <w:t>ου ΑΕΠ</w:t>
      </w:r>
      <w:r w:rsidRPr="00CF11F4">
        <w:rPr>
          <w:rFonts w:ascii="Tahoma" w:hAnsi="Tahoma" w:cs="Tahoma"/>
          <w:sz w:val="22"/>
          <w:szCs w:val="22"/>
        </w:rPr>
        <w:t xml:space="preserve"> στην ΕΕ-27 και στις χώρες της Ευρωζώνης αναθεωρήθηκαν επί τα χείρω τον Φεβρουάριο του 2012</w:t>
      </w:r>
      <w:r>
        <w:rPr>
          <w:rFonts w:ascii="Tahoma" w:hAnsi="Tahoma" w:cs="Tahoma"/>
          <w:sz w:val="22"/>
          <w:szCs w:val="22"/>
        </w:rPr>
        <w:t xml:space="preserve"> και</w:t>
      </w:r>
      <w:r w:rsidRPr="00EB5FE0">
        <w:rPr>
          <w:rFonts w:ascii="Tahoma" w:hAnsi="Tahoma" w:cs="Tahoma"/>
          <w:sz w:val="22"/>
          <w:szCs w:val="22"/>
        </w:rPr>
        <w:t xml:space="preserve"> </w:t>
      </w:r>
      <w:r w:rsidRPr="00CF11F4">
        <w:rPr>
          <w:rFonts w:ascii="Tahoma" w:hAnsi="Tahoma" w:cs="Tahoma"/>
          <w:sz w:val="22"/>
          <w:szCs w:val="22"/>
        </w:rPr>
        <w:t xml:space="preserve">πλέον </w:t>
      </w:r>
      <w:r>
        <w:rPr>
          <w:rFonts w:ascii="Tahoma" w:hAnsi="Tahoma" w:cs="Tahoma"/>
          <w:sz w:val="22"/>
          <w:szCs w:val="22"/>
        </w:rPr>
        <w:t xml:space="preserve">καταλήγουν σε </w:t>
      </w:r>
      <w:r w:rsidRPr="00CF11F4">
        <w:rPr>
          <w:rFonts w:ascii="Tahoma" w:hAnsi="Tahoma" w:cs="Tahoma"/>
          <w:sz w:val="22"/>
          <w:szCs w:val="22"/>
        </w:rPr>
        <w:t>μηδενική ανά</w:t>
      </w:r>
      <w:r>
        <w:rPr>
          <w:rFonts w:ascii="Tahoma" w:hAnsi="Tahoma" w:cs="Tahoma"/>
          <w:sz w:val="22"/>
          <w:szCs w:val="22"/>
        </w:rPr>
        <w:t>πτυξη στην ΕΕ-27 και σε</w:t>
      </w:r>
      <w:r w:rsidRPr="00CF11F4">
        <w:rPr>
          <w:rFonts w:ascii="Tahoma" w:hAnsi="Tahoma" w:cs="Tahoma"/>
          <w:sz w:val="22"/>
          <w:szCs w:val="22"/>
        </w:rPr>
        <w:t xml:space="preserve"> μικρή ύφεση (-0,3%) στην Ευρωζώνη το 2012</w:t>
      </w:r>
      <w:r>
        <w:rPr>
          <w:rFonts w:ascii="Tahoma" w:hAnsi="Tahoma" w:cs="Tahoma"/>
          <w:sz w:val="22"/>
          <w:szCs w:val="22"/>
        </w:rPr>
        <w:t xml:space="preserve"> (αναθεώρηση κατά 0,6 και 0,8 ποσοστιαίες μονάδες του ΑΕΠ αντίστοιχα από τις προηγούμενες)</w:t>
      </w:r>
      <w:r w:rsidRPr="00CF11F4">
        <w:rPr>
          <w:rFonts w:ascii="Tahoma" w:hAnsi="Tahoma" w:cs="Tahoma"/>
          <w:sz w:val="22"/>
          <w:szCs w:val="22"/>
        </w:rPr>
        <w:t xml:space="preserve">. </w:t>
      </w:r>
      <w:r>
        <w:rPr>
          <w:rFonts w:ascii="Tahoma" w:hAnsi="Tahoma" w:cs="Tahoma"/>
          <w:sz w:val="22"/>
          <w:szCs w:val="22"/>
        </w:rPr>
        <w:t>Σε επίπεδο τριμήνου, αναμένεται ανάκαμψη το β’ εξάμηνο του 2012, με ηπιότερους ρυθμούς απ’ ότι είχε αρχικά προβλεφθεί, αντανακλώντας μια πιο σταδιακή επιστροφή της επιχειρηματικής και καταναλωτικής εμπιστοσύνης.</w:t>
      </w:r>
      <w:r w:rsidRPr="00046D05">
        <w:rPr>
          <w:rFonts w:ascii="Tahoma" w:hAnsi="Tahoma" w:cs="Tahoma"/>
          <w:sz w:val="22"/>
          <w:szCs w:val="22"/>
        </w:rPr>
        <w:t xml:space="preserve"> </w:t>
      </w:r>
      <w:r w:rsidRPr="00CF11F4">
        <w:rPr>
          <w:rFonts w:ascii="Tahoma" w:hAnsi="Tahoma" w:cs="Tahoma"/>
          <w:sz w:val="22"/>
          <w:szCs w:val="22"/>
        </w:rPr>
        <w:t xml:space="preserve">Ο βασικός λόγος για αυτή την αναθεώρηση των εκτιμήσεων ήταν η αποδυνάμωση της προοπτικών ανάπτυξης </w:t>
      </w:r>
      <w:r w:rsidRPr="00CF11F4">
        <w:rPr>
          <w:rFonts w:ascii="Tahoma" w:hAnsi="Tahoma" w:cs="Tahoma"/>
          <w:sz w:val="22"/>
          <w:szCs w:val="22"/>
        </w:rPr>
        <w:lastRenderedPageBreak/>
        <w:t>στο τέλος του 2011, παράλληλα με τη</w:t>
      </w:r>
      <w:r>
        <w:rPr>
          <w:rFonts w:ascii="Tahoma" w:hAnsi="Tahoma" w:cs="Tahoma"/>
          <w:sz w:val="22"/>
          <w:szCs w:val="22"/>
        </w:rPr>
        <w:t xml:space="preserve"> μεγάλη επιδείνωση της εμπιστοσύνης, την </w:t>
      </w:r>
      <w:r w:rsidRPr="00CF11F4">
        <w:rPr>
          <w:rFonts w:ascii="Tahoma" w:hAnsi="Tahoma" w:cs="Tahoma"/>
          <w:sz w:val="22"/>
          <w:szCs w:val="22"/>
        </w:rPr>
        <w:t>επιβράδυνση της παγκόσμιας οικονομίας</w:t>
      </w:r>
      <w:r>
        <w:rPr>
          <w:rFonts w:ascii="Tahoma" w:hAnsi="Tahoma" w:cs="Tahoma"/>
          <w:sz w:val="22"/>
          <w:szCs w:val="22"/>
        </w:rPr>
        <w:t xml:space="preserve"> και τις πιο αδύναμες προοπτικές του διεθνούς περιβάλλοντος, καθώς και η συνεχιζόμενη αβεβαιότητα που απορρέει από την κρίση χρέους</w:t>
      </w:r>
      <w:r w:rsidRPr="00CF11F4">
        <w:rPr>
          <w:rFonts w:ascii="Tahoma" w:hAnsi="Tahoma" w:cs="Tahoma"/>
          <w:sz w:val="22"/>
          <w:szCs w:val="22"/>
        </w:rPr>
        <w:t xml:space="preserve">. Καταλυτικό ρόλο διαδραμάτισε και η υιοθέτηση πρόσθετων μέτρων δημοσιονομικής λιτότητας από πολλά κράτη-μέλη, καθώς η χρίση χρέους στην ευρωζώνη συνεχίζεται και επιβαρύνει </w:t>
      </w:r>
      <w:r>
        <w:rPr>
          <w:rFonts w:ascii="Tahoma" w:hAnsi="Tahoma" w:cs="Tahoma"/>
          <w:sz w:val="22"/>
          <w:szCs w:val="22"/>
        </w:rPr>
        <w:t>τις</w:t>
      </w:r>
      <w:r w:rsidRPr="00CF11F4">
        <w:rPr>
          <w:rFonts w:ascii="Tahoma" w:hAnsi="Tahoma" w:cs="Tahoma"/>
          <w:sz w:val="22"/>
          <w:szCs w:val="22"/>
        </w:rPr>
        <w:t xml:space="preserve"> βραχυπρόθεσμες αναπτυξιακές προοπτικές. </w:t>
      </w:r>
    </w:p>
    <w:p w:rsidR="0069710F" w:rsidRPr="00A65EB2" w:rsidRDefault="0069710F" w:rsidP="0069710F">
      <w:pPr>
        <w:spacing w:before="240" w:after="240" w:line="312" w:lineRule="auto"/>
        <w:jc w:val="both"/>
        <w:rPr>
          <w:rFonts w:ascii="Tahoma" w:hAnsi="Tahoma" w:cs="Tahoma"/>
          <w:sz w:val="22"/>
          <w:szCs w:val="22"/>
        </w:rPr>
      </w:pPr>
      <w:r w:rsidRPr="00A65EB2">
        <w:rPr>
          <w:rFonts w:ascii="Tahoma" w:hAnsi="Tahoma" w:cs="Tahoma"/>
          <w:sz w:val="22"/>
          <w:szCs w:val="22"/>
        </w:rPr>
        <w:t xml:space="preserve">Οι διαφορές στο επίπεδο πρόσβασης των διαφόρων οικονομιών στο διεθνές εμπόριο και </w:t>
      </w:r>
      <w:r>
        <w:rPr>
          <w:rFonts w:ascii="Tahoma" w:hAnsi="Tahoma" w:cs="Tahoma"/>
          <w:sz w:val="22"/>
          <w:szCs w:val="22"/>
        </w:rPr>
        <w:t>στ</w:t>
      </w:r>
      <w:r w:rsidRPr="00A65EB2">
        <w:rPr>
          <w:rFonts w:ascii="Tahoma" w:hAnsi="Tahoma" w:cs="Tahoma"/>
          <w:sz w:val="22"/>
          <w:szCs w:val="22"/>
        </w:rPr>
        <w:t>η ανταγωνιστική τους θέση</w:t>
      </w:r>
      <w:r>
        <w:rPr>
          <w:rFonts w:ascii="Tahoma" w:hAnsi="Tahoma" w:cs="Tahoma"/>
          <w:sz w:val="22"/>
          <w:szCs w:val="22"/>
        </w:rPr>
        <w:t xml:space="preserve"> παγκοσμίως</w:t>
      </w:r>
      <w:r w:rsidRPr="00A65EB2">
        <w:rPr>
          <w:rFonts w:ascii="Tahoma" w:hAnsi="Tahoma" w:cs="Tahoma"/>
          <w:sz w:val="22"/>
          <w:szCs w:val="22"/>
        </w:rPr>
        <w:t xml:space="preserve">, </w:t>
      </w:r>
      <w:r>
        <w:rPr>
          <w:rFonts w:ascii="Tahoma" w:hAnsi="Tahoma" w:cs="Tahoma"/>
          <w:sz w:val="22"/>
          <w:szCs w:val="22"/>
        </w:rPr>
        <w:t xml:space="preserve">καθώς και </w:t>
      </w:r>
      <w:r w:rsidRPr="00A65EB2">
        <w:rPr>
          <w:rFonts w:ascii="Tahoma" w:hAnsi="Tahoma" w:cs="Tahoma"/>
          <w:sz w:val="22"/>
          <w:szCs w:val="22"/>
        </w:rPr>
        <w:t xml:space="preserve">η διαφορετική κατάσταση των δημοσιών οικονομικών </w:t>
      </w:r>
      <w:r>
        <w:rPr>
          <w:rFonts w:ascii="Tahoma" w:hAnsi="Tahoma" w:cs="Tahoma"/>
          <w:sz w:val="22"/>
          <w:szCs w:val="22"/>
        </w:rPr>
        <w:t xml:space="preserve">των κρατών-μελών ή/και ευρωστία των εγχώριων τραπεζικών συστημάτων, αποτελούν σημαντικούς παράγοντες που συμβάλλουν στις διαφοροποιήσεις και αποκλίσεις στους ρυθμούς ανάπτυξης των διαφόρων χωρών-μελών της ΕΕ. Για παράδειγμα, το 2012 αναμένεται συρρίκνωση σε χώρες όπως η Ελλάδα (-4,3%) και η Πορτογαλία (-3,3%), όταν ορισμένα νέα κράτη-μέλη όπως η Πολωνία και Λιθουανία αναμένεται να καταγράψουν ικανοποιητικούς ρυθμούς ανάπτυξης (+2,5% και +2,3% αντίστοιχα).   </w:t>
      </w:r>
    </w:p>
    <w:p w:rsidR="0069710F" w:rsidRDefault="0069710F" w:rsidP="0069710F">
      <w:pPr>
        <w:spacing w:before="240" w:after="240" w:line="312" w:lineRule="auto"/>
        <w:jc w:val="both"/>
        <w:rPr>
          <w:rFonts w:ascii="Tahoma" w:hAnsi="Tahoma" w:cs="Tahoma"/>
          <w:sz w:val="22"/>
          <w:szCs w:val="22"/>
        </w:rPr>
      </w:pPr>
      <w:r>
        <w:rPr>
          <w:rFonts w:ascii="Tahoma" w:hAnsi="Tahoma" w:cs="Tahoma"/>
          <w:sz w:val="22"/>
          <w:szCs w:val="22"/>
        </w:rPr>
        <w:t xml:space="preserve">Η επιβράδυνση των ρυθμών ανάπτυξης το 2012 αναμένεται να επηρεάσει όλες τις συνιστώσες του ΑΕΠ. Οι </w:t>
      </w:r>
      <w:r w:rsidRPr="00D4029B">
        <w:rPr>
          <w:rFonts w:ascii="Tahoma" w:hAnsi="Tahoma" w:cs="Tahoma"/>
          <w:b/>
          <w:sz w:val="22"/>
          <w:szCs w:val="22"/>
        </w:rPr>
        <w:t>εξαγωγές</w:t>
      </w:r>
      <w:r>
        <w:rPr>
          <w:rFonts w:ascii="Tahoma" w:hAnsi="Tahoma" w:cs="Tahoma"/>
          <w:sz w:val="22"/>
          <w:szCs w:val="22"/>
        </w:rPr>
        <w:t xml:space="preserve">, που αποτέλεσαν τον αναπτυξιακό καταλύτη το 2012, θα μειώσουν τη συμβολή τους στην αύξηση του ΑΕΠ λόγω της μείωσης της δυναμικής του παγκόσμιου εμπορίου. Η σχετικά ισχυρή ανάκαμψη των ευρωπαϊκών εξαγωγών τη διετία 2010-2011 δεν συνοδεύτηκε από μεγάλη αύξηση στις ιδιωτικές επενδύσεις, προκειμένου να </w:t>
      </w:r>
      <w:r>
        <w:rPr>
          <w:rFonts w:ascii="Tahoma" w:hAnsi="Tahoma" w:cs="Tahoma"/>
          <w:sz w:val="22"/>
          <w:szCs w:val="22"/>
        </w:rPr>
        <w:lastRenderedPageBreak/>
        <w:t xml:space="preserve">ενισχυθεί περαιτέρω η ανταγωνιστικότητα των ευρωπαϊκών προϊόντων. </w:t>
      </w:r>
    </w:p>
    <w:p w:rsidR="0069710F" w:rsidRDefault="0069710F" w:rsidP="0069710F">
      <w:pPr>
        <w:spacing w:before="240" w:after="240" w:line="312" w:lineRule="auto"/>
        <w:jc w:val="both"/>
        <w:rPr>
          <w:rFonts w:ascii="Tahoma" w:hAnsi="Tahoma" w:cs="Tahoma"/>
          <w:sz w:val="22"/>
          <w:szCs w:val="22"/>
        </w:rPr>
      </w:pPr>
      <w:r>
        <w:rPr>
          <w:rFonts w:ascii="Tahoma" w:hAnsi="Tahoma" w:cs="Tahoma"/>
          <w:sz w:val="22"/>
          <w:szCs w:val="22"/>
        </w:rPr>
        <w:t>Ο ακαθάριστος σχηματισμός παγίου κεφαλαίου αυξήθηκε με χαμηλούς ρυθμούς το 2011 (+1,9% ετησίως στην ΕΕ-27, +2,0% ετησίως στην Ευρωζώνη), ιδιαίτερα το 2</w:t>
      </w:r>
      <w:r w:rsidRPr="001E6B4F">
        <w:rPr>
          <w:rFonts w:ascii="Tahoma" w:hAnsi="Tahoma" w:cs="Tahoma"/>
          <w:sz w:val="22"/>
          <w:szCs w:val="22"/>
          <w:vertAlign w:val="superscript"/>
        </w:rPr>
        <w:t>ο</w:t>
      </w:r>
      <w:r>
        <w:rPr>
          <w:rFonts w:ascii="Tahoma" w:hAnsi="Tahoma" w:cs="Tahoma"/>
          <w:sz w:val="22"/>
          <w:szCs w:val="22"/>
        </w:rPr>
        <w:t xml:space="preserve"> και 3</w:t>
      </w:r>
      <w:r w:rsidRPr="001E6B4F">
        <w:rPr>
          <w:rFonts w:ascii="Tahoma" w:hAnsi="Tahoma" w:cs="Tahoma"/>
          <w:sz w:val="22"/>
          <w:szCs w:val="22"/>
          <w:vertAlign w:val="superscript"/>
        </w:rPr>
        <w:t>ο</w:t>
      </w:r>
      <w:r>
        <w:rPr>
          <w:rFonts w:ascii="Tahoma" w:hAnsi="Tahoma" w:cs="Tahoma"/>
          <w:sz w:val="22"/>
          <w:szCs w:val="22"/>
        </w:rPr>
        <w:t xml:space="preserve"> τρίμηνο του έτους. Για το 2012, η Ευρωπαϊκή Επιτροπή εκτιμά περαιτέρω επιβράδυνση των ρυθμών αύξησης των </w:t>
      </w:r>
      <w:r w:rsidRPr="00D4029B">
        <w:rPr>
          <w:rFonts w:ascii="Tahoma" w:hAnsi="Tahoma" w:cs="Tahoma"/>
          <w:b/>
          <w:sz w:val="22"/>
          <w:szCs w:val="22"/>
        </w:rPr>
        <w:t>επενδύσεων</w:t>
      </w:r>
      <w:r>
        <w:rPr>
          <w:rFonts w:ascii="Tahoma" w:hAnsi="Tahoma" w:cs="Tahoma"/>
          <w:sz w:val="22"/>
          <w:szCs w:val="22"/>
        </w:rPr>
        <w:t xml:space="preserve"> (+0,8% και +0,5% ετησίως σε ΕΕ-27 και Ευρωζώνη αντίστοιχα), με σαφή εξασθένιση των επενδυτικών κινήτρων από τις εταιρίες λόγω των αδύναμων προοπτικών για το εμπόριο και την εγχώρια ζήτηση. Επιπλέον, τα συμπίεση της εταιρικής κερδοφορίας και τα προβλήματα ρευστότητας του χρηματοπιστωτικού τομέα θα επηρεάσουν αρνητικά τη ροπή προς επενδύσεις.  </w:t>
      </w:r>
    </w:p>
    <w:p w:rsidR="0069710F" w:rsidRDefault="0069710F" w:rsidP="0069710F">
      <w:pPr>
        <w:spacing w:before="240" w:after="240" w:line="312" w:lineRule="auto"/>
        <w:jc w:val="both"/>
        <w:rPr>
          <w:rFonts w:ascii="Tahoma" w:hAnsi="Tahoma" w:cs="Tahoma"/>
          <w:sz w:val="22"/>
          <w:szCs w:val="22"/>
        </w:rPr>
      </w:pPr>
      <w:r>
        <w:rPr>
          <w:rFonts w:ascii="Tahoma" w:hAnsi="Tahoma" w:cs="Tahoma"/>
          <w:sz w:val="22"/>
          <w:szCs w:val="22"/>
        </w:rPr>
        <w:t xml:space="preserve">Η </w:t>
      </w:r>
      <w:r w:rsidRPr="00E660F3">
        <w:rPr>
          <w:rFonts w:ascii="Tahoma" w:hAnsi="Tahoma" w:cs="Tahoma"/>
          <w:b/>
          <w:sz w:val="22"/>
          <w:szCs w:val="22"/>
        </w:rPr>
        <w:t>κατανάλωση</w:t>
      </w:r>
      <w:r>
        <w:rPr>
          <w:rFonts w:ascii="Tahoma" w:hAnsi="Tahoma" w:cs="Tahoma"/>
          <w:sz w:val="22"/>
          <w:szCs w:val="22"/>
        </w:rPr>
        <w:t xml:space="preserve"> κινήθηκε σε μέτρια επίπεδα το 2011 (+0,4% ετησίως στην ΕΕ-27 και +0,5% στην Ευρωζώνη), παρά τη μικρή ανάκαμψη της ιδιωτικής κατανάλωσης το γ’ τρίμηνο του έτους. Οι αδύναμες προοπτικές της αγοράς εργασίας, η υποτονική καταναλωτική εμπιστοσύνη, η συνεχιζόμενη απομόχλευση του ιδιωτικού τομέα σε πολλά κράτη-μέλη και η αρνητική επίπτωση των μέτρων δημοσιονομικής λιτότητας, αναμένεται να έχουν ως αποτέλεσμα την οριακή μόνο αύξηση της κατανάλωσης στο τρέχον έτος, κατά 0,4% σε αμφότερες ΕΕ-27 και Ευρωζώνη.     </w:t>
      </w:r>
    </w:p>
    <w:p w:rsidR="0069710F" w:rsidRPr="00824B57" w:rsidRDefault="0069710F" w:rsidP="0069710F">
      <w:pPr>
        <w:spacing w:before="240" w:after="240" w:line="312" w:lineRule="auto"/>
        <w:jc w:val="both"/>
        <w:rPr>
          <w:rFonts w:ascii="Tahoma" w:hAnsi="Tahoma" w:cs="Tahoma"/>
          <w:sz w:val="22"/>
          <w:szCs w:val="22"/>
        </w:rPr>
      </w:pPr>
      <w:r w:rsidRPr="00CF11F4">
        <w:rPr>
          <w:rFonts w:ascii="Tahoma" w:hAnsi="Tahoma" w:cs="Tahoma"/>
          <w:sz w:val="22"/>
          <w:szCs w:val="22"/>
        </w:rPr>
        <w:t xml:space="preserve">Αναφορικά με τις εξελίξεις στον </w:t>
      </w:r>
      <w:r w:rsidRPr="0095141C">
        <w:rPr>
          <w:rFonts w:ascii="Tahoma" w:hAnsi="Tahoma" w:cs="Tahoma"/>
          <w:b/>
          <w:sz w:val="22"/>
          <w:szCs w:val="22"/>
        </w:rPr>
        <w:t>χρηματοπιστωτικό τομέα</w:t>
      </w:r>
      <w:r w:rsidRPr="00CF11F4">
        <w:rPr>
          <w:rFonts w:ascii="Tahoma" w:hAnsi="Tahoma" w:cs="Tahoma"/>
          <w:sz w:val="22"/>
          <w:szCs w:val="22"/>
        </w:rPr>
        <w:t xml:space="preserve">, εντείνονται οι ενδείξεις για περαιτέρω επιβράδυνση της πιστωτικής επέκτασης, χωρίς ωστόσο να απειλείται η </w:t>
      </w:r>
      <w:r>
        <w:rPr>
          <w:rFonts w:ascii="Tahoma" w:hAnsi="Tahoma" w:cs="Tahoma"/>
          <w:sz w:val="22"/>
          <w:szCs w:val="22"/>
        </w:rPr>
        <w:t>ΕΕ</w:t>
      </w:r>
      <w:r w:rsidRPr="00CF11F4">
        <w:rPr>
          <w:rFonts w:ascii="Tahoma" w:hAnsi="Tahoma" w:cs="Tahoma"/>
          <w:sz w:val="22"/>
          <w:szCs w:val="22"/>
        </w:rPr>
        <w:t xml:space="preserve"> με πιστωτική ασφυξία. Σημαντικό ρόλο έπαιξαν οι παρεμβάσεις της ΕΚΤ τελευταία</w:t>
      </w:r>
      <w:r>
        <w:rPr>
          <w:rFonts w:ascii="Tahoma" w:hAnsi="Tahoma" w:cs="Tahoma"/>
          <w:sz w:val="22"/>
          <w:szCs w:val="22"/>
        </w:rPr>
        <w:t>,</w:t>
      </w:r>
      <w:r w:rsidRPr="00CF11F4">
        <w:rPr>
          <w:rFonts w:ascii="Tahoma" w:hAnsi="Tahoma" w:cs="Tahoma"/>
          <w:sz w:val="22"/>
          <w:szCs w:val="22"/>
        </w:rPr>
        <w:t xml:space="preserve"> με την παροχή ρευστότητας </w:t>
      </w:r>
      <w:r w:rsidRPr="00CF11F4">
        <w:rPr>
          <w:rFonts w:ascii="Tahoma" w:hAnsi="Tahoma" w:cs="Tahoma"/>
          <w:sz w:val="22"/>
          <w:szCs w:val="22"/>
        </w:rPr>
        <w:lastRenderedPageBreak/>
        <w:t>στο σύστημα και τη διεύρυνση των επιλέξιμων εγγυήσεων, βελτιώνοντας τη διάθεση για ρίσκο. Ως εκ τούτου, οι χρηματαγορές δείχνουν σημάδια σταθεροποίησης, αποσυμπιέζοντας το κόστος δανεισμού στα κρατικά ομόλογα των χωρών-μελών. Παρά το γεγονός ότι η προσφορά πιστώσεων και η επέκταση των χορηγήσεων παρουσιάζουν μεγάλες διαφοροποιήσεις μεταξύ των χωρών</w:t>
      </w:r>
      <w:r>
        <w:rPr>
          <w:rFonts w:ascii="Tahoma" w:hAnsi="Tahoma" w:cs="Tahoma"/>
          <w:sz w:val="22"/>
          <w:szCs w:val="22"/>
        </w:rPr>
        <w:t>-</w:t>
      </w:r>
      <w:r w:rsidRPr="00CF11F4">
        <w:rPr>
          <w:rFonts w:ascii="Tahoma" w:hAnsi="Tahoma" w:cs="Tahoma"/>
          <w:sz w:val="22"/>
          <w:szCs w:val="22"/>
        </w:rPr>
        <w:t xml:space="preserve">μελών, οι πιέσεις που ασκούνται στις πιστωτικές συνθήκες δεν αναμένεται να επηρεάσουν σημαντικά τις επενδύσεις και την κατανάλωση, </w:t>
      </w:r>
      <w:r>
        <w:rPr>
          <w:rFonts w:ascii="Tahoma" w:hAnsi="Tahoma" w:cs="Tahoma"/>
          <w:sz w:val="22"/>
          <w:szCs w:val="22"/>
        </w:rPr>
        <w:t>καθώς και</w:t>
      </w:r>
      <w:r w:rsidRPr="00CF11F4">
        <w:rPr>
          <w:rFonts w:ascii="Tahoma" w:hAnsi="Tahoma" w:cs="Tahoma"/>
          <w:sz w:val="22"/>
          <w:szCs w:val="22"/>
        </w:rPr>
        <w:t xml:space="preserve"> η ζήτησ πιστώσε</w:t>
      </w:r>
      <w:r>
        <w:rPr>
          <w:rFonts w:ascii="Tahoma" w:hAnsi="Tahoma" w:cs="Tahoma"/>
          <w:sz w:val="22"/>
          <w:szCs w:val="22"/>
        </w:rPr>
        <w:t>ων</w:t>
      </w:r>
      <w:r w:rsidRPr="00CF11F4">
        <w:rPr>
          <w:rFonts w:ascii="Tahoma" w:hAnsi="Tahoma" w:cs="Tahoma"/>
          <w:sz w:val="22"/>
          <w:szCs w:val="22"/>
        </w:rPr>
        <w:t xml:space="preserve"> παραμένει χαμηλή. Επίσης, παρά τις αρχικές ανησυχίες, η ανακεφαλαιοποίηση των ευρωπαϊκών τραπεζών συνεχίζεται κανονικά.</w:t>
      </w:r>
      <w:r w:rsidR="00824B57" w:rsidRPr="00824B57">
        <w:rPr>
          <w:rFonts w:ascii="Tahoma" w:hAnsi="Tahoma" w:cs="Tahoma"/>
          <w:sz w:val="22"/>
          <w:szCs w:val="22"/>
        </w:rPr>
        <w:t xml:space="preserve"> </w:t>
      </w:r>
      <w:r w:rsidR="00824B57">
        <w:rPr>
          <w:rFonts w:ascii="Tahoma" w:hAnsi="Tahoma" w:cs="Tahoma"/>
          <w:sz w:val="22"/>
          <w:szCs w:val="22"/>
        </w:rPr>
        <w:t xml:space="preserve">Στο πεδίο της αγοράς εργασίας, το δ’ τρίμηνο του 2011 η μεταβολή της απασχόλησης ήταν αρνητική (-0,1% σε ΕΕ-27 και Ευρωζώνη), για πρώτη φορά από την άνοιξη του 2010. Παρά το γεγονός ότι η μείωση ήταν σχετικά μικρή, αποτελεί ένδειξη ότι η βελτίωση της δυναμικής της απασχόλησης σε ορισμένα κράτη-μέλη δεν μπορεί πλέον να αντισταθμίσει την επιδείνωση της ανεργίας σε χώρες που αντιμετωπίζουν μεγάλες διαρθρωτικές προσαρμογές. Το ποσοστό </w:t>
      </w:r>
      <w:r w:rsidR="00824B57" w:rsidRPr="009D4F49">
        <w:rPr>
          <w:rFonts w:ascii="Tahoma" w:hAnsi="Tahoma" w:cs="Tahoma"/>
          <w:b/>
          <w:sz w:val="22"/>
          <w:szCs w:val="22"/>
        </w:rPr>
        <w:t>ανεργίας</w:t>
      </w:r>
      <w:r w:rsidR="00824B57">
        <w:rPr>
          <w:rFonts w:ascii="Tahoma" w:hAnsi="Tahoma" w:cs="Tahoma"/>
          <w:sz w:val="22"/>
          <w:szCs w:val="22"/>
        </w:rPr>
        <w:t xml:space="preserve"> τον Δεκέμβριο 2011 διαμορφώθηκε στο 10,4% στην Ευρωζώνη (9,9% στην ΕΕ-27). Οι μεγαλύτερες αυξήσεις στην ανεργία προήλθαν από χώρες που βρίσκονται σε διαδικασία μακροοικονομικής προσαρμογής, με το 95% αυτής της αύξησης να οφείλεται στα αποτελέσματα στην Ελλάδα, στην Πορτογαλία και στην Ισπανία. Για το 2012, η επιδείνωση των οικονομικών προοπτικών αναμένεται να αφήσει το αποτύπωμά της και στην αγορά εργασίας, με τα ποσοστά ανεργίας να αυξάνονται τόσο σε ΕΕ-27 (9,8%) όσο και στην Ευρωζώνη (10,1%), </w:t>
      </w:r>
      <w:r w:rsidR="00824B57">
        <w:rPr>
          <w:rFonts w:ascii="Tahoma" w:hAnsi="Tahoma" w:cs="Tahoma"/>
          <w:sz w:val="22"/>
          <w:szCs w:val="22"/>
        </w:rPr>
        <w:lastRenderedPageBreak/>
        <w:t xml:space="preserve">λαμβάνοντας υπόψη και το ότι οι εξελίξεις σε επίπεδο απασχόλησης έπονται της </w:t>
      </w:r>
      <w:r w:rsidR="00824B57">
        <w:rPr>
          <w:rFonts w:ascii="Tahoma" w:hAnsi="Tahoma" w:cs="Tahoma"/>
          <w:sz w:val="22"/>
          <w:szCs w:val="22"/>
        </w:rPr>
        <w:lastRenderedPageBreak/>
        <w:t>πορείας του ΑΕΠ με μια χρονική υστέρηση από 2 έως 4 τρίμηνα.</w:t>
      </w:r>
    </w:p>
    <w:p w:rsidR="0069710F" w:rsidRDefault="0069710F" w:rsidP="0069710F">
      <w:pPr>
        <w:spacing w:before="240" w:after="240" w:line="312" w:lineRule="auto"/>
        <w:jc w:val="both"/>
        <w:rPr>
          <w:rFonts w:ascii="Tahoma" w:hAnsi="Tahoma" w:cs="Tahoma"/>
          <w:sz w:val="22"/>
          <w:szCs w:val="22"/>
        </w:rPr>
        <w:sectPr w:rsidR="0069710F" w:rsidSect="0069710F">
          <w:type w:val="continuous"/>
          <w:pgSz w:w="11906" w:h="16838" w:code="9"/>
          <w:pgMar w:top="1079" w:right="1106" w:bottom="719" w:left="1440" w:header="720" w:footer="720" w:gutter="0"/>
          <w:paperSrc w:first="15" w:other="15"/>
          <w:cols w:num="2" w:space="720"/>
        </w:sectPr>
      </w:pPr>
    </w:p>
    <w:p w:rsidR="0069710F" w:rsidRDefault="0069710F" w:rsidP="0069710F">
      <w:pPr>
        <w:spacing w:before="240" w:after="240" w:line="312" w:lineRule="auto"/>
        <w:jc w:val="both"/>
        <w:rPr>
          <w:rFonts w:ascii="Tahoma" w:hAnsi="Tahoma" w:cs="Tahoma"/>
          <w:sz w:val="22"/>
          <w:szCs w:val="22"/>
        </w:rPr>
        <w:sectPr w:rsidR="0069710F" w:rsidSect="0069710F">
          <w:type w:val="continuous"/>
          <w:pgSz w:w="11906" w:h="16838" w:code="9"/>
          <w:pgMar w:top="1079" w:right="1106" w:bottom="719" w:left="1440" w:header="720" w:footer="720" w:gutter="0"/>
          <w:paperSrc w:first="15" w:other="15"/>
          <w:cols w:space="720"/>
        </w:sectPr>
      </w:pPr>
      <w:r w:rsidRPr="00CF11F4">
        <w:rPr>
          <w:rFonts w:ascii="Tahoma" w:hAnsi="Tahoma" w:cs="Tahoma"/>
          <w:sz w:val="22"/>
          <w:szCs w:val="22"/>
        </w:rPr>
        <w:lastRenderedPageBreak/>
        <w:t xml:space="preserve"> </w:t>
      </w:r>
    </w:p>
    <w:p w:rsidR="0069710F" w:rsidRPr="00824B57" w:rsidRDefault="0069710F" w:rsidP="00824B57">
      <w:pPr>
        <w:spacing w:before="120" w:after="120" w:line="312" w:lineRule="auto"/>
        <w:jc w:val="center"/>
        <w:rPr>
          <w:rFonts w:ascii="Tahoma" w:hAnsi="Tahoma" w:cs="Tahoma"/>
          <w:b/>
        </w:rPr>
      </w:pPr>
      <w:r>
        <w:rPr>
          <w:rFonts w:ascii="Tahoma" w:hAnsi="Tahoma" w:cs="Tahoma"/>
          <w:sz w:val="22"/>
          <w:szCs w:val="22"/>
        </w:rPr>
        <w:lastRenderedPageBreak/>
        <w:br w:type="column"/>
      </w:r>
      <w:r w:rsidRPr="00824B57">
        <w:rPr>
          <w:rFonts w:ascii="Tahoma" w:hAnsi="Tahoma" w:cs="Tahoma"/>
          <w:b/>
        </w:rPr>
        <w:lastRenderedPageBreak/>
        <w:t>Πίνακας 2.4</w:t>
      </w:r>
    </w:p>
    <w:p w:rsidR="0069710F" w:rsidRPr="00BA14B9" w:rsidRDefault="0069710F" w:rsidP="0069710F">
      <w:pPr>
        <w:pStyle w:val="new4"/>
        <w:rPr>
          <w:b w:val="0"/>
        </w:rPr>
      </w:pPr>
      <w:bookmarkStart w:id="81" w:name="_Toc193883087"/>
      <w:r w:rsidRPr="00BA14B9">
        <w:rPr>
          <w:b w:val="0"/>
        </w:rPr>
        <w:t>Βασικά Μακροοικονομικά Μεγέθη, ΕΕ27, Ευρωζώνη (ετήσιες % μεταβολές)</w:t>
      </w:r>
      <w:bookmarkEnd w:id="81"/>
    </w:p>
    <w:tbl>
      <w:tblPr>
        <w:tblW w:w="9560" w:type="dxa"/>
        <w:tblInd w:w="-345" w:type="dxa"/>
        <w:tblCellMar>
          <w:left w:w="0" w:type="dxa"/>
          <w:right w:w="0" w:type="dxa"/>
        </w:tblCellMar>
        <w:tblLook w:val="0000"/>
      </w:tblPr>
      <w:tblGrid>
        <w:gridCol w:w="3800"/>
        <w:gridCol w:w="960"/>
        <w:gridCol w:w="960"/>
        <w:gridCol w:w="960"/>
        <w:gridCol w:w="944"/>
        <w:gridCol w:w="944"/>
        <w:gridCol w:w="992"/>
      </w:tblGrid>
      <w:tr w:rsidR="0069710F" w:rsidRPr="00BA14B9" w:rsidTr="0069710F">
        <w:trPr>
          <w:trHeight w:val="255"/>
        </w:trPr>
        <w:tc>
          <w:tcPr>
            <w:tcW w:w="3800" w:type="dxa"/>
            <w:tcBorders>
              <w:top w:val="single" w:sz="12" w:space="0" w:color="008000"/>
              <w:left w:val="single" w:sz="4" w:space="0" w:color="auto"/>
              <w:bottom w:val="single" w:sz="4" w:space="0" w:color="auto"/>
              <w:right w:val="nil"/>
            </w:tcBorders>
            <w:noWrap/>
            <w:tcMar>
              <w:top w:w="15" w:type="dxa"/>
              <w:left w:w="15" w:type="dxa"/>
              <w:bottom w:w="0" w:type="dxa"/>
              <w:right w:w="15" w:type="dxa"/>
            </w:tcMar>
            <w:vAlign w:val="bottom"/>
          </w:tcPr>
          <w:p w:rsidR="0069710F" w:rsidRPr="00BA14B9" w:rsidRDefault="0069710F" w:rsidP="0069710F">
            <w:pPr>
              <w:spacing w:before="20" w:after="20"/>
              <w:rPr>
                <w:b/>
                <w:sz w:val="22"/>
                <w:szCs w:val="22"/>
              </w:rPr>
            </w:pPr>
            <w:r w:rsidRPr="00BA14B9">
              <w:rPr>
                <w:b/>
                <w:sz w:val="22"/>
                <w:szCs w:val="22"/>
                <w:lang w:val="en-US"/>
              </w:rPr>
              <w:t> </w:t>
            </w:r>
          </w:p>
        </w:tc>
        <w:tc>
          <w:tcPr>
            <w:tcW w:w="2880" w:type="dxa"/>
            <w:gridSpan w:val="3"/>
            <w:tcBorders>
              <w:top w:val="single" w:sz="12" w:space="0" w:color="008000"/>
              <w:left w:val="single" w:sz="4" w:space="0" w:color="auto"/>
              <w:bottom w:val="single" w:sz="4" w:space="0" w:color="auto"/>
              <w:right w:val="single" w:sz="4" w:space="0" w:color="000000"/>
            </w:tcBorders>
            <w:noWrap/>
            <w:tcMar>
              <w:top w:w="15" w:type="dxa"/>
              <w:left w:w="15" w:type="dxa"/>
              <w:bottom w:w="0" w:type="dxa"/>
              <w:right w:w="15" w:type="dxa"/>
            </w:tcMar>
            <w:vAlign w:val="bottom"/>
          </w:tcPr>
          <w:p w:rsidR="0069710F" w:rsidRPr="00BA14B9" w:rsidRDefault="0069710F" w:rsidP="0069710F">
            <w:pPr>
              <w:spacing w:before="20" w:after="20"/>
              <w:jc w:val="center"/>
              <w:rPr>
                <w:rFonts w:ascii="Tahoma" w:hAnsi="Tahoma" w:cs="Tahoma"/>
                <w:b/>
              </w:rPr>
            </w:pPr>
            <w:r w:rsidRPr="00BA14B9">
              <w:rPr>
                <w:rFonts w:ascii="Tahoma" w:hAnsi="Tahoma" w:cs="Tahoma"/>
                <w:b/>
              </w:rPr>
              <w:t>ΕΕ-27</w:t>
            </w:r>
          </w:p>
        </w:tc>
        <w:tc>
          <w:tcPr>
            <w:tcW w:w="2880" w:type="dxa"/>
            <w:gridSpan w:val="3"/>
            <w:tcBorders>
              <w:top w:val="single" w:sz="12" w:space="0" w:color="008000"/>
              <w:left w:val="nil"/>
              <w:bottom w:val="single" w:sz="4" w:space="0" w:color="auto"/>
              <w:right w:val="single" w:sz="4" w:space="0" w:color="auto"/>
            </w:tcBorders>
            <w:noWrap/>
            <w:tcMar>
              <w:top w:w="15" w:type="dxa"/>
              <w:left w:w="15" w:type="dxa"/>
              <w:bottom w:w="0" w:type="dxa"/>
              <w:right w:w="15" w:type="dxa"/>
            </w:tcMar>
            <w:vAlign w:val="bottom"/>
          </w:tcPr>
          <w:p w:rsidR="0069710F" w:rsidRPr="00BA14B9" w:rsidRDefault="0069710F" w:rsidP="0069710F">
            <w:pPr>
              <w:spacing w:before="20" w:after="20"/>
              <w:jc w:val="center"/>
              <w:rPr>
                <w:rFonts w:ascii="Tahoma" w:hAnsi="Tahoma" w:cs="Tahoma"/>
                <w:b/>
              </w:rPr>
            </w:pPr>
            <w:r w:rsidRPr="00BA14B9">
              <w:rPr>
                <w:rFonts w:ascii="Tahoma" w:hAnsi="Tahoma" w:cs="Tahoma"/>
                <w:b/>
              </w:rPr>
              <w:t>Ευρωζώνη</w:t>
            </w:r>
          </w:p>
        </w:tc>
      </w:tr>
      <w:tr w:rsidR="0069710F" w:rsidRPr="00BA14B9" w:rsidTr="0069710F">
        <w:trPr>
          <w:trHeight w:val="255"/>
        </w:trPr>
        <w:tc>
          <w:tcPr>
            <w:tcW w:w="3800" w:type="dxa"/>
            <w:tcBorders>
              <w:top w:val="nil"/>
              <w:left w:val="single" w:sz="4" w:space="0" w:color="auto"/>
              <w:bottom w:val="single" w:sz="4" w:space="0" w:color="auto"/>
              <w:right w:val="nil"/>
            </w:tcBorders>
            <w:noWrap/>
            <w:tcMar>
              <w:top w:w="15" w:type="dxa"/>
              <w:left w:w="15" w:type="dxa"/>
              <w:bottom w:w="0" w:type="dxa"/>
              <w:right w:w="15" w:type="dxa"/>
            </w:tcMar>
            <w:vAlign w:val="bottom"/>
          </w:tcPr>
          <w:p w:rsidR="0069710F" w:rsidRPr="00BA14B9" w:rsidRDefault="0069710F" w:rsidP="0069710F">
            <w:pPr>
              <w:spacing w:before="20" w:after="20"/>
              <w:rPr>
                <w:sz w:val="22"/>
                <w:szCs w:val="22"/>
              </w:rPr>
            </w:pP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center"/>
          </w:tcPr>
          <w:p w:rsidR="0069710F" w:rsidRPr="00BA14B9" w:rsidRDefault="0069710F" w:rsidP="0069710F">
            <w:pPr>
              <w:spacing w:before="20" w:after="20"/>
              <w:jc w:val="center"/>
              <w:rPr>
                <w:rFonts w:ascii="Tahoma" w:hAnsi="Tahoma" w:cs="Tahoma"/>
                <w:lang w:val="en-US"/>
              </w:rPr>
            </w:pPr>
            <w:r w:rsidRPr="00BA14B9">
              <w:rPr>
                <w:rFonts w:ascii="Tahoma" w:hAnsi="Tahoma" w:cs="Tahoma"/>
                <w:lang w:val="en-US"/>
              </w:rPr>
              <w:t>2010</w:t>
            </w:r>
          </w:p>
        </w:tc>
        <w:tc>
          <w:tcPr>
            <w:tcW w:w="0" w:type="auto"/>
            <w:tcBorders>
              <w:top w:val="nil"/>
              <w:left w:val="nil"/>
              <w:bottom w:val="single" w:sz="4" w:space="0" w:color="auto"/>
              <w:right w:val="nil"/>
            </w:tcBorders>
            <w:noWrap/>
            <w:tcMar>
              <w:top w:w="15" w:type="dxa"/>
              <w:left w:w="15" w:type="dxa"/>
              <w:bottom w:w="0" w:type="dxa"/>
              <w:right w:w="15" w:type="dxa"/>
            </w:tcMar>
            <w:vAlign w:val="center"/>
          </w:tcPr>
          <w:p w:rsidR="0069710F" w:rsidRPr="00BA14B9" w:rsidRDefault="0069710F" w:rsidP="0069710F">
            <w:pPr>
              <w:spacing w:before="20" w:after="20"/>
              <w:jc w:val="center"/>
              <w:rPr>
                <w:rFonts w:ascii="Tahoma" w:hAnsi="Tahoma" w:cs="Tahoma"/>
                <w:lang w:val="en-US"/>
              </w:rPr>
            </w:pPr>
            <w:r w:rsidRPr="00BA14B9">
              <w:rPr>
                <w:rFonts w:ascii="Tahoma" w:hAnsi="Tahoma" w:cs="Tahoma"/>
                <w:lang w:val="en-US"/>
              </w:rPr>
              <w:t>2011</w:t>
            </w:r>
          </w:p>
        </w:tc>
        <w:tc>
          <w:tcPr>
            <w:tcW w:w="0" w:type="auto"/>
            <w:tcBorders>
              <w:top w:val="nil"/>
              <w:left w:val="nil"/>
              <w:bottom w:val="single" w:sz="4" w:space="0" w:color="auto"/>
              <w:right w:val="nil"/>
            </w:tcBorders>
            <w:noWrap/>
            <w:tcMar>
              <w:top w:w="15" w:type="dxa"/>
              <w:left w:w="15" w:type="dxa"/>
              <w:bottom w:w="0" w:type="dxa"/>
              <w:right w:w="15" w:type="dxa"/>
            </w:tcMar>
            <w:vAlign w:val="center"/>
          </w:tcPr>
          <w:p w:rsidR="0069710F" w:rsidRPr="00BA14B9" w:rsidRDefault="0069710F" w:rsidP="0069710F">
            <w:pPr>
              <w:spacing w:before="20" w:after="20"/>
              <w:jc w:val="center"/>
              <w:rPr>
                <w:rFonts w:ascii="Tahoma" w:hAnsi="Tahoma" w:cs="Tahoma"/>
                <w:lang w:val="en-US"/>
              </w:rPr>
            </w:pPr>
            <w:r w:rsidRPr="00BA14B9">
              <w:rPr>
                <w:rFonts w:ascii="Tahoma" w:hAnsi="Tahoma" w:cs="Tahoma"/>
                <w:lang w:val="en-US"/>
              </w:rPr>
              <w:t>2012</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center"/>
          </w:tcPr>
          <w:p w:rsidR="0069710F" w:rsidRPr="00BA14B9" w:rsidRDefault="0069710F" w:rsidP="0069710F">
            <w:pPr>
              <w:spacing w:before="20" w:after="20"/>
              <w:jc w:val="center"/>
              <w:rPr>
                <w:rFonts w:ascii="Tahoma" w:hAnsi="Tahoma" w:cs="Tahoma"/>
              </w:rPr>
            </w:pPr>
            <w:r w:rsidRPr="00BA14B9">
              <w:rPr>
                <w:rFonts w:ascii="Tahoma" w:hAnsi="Tahoma" w:cs="Tahoma"/>
                <w:lang w:val="en-US"/>
              </w:rPr>
              <w:t>2010</w:t>
            </w:r>
          </w:p>
        </w:tc>
        <w:tc>
          <w:tcPr>
            <w:tcW w:w="0" w:type="auto"/>
            <w:tcBorders>
              <w:top w:val="nil"/>
              <w:left w:val="nil"/>
              <w:bottom w:val="single" w:sz="4" w:space="0" w:color="auto"/>
              <w:right w:val="nil"/>
            </w:tcBorders>
            <w:noWrap/>
            <w:tcMar>
              <w:top w:w="15" w:type="dxa"/>
              <w:left w:w="15" w:type="dxa"/>
              <w:bottom w:w="0" w:type="dxa"/>
              <w:right w:w="15" w:type="dxa"/>
            </w:tcMar>
            <w:vAlign w:val="center"/>
          </w:tcPr>
          <w:p w:rsidR="0069710F" w:rsidRPr="00BA14B9" w:rsidRDefault="0069710F" w:rsidP="0069710F">
            <w:pPr>
              <w:spacing w:before="20" w:after="20"/>
              <w:jc w:val="center"/>
              <w:rPr>
                <w:rFonts w:ascii="Tahoma" w:hAnsi="Tahoma" w:cs="Tahoma"/>
              </w:rPr>
            </w:pPr>
            <w:r w:rsidRPr="00BA14B9">
              <w:rPr>
                <w:rFonts w:ascii="Tahoma" w:hAnsi="Tahoma" w:cs="Tahoma"/>
                <w:lang w:val="en-US"/>
              </w:rPr>
              <w:t>2011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69710F" w:rsidRPr="00BA14B9" w:rsidRDefault="0069710F" w:rsidP="0069710F">
            <w:pPr>
              <w:spacing w:before="20" w:after="20"/>
              <w:jc w:val="center"/>
              <w:rPr>
                <w:rFonts w:ascii="Tahoma" w:hAnsi="Tahoma" w:cs="Tahoma"/>
              </w:rPr>
            </w:pPr>
            <w:r w:rsidRPr="00BA14B9">
              <w:rPr>
                <w:rFonts w:ascii="Tahoma" w:hAnsi="Tahoma" w:cs="Tahoma"/>
                <w:lang w:val="en-US"/>
              </w:rPr>
              <w:t>2012</w:t>
            </w:r>
          </w:p>
        </w:tc>
      </w:tr>
      <w:tr w:rsidR="0069710F" w:rsidRPr="00BA14B9" w:rsidTr="0069710F">
        <w:trPr>
          <w:trHeight w:val="255"/>
        </w:trPr>
        <w:tc>
          <w:tcPr>
            <w:tcW w:w="3800" w:type="dxa"/>
            <w:tcBorders>
              <w:top w:val="nil"/>
              <w:left w:val="single" w:sz="4" w:space="0" w:color="auto"/>
              <w:bottom w:val="nil"/>
              <w:right w:val="nil"/>
            </w:tcBorders>
            <w:noWrap/>
            <w:tcMar>
              <w:top w:w="15" w:type="dxa"/>
              <w:left w:w="15" w:type="dxa"/>
              <w:bottom w:w="0" w:type="dxa"/>
              <w:right w:w="15" w:type="dxa"/>
            </w:tcMar>
            <w:vAlign w:val="bottom"/>
          </w:tcPr>
          <w:p w:rsidR="0069710F" w:rsidRPr="00BA14B9" w:rsidRDefault="0069710F" w:rsidP="0069710F">
            <w:pPr>
              <w:spacing w:before="20" w:after="20"/>
              <w:ind w:firstLine="180"/>
              <w:rPr>
                <w:rFonts w:ascii="Tahoma" w:hAnsi="Tahoma" w:cs="Tahoma"/>
              </w:rPr>
            </w:pPr>
            <w:r w:rsidRPr="00BA14B9">
              <w:rPr>
                <w:rFonts w:ascii="Tahoma" w:hAnsi="Tahoma" w:cs="Tahoma"/>
              </w:rPr>
              <w:t>ΑΕΠ</w:t>
            </w:r>
          </w:p>
        </w:tc>
        <w:tc>
          <w:tcPr>
            <w:tcW w:w="0" w:type="auto"/>
            <w:tcBorders>
              <w:top w:val="nil"/>
              <w:left w:val="single" w:sz="4" w:space="0" w:color="auto"/>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lang w:val="en-US"/>
              </w:rPr>
            </w:pPr>
            <w:r w:rsidRPr="00BA14B9">
              <w:rPr>
                <w:rFonts w:ascii="Tahoma" w:hAnsi="Tahoma" w:cs="Tahoma"/>
              </w:rPr>
              <w:t>2,0</w:t>
            </w:r>
          </w:p>
        </w:tc>
        <w:tc>
          <w:tcPr>
            <w:tcW w:w="0" w:type="auto"/>
            <w:tcBorders>
              <w:top w:val="nil"/>
              <w:left w:val="nil"/>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1,5</w:t>
            </w:r>
          </w:p>
        </w:tc>
        <w:tc>
          <w:tcPr>
            <w:tcW w:w="0" w:type="auto"/>
            <w:tcBorders>
              <w:top w:val="nil"/>
              <w:left w:val="nil"/>
              <w:bottom w:val="nil"/>
              <w:right w:val="nil"/>
            </w:tcBorders>
            <w:noWrap/>
            <w:tcMar>
              <w:top w:w="15" w:type="dxa"/>
              <w:left w:w="15" w:type="dxa"/>
              <w:bottom w:w="0" w:type="dxa"/>
              <w:right w:w="15" w:type="dxa"/>
            </w:tcMar>
            <w:vAlign w:val="center"/>
          </w:tcPr>
          <w:p w:rsidR="0069710F" w:rsidRPr="00BB3DBE" w:rsidRDefault="0069710F" w:rsidP="0069710F">
            <w:pPr>
              <w:jc w:val="center"/>
              <w:rPr>
                <w:rFonts w:ascii="Tahoma" w:hAnsi="Tahoma" w:cs="Tahoma"/>
                <w:lang w:val="en-US"/>
              </w:rPr>
            </w:pPr>
            <w:r w:rsidRPr="00BA14B9">
              <w:rPr>
                <w:rFonts w:ascii="Tahoma" w:hAnsi="Tahoma" w:cs="Tahoma"/>
              </w:rPr>
              <w:t>0,0</w:t>
            </w:r>
            <w:r>
              <w:rPr>
                <w:rFonts w:ascii="Tahoma" w:hAnsi="Tahoma" w:cs="Tahoma"/>
                <w:lang w:val="en-US"/>
              </w:rPr>
              <w:t>*</w:t>
            </w:r>
          </w:p>
        </w:tc>
        <w:tc>
          <w:tcPr>
            <w:tcW w:w="0" w:type="auto"/>
            <w:tcBorders>
              <w:top w:val="nil"/>
              <w:left w:val="single" w:sz="4" w:space="0" w:color="auto"/>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lang w:val="en-US"/>
              </w:rPr>
            </w:pPr>
            <w:r w:rsidRPr="00BA14B9">
              <w:rPr>
                <w:rFonts w:ascii="Tahoma" w:hAnsi="Tahoma" w:cs="Tahoma"/>
              </w:rPr>
              <w:t>1,9</w:t>
            </w:r>
          </w:p>
        </w:tc>
        <w:tc>
          <w:tcPr>
            <w:tcW w:w="0" w:type="auto"/>
            <w:tcBorders>
              <w:top w:val="nil"/>
              <w:left w:val="nil"/>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lang w:val="en-US"/>
              </w:rPr>
            </w:pPr>
            <w:r w:rsidRPr="00BA14B9">
              <w:rPr>
                <w:rFonts w:ascii="Tahoma" w:hAnsi="Tahoma" w:cs="Tahoma"/>
              </w:rPr>
              <w:t>1,4</w:t>
            </w:r>
          </w:p>
        </w:tc>
        <w:tc>
          <w:tcPr>
            <w:tcW w:w="0" w:type="auto"/>
            <w:tcBorders>
              <w:top w:val="nil"/>
              <w:left w:val="nil"/>
              <w:bottom w:val="nil"/>
              <w:right w:val="single" w:sz="4" w:space="0" w:color="auto"/>
            </w:tcBorders>
            <w:noWrap/>
            <w:tcMar>
              <w:top w:w="15" w:type="dxa"/>
              <w:left w:w="15" w:type="dxa"/>
              <w:bottom w:w="0" w:type="dxa"/>
              <w:right w:w="15" w:type="dxa"/>
            </w:tcMar>
            <w:vAlign w:val="center"/>
          </w:tcPr>
          <w:p w:rsidR="0069710F" w:rsidRPr="00BB3DBE" w:rsidRDefault="0069710F" w:rsidP="0069710F">
            <w:pPr>
              <w:jc w:val="center"/>
              <w:rPr>
                <w:rFonts w:ascii="Tahoma" w:hAnsi="Tahoma" w:cs="Tahoma"/>
                <w:lang w:val="en-US"/>
              </w:rPr>
            </w:pPr>
            <w:r w:rsidRPr="00BA14B9">
              <w:rPr>
                <w:rFonts w:ascii="Tahoma" w:hAnsi="Tahoma" w:cs="Tahoma"/>
              </w:rPr>
              <w:t>-0,3</w:t>
            </w:r>
            <w:r>
              <w:rPr>
                <w:rFonts w:ascii="Tahoma" w:hAnsi="Tahoma" w:cs="Tahoma"/>
                <w:lang w:val="en-US"/>
              </w:rPr>
              <w:t>*</w:t>
            </w:r>
          </w:p>
        </w:tc>
      </w:tr>
      <w:tr w:rsidR="0069710F" w:rsidRPr="00BA14B9" w:rsidTr="0069710F">
        <w:trPr>
          <w:trHeight w:val="255"/>
        </w:trPr>
        <w:tc>
          <w:tcPr>
            <w:tcW w:w="3800" w:type="dxa"/>
            <w:tcBorders>
              <w:top w:val="nil"/>
              <w:left w:val="single" w:sz="4" w:space="0" w:color="auto"/>
              <w:bottom w:val="nil"/>
              <w:right w:val="nil"/>
            </w:tcBorders>
            <w:noWrap/>
            <w:tcMar>
              <w:top w:w="15" w:type="dxa"/>
              <w:left w:w="15" w:type="dxa"/>
              <w:bottom w:w="0" w:type="dxa"/>
              <w:right w:w="15" w:type="dxa"/>
            </w:tcMar>
            <w:vAlign w:val="bottom"/>
          </w:tcPr>
          <w:p w:rsidR="0069710F" w:rsidRPr="00BA14B9" w:rsidRDefault="0069710F" w:rsidP="0069710F">
            <w:pPr>
              <w:spacing w:before="20" w:after="20"/>
              <w:ind w:firstLine="180"/>
              <w:rPr>
                <w:rFonts w:ascii="Tahoma" w:hAnsi="Tahoma" w:cs="Tahoma"/>
              </w:rPr>
            </w:pPr>
            <w:r w:rsidRPr="00BA14B9">
              <w:rPr>
                <w:rFonts w:ascii="Tahoma" w:hAnsi="Tahoma" w:cs="Tahoma"/>
              </w:rPr>
              <w:t>Ιδιωτική Κατανάλωση</w:t>
            </w:r>
          </w:p>
        </w:tc>
        <w:tc>
          <w:tcPr>
            <w:tcW w:w="0" w:type="auto"/>
            <w:tcBorders>
              <w:top w:val="nil"/>
              <w:left w:val="single" w:sz="4" w:space="0" w:color="auto"/>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1,0</w:t>
            </w:r>
          </w:p>
        </w:tc>
        <w:tc>
          <w:tcPr>
            <w:tcW w:w="0" w:type="auto"/>
            <w:tcBorders>
              <w:top w:val="nil"/>
              <w:left w:val="nil"/>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0,4</w:t>
            </w:r>
          </w:p>
        </w:tc>
        <w:tc>
          <w:tcPr>
            <w:tcW w:w="0" w:type="auto"/>
            <w:tcBorders>
              <w:top w:val="nil"/>
              <w:left w:val="nil"/>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0,4</w:t>
            </w:r>
          </w:p>
        </w:tc>
        <w:tc>
          <w:tcPr>
            <w:tcW w:w="0" w:type="auto"/>
            <w:tcBorders>
              <w:top w:val="nil"/>
              <w:left w:val="single" w:sz="4" w:space="0" w:color="auto"/>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0,9</w:t>
            </w:r>
          </w:p>
        </w:tc>
        <w:tc>
          <w:tcPr>
            <w:tcW w:w="0" w:type="auto"/>
            <w:tcBorders>
              <w:top w:val="nil"/>
              <w:left w:val="nil"/>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0,5</w:t>
            </w:r>
          </w:p>
        </w:tc>
        <w:tc>
          <w:tcPr>
            <w:tcW w:w="0" w:type="auto"/>
            <w:tcBorders>
              <w:top w:val="nil"/>
              <w:left w:val="nil"/>
              <w:bottom w:val="nil"/>
              <w:right w:val="single" w:sz="4" w:space="0" w:color="auto"/>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0,4</w:t>
            </w:r>
          </w:p>
        </w:tc>
      </w:tr>
      <w:tr w:rsidR="0069710F" w:rsidRPr="00BA14B9" w:rsidTr="0069710F">
        <w:trPr>
          <w:trHeight w:val="255"/>
        </w:trPr>
        <w:tc>
          <w:tcPr>
            <w:tcW w:w="3800" w:type="dxa"/>
            <w:tcBorders>
              <w:top w:val="nil"/>
              <w:left w:val="single" w:sz="4" w:space="0" w:color="auto"/>
              <w:bottom w:val="nil"/>
              <w:right w:val="nil"/>
            </w:tcBorders>
            <w:noWrap/>
            <w:tcMar>
              <w:top w:w="15" w:type="dxa"/>
              <w:left w:w="15" w:type="dxa"/>
              <w:bottom w:w="0" w:type="dxa"/>
              <w:right w:w="15" w:type="dxa"/>
            </w:tcMar>
            <w:vAlign w:val="bottom"/>
          </w:tcPr>
          <w:p w:rsidR="0069710F" w:rsidRPr="00BA14B9" w:rsidRDefault="0069710F" w:rsidP="0069710F">
            <w:pPr>
              <w:spacing w:before="20" w:after="20"/>
              <w:ind w:firstLine="180"/>
              <w:rPr>
                <w:rFonts w:ascii="Tahoma" w:hAnsi="Tahoma" w:cs="Tahoma"/>
              </w:rPr>
            </w:pPr>
            <w:r w:rsidRPr="00BA14B9">
              <w:rPr>
                <w:rFonts w:ascii="Tahoma" w:hAnsi="Tahoma" w:cs="Tahoma"/>
              </w:rPr>
              <w:t>Δημόσια Κατανάλωση</w:t>
            </w:r>
          </w:p>
        </w:tc>
        <w:tc>
          <w:tcPr>
            <w:tcW w:w="0" w:type="auto"/>
            <w:tcBorders>
              <w:top w:val="nil"/>
              <w:left w:val="single" w:sz="4" w:space="0" w:color="auto"/>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0,7</w:t>
            </w:r>
          </w:p>
        </w:tc>
        <w:tc>
          <w:tcPr>
            <w:tcW w:w="0" w:type="auto"/>
            <w:tcBorders>
              <w:top w:val="nil"/>
              <w:left w:val="nil"/>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0,3</w:t>
            </w:r>
          </w:p>
        </w:tc>
        <w:tc>
          <w:tcPr>
            <w:tcW w:w="0" w:type="auto"/>
            <w:tcBorders>
              <w:top w:val="nil"/>
              <w:left w:val="nil"/>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-0,2</w:t>
            </w:r>
          </w:p>
        </w:tc>
        <w:tc>
          <w:tcPr>
            <w:tcW w:w="0" w:type="auto"/>
            <w:tcBorders>
              <w:top w:val="nil"/>
              <w:left w:val="single" w:sz="4" w:space="0" w:color="auto"/>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0,5</w:t>
            </w:r>
          </w:p>
        </w:tc>
        <w:tc>
          <w:tcPr>
            <w:tcW w:w="0" w:type="auto"/>
            <w:tcBorders>
              <w:top w:val="nil"/>
              <w:left w:val="nil"/>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0,1</w:t>
            </w:r>
          </w:p>
        </w:tc>
        <w:tc>
          <w:tcPr>
            <w:tcW w:w="0" w:type="auto"/>
            <w:tcBorders>
              <w:top w:val="nil"/>
              <w:left w:val="nil"/>
              <w:bottom w:val="nil"/>
              <w:right w:val="single" w:sz="4" w:space="0" w:color="auto"/>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-0,2</w:t>
            </w:r>
          </w:p>
        </w:tc>
      </w:tr>
      <w:tr w:rsidR="0069710F" w:rsidRPr="00BA14B9" w:rsidTr="0069710F">
        <w:trPr>
          <w:trHeight w:val="255"/>
        </w:trPr>
        <w:tc>
          <w:tcPr>
            <w:tcW w:w="3800" w:type="dxa"/>
            <w:tcBorders>
              <w:top w:val="nil"/>
              <w:left w:val="single" w:sz="4" w:space="0" w:color="auto"/>
              <w:bottom w:val="nil"/>
              <w:right w:val="nil"/>
            </w:tcBorders>
            <w:noWrap/>
            <w:tcMar>
              <w:top w:w="15" w:type="dxa"/>
              <w:left w:w="15" w:type="dxa"/>
              <w:bottom w:w="0" w:type="dxa"/>
              <w:right w:w="15" w:type="dxa"/>
            </w:tcMar>
            <w:vAlign w:val="bottom"/>
          </w:tcPr>
          <w:p w:rsidR="0069710F" w:rsidRPr="00BA14B9" w:rsidRDefault="0069710F" w:rsidP="0069710F">
            <w:pPr>
              <w:spacing w:before="20" w:after="20"/>
              <w:ind w:firstLine="180"/>
              <w:rPr>
                <w:rFonts w:ascii="Tahoma" w:hAnsi="Tahoma" w:cs="Tahoma"/>
              </w:rPr>
            </w:pPr>
            <w:r w:rsidRPr="00BA14B9">
              <w:rPr>
                <w:rFonts w:ascii="Tahoma" w:hAnsi="Tahoma" w:cs="Tahoma"/>
              </w:rPr>
              <w:t>Επενδύσεις</w:t>
            </w:r>
          </w:p>
        </w:tc>
        <w:tc>
          <w:tcPr>
            <w:tcW w:w="0" w:type="auto"/>
            <w:tcBorders>
              <w:top w:val="nil"/>
              <w:left w:val="single" w:sz="4" w:space="0" w:color="auto"/>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-0,3</w:t>
            </w:r>
          </w:p>
        </w:tc>
        <w:tc>
          <w:tcPr>
            <w:tcW w:w="0" w:type="auto"/>
            <w:tcBorders>
              <w:top w:val="nil"/>
              <w:left w:val="nil"/>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1,9</w:t>
            </w:r>
          </w:p>
        </w:tc>
        <w:tc>
          <w:tcPr>
            <w:tcW w:w="0" w:type="auto"/>
            <w:tcBorders>
              <w:top w:val="nil"/>
              <w:left w:val="nil"/>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0,8</w:t>
            </w:r>
          </w:p>
        </w:tc>
        <w:tc>
          <w:tcPr>
            <w:tcW w:w="0" w:type="auto"/>
            <w:tcBorders>
              <w:top w:val="nil"/>
              <w:left w:val="single" w:sz="4" w:space="0" w:color="auto"/>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-0,5</w:t>
            </w:r>
          </w:p>
        </w:tc>
        <w:tc>
          <w:tcPr>
            <w:tcW w:w="0" w:type="auto"/>
            <w:tcBorders>
              <w:top w:val="nil"/>
              <w:left w:val="nil"/>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2,0</w:t>
            </w:r>
          </w:p>
        </w:tc>
        <w:tc>
          <w:tcPr>
            <w:tcW w:w="0" w:type="auto"/>
            <w:tcBorders>
              <w:top w:val="nil"/>
              <w:left w:val="nil"/>
              <w:bottom w:val="nil"/>
              <w:right w:val="single" w:sz="4" w:space="0" w:color="auto"/>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0,5</w:t>
            </w:r>
          </w:p>
        </w:tc>
      </w:tr>
      <w:tr w:rsidR="0069710F" w:rsidRPr="00BA14B9" w:rsidTr="0069710F">
        <w:trPr>
          <w:trHeight w:val="255"/>
        </w:trPr>
        <w:tc>
          <w:tcPr>
            <w:tcW w:w="3800" w:type="dxa"/>
            <w:tcBorders>
              <w:top w:val="nil"/>
              <w:left w:val="single" w:sz="4" w:space="0" w:color="auto"/>
              <w:bottom w:val="nil"/>
              <w:right w:val="nil"/>
            </w:tcBorders>
            <w:noWrap/>
            <w:tcMar>
              <w:top w:w="15" w:type="dxa"/>
              <w:left w:w="15" w:type="dxa"/>
              <w:bottom w:w="0" w:type="dxa"/>
              <w:right w:w="15" w:type="dxa"/>
            </w:tcMar>
            <w:vAlign w:val="bottom"/>
          </w:tcPr>
          <w:p w:rsidR="0069710F" w:rsidRPr="00BA14B9" w:rsidRDefault="0069710F" w:rsidP="0069710F">
            <w:pPr>
              <w:spacing w:before="20" w:after="20"/>
              <w:ind w:firstLine="180"/>
              <w:rPr>
                <w:rFonts w:ascii="Tahoma" w:hAnsi="Tahoma" w:cs="Tahoma"/>
              </w:rPr>
            </w:pPr>
            <w:r w:rsidRPr="00BA14B9">
              <w:rPr>
                <w:rFonts w:ascii="Tahoma" w:hAnsi="Tahoma" w:cs="Tahoma"/>
              </w:rPr>
              <w:t>Απασχόληση</w:t>
            </w:r>
          </w:p>
        </w:tc>
        <w:tc>
          <w:tcPr>
            <w:tcW w:w="0" w:type="auto"/>
            <w:tcBorders>
              <w:top w:val="nil"/>
              <w:left w:val="single" w:sz="4" w:space="0" w:color="auto"/>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-0,6</w:t>
            </w:r>
          </w:p>
        </w:tc>
        <w:tc>
          <w:tcPr>
            <w:tcW w:w="0" w:type="auto"/>
            <w:tcBorders>
              <w:top w:val="nil"/>
              <w:left w:val="nil"/>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0,4</w:t>
            </w:r>
          </w:p>
        </w:tc>
        <w:tc>
          <w:tcPr>
            <w:tcW w:w="0" w:type="auto"/>
            <w:tcBorders>
              <w:top w:val="nil"/>
              <w:left w:val="nil"/>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0,1</w:t>
            </w:r>
          </w:p>
        </w:tc>
        <w:tc>
          <w:tcPr>
            <w:tcW w:w="0" w:type="auto"/>
            <w:tcBorders>
              <w:top w:val="nil"/>
              <w:left w:val="single" w:sz="4" w:space="0" w:color="auto"/>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-0,5</w:t>
            </w:r>
          </w:p>
        </w:tc>
        <w:tc>
          <w:tcPr>
            <w:tcW w:w="0" w:type="auto"/>
            <w:tcBorders>
              <w:top w:val="nil"/>
              <w:left w:val="nil"/>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0,3</w:t>
            </w:r>
          </w:p>
        </w:tc>
        <w:tc>
          <w:tcPr>
            <w:tcW w:w="0" w:type="auto"/>
            <w:tcBorders>
              <w:top w:val="nil"/>
              <w:left w:val="nil"/>
              <w:bottom w:val="nil"/>
              <w:right w:val="single" w:sz="4" w:space="0" w:color="auto"/>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0,0</w:t>
            </w:r>
          </w:p>
        </w:tc>
      </w:tr>
      <w:tr w:rsidR="0069710F" w:rsidRPr="00BA14B9" w:rsidTr="0069710F">
        <w:trPr>
          <w:trHeight w:val="255"/>
        </w:trPr>
        <w:tc>
          <w:tcPr>
            <w:tcW w:w="3800" w:type="dxa"/>
            <w:tcBorders>
              <w:top w:val="nil"/>
              <w:left w:val="single" w:sz="4" w:space="0" w:color="auto"/>
              <w:bottom w:val="nil"/>
              <w:right w:val="nil"/>
            </w:tcBorders>
            <w:noWrap/>
            <w:tcMar>
              <w:top w:w="15" w:type="dxa"/>
              <w:left w:w="15" w:type="dxa"/>
              <w:bottom w:w="0" w:type="dxa"/>
              <w:right w:w="15" w:type="dxa"/>
            </w:tcMar>
            <w:vAlign w:val="bottom"/>
          </w:tcPr>
          <w:p w:rsidR="0069710F" w:rsidRPr="00BA14B9" w:rsidRDefault="0069710F" w:rsidP="0069710F">
            <w:pPr>
              <w:spacing w:before="20" w:after="20"/>
              <w:ind w:firstLine="180"/>
              <w:rPr>
                <w:rFonts w:ascii="Tahoma" w:hAnsi="Tahoma" w:cs="Tahoma"/>
              </w:rPr>
            </w:pPr>
            <w:r w:rsidRPr="00BA14B9">
              <w:rPr>
                <w:rFonts w:ascii="Tahoma" w:hAnsi="Tahoma" w:cs="Tahoma"/>
              </w:rPr>
              <w:t>Ανεργία (%)</w:t>
            </w:r>
          </w:p>
        </w:tc>
        <w:tc>
          <w:tcPr>
            <w:tcW w:w="0" w:type="auto"/>
            <w:tcBorders>
              <w:top w:val="nil"/>
              <w:left w:val="single" w:sz="4" w:space="0" w:color="auto"/>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9,7</w:t>
            </w:r>
          </w:p>
        </w:tc>
        <w:tc>
          <w:tcPr>
            <w:tcW w:w="0" w:type="auto"/>
            <w:tcBorders>
              <w:top w:val="nil"/>
              <w:left w:val="nil"/>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9,7</w:t>
            </w:r>
          </w:p>
        </w:tc>
        <w:tc>
          <w:tcPr>
            <w:tcW w:w="0" w:type="auto"/>
            <w:tcBorders>
              <w:top w:val="nil"/>
              <w:left w:val="nil"/>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9,8</w:t>
            </w:r>
          </w:p>
        </w:tc>
        <w:tc>
          <w:tcPr>
            <w:tcW w:w="0" w:type="auto"/>
            <w:tcBorders>
              <w:top w:val="nil"/>
              <w:left w:val="single" w:sz="4" w:space="0" w:color="auto"/>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10,1</w:t>
            </w:r>
          </w:p>
        </w:tc>
        <w:tc>
          <w:tcPr>
            <w:tcW w:w="0" w:type="auto"/>
            <w:tcBorders>
              <w:top w:val="nil"/>
              <w:left w:val="nil"/>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10,0</w:t>
            </w:r>
          </w:p>
        </w:tc>
        <w:tc>
          <w:tcPr>
            <w:tcW w:w="0" w:type="auto"/>
            <w:tcBorders>
              <w:top w:val="nil"/>
              <w:left w:val="nil"/>
              <w:bottom w:val="nil"/>
              <w:right w:val="single" w:sz="4" w:space="0" w:color="auto"/>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10,1</w:t>
            </w:r>
          </w:p>
        </w:tc>
      </w:tr>
      <w:tr w:rsidR="0069710F" w:rsidRPr="00BA14B9" w:rsidTr="0069710F">
        <w:trPr>
          <w:trHeight w:val="255"/>
        </w:trPr>
        <w:tc>
          <w:tcPr>
            <w:tcW w:w="3800" w:type="dxa"/>
            <w:tcBorders>
              <w:top w:val="nil"/>
              <w:left w:val="single" w:sz="4" w:space="0" w:color="auto"/>
              <w:bottom w:val="nil"/>
              <w:right w:val="nil"/>
            </w:tcBorders>
            <w:noWrap/>
            <w:tcMar>
              <w:top w:w="15" w:type="dxa"/>
              <w:left w:w="15" w:type="dxa"/>
              <w:bottom w:w="0" w:type="dxa"/>
              <w:right w:w="15" w:type="dxa"/>
            </w:tcMar>
            <w:vAlign w:val="bottom"/>
          </w:tcPr>
          <w:p w:rsidR="0069710F" w:rsidRPr="00BA14B9" w:rsidRDefault="0069710F" w:rsidP="0069710F">
            <w:pPr>
              <w:spacing w:before="20" w:after="20"/>
              <w:ind w:firstLine="180"/>
              <w:rPr>
                <w:rFonts w:ascii="Tahoma" w:hAnsi="Tahoma" w:cs="Tahoma"/>
              </w:rPr>
            </w:pPr>
            <w:r w:rsidRPr="00BA14B9">
              <w:rPr>
                <w:rFonts w:ascii="Tahoma" w:hAnsi="Tahoma" w:cs="Tahoma"/>
              </w:rPr>
              <w:t>Πληθωρισμός</w:t>
            </w:r>
          </w:p>
        </w:tc>
        <w:tc>
          <w:tcPr>
            <w:tcW w:w="0" w:type="auto"/>
            <w:tcBorders>
              <w:top w:val="nil"/>
              <w:left w:val="single" w:sz="4" w:space="0" w:color="auto"/>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2,1</w:t>
            </w:r>
          </w:p>
        </w:tc>
        <w:tc>
          <w:tcPr>
            <w:tcW w:w="0" w:type="auto"/>
            <w:tcBorders>
              <w:top w:val="nil"/>
              <w:left w:val="nil"/>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3,1</w:t>
            </w:r>
          </w:p>
        </w:tc>
        <w:tc>
          <w:tcPr>
            <w:tcW w:w="0" w:type="auto"/>
            <w:tcBorders>
              <w:top w:val="nil"/>
              <w:left w:val="nil"/>
              <w:bottom w:val="nil"/>
              <w:right w:val="nil"/>
            </w:tcBorders>
            <w:noWrap/>
            <w:tcMar>
              <w:top w:w="15" w:type="dxa"/>
              <w:left w:w="15" w:type="dxa"/>
              <w:bottom w:w="0" w:type="dxa"/>
              <w:right w:w="15" w:type="dxa"/>
            </w:tcMar>
            <w:vAlign w:val="center"/>
          </w:tcPr>
          <w:p w:rsidR="0069710F" w:rsidRPr="00BB3DBE" w:rsidRDefault="0069710F" w:rsidP="0069710F">
            <w:pPr>
              <w:jc w:val="center"/>
              <w:rPr>
                <w:rFonts w:ascii="Tahoma" w:hAnsi="Tahoma" w:cs="Tahoma"/>
                <w:lang w:val="en-US"/>
              </w:rPr>
            </w:pPr>
            <w:r w:rsidRPr="00BA14B9">
              <w:rPr>
                <w:rFonts w:ascii="Tahoma" w:hAnsi="Tahoma" w:cs="Tahoma"/>
              </w:rPr>
              <w:t>2,3</w:t>
            </w:r>
            <w:r>
              <w:rPr>
                <w:rFonts w:ascii="Tahoma" w:hAnsi="Tahoma" w:cs="Tahoma"/>
                <w:lang w:val="en-US"/>
              </w:rPr>
              <w:t>*</w:t>
            </w:r>
          </w:p>
        </w:tc>
        <w:tc>
          <w:tcPr>
            <w:tcW w:w="0" w:type="auto"/>
            <w:tcBorders>
              <w:top w:val="nil"/>
              <w:left w:val="single" w:sz="4" w:space="0" w:color="auto"/>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1,6</w:t>
            </w:r>
          </w:p>
        </w:tc>
        <w:tc>
          <w:tcPr>
            <w:tcW w:w="0" w:type="auto"/>
            <w:tcBorders>
              <w:top w:val="nil"/>
              <w:left w:val="nil"/>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2,7</w:t>
            </w:r>
          </w:p>
        </w:tc>
        <w:tc>
          <w:tcPr>
            <w:tcW w:w="0" w:type="auto"/>
            <w:tcBorders>
              <w:top w:val="nil"/>
              <w:left w:val="nil"/>
              <w:bottom w:val="nil"/>
              <w:right w:val="single" w:sz="4" w:space="0" w:color="auto"/>
            </w:tcBorders>
            <w:noWrap/>
            <w:tcMar>
              <w:top w:w="15" w:type="dxa"/>
              <w:left w:w="15" w:type="dxa"/>
              <w:bottom w:w="0" w:type="dxa"/>
              <w:right w:w="15" w:type="dxa"/>
            </w:tcMar>
            <w:vAlign w:val="center"/>
          </w:tcPr>
          <w:p w:rsidR="0069710F" w:rsidRPr="00BB3DBE" w:rsidRDefault="0069710F" w:rsidP="0069710F">
            <w:pPr>
              <w:jc w:val="center"/>
              <w:rPr>
                <w:rFonts w:ascii="Tahoma" w:hAnsi="Tahoma" w:cs="Tahoma"/>
                <w:lang w:val="en-US"/>
              </w:rPr>
            </w:pPr>
            <w:r w:rsidRPr="00BA14B9">
              <w:rPr>
                <w:rFonts w:ascii="Tahoma" w:hAnsi="Tahoma" w:cs="Tahoma"/>
              </w:rPr>
              <w:t>2,1</w:t>
            </w:r>
            <w:r>
              <w:rPr>
                <w:rFonts w:ascii="Tahoma" w:hAnsi="Tahoma" w:cs="Tahoma"/>
                <w:lang w:val="en-US"/>
              </w:rPr>
              <w:t>*</w:t>
            </w:r>
          </w:p>
        </w:tc>
      </w:tr>
      <w:tr w:rsidR="0069710F" w:rsidRPr="00BA14B9" w:rsidTr="0069710F">
        <w:trPr>
          <w:trHeight w:val="255"/>
        </w:trPr>
        <w:tc>
          <w:tcPr>
            <w:tcW w:w="3800" w:type="dxa"/>
            <w:tcBorders>
              <w:top w:val="nil"/>
              <w:left w:val="single" w:sz="4" w:space="0" w:color="auto"/>
              <w:bottom w:val="nil"/>
              <w:right w:val="nil"/>
            </w:tcBorders>
            <w:noWrap/>
            <w:tcMar>
              <w:top w:w="15" w:type="dxa"/>
              <w:left w:w="15" w:type="dxa"/>
              <w:bottom w:w="0" w:type="dxa"/>
              <w:right w:w="15" w:type="dxa"/>
            </w:tcMar>
            <w:vAlign w:val="bottom"/>
          </w:tcPr>
          <w:p w:rsidR="0069710F" w:rsidRPr="00BA14B9" w:rsidRDefault="0069710F" w:rsidP="0069710F">
            <w:pPr>
              <w:spacing w:before="20" w:after="20"/>
              <w:ind w:firstLine="180"/>
              <w:rPr>
                <w:rFonts w:ascii="Tahoma" w:hAnsi="Tahoma" w:cs="Tahoma"/>
              </w:rPr>
            </w:pPr>
            <w:r w:rsidRPr="00BA14B9">
              <w:rPr>
                <w:rFonts w:ascii="Tahoma" w:hAnsi="Tahoma" w:cs="Tahoma"/>
              </w:rPr>
              <w:t>Εξαγωγές αγαθών – υπηρεσιών</w:t>
            </w:r>
          </w:p>
        </w:tc>
        <w:tc>
          <w:tcPr>
            <w:tcW w:w="0" w:type="auto"/>
            <w:tcBorders>
              <w:top w:val="nil"/>
              <w:left w:val="single" w:sz="4" w:space="0" w:color="auto"/>
              <w:bottom w:val="nil"/>
              <w:right w:val="nil"/>
            </w:tcBorders>
            <w:noWrap/>
            <w:tcMar>
              <w:top w:w="15" w:type="dxa"/>
              <w:left w:w="15" w:type="dxa"/>
              <w:bottom w:w="0" w:type="dxa"/>
              <w:right w:w="15" w:type="dxa"/>
            </w:tcMar>
            <w:vAlign w:val="bottom"/>
          </w:tcPr>
          <w:p w:rsidR="0069710F" w:rsidRPr="00BA14B9" w:rsidRDefault="0069710F" w:rsidP="0069710F">
            <w:pPr>
              <w:jc w:val="center"/>
              <w:rPr>
                <w:rFonts w:ascii="Tahoma" w:hAnsi="Tahoma" w:cs="Tahoma"/>
              </w:rPr>
            </w:pPr>
            <w:r w:rsidRPr="00BA14B9">
              <w:rPr>
                <w:rFonts w:ascii="Tahoma" w:hAnsi="Tahoma" w:cs="Tahoma"/>
              </w:rPr>
              <w:t>10,8</w:t>
            </w:r>
          </w:p>
        </w:tc>
        <w:tc>
          <w:tcPr>
            <w:tcW w:w="0" w:type="auto"/>
            <w:tcBorders>
              <w:top w:val="nil"/>
              <w:left w:val="nil"/>
              <w:bottom w:val="nil"/>
              <w:right w:val="nil"/>
            </w:tcBorders>
            <w:noWrap/>
            <w:tcMar>
              <w:top w:w="15" w:type="dxa"/>
              <w:left w:w="15" w:type="dxa"/>
              <w:bottom w:w="0" w:type="dxa"/>
              <w:right w:w="15" w:type="dxa"/>
            </w:tcMar>
            <w:vAlign w:val="bottom"/>
          </w:tcPr>
          <w:p w:rsidR="0069710F" w:rsidRPr="00BA14B9" w:rsidRDefault="0069710F" w:rsidP="0069710F">
            <w:pPr>
              <w:jc w:val="center"/>
              <w:rPr>
                <w:rFonts w:ascii="Tahoma" w:hAnsi="Tahoma" w:cs="Tahoma"/>
              </w:rPr>
            </w:pPr>
            <w:r w:rsidRPr="00BA14B9">
              <w:rPr>
                <w:rFonts w:ascii="Tahoma" w:hAnsi="Tahoma" w:cs="Tahoma"/>
              </w:rPr>
              <w:t>6,3</w:t>
            </w:r>
          </w:p>
        </w:tc>
        <w:tc>
          <w:tcPr>
            <w:tcW w:w="0" w:type="auto"/>
            <w:tcBorders>
              <w:top w:val="nil"/>
              <w:left w:val="nil"/>
              <w:bottom w:val="nil"/>
              <w:right w:val="nil"/>
            </w:tcBorders>
            <w:noWrap/>
            <w:tcMar>
              <w:top w:w="15" w:type="dxa"/>
              <w:left w:w="15" w:type="dxa"/>
              <w:bottom w:w="0" w:type="dxa"/>
              <w:right w:w="15" w:type="dxa"/>
            </w:tcMar>
            <w:vAlign w:val="bottom"/>
          </w:tcPr>
          <w:p w:rsidR="0069710F" w:rsidRPr="00BA14B9" w:rsidRDefault="0069710F" w:rsidP="0069710F">
            <w:pPr>
              <w:jc w:val="center"/>
              <w:rPr>
                <w:rFonts w:ascii="Tahoma" w:hAnsi="Tahoma" w:cs="Tahoma"/>
              </w:rPr>
            </w:pPr>
            <w:r w:rsidRPr="00BA14B9">
              <w:rPr>
                <w:rFonts w:ascii="Tahoma" w:hAnsi="Tahoma" w:cs="Tahoma"/>
              </w:rPr>
              <w:t>3,6</w:t>
            </w:r>
          </w:p>
        </w:tc>
        <w:tc>
          <w:tcPr>
            <w:tcW w:w="0" w:type="auto"/>
            <w:tcBorders>
              <w:top w:val="nil"/>
              <w:left w:val="single" w:sz="4" w:space="0" w:color="auto"/>
              <w:bottom w:val="nil"/>
              <w:right w:val="nil"/>
            </w:tcBorders>
            <w:noWrap/>
            <w:tcMar>
              <w:top w:w="15" w:type="dxa"/>
              <w:left w:w="15" w:type="dxa"/>
              <w:bottom w:w="0" w:type="dxa"/>
              <w:right w:w="15" w:type="dxa"/>
            </w:tcMar>
            <w:vAlign w:val="bottom"/>
          </w:tcPr>
          <w:p w:rsidR="0069710F" w:rsidRPr="00BA14B9" w:rsidRDefault="0069710F" w:rsidP="0069710F">
            <w:pPr>
              <w:jc w:val="center"/>
              <w:rPr>
                <w:rFonts w:ascii="Tahoma" w:hAnsi="Tahoma" w:cs="Tahoma"/>
              </w:rPr>
            </w:pPr>
            <w:r w:rsidRPr="00BA14B9">
              <w:rPr>
                <w:rFonts w:ascii="Tahoma" w:hAnsi="Tahoma" w:cs="Tahoma"/>
              </w:rPr>
              <w:t>11,3</w:t>
            </w:r>
          </w:p>
        </w:tc>
        <w:tc>
          <w:tcPr>
            <w:tcW w:w="0" w:type="auto"/>
            <w:tcBorders>
              <w:top w:val="nil"/>
              <w:left w:val="nil"/>
              <w:bottom w:val="nil"/>
              <w:right w:val="nil"/>
            </w:tcBorders>
            <w:noWrap/>
            <w:tcMar>
              <w:top w:w="15" w:type="dxa"/>
              <w:left w:w="15" w:type="dxa"/>
              <w:bottom w:w="0" w:type="dxa"/>
              <w:right w:w="15" w:type="dxa"/>
            </w:tcMar>
            <w:vAlign w:val="bottom"/>
          </w:tcPr>
          <w:p w:rsidR="0069710F" w:rsidRPr="00BA14B9" w:rsidRDefault="0069710F" w:rsidP="0069710F">
            <w:pPr>
              <w:jc w:val="center"/>
              <w:rPr>
                <w:rFonts w:ascii="Tahoma" w:hAnsi="Tahoma" w:cs="Tahoma"/>
              </w:rPr>
            </w:pPr>
            <w:r w:rsidRPr="00BA14B9">
              <w:rPr>
                <w:rFonts w:ascii="Tahoma" w:hAnsi="Tahoma" w:cs="Tahoma"/>
              </w:rPr>
              <w:t>6,1</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69710F" w:rsidRPr="00BA14B9" w:rsidRDefault="0069710F" w:rsidP="0069710F">
            <w:pPr>
              <w:jc w:val="center"/>
              <w:rPr>
                <w:rFonts w:ascii="Tahoma" w:hAnsi="Tahoma" w:cs="Tahoma"/>
              </w:rPr>
            </w:pPr>
            <w:r w:rsidRPr="00BA14B9">
              <w:rPr>
                <w:rFonts w:ascii="Tahoma" w:hAnsi="Tahoma" w:cs="Tahoma"/>
              </w:rPr>
              <w:t>3,4</w:t>
            </w:r>
          </w:p>
        </w:tc>
      </w:tr>
      <w:tr w:rsidR="0069710F" w:rsidRPr="00BA14B9" w:rsidTr="0069710F">
        <w:trPr>
          <w:trHeight w:val="255"/>
        </w:trPr>
        <w:tc>
          <w:tcPr>
            <w:tcW w:w="3800" w:type="dxa"/>
            <w:tcBorders>
              <w:top w:val="nil"/>
              <w:left w:val="single" w:sz="4" w:space="0" w:color="auto"/>
              <w:bottom w:val="nil"/>
              <w:right w:val="nil"/>
            </w:tcBorders>
            <w:noWrap/>
            <w:tcMar>
              <w:top w:w="15" w:type="dxa"/>
              <w:left w:w="15" w:type="dxa"/>
              <w:bottom w:w="0" w:type="dxa"/>
              <w:right w:w="15" w:type="dxa"/>
            </w:tcMar>
            <w:vAlign w:val="bottom"/>
          </w:tcPr>
          <w:p w:rsidR="0069710F" w:rsidRPr="00BA14B9" w:rsidRDefault="0069710F" w:rsidP="0069710F">
            <w:pPr>
              <w:spacing w:before="20" w:after="20"/>
              <w:ind w:firstLine="180"/>
              <w:rPr>
                <w:rFonts w:ascii="Tahoma" w:hAnsi="Tahoma" w:cs="Tahoma"/>
              </w:rPr>
            </w:pPr>
            <w:r w:rsidRPr="00BA14B9">
              <w:rPr>
                <w:rFonts w:ascii="Tahoma" w:hAnsi="Tahoma" w:cs="Tahoma"/>
              </w:rPr>
              <w:t>Εισαγωγές αγαθών – υπηρεσιών</w:t>
            </w:r>
          </w:p>
        </w:tc>
        <w:tc>
          <w:tcPr>
            <w:tcW w:w="0" w:type="auto"/>
            <w:tcBorders>
              <w:top w:val="nil"/>
              <w:left w:val="single" w:sz="4" w:space="0" w:color="auto"/>
              <w:bottom w:val="nil"/>
              <w:right w:val="nil"/>
            </w:tcBorders>
            <w:noWrap/>
            <w:tcMar>
              <w:top w:w="15" w:type="dxa"/>
              <w:left w:w="15" w:type="dxa"/>
              <w:bottom w:w="0" w:type="dxa"/>
              <w:right w:w="15" w:type="dxa"/>
            </w:tcMar>
            <w:vAlign w:val="bottom"/>
          </w:tcPr>
          <w:p w:rsidR="0069710F" w:rsidRPr="00BA14B9" w:rsidRDefault="0069710F" w:rsidP="0069710F">
            <w:pPr>
              <w:jc w:val="center"/>
              <w:rPr>
                <w:rFonts w:ascii="Tahoma" w:hAnsi="Tahoma" w:cs="Tahoma"/>
              </w:rPr>
            </w:pPr>
            <w:r w:rsidRPr="00BA14B9">
              <w:rPr>
                <w:rFonts w:ascii="Tahoma" w:hAnsi="Tahoma" w:cs="Tahoma"/>
              </w:rPr>
              <w:t>9,8</w:t>
            </w:r>
          </w:p>
        </w:tc>
        <w:tc>
          <w:tcPr>
            <w:tcW w:w="0" w:type="auto"/>
            <w:tcBorders>
              <w:top w:val="nil"/>
              <w:left w:val="nil"/>
              <w:bottom w:val="nil"/>
              <w:right w:val="nil"/>
            </w:tcBorders>
            <w:noWrap/>
            <w:tcMar>
              <w:top w:w="15" w:type="dxa"/>
              <w:left w:w="15" w:type="dxa"/>
              <w:bottom w:w="0" w:type="dxa"/>
              <w:right w:w="15" w:type="dxa"/>
            </w:tcMar>
            <w:vAlign w:val="bottom"/>
          </w:tcPr>
          <w:p w:rsidR="0069710F" w:rsidRPr="00BA14B9" w:rsidRDefault="0069710F" w:rsidP="0069710F">
            <w:pPr>
              <w:jc w:val="center"/>
              <w:rPr>
                <w:rFonts w:ascii="Tahoma" w:hAnsi="Tahoma" w:cs="Tahoma"/>
              </w:rPr>
            </w:pPr>
            <w:r w:rsidRPr="00BA14B9">
              <w:rPr>
                <w:rFonts w:ascii="Tahoma" w:hAnsi="Tahoma" w:cs="Tahoma"/>
              </w:rPr>
              <w:t>4,6</w:t>
            </w:r>
          </w:p>
        </w:tc>
        <w:tc>
          <w:tcPr>
            <w:tcW w:w="0" w:type="auto"/>
            <w:tcBorders>
              <w:top w:val="nil"/>
              <w:left w:val="nil"/>
              <w:bottom w:val="nil"/>
              <w:right w:val="nil"/>
            </w:tcBorders>
            <w:noWrap/>
            <w:tcMar>
              <w:top w:w="15" w:type="dxa"/>
              <w:left w:w="15" w:type="dxa"/>
              <w:bottom w:w="0" w:type="dxa"/>
              <w:right w:w="15" w:type="dxa"/>
            </w:tcMar>
            <w:vAlign w:val="bottom"/>
          </w:tcPr>
          <w:p w:rsidR="0069710F" w:rsidRPr="00BA14B9" w:rsidRDefault="0069710F" w:rsidP="0069710F">
            <w:pPr>
              <w:jc w:val="center"/>
              <w:rPr>
                <w:rFonts w:ascii="Tahoma" w:hAnsi="Tahoma" w:cs="Tahoma"/>
              </w:rPr>
            </w:pPr>
            <w:r w:rsidRPr="00BA14B9">
              <w:rPr>
                <w:rFonts w:ascii="Tahoma" w:hAnsi="Tahoma" w:cs="Tahoma"/>
              </w:rPr>
              <w:t>2,9</w:t>
            </w:r>
          </w:p>
        </w:tc>
        <w:tc>
          <w:tcPr>
            <w:tcW w:w="0" w:type="auto"/>
            <w:tcBorders>
              <w:top w:val="nil"/>
              <w:left w:val="single" w:sz="4" w:space="0" w:color="auto"/>
              <w:bottom w:val="nil"/>
              <w:right w:val="nil"/>
            </w:tcBorders>
            <w:noWrap/>
            <w:tcMar>
              <w:top w:w="15" w:type="dxa"/>
              <w:left w:w="15" w:type="dxa"/>
              <w:bottom w:w="0" w:type="dxa"/>
              <w:right w:w="15" w:type="dxa"/>
            </w:tcMar>
            <w:vAlign w:val="bottom"/>
          </w:tcPr>
          <w:p w:rsidR="0069710F" w:rsidRPr="00BA14B9" w:rsidRDefault="0069710F" w:rsidP="0069710F">
            <w:pPr>
              <w:jc w:val="center"/>
              <w:rPr>
                <w:rFonts w:ascii="Tahoma" w:hAnsi="Tahoma" w:cs="Tahoma"/>
              </w:rPr>
            </w:pPr>
            <w:r w:rsidRPr="00BA14B9">
              <w:rPr>
                <w:rFonts w:ascii="Tahoma" w:hAnsi="Tahoma" w:cs="Tahoma"/>
              </w:rPr>
              <w:t>9,6</w:t>
            </w:r>
          </w:p>
        </w:tc>
        <w:tc>
          <w:tcPr>
            <w:tcW w:w="0" w:type="auto"/>
            <w:tcBorders>
              <w:top w:val="nil"/>
              <w:left w:val="nil"/>
              <w:bottom w:val="nil"/>
              <w:right w:val="nil"/>
            </w:tcBorders>
            <w:noWrap/>
            <w:tcMar>
              <w:top w:w="15" w:type="dxa"/>
              <w:left w:w="15" w:type="dxa"/>
              <w:bottom w:w="0" w:type="dxa"/>
              <w:right w:w="15" w:type="dxa"/>
            </w:tcMar>
            <w:vAlign w:val="bottom"/>
          </w:tcPr>
          <w:p w:rsidR="0069710F" w:rsidRPr="00BA14B9" w:rsidRDefault="0069710F" w:rsidP="0069710F">
            <w:pPr>
              <w:jc w:val="center"/>
              <w:rPr>
                <w:rFonts w:ascii="Tahoma" w:hAnsi="Tahoma" w:cs="Tahoma"/>
              </w:rPr>
            </w:pPr>
            <w:r w:rsidRPr="00BA14B9">
              <w:rPr>
                <w:rFonts w:ascii="Tahoma" w:hAnsi="Tahoma" w:cs="Tahoma"/>
              </w:rPr>
              <w:t>4,8</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69710F" w:rsidRPr="00BA14B9" w:rsidRDefault="0069710F" w:rsidP="0069710F">
            <w:pPr>
              <w:jc w:val="center"/>
              <w:rPr>
                <w:rFonts w:ascii="Tahoma" w:hAnsi="Tahoma" w:cs="Tahoma"/>
              </w:rPr>
            </w:pPr>
            <w:r w:rsidRPr="00BA14B9">
              <w:rPr>
                <w:rFonts w:ascii="Tahoma" w:hAnsi="Tahoma" w:cs="Tahoma"/>
              </w:rPr>
              <w:t>3,0</w:t>
            </w:r>
          </w:p>
        </w:tc>
      </w:tr>
      <w:tr w:rsidR="0069710F" w:rsidRPr="00BA14B9" w:rsidTr="0069710F">
        <w:trPr>
          <w:trHeight w:val="255"/>
        </w:trPr>
        <w:tc>
          <w:tcPr>
            <w:tcW w:w="3800" w:type="dxa"/>
            <w:tcBorders>
              <w:top w:val="nil"/>
              <w:left w:val="single" w:sz="4" w:space="0" w:color="auto"/>
              <w:bottom w:val="nil"/>
              <w:right w:val="nil"/>
            </w:tcBorders>
            <w:noWrap/>
            <w:tcMar>
              <w:top w:w="15" w:type="dxa"/>
              <w:left w:w="15" w:type="dxa"/>
              <w:bottom w:w="0" w:type="dxa"/>
              <w:right w:w="15" w:type="dxa"/>
            </w:tcMar>
            <w:vAlign w:val="bottom"/>
          </w:tcPr>
          <w:p w:rsidR="0069710F" w:rsidRPr="00BA14B9" w:rsidRDefault="0069710F" w:rsidP="0069710F">
            <w:pPr>
              <w:spacing w:before="20" w:after="20"/>
              <w:ind w:firstLine="180"/>
              <w:rPr>
                <w:rFonts w:ascii="Tahoma" w:hAnsi="Tahoma" w:cs="Tahoma"/>
              </w:rPr>
            </w:pPr>
            <w:r w:rsidRPr="00BA14B9">
              <w:rPr>
                <w:rFonts w:ascii="Tahoma" w:hAnsi="Tahoma" w:cs="Tahoma"/>
              </w:rPr>
              <w:t>Ισοζύγιο Γεν. Κυβέρνησης (% του ΑΕΠ)</w:t>
            </w:r>
          </w:p>
        </w:tc>
        <w:tc>
          <w:tcPr>
            <w:tcW w:w="0" w:type="auto"/>
            <w:tcBorders>
              <w:top w:val="nil"/>
              <w:left w:val="single" w:sz="4" w:space="0" w:color="auto"/>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-6,6</w:t>
            </w:r>
          </w:p>
        </w:tc>
        <w:tc>
          <w:tcPr>
            <w:tcW w:w="0" w:type="auto"/>
            <w:tcBorders>
              <w:top w:val="nil"/>
              <w:left w:val="nil"/>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-4,7</w:t>
            </w:r>
          </w:p>
        </w:tc>
        <w:tc>
          <w:tcPr>
            <w:tcW w:w="0" w:type="auto"/>
            <w:tcBorders>
              <w:top w:val="nil"/>
              <w:left w:val="nil"/>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-3,9</w:t>
            </w:r>
          </w:p>
        </w:tc>
        <w:tc>
          <w:tcPr>
            <w:tcW w:w="0" w:type="auto"/>
            <w:tcBorders>
              <w:top w:val="nil"/>
              <w:left w:val="single" w:sz="4" w:space="0" w:color="auto"/>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-6,2</w:t>
            </w:r>
          </w:p>
        </w:tc>
        <w:tc>
          <w:tcPr>
            <w:tcW w:w="0" w:type="auto"/>
            <w:tcBorders>
              <w:top w:val="nil"/>
              <w:left w:val="nil"/>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-4,1</w:t>
            </w:r>
          </w:p>
        </w:tc>
        <w:tc>
          <w:tcPr>
            <w:tcW w:w="0" w:type="auto"/>
            <w:tcBorders>
              <w:top w:val="nil"/>
              <w:left w:val="nil"/>
              <w:bottom w:val="nil"/>
              <w:right w:val="single" w:sz="4" w:space="0" w:color="auto"/>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-3,4</w:t>
            </w:r>
          </w:p>
        </w:tc>
      </w:tr>
      <w:tr w:rsidR="0069710F" w:rsidRPr="00BA14B9" w:rsidTr="0069710F">
        <w:trPr>
          <w:trHeight w:val="255"/>
        </w:trPr>
        <w:tc>
          <w:tcPr>
            <w:tcW w:w="3800" w:type="dxa"/>
            <w:tcBorders>
              <w:top w:val="nil"/>
              <w:left w:val="single" w:sz="4" w:space="0" w:color="auto"/>
              <w:bottom w:val="nil"/>
              <w:right w:val="nil"/>
            </w:tcBorders>
            <w:noWrap/>
            <w:tcMar>
              <w:top w:w="15" w:type="dxa"/>
              <w:left w:w="15" w:type="dxa"/>
              <w:bottom w:w="0" w:type="dxa"/>
              <w:right w:w="15" w:type="dxa"/>
            </w:tcMar>
            <w:vAlign w:val="bottom"/>
          </w:tcPr>
          <w:p w:rsidR="0069710F" w:rsidRPr="00BA14B9" w:rsidRDefault="0069710F" w:rsidP="0069710F">
            <w:pPr>
              <w:spacing w:before="20" w:after="20"/>
              <w:ind w:firstLine="180"/>
              <w:rPr>
                <w:rFonts w:ascii="Tahoma" w:hAnsi="Tahoma" w:cs="Tahoma"/>
              </w:rPr>
            </w:pPr>
            <w:r w:rsidRPr="00BA14B9">
              <w:rPr>
                <w:rFonts w:ascii="Tahoma" w:hAnsi="Tahoma" w:cs="Tahoma"/>
              </w:rPr>
              <w:t>Χρέος Γεν. Κυβέρνησης (% του ΑΕΠ)</w:t>
            </w:r>
          </w:p>
        </w:tc>
        <w:tc>
          <w:tcPr>
            <w:tcW w:w="0" w:type="auto"/>
            <w:tcBorders>
              <w:top w:val="nil"/>
              <w:left w:val="single" w:sz="4" w:space="0" w:color="auto"/>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80,3</w:t>
            </w:r>
          </w:p>
        </w:tc>
        <w:tc>
          <w:tcPr>
            <w:tcW w:w="0" w:type="auto"/>
            <w:tcBorders>
              <w:top w:val="nil"/>
              <w:left w:val="nil"/>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82,5</w:t>
            </w:r>
          </w:p>
        </w:tc>
        <w:tc>
          <w:tcPr>
            <w:tcW w:w="0" w:type="auto"/>
            <w:tcBorders>
              <w:top w:val="nil"/>
              <w:left w:val="nil"/>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84,9</w:t>
            </w:r>
          </w:p>
        </w:tc>
        <w:tc>
          <w:tcPr>
            <w:tcW w:w="0" w:type="auto"/>
            <w:tcBorders>
              <w:top w:val="nil"/>
              <w:left w:val="single" w:sz="4" w:space="0" w:color="auto"/>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85,6</w:t>
            </w:r>
          </w:p>
        </w:tc>
        <w:tc>
          <w:tcPr>
            <w:tcW w:w="0" w:type="auto"/>
            <w:tcBorders>
              <w:top w:val="nil"/>
              <w:left w:val="nil"/>
              <w:bottom w:val="nil"/>
              <w:right w:val="nil"/>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88,0</w:t>
            </w:r>
          </w:p>
        </w:tc>
        <w:tc>
          <w:tcPr>
            <w:tcW w:w="0" w:type="auto"/>
            <w:tcBorders>
              <w:top w:val="nil"/>
              <w:left w:val="nil"/>
              <w:bottom w:val="nil"/>
              <w:right w:val="single" w:sz="4" w:space="0" w:color="auto"/>
            </w:tcBorders>
            <w:noWrap/>
            <w:tcMar>
              <w:top w:w="15" w:type="dxa"/>
              <w:left w:w="15" w:type="dxa"/>
              <w:bottom w:w="0" w:type="dxa"/>
              <w:right w:w="15" w:type="dxa"/>
            </w:tcMar>
            <w:vAlign w:val="center"/>
          </w:tcPr>
          <w:p w:rsidR="0069710F" w:rsidRPr="00BA14B9" w:rsidRDefault="0069710F" w:rsidP="0069710F">
            <w:pPr>
              <w:jc w:val="center"/>
              <w:rPr>
                <w:rFonts w:ascii="Tahoma" w:hAnsi="Tahoma" w:cs="Tahoma"/>
              </w:rPr>
            </w:pPr>
            <w:r w:rsidRPr="00BA14B9">
              <w:rPr>
                <w:rFonts w:ascii="Tahoma" w:hAnsi="Tahoma" w:cs="Tahoma"/>
              </w:rPr>
              <w:t>90,4</w:t>
            </w:r>
          </w:p>
        </w:tc>
      </w:tr>
      <w:tr w:rsidR="0069710F" w:rsidRPr="00BA14B9" w:rsidTr="0069710F">
        <w:trPr>
          <w:trHeight w:val="270"/>
        </w:trPr>
        <w:tc>
          <w:tcPr>
            <w:tcW w:w="3800" w:type="dxa"/>
            <w:tcBorders>
              <w:top w:val="nil"/>
              <w:left w:val="single" w:sz="4" w:space="0" w:color="auto"/>
              <w:bottom w:val="single" w:sz="12" w:space="0" w:color="008000"/>
              <w:right w:val="nil"/>
            </w:tcBorders>
            <w:noWrap/>
            <w:tcMar>
              <w:top w:w="15" w:type="dxa"/>
              <w:left w:w="15" w:type="dxa"/>
              <w:bottom w:w="0" w:type="dxa"/>
              <w:right w:w="15" w:type="dxa"/>
            </w:tcMar>
            <w:vAlign w:val="bottom"/>
          </w:tcPr>
          <w:p w:rsidR="0069710F" w:rsidRPr="00BA14B9" w:rsidRDefault="0069710F" w:rsidP="0069710F">
            <w:pPr>
              <w:spacing w:before="20" w:after="20"/>
              <w:ind w:firstLine="180"/>
              <w:rPr>
                <w:rFonts w:ascii="Tahoma" w:hAnsi="Tahoma" w:cs="Tahoma"/>
              </w:rPr>
            </w:pPr>
            <w:r w:rsidRPr="00BA14B9">
              <w:rPr>
                <w:rFonts w:ascii="Tahoma" w:hAnsi="Tahoma" w:cs="Tahoma"/>
              </w:rPr>
              <w:t>Ισοζύγιο Τρεχουσών. Συναλλαγών</w:t>
            </w:r>
          </w:p>
          <w:p w:rsidR="0069710F" w:rsidRPr="00BA14B9" w:rsidRDefault="0069710F" w:rsidP="0069710F">
            <w:pPr>
              <w:spacing w:before="20" w:after="20"/>
              <w:ind w:firstLine="180"/>
              <w:rPr>
                <w:rFonts w:ascii="Tahoma" w:hAnsi="Tahoma" w:cs="Tahoma"/>
              </w:rPr>
            </w:pPr>
            <w:r w:rsidRPr="00BA14B9">
              <w:rPr>
                <w:rFonts w:ascii="Tahoma" w:hAnsi="Tahoma" w:cs="Tahoma"/>
              </w:rPr>
              <w:t>(% του ΑΕΠ)</w:t>
            </w:r>
          </w:p>
        </w:tc>
        <w:tc>
          <w:tcPr>
            <w:tcW w:w="0" w:type="auto"/>
            <w:tcBorders>
              <w:top w:val="nil"/>
              <w:left w:val="single" w:sz="4" w:space="0" w:color="auto"/>
              <w:bottom w:val="single" w:sz="12" w:space="0" w:color="008000"/>
              <w:right w:val="nil"/>
            </w:tcBorders>
            <w:noWrap/>
            <w:tcMar>
              <w:top w:w="15" w:type="dxa"/>
              <w:left w:w="15" w:type="dxa"/>
              <w:bottom w:w="0" w:type="dxa"/>
              <w:right w:w="15" w:type="dxa"/>
            </w:tcMar>
            <w:vAlign w:val="center"/>
          </w:tcPr>
          <w:p w:rsidR="0069710F" w:rsidRPr="00BA14B9" w:rsidRDefault="0069710F" w:rsidP="0069710F">
            <w:pPr>
              <w:spacing w:before="20" w:after="20"/>
              <w:jc w:val="center"/>
              <w:rPr>
                <w:rFonts w:ascii="Tahoma" w:hAnsi="Tahoma" w:cs="Tahoma"/>
              </w:rPr>
            </w:pPr>
            <w:r w:rsidRPr="00BA14B9">
              <w:rPr>
                <w:rFonts w:ascii="Tahoma" w:hAnsi="Tahoma" w:cs="Tahoma"/>
              </w:rPr>
              <w:t>-0,8</w:t>
            </w:r>
          </w:p>
        </w:tc>
        <w:tc>
          <w:tcPr>
            <w:tcW w:w="0" w:type="auto"/>
            <w:tcBorders>
              <w:top w:val="nil"/>
              <w:left w:val="nil"/>
              <w:bottom w:val="single" w:sz="12" w:space="0" w:color="008000"/>
              <w:right w:val="nil"/>
            </w:tcBorders>
            <w:noWrap/>
            <w:tcMar>
              <w:top w:w="15" w:type="dxa"/>
              <w:left w:w="15" w:type="dxa"/>
              <w:bottom w:w="0" w:type="dxa"/>
              <w:right w:w="15" w:type="dxa"/>
            </w:tcMar>
            <w:vAlign w:val="center"/>
          </w:tcPr>
          <w:p w:rsidR="0069710F" w:rsidRPr="00BA14B9" w:rsidRDefault="0069710F" w:rsidP="0069710F">
            <w:pPr>
              <w:spacing w:before="20" w:after="20"/>
              <w:jc w:val="center"/>
              <w:rPr>
                <w:rFonts w:ascii="Tahoma" w:hAnsi="Tahoma" w:cs="Tahoma"/>
              </w:rPr>
            </w:pPr>
            <w:r w:rsidRPr="00BA14B9">
              <w:rPr>
                <w:rFonts w:ascii="Tahoma" w:hAnsi="Tahoma" w:cs="Tahoma"/>
              </w:rPr>
              <w:t>-0,8</w:t>
            </w:r>
          </w:p>
        </w:tc>
        <w:tc>
          <w:tcPr>
            <w:tcW w:w="0" w:type="auto"/>
            <w:tcBorders>
              <w:top w:val="nil"/>
              <w:left w:val="nil"/>
              <w:bottom w:val="single" w:sz="12" w:space="0" w:color="008000"/>
              <w:right w:val="nil"/>
            </w:tcBorders>
            <w:noWrap/>
            <w:tcMar>
              <w:top w:w="15" w:type="dxa"/>
              <w:left w:w="15" w:type="dxa"/>
              <w:bottom w:w="0" w:type="dxa"/>
              <w:right w:w="15" w:type="dxa"/>
            </w:tcMar>
            <w:vAlign w:val="center"/>
          </w:tcPr>
          <w:p w:rsidR="0069710F" w:rsidRPr="00BA14B9" w:rsidRDefault="0069710F" w:rsidP="0069710F">
            <w:pPr>
              <w:spacing w:before="20" w:after="20"/>
              <w:jc w:val="center"/>
              <w:rPr>
                <w:rFonts w:ascii="Tahoma" w:hAnsi="Tahoma" w:cs="Tahoma"/>
              </w:rPr>
            </w:pPr>
            <w:r w:rsidRPr="00BA14B9">
              <w:rPr>
                <w:rFonts w:ascii="Tahoma" w:hAnsi="Tahoma" w:cs="Tahoma"/>
              </w:rPr>
              <w:t>-0,4</w:t>
            </w:r>
          </w:p>
        </w:tc>
        <w:tc>
          <w:tcPr>
            <w:tcW w:w="0" w:type="auto"/>
            <w:tcBorders>
              <w:top w:val="nil"/>
              <w:left w:val="single" w:sz="4" w:space="0" w:color="auto"/>
              <w:bottom w:val="single" w:sz="12" w:space="0" w:color="008000"/>
              <w:right w:val="nil"/>
            </w:tcBorders>
            <w:noWrap/>
            <w:tcMar>
              <w:top w:w="15" w:type="dxa"/>
              <w:left w:w="15" w:type="dxa"/>
              <w:bottom w:w="0" w:type="dxa"/>
              <w:right w:w="15" w:type="dxa"/>
            </w:tcMar>
            <w:vAlign w:val="center"/>
          </w:tcPr>
          <w:p w:rsidR="0069710F" w:rsidRPr="00BA14B9" w:rsidRDefault="0069710F" w:rsidP="0069710F">
            <w:pPr>
              <w:spacing w:before="20" w:after="20"/>
              <w:jc w:val="center"/>
              <w:rPr>
                <w:rFonts w:ascii="Tahoma" w:hAnsi="Tahoma" w:cs="Tahoma"/>
              </w:rPr>
            </w:pPr>
            <w:r w:rsidRPr="00BA14B9">
              <w:rPr>
                <w:rFonts w:ascii="Tahoma" w:hAnsi="Tahoma" w:cs="Tahoma"/>
              </w:rPr>
              <w:t>-0,4</w:t>
            </w:r>
          </w:p>
        </w:tc>
        <w:tc>
          <w:tcPr>
            <w:tcW w:w="0" w:type="auto"/>
            <w:tcBorders>
              <w:top w:val="nil"/>
              <w:left w:val="nil"/>
              <w:bottom w:val="single" w:sz="12" w:space="0" w:color="008000"/>
              <w:right w:val="nil"/>
            </w:tcBorders>
            <w:noWrap/>
            <w:tcMar>
              <w:top w:w="15" w:type="dxa"/>
              <w:left w:w="15" w:type="dxa"/>
              <w:bottom w:w="0" w:type="dxa"/>
              <w:right w:w="15" w:type="dxa"/>
            </w:tcMar>
            <w:vAlign w:val="center"/>
          </w:tcPr>
          <w:p w:rsidR="0069710F" w:rsidRPr="00BA14B9" w:rsidRDefault="0069710F" w:rsidP="0069710F">
            <w:pPr>
              <w:spacing w:before="20" w:after="20"/>
              <w:jc w:val="center"/>
              <w:rPr>
                <w:rFonts w:ascii="Tahoma" w:hAnsi="Tahoma" w:cs="Tahoma"/>
              </w:rPr>
            </w:pPr>
            <w:r w:rsidRPr="00BA14B9">
              <w:rPr>
                <w:rFonts w:ascii="Tahoma" w:hAnsi="Tahoma" w:cs="Tahoma"/>
              </w:rPr>
              <w:t>-0,6</w:t>
            </w:r>
          </w:p>
        </w:tc>
        <w:tc>
          <w:tcPr>
            <w:tcW w:w="0" w:type="auto"/>
            <w:tcBorders>
              <w:top w:val="nil"/>
              <w:left w:val="nil"/>
              <w:bottom w:val="single" w:sz="12" w:space="0" w:color="008000"/>
              <w:right w:val="single" w:sz="4" w:space="0" w:color="auto"/>
            </w:tcBorders>
            <w:noWrap/>
            <w:tcMar>
              <w:top w:w="15" w:type="dxa"/>
              <w:left w:w="15" w:type="dxa"/>
              <w:bottom w:w="0" w:type="dxa"/>
              <w:right w:w="15" w:type="dxa"/>
            </w:tcMar>
            <w:vAlign w:val="center"/>
          </w:tcPr>
          <w:p w:rsidR="0069710F" w:rsidRPr="00BA14B9" w:rsidRDefault="0069710F" w:rsidP="0069710F">
            <w:pPr>
              <w:spacing w:before="20" w:after="20"/>
              <w:jc w:val="center"/>
              <w:rPr>
                <w:rFonts w:ascii="Tahoma" w:hAnsi="Tahoma" w:cs="Tahoma"/>
              </w:rPr>
            </w:pPr>
            <w:r w:rsidRPr="00BA14B9">
              <w:rPr>
                <w:rFonts w:ascii="Tahoma" w:hAnsi="Tahoma" w:cs="Tahoma"/>
              </w:rPr>
              <w:t>-0,5</w:t>
            </w:r>
          </w:p>
        </w:tc>
      </w:tr>
    </w:tbl>
    <w:p w:rsidR="0069710F" w:rsidRDefault="0069710F" w:rsidP="0069710F">
      <w:pPr>
        <w:spacing w:line="288" w:lineRule="auto"/>
        <w:jc w:val="both"/>
        <w:rPr>
          <w:rFonts w:ascii="Tahoma" w:hAnsi="Tahoma" w:cs="Tahoma"/>
          <w:sz w:val="16"/>
          <w:szCs w:val="16"/>
          <w:lang w:val="en-US"/>
        </w:rPr>
      </w:pPr>
      <w:r w:rsidRPr="00BA14B9">
        <w:rPr>
          <w:rFonts w:ascii="Tahoma" w:hAnsi="Tahoma" w:cs="Tahoma"/>
          <w:b/>
          <w:sz w:val="16"/>
          <w:szCs w:val="16"/>
        </w:rPr>
        <w:t>Πηγή</w:t>
      </w:r>
      <w:r w:rsidRPr="00BA14B9">
        <w:rPr>
          <w:rFonts w:ascii="Tahoma" w:hAnsi="Tahoma" w:cs="Tahoma"/>
          <w:b/>
          <w:sz w:val="16"/>
          <w:szCs w:val="16"/>
          <w:lang w:val="en-GB"/>
        </w:rPr>
        <w:t xml:space="preserve">: </w:t>
      </w:r>
      <w:r w:rsidRPr="00BA14B9">
        <w:rPr>
          <w:rFonts w:ascii="Tahoma" w:hAnsi="Tahoma" w:cs="Tahoma"/>
          <w:sz w:val="16"/>
          <w:szCs w:val="16"/>
          <w:lang w:val="en-GB"/>
        </w:rPr>
        <w:t xml:space="preserve">European </w:t>
      </w:r>
      <w:r w:rsidRPr="00BA14B9">
        <w:rPr>
          <w:rFonts w:ascii="Tahoma" w:hAnsi="Tahoma" w:cs="Tahoma"/>
          <w:sz w:val="16"/>
          <w:szCs w:val="16"/>
          <w:lang w:val="en-US"/>
        </w:rPr>
        <w:t xml:space="preserve">Economic Forecast, Spring 2011, European Commission, May 2011, </w:t>
      </w:r>
    </w:p>
    <w:p w:rsidR="0069710F" w:rsidRDefault="0069710F" w:rsidP="0069710F">
      <w:pPr>
        <w:spacing w:line="288" w:lineRule="auto"/>
        <w:jc w:val="both"/>
        <w:rPr>
          <w:rFonts w:ascii="Tahoma" w:hAnsi="Tahoma" w:cs="Tahoma"/>
          <w:sz w:val="16"/>
          <w:szCs w:val="16"/>
          <w:lang w:val="en-GB"/>
        </w:rPr>
      </w:pPr>
      <w:r w:rsidRPr="00BA14B9">
        <w:rPr>
          <w:rFonts w:ascii="Tahoma" w:hAnsi="Tahoma" w:cs="Tahoma"/>
          <w:sz w:val="16"/>
          <w:szCs w:val="16"/>
          <w:lang w:val="en-US"/>
        </w:rPr>
        <w:t xml:space="preserve">* Interim Forecast, </w:t>
      </w:r>
      <w:r w:rsidRPr="00BA14B9">
        <w:rPr>
          <w:rFonts w:ascii="Tahoma" w:hAnsi="Tahoma" w:cs="Tahoma"/>
          <w:sz w:val="16"/>
          <w:szCs w:val="16"/>
          <w:lang w:val="en-GB"/>
        </w:rPr>
        <w:t>European Commission, February 2012</w:t>
      </w:r>
    </w:p>
    <w:p w:rsidR="0069710F" w:rsidRDefault="0069710F" w:rsidP="0069710F">
      <w:pPr>
        <w:spacing w:line="288" w:lineRule="auto"/>
        <w:jc w:val="both"/>
        <w:rPr>
          <w:rFonts w:ascii="Tahoma" w:hAnsi="Tahoma" w:cs="Tahoma"/>
          <w:sz w:val="16"/>
          <w:szCs w:val="16"/>
          <w:lang w:val="en-GB"/>
        </w:rPr>
        <w:sectPr w:rsidR="0069710F" w:rsidSect="0069710F">
          <w:type w:val="continuous"/>
          <w:pgSz w:w="11906" w:h="16838" w:code="9"/>
          <w:pgMar w:top="1079" w:right="1106" w:bottom="719" w:left="1440" w:header="720" w:footer="720" w:gutter="0"/>
          <w:paperSrc w:first="15" w:other="15"/>
          <w:cols w:space="720"/>
        </w:sectPr>
      </w:pPr>
    </w:p>
    <w:p w:rsidR="0069710F" w:rsidRPr="00BA14B9" w:rsidRDefault="0069710F" w:rsidP="0069710F">
      <w:pPr>
        <w:spacing w:line="288" w:lineRule="auto"/>
        <w:jc w:val="both"/>
        <w:rPr>
          <w:rFonts w:ascii="Tahoma" w:hAnsi="Tahoma" w:cs="Tahoma"/>
          <w:sz w:val="16"/>
          <w:szCs w:val="16"/>
          <w:lang w:val="en-GB"/>
        </w:rPr>
      </w:pPr>
    </w:p>
    <w:p w:rsidR="00824B57" w:rsidRPr="00A43DFA" w:rsidRDefault="00824B57" w:rsidP="0069710F">
      <w:pPr>
        <w:spacing w:before="240" w:after="240" w:line="312" w:lineRule="auto"/>
        <w:jc w:val="both"/>
        <w:rPr>
          <w:rFonts w:ascii="Tahoma" w:hAnsi="Tahoma" w:cs="Tahoma"/>
          <w:sz w:val="22"/>
          <w:szCs w:val="22"/>
          <w:lang w:val="en-US"/>
        </w:rPr>
        <w:sectPr w:rsidR="00824B57" w:rsidRPr="00A43DFA" w:rsidSect="0069710F">
          <w:type w:val="continuous"/>
          <w:pgSz w:w="11906" w:h="16838" w:code="9"/>
          <w:pgMar w:top="1079" w:right="1106" w:bottom="719" w:left="1440" w:header="720" w:footer="720" w:gutter="0"/>
          <w:paperSrc w:first="15" w:other="15"/>
          <w:cols w:space="720"/>
        </w:sectPr>
      </w:pPr>
    </w:p>
    <w:p w:rsidR="0069710F" w:rsidRPr="00CF11F4" w:rsidRDefault="0069710F" w:rsidP="0069710F">
      <w:pPr>
        <w:spacing w:before="240" w:after="240" w:line="312" w:lineRule="auto"/>
        <w:jc w:val="both"/>
        <w:rPr>
          <w:rFonts w:ascii="Tahoma" w:hAnsi="Tahoma" w:cs="Tahoma"/>
          <w:sz w:val="22"/>
          <w:szCs w:val="22"/>
        </w:rPr>
      </w:pPr>
      <w:r>
        <w:rPr>
          <w:rFonts w:ascii="Tahoma" w:hAnsi="Tahoma" w:cs="Tahoma"/>
          <w:sz w:val="22"/>
          <w:szCs w:val="22"/>
        </w:rPr>
        <w:lastRenderedPageBreak/>
        <w:t xml:space="preserve">Ο </w:t>
      </w:r>
      <w:r w:rsidRPr="00800627">
        <w:rPr>
          <w:rFonts w:ascii="Tahoma" w:hAnsi="Tahoma" w:cs="Tahoma"/>
          <w:b/>
          <w:sz w:val="22"/>
          <w:szCs w:val="22"/>
        </w:rPr>
        <w:t>πληθωρισμός</w:t>
      </w:r>
      <w:r>
        <w:rPr>
          <w:rFonts w:ascii="Tahoma" w:hAnsi="Tahoma" w:cs="Tahoma"/>
          <w:sz w:val="22"/>
          <w:szCs w:val="22"/>
        </w:rPr>
        <w:t xml:space="preserve"> το 2011 διαμορφώθηκε σε συγκριτικά υψηλά επίπεδα εξαιτίας της ανόδου των τιμών ενέργειας και της αύξησης της έμμεσης φορολογίας σε αρκετά κράτη-μέλη. Για το σύνολο του έτους, ο εναρμονισμένος πληθωρισμός διαμορφώθηκε στο 2,7% στην Ευρωζώνη (2,9% το δ’ τρίμηνο του 2011) και στο 3,1% στην ΕΕ-27 (3,2% το δ’ τρίμηνο του 2011), υψηλότερα από τις αρχικές εκτιμήσεις. Για το 2012, ο </w:t>
      </w:r>
      <w:r w:rsidRPr="00800627">
        <w:rPr>
          <w:rFonts w:ascii="Tahoma" w:hAnsi="Tahoma" w:cs="Tahoma"/>
          <w:sz w:val="22"/>
          <w:szCs w:val="22"/>
        </w:rPr>
        <w:t>πληθωρισμός</w:t>
      </w:r>
      <w:r>
        <w:rPr>
          <w:rFonts w:ascii="Tahoma" w:hAnsi="Tahoma" w:cs="Tahoma"/>
          <w:sz w:val="22"/>
          <w:szCs w:val="22"/>
        </w:rPr>
        <w:t xml:space="preserve"> αναμένεται να σταθεροποιηθεί στο 2,3% στην ΕΕ-27 και στο 2,1% στην Ευρωζώνη, εξαιτίας των πτωτικών τάσεων που παρατηρούνται στις τιμές των εμπορευμάτων και της επιβράδυνσης της οικονομικής δραστηριότητας, καθώς επίσης και λόγω της εξασθένισης των επιπτώσεων που οδήγησαν στην αύξηση του προηγούμενου έτος (αύξηση τιμών ενέργειας, υψηλότερη έμμεση φορολογία).   </w:t>
      </w:r>
    </w:p>
    <w:bookmarkEnd w:id="77"/>
    <w:bookmarkEnd w:id="78"/>
    <w:bookmarkEnd w:id="79"/>
    <w:p w:rsidR="00824B57" w:rsidRPr="00A43DFA" w:rsidRDefault="0069710F" w:rsidP="00824B57">
      <w:pPr>
        <w:spacing w:before="120" w:after="120" w:line="312" w:lineRule="auto"/>
        <w:jc w:val="both"/>
        <w:rPr>
          <w:rFonts w:ascii="Tahoma" w:hAnsi="Tahoma" w:cs="Tahoma"/>
          <w:sz w:val="22"/>
          <w:szCs w:val="22"/>
        </w:rPr>
        <w:sectPr w:rsidR="00824B57" w:rsidRPr="00A43DFA" w:rsidSect="00824B57">
          <w:type w:val="continuous"/>
          <w:pgSz w:w="11906" w:h="16838" w:code="9"/>
          <w:pgMar w:top="1079" w:right="1106" w:bottom="719" w:left="1440" w:header="720" w:footer="720" w:gutter="0"/>
          <w:paperSrc w:first="15" w:other="15"/>
          <w:cols w:num="2" w:space="720"/>
        </w:sectPr>
      </w:pPr>
      <w:r w:rsidRPr="00404AF7">
        <w:rPr>
          <w:rFonts w:ascii="Tahoma" w:hAnsi="Tahoma" w:cs="Tahoma"/>
          <w:sz w:val="22"/>
          <w:szCs w:val="22"/>
        </w:rPr>
        <w:t xml:space="preserve">Παρά την προς τα κάτω αναθεώρηση των ρυθμών </w:t>
      </w:r>
      <w:r>
        <w:rPr>
          <w:rFonts w:ascii="Tahoma" w:hAnsi="Tahoma" w:cs="Tahoma"/>
          <w:sz w:val="22"/>
          <w:szCs w:val="22"/>
        </w:rPr>
        <w:t xml:space="preserve">μεταβολής του ΑΕΠ </w:t>
      </w:r>
      <w:r w:rsidRPr="00404AF7">
        <w:rPr>
          <w:rFonts w:ascii="Tahoma" w:hAnsi="Tahoma" w:cs="Tahoma"/>
          <w:sz w:val="22"/>
          <w:szCs w:val="22"/>
        </w:rPr>
        <w:t xml:space="preserve">της ευρωπαϊκής οικονομίας, η εξέλιξη των πρόδρομων </w:t>
      </w:r>
      <w:r w:rsidRPr="00404AF7">
        <w:rPr>
          <w:rFonts w:ascii="Tahoma" w:hAnsi="Tahoma" w:cs="Tahoma"/>
          <w:sz w:val="22"/>
          <w:szCs w:val="22"/>
        </w:rPr>
        <w:lastRenderedPageBreak/>
        <w:t xml:space="preserve">δεικτών, όπως ο </w:t>
      </w:r>
      <w:r w:rsidRPr="00404AF7">
        <w:rPr>
          <w:rFonts w:ascii="Tahoma" w:hAnsi="Tahoma" w:cs="Tahoma"/>
          <w:b/>
          <w:sz w:val="22"/>
          <w:szCs w:val="22"/>
        </w:rPr>
        <w:t>δείκτης οικονομικής δραστηριότητας</w:t>
      </w:r>
      <w:r w:rsidRPr="00404AF7">
        <w:rPr>
          <w:rStyle w:val="FootnoteReference"/>
          <w:rFonts w:cs="Tahoma"/>
          <w:sz w:val="22"/>
          <w:szCs w:val="22"/>
        </w:rPr>
        <w:footnoteReference w:id="5"/>
      </w:r>
      <w:r w:rsidRPr="00404AF7">
        <w:rPr>
          <w:rFonts w:ascii="Tahoma" w:hAnsi="Tahoma" w:cs="Tahoma"/>
          <w:sz w:val="22"/>
          <w:szCs w:val="22"/>
        </w:rPr>
        <w:t xml:space="preserve"> και οι δείκτες οικονομικού κλίματος της Ευρωπαϊκής Επιτροπής (</w:t>
      </w:r>
      <w:r w:rsidRPr="00404AF7">
        <w:rPr>
          <w:rFonts w:ascii="Tahoma" w:hAnsi="Tahoma" w:cs="Tahoma"/>
          <w:sz w:val="22"/>
          <w:szCs w:val="22"/>
          <w:lang w:val="en-US"/>
        </w:rPr>
        <w:t>DG</w:t>
      </w:r>
      <w:r w:rsidRPr="00404AF7">
        <w:rPr>
          <w:rFonts w:ascii="Tahoma" w:hAnsi="Tahoma" w:cs="Tahoma"/>
          <w:sz w:val="22"/>
          <w:szCs w:val="22"/>
        </w:rPr>
        <w:t xml:space="preserve"> </w:t>
      </w:r>
      <w:r w:rsidRPr="00404AF7">
        <w:rPr>
          <w:rFonts w:ascii="Tahoma" w:hAnsi="Tahoma" w:cs="Tahoma"/>
          <w:sz w:val="22"/>
          <w:szCs w:val="22"/>
          <w:lang w:val="en-US"/>
        </w:rPr>
        <w:t>EGFIN</w:t>
      </w:r>
      <w:r w:rsidRPr="00404AF7">
        <w:rPr>
          <w:rFonts w:ascii="Tahoma" w:hAnsi="Tahoma" w:cs="Tahoma"/>
          <w:sz w:val="22"/>
          <w:szCs w:val="22"/>
        </w:rPr>
        <w:t xml:space="preserve">), </w:t>
      </w:r>
      <w:r>
        <w:rPr>
          <w:rFonts w:ascii="Tahoma" w:hAnsi="Tahoma" w:cs="Tahoma"/>
          <w:sz w:val="22"/>
          <w:szCs w:val="22"/>
        </w:rPr>
        <w:t>αντανακλούν έστω περιορισμένη</w:t>
      </w:r>
      <w:r w:rsidRPr="00404AF7">
        <w:rPr>
          <w:rFonts w:ascii="Tahoma" w:hAnsi="Tahoma" w:cs="Tahoma"/>
          <w:sz w:val="22"/>
          <w:szCs w:val="22"/>
        </w:rPr>
        <w:t xml:space="preserve"> βελτίωση του κλίματος, η οποία ουσιαστικά θα πρέπει να ερμηνευθεί ως σταθεροποίηση</w:t>
      </w:r>
      <w:r>
        <w:rPr>
          <w:rFonts w:ascii="Tahoma" w:hAnsi="Tahoma" w:cs="Tahoma"/>
          <w:sz w:val="22"/>
          <w:szCs w:val="22"/>
        </w:rPr>
        <w:t>, προς το παρόν,</w:t>
      </w:r>
      <w:r w:rsidRPr="00404AF7">
        <w:rPr>
          <w:rFonts w:ascii="Tahoma" w:hAnsi="Tahoma" w:cs="Tahoma"/>
          <w:sz w:val="22"/>
          <w:szCs w:val="22"/>
        </w:rPr>
        <w:t xml:space="preserve"> του οικονομικού περιβάλλοντος και περιοδική άρση της ευρύτερης αβεβαιότητας. Αναλυτικότερα, ο δείκτης οικονομικής δραστηριότητας για την Ευρωζώνη συνέχισε την ανοδική πορεία που καταγράφει από την αρχή του έτους, κυρίως λόγω των λιγότερο απαισιόδοξων εκτιμήσεων των επιχειρήσεων και των καταναλωτών. Θα πρέπει ωστόσο να σημειωθεί ότι ο δείκτης εξακολουθεί να κινείται σε αρνητικό έδαφος, παρέχοντας </w:t>
      </w:r>
      <w:r>
        <w:rPr>
          <w:rFonts w:ascii="Tahoma" w:hAnsi="Tahoma" w:cs="Tahoma"/>
          <w:sz w:val="22"/>
          <w:szCs w:val="22"/>
        </w:rPr>
        <w:t>έτσι</w:t>
      </w:r>
      <w:r w:rsidRPr="00404AF7">
        <w:rPr>
          <w:rFonts w:ascii="Tahoma" w:hAnsi="Tahoma" w:cs="Tahoma"/>
          <w:sz w:val="22"/>
          <w:szCs w:val="22"/>
        </w:rPr>
        <w:t xml:space="preserve"> ενδείξεις ότι το β</w:t>
      </w:r>
      <w:r>
        <w:rPr>
          <w:rFonts w:ascii="Tahoma" w:hAnsi="Tahoma" w:cs="Tahoma"/>
          <w:sz w:val="22"/>
          <w:szCs w:val="22"/>
        </w:rPr>
        <w:t xml:space="preserve">’ </w:t>
      </w:r>
      <w:r w:rsidRPr="00404AF7">
        <w:rPr>
          <w:rFonts w:ascii="Tahoma" w:hAnsi="Tahoma" w:cs="Tahoma"/>
          <w:sz w:val="22"/>
          <w:szCs w:val="22"/>
        </w:rPr>
        <w:t xml:space="preserve">τρίμηνο του 2012 προοιωνίζεται μηδενική (ή οριακά αρνητική) </w:t>
      </w:r>
      <w:r>
        <w:rPr>
          <w:rFonts w:ascii="Tahoma" w:hAnsi="Tahoma" w:cs="Tahoma"/>
          <w:sz w:val="22"/>
          <w:szCs w:val="22"/>
        </w:rPr>
        <w:lastRenderedPageBreak/>
        <w:t>μεταβολή</w:t>
      </w:r>
      <w:r w:rsidRPr="00404AF7">
        <w:rPr>
          <w:rFonts w:ascii="Tahoma" w:hAnsi="Tahoma" w:cs="Tahoma"/>
          <w:sz w:val="22"/>
          <w:szCs w:val="22"/>
        </w:rPr>
        <w:t xml:space="preserve"> του ΑΕΠ στην Ευρωζώνη, σε </w:t>
      </w:r>
      <w:r w:rsidRPr="00404AF7">
        <w:rPr>
          <w:rFonts w:ascii="Tahoma" w:hAnsi="Tahoma" w:cs="Tahoma"/>
          <w:sz w:val="22"/>
          <w:szCs w:val="22"/>
        </w:rPr>
        <w:lastRenderedPageBreak/>
        <w:t>σχέση με</w:t>
      </w:r>
      <w:r w:rsidR="00824B57">
        <w:rPr>
          <w:rFonts w:ascii="Tahoma" w:hAnsi="Tahoma" w:cs="Tahoma"/>
          <w:sz w:val="22"/>
          <w:szCs w:val="22"/>
        </w:rPr>
        <w:t xml:space="preserve"> το αμέσως προηγούμενο τρίμηνο.</w:t>
      </w:r>
    </w:p>
    <w:p w:rsidR="0069710F" w:rsidRPr="00BA14B9" w:rsidRDefault="0069710F" w:rsidP="0069710F">
      <w:pPr>
        <w:pStyle w:val="new4"/>
      </w:pPr>
      <w:r w:rsidRPr="00BA14B9">
        <w:lastRenderedPageBreak/>
        <w:t>Διάγραμμα 2.1</w:t>
      </w:r>
    </w:p>
    <w:p w:rsidR="0069710F" w:rsidRPr="00BA14B9" w:rsidRDefault="0069710F" w:rsidP="0069710F">
      <w:pPr>
        <w:pStyle w:val="new4"/>
        <w:rPr>
          <w:bCs w:val="0"/>
        </w:rPr>
      </w:pPr>
      <w:bookmarkStart w:id="82" w:name="_Toc150583588"/>
      <w:bookmarkStart w:id="83" w:name="_Toc158997785"/>
      <w:bookmarkStart w:id="84" w:name="_Toc159135497"/>
      <w:bookmarkStart w:id="85" w:name="_Toc159143338"/>
      <w:bookmarkStart w:id="86" w:name="_Toc193613286"/>
      <w:bookmarkStart w:id="87" w:name="_Toc193883089"/>
      <w:bookmarkStart w:id="88" w:name="_Toc193883354"/>
      <w:bookmarkStart w:id="89" w:name="_Toc193883441"/>
      <w:r w:rsidRPr="00BA14B9">
        <w:rPr>
          <w:b w:val="0"/>
        </w:rPr>
        <w:t>Μηνιαίος Δείκτης €-C</w:t>
      </w:r>
      <w:bookmarkEnd w:id="82"/>
      <w:r w:rsidRPr="00BA14B9">
        <w:rPr>
          <w:b w:val="0"/>
        </w:rPr>
        <w:t>ΟΙΝ του CEPR</w:t>
      </w:r>
      <w:bookmarkEnd w:id="83"/>
      <w:bookmarkEnd w:id="84"/>
      <w:bookmarkEnd w:id="85"/>
      <w:bookmarkEnd w:id="86"/>
      <w:bookmarkEnd w:id="87"/>
      <w:bookmarkEnd w:id="88"/>
      <w:bookmarkEnd w:id="89"/>
      <w:r w:rsidRPr="00BA14B9">
        <w:rPr>
          <w:bCs w:val="0"/>
        </w:rPr>
        <w:t xml:space="preserve"> </w:t>
      </w:r>
    </w:p>
    <w:p w:rsidR="0069710F" w:rsidRPr="00BA14B9" w:rsidRDefault="0069710F" w:rsidP="0069710F">
      <w:pPr>
        <w:pStyle w:val="new4"/>
        <w:rPr>
          <w:bCs w:val="0"/>
          <w:lang w:val="en-US"/>
        </w:rPr>
      </w:pPr>
      <w:r w:rsidRPr="00BB3DBE">
        <w:t xml:space="preserve"> </w:t>
      </w:r>
      <w:r>
        <w:rPr>
          <w:noProof/>
          <w:lang w:val="en-US" w:eastAsia="en-US"/>
        </w:rPr>
        <w:drawing>
          <wp:inline distT="0" distB="0" distL="0" distR="0">
            <wp:extent cx="5826760" cy="2594610"/>
            <wp:effectExtent l="19050" t="0" r="2540" b="0"/>
            <wp:docPr id="25" name="Picture 4" descr="http://eurocoin.cepr.org/files/image/ecoin_23Feb12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urocoin.cepr.org/files/image/ecoin_23Feb12_web.png"/>
                    <pic:cNvPicPr>
                      <a:picLocks noChangeAspect="1" noChangeArrowheads="1"/>
                    </pic:cNvPicPr>
                  </pic:nvPicPr>
                  <pic:blipFill>
                    <a:blip r:embed="rId24" cstate="print"/>
                    <a:srcRect/>
                    <a:stretch>
                      <a:fillRect/>
                    </a:stretch>
                  </pic:blipFill>
                  <pic:spPr bwMode="auto">
                    <a:xfrm>
                      <a:off x="0" y="0"/>
                      <a:ext cx="5826760" cy="2594610"/>
                    </a:xfrm>
                    <a:prstGeom prst="rect">
                      <a:avLst/>
                    </a:prstGeom>
                    <a:noFill/>
                    <a:ln w="9525">
                      <a:noFill/>
                      <a:miter lim="800000"/>
                      <a:headEnd/>
                      <a:tailEnd/>
                    </a:ln>
                  </pic:spPr>
                </pic:pic>
              </a:graphicData>
            </a:graphic>
          </wp:inline>
        </w:drawing>
      </w:r>
    </w:p>
    <w:p w:rsidR="0069710F" w:rsidRPr="00BA14B9" w:rsidRDefault="0069710F" w:rsidP="0069710F">
      <w:pPr>
        <w:ind w:firstLine="360"/>
        <w:jc w:val="both"/>
        <w:rPr>
          <w:rFonts w:ascii="Tahoma" w:hAnsi="Tahoma" w:cs="Tahoma"/>
          <w:sz w:val="16"/>
          <w:szCs w:val="16"/>
          <w:lang w:val="fr-FR"/>
        </w:rPr>
      </w:pPr>
      <w:r w:rsidRPr="00BA14B9">
        <w:rPr>
          <w:rFonts w:ascii="Tahoma" w:hAnsi="Tahoma" w:cs="Tahoma"/>
          <w:b/>
          <w:sz w:val="16"/>
          <w:szCs w:val="16"/>
        </w:rPr>
        <w:t>Πηγή</w:t>
      </w:r>
      <w:r w:rsidRPr="00BA14B9">
        <w:rPr>
          <w:rFonts w:ascii="Tahoma" w:hAnsi="Tahoma" w:cs="Tahoma"/>
          <w:b/>
          <w:sz w:val="16"/>
          <w:szCs w:val="16"/>
          <w:lang w:val="fr-FR"/>
        </w:rPr>
        <w:t xml:space="preserve">: </w:t>
      </w:r>
      <w:r w:rsidRPr="00BA14B9">
        <w:rPr>
          <w:rFonts w:ascii="Tahoma" w:hAnsi="Tahoma" w:cs="Tahoma"/>
          <w:sz w:val="16"/>
          <w:szCs w:val="16"/>
          <w:lang w:val="fr-FR"/>
        </w:rPr>
        <w:t>CEPR (www.cepr.org)</w:t>
      </w:r>
    </w:p>
    <w:p w:rsidR="0069710F" w:rsidRPr="009668FF" w:rsidRDefault="0069710F" w:rsidP="0069710F">
      <w:pPr>
        <w:pStyle w:val="new4"/>
        <w:rPr>
          <w:rFonts w:cs="Tahoma"/>
        </w:rPr>
      </w:pPr>
      <w:r w:rsidRPr="009668FF">
        <w:rPr>
          <w:rFonts w:cs="Tahoma"/>
        </w:rPr>
        <w:t>Πίνακας 2.5</w:t>
      </w:r>
    </w:p>
    <w:p w:rsidR="0069710F" w:rsidRPr="009668FF" w:rsidRDefault="0069710F" w:rsidP="0069710F">
      <w:pPr>
        <w:pStyle w:val="new4"/>
        <w:rPr>
          <w:b w:val="0"/>
        </w:rPr>
      </w:pPr>
      <w:bookmarkStart w:id="90" w:name="_Toc150308243"/>
      <w:bookmarkStart w:id="91" w:name="_Toc150583590"/>
      <w:bookmarkStart w:id="92" w:name="_Toc170272569"/>
      <w:bookmarkStart w:id="93" w:name="_Toc193613288"/>
      <w:bookmarkStart w:id="94" w:name="_Toc193882951"/>
      <w:bookmarkStart w:id="95" w:name="_Toc193883093"/>
      <w:bookmarkStart w:id="96" w:name="_Toc193883358"/>
      <w:bookmarkStart w:id="97" w:name="_Toc193883445"/>
      <w:r w:rsidRPr="009668FF">
        <w:rPr>
          <w:b w:val="0"/>
        </w:rPr>
        <w:t>Ευρ. Επιτροπή – Δείκτης Οικονομικού Κλίματος ΕΕ-27 &amp; Ευρωζώνης (1990-2010=100)</w:t>
      </w:r>
      <w:bookmarkEnd w:id="90"/>
      <w:bookmarkEnd w:id="91"/>
      <w:bookmarkEnd w:id="92"/>
      <w:bookmarkEnd w:id="93"/>
      <w:bookmarkEnd w:id="94"/>
      <w:bookmarkEnd w:id="95"/>
      <w:bookmarkEnd w:id="96"/>
      <w:bookmarkEnd w:id="97"/>
      <w:r w:rsidRPr="009668FF">
        <w:rPr>
          <w:b w:val="0"/>
        </w:rPr>
        <w:t>*</w:t>
      </w:r>
    </w:p>
    <w:tbl>
      <w:tblPr>
        <w:tblW w:w="10220" w:type="dxa"/>
        <w:jc w:val="center"/>
        <w:tblBorders>
          <w:top w:val="single" w:sz="4" w:space="0" w:color="auto"/>
          <w:bottom w:val="single" w:sz="4" w:space="0" w:color="auto"/>
          <w:insideH w:val="dotted" w:sz="4" w:space="0" w:color="auto"/>
        </w:tblBorders>
        <w:tblCellMar>
          <w:left w:w="29" w:type="dxa"/>
          <w:right w:w="29" w:type="dxa"/>
        </w:tblCellMar>
        <w:tblLook w:val="00A0"/>
      </w:tblPr>
      <w:tblGrid>
        <w:gridCol w:w="931"/>
        <w:gridCol w:w="790"/>
        <w:gridCol w:w="765"/>
        <w:gridCol w:w="801"/>
        <w:gridCol w:w="756"/>
        <w:gridCol w:w="770"/>
        <w:gridCol w:w="772"/>
        <w:gridCol w:w="775"/>
        <w:gridCol w:w="772"/>
        <w:gridCol w:w="772"/>
        <w:gridCol w:w="772"/>
        <w:gridCol w:w="772"/>
        <w:gridCol w:w="772"/>
      </w:tblGrid>
      <w:tr w:rsidR="0069710F" w:rsidRPr="009668FF" w:rsidTr="0069710F">
        <w:trPr>
          <w:trHeight w:hRule="exact" w:val="340"/>
          <w:jc w:val="center"/>
        </w:trPr>
        <w:tc>
          <w:tcPr>
            <w:tcW w:w="931" w:type="dxa"/>
            <w:tcBorders>
              <w:top w:val="single" w:sz="4" w:space="0" w:color="auto"/>
              <w:left w:val="single" w:sz="4" w:space="0" w:color="auto"/>
              <w:bottom w:val="single" w:sz="8" w:space="0" w:color="auto"/>
              <w:right w:val="single" w:sz="6" w:space="0" w:color="auto"/>
            </w:tcBorders>
            <w:vAlign w:val="center"/>
          </w:tcPr>
          <w:p w:rsidR="0069710F" w:rsidRPr="009668FF" w:rsidRDefault="0069710F" w:rsidP="0069710F">
            <w:pPr>
              <w:spacing w:before="40" w:after="40"/>
              <w:jc w:val="center"/>
              <w:rPr>
                <w:rFonts w:ascii="Tahoma" w:hAnsi="Tahoma" w:cs="Tahoma"/>
                <w:b/>
                <w:bCs/>
                <w:sz w:val="18"/>
                <w:szCs w:val="18"/>
              </w:rPr>
            </w:pPr>
            <w:r w:rsidRPr="009668FF">
              <w:rPr>
                <w:rFonts w:ascii="Tahoma" w:hAnsi="Tahoma" w:cs="Tahoma"/>
                <w:b/>
                <w:bCs/>
                <w:sz w:val="18"/>
                <w:szCs w:val="18"/>
              </w:rPr>
              <w:t>Μήνας</w:t>
            </w:r>
          </w:p>
        </w:tc>
        <w:tc>
          <w:tcPr>
            <w:tcW w:w="790" w:type="dxa"/>
            <w:tcBorders>
              <w:top w:val="single" w:sz="4" w:space="0" w:color="auto"/>
              <w:left w:val="nil"/>
              <w:bottom w:val="single" w:sz="8"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Ιαν-11</w:t>
            </w:r>
          </w:p>
        </w:tc>
        <w:tc>
          <w:tcPr>
            <w:tcW w:w="765" w:type="dxa"/>
            <w:tcBorders>
              <w:top w:val="single" w:sz="4" w:space="0" w:color="auto"/>
              <w:left w:val="nil"/>
              <w:bottom w:val="single" w:sz="8"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Φεβ-11</w:t>
            </w:r>
          </w:p>
        </w:tc>
        <w:tc>
          <w:tcPr>
            <w:tcW w:w="801" w:type="dxa"/>
            <w:tcBorders>
              <w:top w:val="single" w:sz="4" w:space="0" w:color="auto"/>
              <w:left w:val="nil"/>
              <w:bottom w:val="single" w:sz="8"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Μαρ-11</w:t>
            </w:r>
          </w:p>
        </w:tc>
        <w:tc>
          <w:tcPr>
            <w:tcW w:w="756" w:type="dxa"/>
            <w:tcBorders>
              <w:top w:val="single" w:sz="4" w:space="0" w:color="auto"/>
              <w:left w:val="nil"/>
              <w:bottom w:val="single" w:sz="8"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Απρ-11</w:t>
            </w:r>
          </w:p>
        </w:tc>
        <w:tc>
          <w:tcPr>
            <w:tcW w:w="770" w:type="dxa"/>
            <w:tcBorders>
              <w:top w:val="single" w:sz="4" w:space="0" w:color="auto"/>
              <w:left w:val="nil"/>
              <w:bottom w:val="single" w:sz="8" w:space="0" w:color="auto"/>
              <w:right w:val="nil"/>
            </w:tcBorders>
            <w:vAlign w:val="center"/>
          </w:tcPr>
          <w:p w:rsidR="0069710F" w:rsidRPr="009668FF" w:rsidRDefault="0069710F" w:rsidP="0069710F">
            <w:pPr>
              <w:jc w:val="center"/>
              <w:rPr>
                <w:rFonts w:ascii="Tahoma" w:hAnsi="Tahoma" w:cs="Tahoma"/>
                <w:lang w:val="en-US"/>
              </w:rPr>
            </w:pPr>
            <w:r w:rsidRPr="009668FF">
              <w:rPr>
                <w:rFonts w:ascii="Tahoma" w:hAnsi="Tahoma" w:cs="Tahoma"/>
              </w:rPr>
              <w:t>Μάι-11</w:t>
            </w:r>
          </w:p>
        </w:tc>
        <w:tc>
          <w:tcPr>
            <w:tcW w:w="772" w:type="dxa"/>
            <w:tcBorders>
              <w:top w:val="single" w:sz="4" w:space="0" w:color="auto"/>
              <w:left w:val="nil"/>
              <w:bottom w:val="single" w:sz="8"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Ιουν-11</w:t>
            </w:r>
          </w:p>
        </w:tc>
        <w:tc>
          <w:tcPr>
            <w:tcW w:w="775" w:type="dxa"/>
            <w:tcBorders>
              <w:top w:val="single" w:sz="4" w:space="0" w:color="auto"/>
              <w:left w:val="nil"/>
              <w:bottom w:val="single" w:sz="8"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Ιουλ-11</w:t>
            </w:r>
          </w:p>
        </w:tc>
        <w:tc>
          <w:tcPr>
            <w:tcW w:w="772" w:type="dxa"/>
            <w:tcBorders>
              <w:top w:val="single" w:sz="4" w:space="0" w:color="auto"/>
              <w:left w:val="nil"/>
              <w:bottom w:val="single" w:sz="8"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Αυγ-11</w:t>
            </w:r>
          </w:p>
        </w:tc>
        <w:tc>
          <w:tcPr>
            <w:tcW w:w="772" w:type="dxa"/>
            <w:tcBorders>
              <w:top w:val="single" w:sz="4" w:space="0" w:color="auto"/>
              <w:left w:val="nil"/>
              <w:bottom w:val="single" w:sz="8"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Σεπτ-11</w:t>
            </w:r>
          </w:p>
        </w:tc>
        <w:tc>
          <w:tcPr>
            <w:tcW w:w="772" w:type="dxa"/>
            <w:tcBorders>
              <w:top w:val="single" w:sz="4" w:space="0" w:color="auto"/>
              <w:left w:val="nil"/>
              <w:bottom w:val="single" w:sz="8"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Οκτ-11</w:t>
            </w:r>
          </w:p>
        </w:tc>
        <w:tc>
          <w:tcPr>
            <w:tcW w:w="772" w:type="dxa"/>
            <w:tcBorders>
              <w:top w:val="single" w:sz="4" w:space="0" w:color="auto"/>
              <w:left w:val="nil"/>
              <w:bottom w:val="single" w:sz="8"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Νοε-11</w:t>
            </w:r>
          </w:p>
        </w:tc>
        <w:tc>
          <w:tcPr>
            <w:tcW w:w="772" w:type="dxa"/>
            <w:tcBorders>
              <w:top w:val="single" w:sz="4" w:space="0" w:color="auto"/>
              <w:left w:val="nil"/>
              <w:bottom w:val="single" w:sz="8" w:space="0" w:color="auto"/>
              <w:right w:val="single" w:sz="4" w:space="0" w:color="auto"/>
            </w:tcBorders>
            <w:vAlign w:val="center"/>
          </w:tcPr>
          <w:p w:rsidR="0069710F" w:rsidRPr="009668FF" w:rsidRDefault="0069710F" w:rsidP="0069710F">
            <w:pPr>
              <w:jc w:val="center"/>
              <w:rPr>
                <w:rFonts w:ascii="Tahoma" w:hAnsi="Tahoma" w:cs="Tahoma"/>
              </w:rPr>
            </w:pPr>
            <w:r w:rsidRPr="009668FF">
              <w:rPr>
                <w:rFonts w:ascii="Tahoma" w:hAnsi="Tahoma" w:cs="Tahoma"/>
              </w:rPr>
              <w:t>Δεκ-11</w:t>
            </w:r>
          </w:p>
        </w:tc>
      </w:tr>
      <w:tr w:rsidR="0069710F" w:rsidRPr="009668FF" w:rsidTr="0069710F">
        <w:trPr>
          <w:trHeight w:val="20"/>
          <w:jc w:val="center"/>
        </w:trPr>
        <w:tc>
          <w:tcPr>
            <w:tcW w:w="931" w:type="dxa"/>
            <w:tcBorders>
              <w:top w:val="single" w:sz="8" w:space="0" w:color="auto"/>
              <w:left w:val="single" w:sz="4" w:space="0" w:color="auto"/>
              <w:bottom w:val="single" w:sz="6" w:space="0" w:color="auto"/>
              <w:right w:val="single" w:sz="6" w:space="0" w:color="auto"/>
            </w:tcBorders>
            <w:vAlign w:val="center"/>
          </w:tcPr>
          <w:p w:rsidR="0069710F" w:rsidRPr="009668FF" w:rsidRDefault="0069710F" w:rsidP="0069710F">
            <w:pPr>
              <w:spacing w:before="40" w:after="40"/>
              <w:rPr>
                <w:rFonts w:ascii="Tahoma" w:hAnsi="Tahoma" w:cs="Tahoma"/>
                <w:sz w:val="18"/>
                <w:szCs w:val="18"/>
              </w:rPr>
            </w:pPr>
            <w:r w:rsidRPr="009668FF">
              <w:rPr>
                <w:rFonts w:ascii="Tahoma" w:hAnsi="Tahoma" w:cs="Tahoma"/>
                <w:sz w:val="18"/>
                <w:szCs w:val="18"/>
              </w:rPr>
              <w:t>ΕΕ-27</w:t>
            </w:r>
          </w:p>
        </w:tc>
        <w:tc>
          <w:tcPr>
            <w:tcW w:w="790" w:type="dxa"/>
            <w:tcBorders>
              <w:top w:val="single" w:sz="8" w:space="0" w:color="auto"/>
              <w:left w:val="nil"/>
              <w:bottom w:val="single" w:sz="6" w:space="0" w:color="auto"/>
              <w:right w:val="nil"/>
            </w:tcBorders>
            <w:vAlign w:val="center"/>
          </w:tcPr>
          <w:p w:rsidR="0069710F" w:rsidRPr="009668FF" w:rsidRDefault="0069710F" w:rsidP="0069710F">
            <w:pPr>
              <w:jc w:val="center"/>
              <w:rPr>
                <w:rFonts w:ascii="Tahoma" w:hAnsi="Tahoma" w:cs="Tahoma"/>
                <w:color w:val="000000"/>
              </w:rPr>
            </w:pPr>
            <w:r w:rsidRPr="009668FF">
              <w:rPr>
                <w:rFonts w:ascii="Tahoma" w:hAnsi="Tahoma" w:cs="Tahoma"/>
                <w:color w:val="000000"/>
              </w:rPr>
              <w:t>105,5</w:t>
            </w:r>
          </w:p>
        </w:tc>
        <w:tc>
          <w:tcPr>
            <w:tcW w:w="765" w:type="dxa"/>
            <w:tcBorders>
              <w:top w:val="single" w:sz="8" w:space="0" w:color="auto"/>
              <w:left w:val="nil"/>
              <w:bottom w:val="single" w:sz="6" w:space="0" w:color="auto"/>
              <w:right w:val="nil"/>
            </w:tcBorders>
            <w:vAlign w:val="center"/>
          </w:tcPr>
          <w:p w:rsidR="0069710F" w:rsidRPr="009668FF" w:rsidRDefault="0069710F" w:rsidP="0069710F">
            <w:pPr>
              <w:jc w:val="center"/>
              <w:rPr>
                <w:rFonts w:ascii="Tahoma" w:hAnsi="Tahoma" w:cs="Tahoma"/>
                <w:color w:val="000000"/>
              </w:rPr>
            </w:pPr>
            <w:r w:rsidRPr="009668FF">
              <w:rPr>
                <w:rFonts w:ascii="Tahoma" w:hAnsi="Tahoma" w:cs="Tahoma"/>
                <w:color w:val="000000"/>
              </w:rPr>
              <w:t>107,0</w:t>
            </w:r>
          </w:p>
        </w:tc>
        <w:tc>
          <w:tcPr>
            <w:tcW w:w="801" w:type="dxa"/>
            <w:tcBorders>
              <w:top w:val="single" w:sz="8" w:space="0" w:color="auto"/>
              <w:left w:val="nil"/>
              <w:bottom w:val="single" w:sz="6" w:space="0" w:color="auto"/>
              <w:right w:val="nil"/>
            </w:tcBorders>
            <w:vAlign w:val="center"/>
          </w:tcPr>
          <w:p w:rsidR="0069710F" w:rsidRPr="009668FF" w:rsidRDefault="0069710F" w:rsidP="0069710F">
            <w:pPr>
              <w:jc w:val="center"/>
              <w:rPr>
                <w:rFonts w:ascii="Tahoma" w:hAnsi="Tahoma" w:cs="Tahoma"/>
                <w:color w:val="000000"/>
              </w:rPr>
            </w:pPr>
            <w:r w:rsidRPr="009668FF">
              <w:rPr>
                <w:rFonts w:ascii="Tahoma" w:hAnsi="Tahoma" w:cs="Tahoma"/>
                <w:color w:val="000000"/>
              </w:rPr>
              <w:t>106,8</w:t>
            </w:r>
          </w:p>
        </w:tc>
        <w:tc>
          <w:tcPr>
            <w:tcW w:w="756" w:type="dxa"/>
            <w:tcBorders>
              <w:top w:val="single" w:sz="8" w:space="0" w:color="auto"/>
              <w:left w:val="nil"/>
              <w:bottom w:val="single" w:sz="6" w:space="0" w:color="auto"/>
              <w:right w:val="nil"/>
            </w:tcBorders>
            <w:vAlign w:val="center"/>
          </w:tcPr>
          <w:p w:rsidR="0069710F" w:rsidRPr="009668FF" w:rsidRDefault="0069710F" w:rsidP="0069710F">
            <w:pPr>
              <w:jc w:val="center"/>
              <w:rPr>
                <w:rFonts w:ascii="Tahoma" w:hAnsi="Tahoma" w:cs="Tahoma"/>
                <w:color w:val="000000"/>
              </w:rPr>
            </w:pPr>
            <w:r w:rsidRPr="009668FF">
              <w:rPr>
                <w:rFonts w:ascii="Tahoma" w:hAnsi="Tahoma" w:cs="Tahoma"/>
                <w:color w:val="000000"/>
              </w:rPr>
              <w:t>104,7</w:t>
            </w:r>
          </w:p>
        </w:tc>
        <w:tc>
          <w:tcPr>
            <w:tcW w:w="770" w:type="dxa"/>
            <w:tcBorders>
              <w:top w:val="single" w:sz="8" w:space="0" w:color="auto"/>
              <w:left w:val="nil"/>
              <w:bottom w:val="single" w:sz="6" w:space="0" w:color="auto"/>
              <w:right w:val="nil"/>
            </w:tcBorders>
            <w:vAlign w:val="center"/>
          </w:tcPr>
          <w:p w:rsidR="0069710F" w:rsidRPr="009668FF" w:rsidRDefault="0069710F" w:rsidP="0069710F">
            <w:pPr>
              <w:jc w:val="center"/>
              <w:rPr>
                <w:rFonts w:ascii="Tahoma" w:hAnsi="Tahoma" w:cs="Tahoma"/>
                <w:color w:val="000000"/>
              </w:rPr>
            </w:pPr>
            <w:r w:rsidRPr="009668FF">
              <w:rPr>
                <w:rFonts w:ascii="Tahoma" w:hAnsi="Tahoma" w:cs="Tahoma"/>
                <w:color w:val="000000"/>
              </w:rPr>
              <w:t>104,9</w:t>
            </w:r>
          </w:p>
        </w:tc>
        <w:tc>
          <w:tcPr>
            <w:tcW w:w="772" w:type="dxa"/>
            <w:tcBorders>
              <w:top w:val="single" w:sz="8" w:space="0" w:color="auto"/>
              <w:left w:val="nil"/>
              <w:bottom w:val="single" w:sz="6" w:space="0" w:color="auto"/>
              <w:right w:val="nil"/>
            </w:tcBorders>
            <w:vAlign w:val="center"/>
          </w:tcPr>
          <w:p w:rsidR="0069710F" w:rsidRPr="009668FF" w:rsidRDefault="0069710F" w:rsidP="0069710F">
            <w:pPr>
              <w:jc w:val="center"/>
              <w:rPr>
                <w:rFonts w:ascii="Tahoma" w:hAnsi="Tahoma" w:cs="Tahoma"/>
                <w:color w:val="000000"/>
              </w:rPr>
            </w:pPr>
            <w:r w:rsidRPr="009668FF">
              <w:rPr>
                <w:rFonts w:ascii="Tahoma" w:hAnsi="Tahoma" w:cs="Tahoma"/>
                <w:color w:val="000000"/>
              </w:rPr>
              <w:t>104,1</w:t>
            </w:r>
          </w:p>
        </w:tc>
        <w:tc>
          <w:tcPr>
            <w:tcW w:w="775" w:type="dxa"/>
            <w:tcBorders>
              <w:top w:val="single" w:sz="8" w:space="0" w:color="auto"/>
              <w:left w:val="nil"/>
              <w:bottom w:val="single" w:sz="6" w:space="0" w:color="auto"/>
              <w:right w:val="nil"/>
            </w:tcBorders>
            <w:vAlign w:val="center"/>
          </w:tcPr>
          <w:p w:rsidR="0069710F" w:rsidRPr="009668FF" w:rsidRDefault="0069710F" w:rsidP="0069710F">
            <w:pPr>
              <w:jc w:val="center"/>
              <w:rPr>
                <w:rFonts w:ascii="Tahoma" w:hAnsi="Tahoma" w:cs="Tahoma"/>
                <w:color w:val="000000"/>
              </w:rPr>
            </w:pPr>
            <w:r w:rsidRPr="009668FF">
              <w:rPr>
                <w:rFonts w:ascii="Tahoma" w:hAnsi="Tahoma" w:cs="Tahoma"/>
                <w:color w:val="000000"/>
              </w:rPr>
              <w:t>101,9</w:t>
            </w:r>
          </w:p>
        </w:tc>
        <w:tc>
          <w:tcPr>
            <w:tcW w:w="772" w:type="dxa"/>
            <w:tcBorders>
              <w:top w:val="single" w:sz="8" w:space="0" w:color="auto"/>
              <w:left w:val="nil"/>
              <w:bottom w:val="single" w:sz="6" w:space="0" w:color="auto"/>
              <w:right w:val="nil"/>
            </w:tcBorders>
            <w:vAlign w:val="center"/>
          </w:tcPr>
          <w:p w:rsidR="0069710F" w:rsidRPr="009668FF" w:rsidRDefault="0069710F" w:rsidP="0069710F">
            <w:pPr>
              <w:jc w:val="center"/>
              <w:rPr>
                <w:rFonts w:ascii="Tahoma" w:hAnsi="Tahoma" w:cs="Tahoma"/>
                <w:color w:val="000000"/>
              </w:rPr>
            </w:pPr>
            <w:r w:rsidRPr="009668FF">
              <w:rPr>
                <w:rFonts w:ascii="Tahoma" w:hAnsi="Tahoma" w:cs="Tahoma"/>
                <w:color w:val="000000"/>
              </w:rPr>
              <w:t>97,1</w:t>
            </w:r>
          </w:p>
        </w:tc>
        <w:tc>
          <w:tcPr>
            <w:tcW w:w="772" w:type="dxa"/>
            <w:tcBorders>
              <w:top w:val="single" w:sz="8" w:space="0" w:color="auto"/>
              <w:left w:val="nil"/>
              <w:bottom w:val="single" w:sz="6" w:space="0" w:color="auto"/>
              <w:right w:val="nil"/>
            </w:tcBorders>
            <w:vAlign w:val="center"/>
          </w:tcPr>
          <w:p w:rsidR="0069710F" w:rsidRPr="009668FF" w:rsidRDefault="0069710F" w:rsidP="0069710F">
            <w:pPr>
              <w:jc w:val="center"/>
              <w:rPr>
                <w:rFonts w:ascii="Tahoma" w:hAnsi="Tahoma" w:cs="Tahoma"/>
                <w:color w:val="000000"/>
              </w:rPr>
            </w:pPr>
            <w:r w:rsidRPr="009668FF">
              <w:rPr>
                <w:rFonts w:ascii="Tahoma" w:hAnsi="Tahoma" w:cs="Tahoma"/>
                <w:color w:val="000000"/>
              </w:rPr>
              <w:t>93,6</w:t>
            </w:r>
          </w:p>
        </w:tc>
        <w:tc>
          <w:tcPr>
            <w:tcW w:w="772" w:type="dxa"/>
            <w:tcBorders>
              <w:top w:val="single" w:sz="8" w:space="0" w:color="auto"/>
              <w:left w:val="nil"/>
              <w:bottom w:val="single" w:sz="6" w:space="0" w:color="auto"/>
              <w:right w:val="nil"/>
            </w:tcBorders>
            <w:vAlign w:val="center"/>
          </w:tcPr>
          <w:p w:rsidR="0069710F" w:rsidRPr="009668FF" w:rsidRDefault="0069710F" w:rsidP="0069710F">
            <w:pPr>
              <w:jc w:val="center"/>
              <w:rPr>
                <w:rFonts w:ascii="Tahoma" w:hAnsi="Tahoma" w:cs="Tahoma"/>
                <w:color w:val="000000"/>
              </w:rPr>
            </w:pPr>
            <w:r w:rsidRPr="009668FF">
              <w:rPr>
                <w:rFonts w:ascii="Tahoma" w:hAnsi="Tahoma" w:cs="Tahoma"/>
                <w:color w:val="000000"/>
              </w:rPr>
              <w:t>93,6</w:t>
            </w:r>
          </w:p>
        </w:tc>
        <w:tc>
          <w:tcPr>
            <w:tcW w:w="772" w:type="dxa"/>
            <w:tcBorders>
              <w:top w:val="single" w:sz="8" w:space="0" w:color="auto"/>
              <w:left w:val="nil"/>
              <w:bottom w:val="single" w:sz="6" w:space="0" w:color="auto"/>
              <w:right w:val="nil"/>
            </w:tcBorders>
            <w:vAlign w:val="center"/>
          </w:tcPr>
          <w:p w:rsidR="0069710F" w:rsidRPr="009668FF" w:rsidRDefault="0069710F" w:rsidP="0069710F">
            <w:pPr>
              <w:jc w:val="center"/>
              <w:rPr>
                <w:rFonts w:ascii="Tahoma" w:hAnsi="Tahoma" w:cs="Tahoma"/>
                <w:color w:val="000000"/>
              </w:rPr>
            </w:pPr>
            <w:r w:rsidRPr="009668FF">
              <w:rPr>
                <w:rFonts w:ascii="Tahoma" w:hAnsi="Tahoma" w:cs="Tahoma"/>
                <w:color w:val="000000"/>
              </w:rPr>
              <w:t>92,6</w:t>
            </w:r>
          </w:p>
        </w:tc>
        <w:tc>
          <w:tcPr>
            <w:tcW w:w="772" w:type="dxa"/>
            <w:tcBorders>
              <w:top w:val="single" w:sz="8" w:space="0" w:color="auto"/>
              <w:left w:val="nil"/>
              <w:bottom w:val="single" w:sz="6" w:space="0" w:color="auto"/>
              <w:right w:val="single" w:sz="4" w:space="0" w:color="auto"/>
            </w:tcBorders>
            <w:vAlign w:val="center"/>
          </w:tcPr>
          <w:p w:rsidR="0069710F" w:rsidRPr="009668FF" w:rsidRDefault="0069710F" w:rsidP="0069710F">
            <w:pPr>
              <w:jc w:val="center"/>
              <w:rPr>
                <w:rFonts w:ascii="Tahoma" w:hAnsi="Tahoma" w:cs="Tahoma"/>
                <w:color w:val="000000"/>
              </w:rPr>
            </w:pPr>
            <w:r w:rsidRPr="009668FF">
              <w:rPr>
                <w:rFonts w:ascii="Tahoma" w:hAnsi="Tahoma" w:cs="Tahoma"/>
                <w:color w:val="000000"/>
              </w:rPr>
              <w:t>91,6</w:t>
            </w:r>
          </w:p>
        </w:tc>
      </w:tr>
      <w:tr w:rsidR="0069710F" w:rsidRPr="009668FF" w:rsidTr="0069710F">
        <w:trPr>
          <w:trHeight w:val="20"/>
          <w:jc w:val="center"/>
        </w:trPr>
        <w:tc>
          <w:tcPr>
            <w:tcW w:w="931" w:type="dxa"/>
            <w:tcBorders>
              <w:top w:val="single" w:sz="6" w:space="0" w:color="auto"/>
              <w:left w:val="single" w:sz="4" w:space="0" w:color="auto"/>
              <w:bottom w:val="single" w:sz="4" w:space="0" w:color="auto"/>
              <w:right w:val="single" w:sz="6" w:space="0" w:color="auto"/>
            </w:tcBorders>
            <w:vAlign w:val="center"/>
          </w:tcPr>
          <w:p w:rsidR="0069710F" w:rsidRPr="009668FF" w:rsidRDefault="0069710F" w:rsidP="0069710F">
            <w:pPr>
              <w:spacing w:before="40" w:after="40"/>
              <w:rPr>
                <w:rFonts w:ascii="Tahoma" w:hAnsi="Tahoma" w:cs="Tahoma"/>
                <w:sz w:val="18"/>
                <w:szCs w:val="18"/>
              </w:rPr>
            </w:pPr>
            <w:r w:rsidRPr="009668FF">
              <w:rPr>
                <w:rFonts w:ascii="Tahoma" w:hAnsi="Tahoma" w:cs="Tahoma"/>
                <w:sz w:val="18"/>
                <w:szCs w:val="18"/>
              </w:rPr>
              <w:t>Ευρωζώνη</w:t>
            </w:r>
          </w:p>
        </w:tc>
        <w:tc>
          <w:tcPr>
            <w:tcW w:w="790" w:type="dxa"/>
            <w:tcBorders>
              <w:top w:val="single" w:sz="6" w:space="0" w:color="auto"/>
              <w:left w:val="nil"/>
              <w:bottom w:val="single" w:sz="4"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80,6</w:t>
            </w:r>
          </w:p>
        </w:tc>
        <w:tc>
          <w:tcPr>
            <w:tcW w:w="765" w:type="dxa"/>
            <w:tcBorders>
              <w:top w:val="single" w:sz="6" w:space="0" w:color="auto"/>
              <w:left w:val="nil"/>
              <w:bottom w:val="single" w:sz="4"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83,5</w:t>
            </w:r>
          </w:p>
        </w:tc>
        <w:tc>
          <w:tcPr>
            <w:tcW w:w="801" w:type="dxa"/>
            <w:tcBorders>
              <w:top w:val="single" w:sz="6" w:space="0" w:color="auto"/>
              <w:left w:val="nil"/>
              <w:bottom w:val="single" w:sz="4"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82,6</w:t>
            </w:r>
          </w:p>
        </w:tc>
        <w:tc>
          <w:tcPr>
            <w:tcW w:w="756" w:type="dxa"/>
            <w:tcBorders>
              <w:top w:val="single" w:sz="6" w:space="0" w:color="auto"/>
              <w:left w:val="nil"/>
              <w:bottom w:val="single" w:sz="4"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78,8</w:t>
            </w:r>
          </w:p>
        </w:tc>
        <w:tc>
          <w:tcPr>
            <w:tcW w:w="770" w:type="dxa"/>
            <w:tcBorders>
              <w:top w:val="single" w:sz="6" w:space="0" w:color="auto"/>
              <w:left w:val="nil"/>
              <w:bottom w:val="single" w:sz="4"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78,6</w:t>
            </w:r>
          </w:p>
        </w:tc>
        <w:tc>
          <w:tcPr>
            <w:tcW w:w="772" w:type="dxa"/>
            <w:tcBorders>
              <w:top w:val="single" w:sz="6" w:space="0" w:color="auto"/>
              <w:left w:val="nil"/>
              <w:bottom w:val="single" w:sz="4"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75,0</w:t>
            </w:r>
          </w:p>
        </w:tc>
        <w:tc>
          <w:tcPr>
            <w:tcW w:w="775" w:type="dxa"/>
            <w:tcBorders>
              <w:top w:val="single" w:sz="6" w:space="0" w:color="auto"/>
              <w:left w:val="nil"/>
              <w:bottom w:val="single" w:sz="4"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75,8</w:t>
            </w:r>
          </w:p>
        </w:tc>
        <w:tc>
          <w:tcPr>
            <w:tcW w:w="772" w:type="dxa"/>
            <w:tcBorders>
              <w:top w:val="single" w:sz="6" w:space="0" w:color="auto"/>
              <w:left w:val="nil"/>
              <w:bottom w:val="single" w:sz="4"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78,3</w:t>
            </w:r>
          </w:p>
        </w:tc>
        <w:tc>
          <w:tcPr>
            <w:tcW w:w="772" w:type="dxa"/>
            <w:tcBorders>
              <w:top w:val="single" w:sz="6" w:space="0" w:color="auto"/>
              <w:left w:val="nil"/>
              <w:bottom w:val="single" w:sz="4"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75,5</w:t>
            </w:r>
          </w:p>
        </w:tc>
        <w:tc>
          <w:tcPr>
            <w:tcW w:w="772" w:type="dxa"/>
            <w:tcBorders>
              <w:top w:val="single" w:sz="6" w:space="0" w:color="auto"/>
              <w:left w:val="nil"/>
              <w:bottom w:val="single" w:sz="4"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73,0</w:t>
            </w:r>
          </w:p>
        </w:tc>
        <w:tc>
          <w:tcPr>
            <w:tcW w:w="772" w:type="dxa"/>
            <w:tcBorders>
              <w:top w:val="single" w:sz="6" w:space="0" w:color="auto"/>
              <w:left w:val="nil"/>
              <w:bottom w:val="single" w:sz="4"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74,0</w:t>
            </w:r>
          </w:p>
        </w:tc>
        <w:tc>
          <w:tcPr>
            <w:tcW w:w="772" w:type="dxa"/>
            <w:tcBorders>
              <w:top w:val="single" w:sz="6" w:space="0" w:color="auto"/>
              <w:left w:val="nil"/>
              <w:bottom w:val="single" w:sz="4" w:space="0" w:color="auto"/>
              <w:right w:val="single" w:sz="4" w:space="0" w:color="auto"/>
            </w:tcBorders>
            <w:vAlign w:val="center"/>
          </w:tcPr>
          <w:p w:rsidR="0069710F" w:rsidRPr="009668FF" w:rsidRDefault="0069710F" w:rsidP="0069710F">
            <w:pPr>
              <w:jc w:val="center"/>
              <w:rPr>
                <w:rFonts w:ascii="Tahoma" w:hAnsi="Tahoma" w:cs="Tahoma"/>
              </w:rPr>
            </w:pPr>
            <w:r w:rsidRPr="009668FF">
              <w:rPr>
                <w:rFonts w:ascii="Tahoma" w:hAnsi="Tahoma" w:cs="Tahoma"/>
              </w:rPr>
              <w:t>75,7</w:t>
            </w:r>
          </w:p>
        </w:tc>
      </w:tr>
    </w:tbl>
    <w:p w:rsidR="0069710F" w:rsidRPr="009668FF" w:rsidRDefault="0069710F" w:rsidP="0069710F">
      <w:pPr>
        <w:jc w:val="both"/>
        <w:rPr>
          <w:rFonts w:ascii="Tahoma" w:hAnsi="Tahoma" w:cs="Tahoma"/>
          <w:sz w:val="16"/>
          <w:szCs w:val="16"/>
          <w:lang w:val="en-US"/>
        </w:rPr>
      </w:pPr>
    </w:p>
    <w:tbl>
      <w:tblPr>
        <w:tblW w:w="10220" w:type="dxa"/>
        <w:jc w:val="center"/>
        <w:tblBorders>
          <w:top w:val="single" w:sz="4" w:space="0" w:color="auto"/>
          <w:bottom w:val="single" w:sz="4" w:space="0" w:color="auto"/>
          <w:insideH w:val="dotted" w:sz="4" w:space="0" w:color="auto"/>
        </w:tblBorders>
        <w:tblCellMar>
          <w:left w:w="29" w:type="dxa"/>
          <w:right w:w="29" w:type="dxa"/>
        </w:tblCellMar>
        <w:tblLook w:val="00A0"/>
      </w:tblPr>
      <w:tblGrid>
        <w:gridCol w:w="931"/>
        <w:gridCol w:w="790"/>
        <w:gridCol w:w="765"/>
        <w:gridCol w:w="801"/>
        <w:gridCol w:w="756"/>
        <w:gridCol w:w="770"/>
        <w:gridCol w:w="772"/>
        <w:gridCol w:w="775"/>
        <w:gridCol w:w="772"/>
        <w:gridCol w:w="772"/>
        <w:gridCol w:w="772"/>
        <w:gridCol w:w="772"/>
        <w:gridCol w:w="772"/>
      </w:tblGrid>
      <w:tr w:rsidR="0069710F" w:rsidRPr="009668FF" w:rsidTr="0069710F">
        <w:trPr>
          <w:trHeight w:hRule="exact" w:val="340"/>
          <w:jc w:val="center"/>
        </w:trPr>
        <w:tc>
          <w:tcPr>
            <w:tcW w:w="931" w:type="dxa"/>
            <w:tcBorders>
              <w:top w:val="single" w:sz="4" w:space="0" w:color="auto"/>
              <w:left w:val="single" w:sz="4" w:space="0" w:color="auto"/>
              <w:bottom w:val="single" w:sz="8" w:space="0" w:color="auto"/>
              <w:right w:val="single" w:sz="6" w:space="0" w:color="auto"/>
            </w:tcBorders>
            <w:vAlign w:val="center"/>
          </w:tcPr>
          <w:p w:rsidR="0069710F" w:rsidRPr="009668FF" w:rsidRDefault="0069710F" w:rsidP="0069710F">
            <w:pPr>
              <w:spacing w:before="40" w:after="40"/>
              <w:jc w:val="center"/>
              <w:rPr>
                <w:rFonts w:ascii="Tahoma" w:hAnsi="Tahoma" w:cs="Tahoma"/>
                <w:b/>
                <w:bCs/>
                <w:sz w:val="18"/>
                <w:szCs w:val="18"/>
              </w:rPr>
            </w:pPr>
            <w:r w:rsidRPr="009668FF">
              <w:rPr>
                <w:rFonts w:ascii="Tahoma" w:hAnsi="Tahoma" w:cs="Tahoma"/>
                <w:b/>
                <w:bCs/>
                <w:sz w:val="18"/>
                <w:szCs w:val="18"/>
              </w:rPr>
              <w:t>Μήνας</w:t>
            </w:r>
          </w:p>
        </w:tc>
        <w:tc>
          <w:tcPr>
            <w:tcW w:w="790" w:type="dxa"/>
            <w:tcBorders>
              <w:top w:val="single" w:sz="4" w:space="0" w:color="auto"/>
              <w:left w:val="nil"/>
              <w:bottom w:val="single" w:sz="8"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Ιαν-12</w:t>
            </w:r>
          </w:p>
        </w:tc>
        <w:tc>
          <w:tcPr>
            <w:tcW w:w="765" w:type="dxa"/>
            <w:tcBorders>
              <w:top w:val="single" w:sz="4" w:space="0" w:color="auto"/>
              <w:left w:val="nil"/>
              <w:bottom w:val="single" w:sz="8"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Φεβ-12</w:t>
            </w:r>
          </w:p>
        </w:tc>
        <w:tc>
          <w:tcPr>
            <w:tcW w:w="801" w:type="dxa"/>
            <w:tcBorders>
              <w:top w:val="single" w:sz="4" w:space="0" w:color="auto"/>
              <w:left w:val="nil"/>
              <w:bottom w:val="single" w:sz="8"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Μαρ-12</w:t>
            </w:r>
          </w:p>
        </w:tc>
        <w:tc>
          <w:tcPr>
            <w:tcW w:w="756" w:type="dxa"/>
            <w:tcBorders>
              <w:top w:val="single" w:sz="4" w:space="0" w:color="auto"/>
              <w:left w:val="nil"/>
              <w:bottom w:val="single" w:sz="8"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Απρ-12</w:t>
            </w:r>
          </w:p>
        </w:tc>
        <w:tc>
          <w:tcPr>
            <w:tcW w:w="770" w:type="dxa"/>
            <w:tcBorders>
              <w:top w:val="single" w:sz="4" w:space="0" w:color="auto"/>
              <w:left w:val="nil"/>
              <w:bottom w:val="single" w:sz="8" w:space="0" w:color="auto"/>
              <w:right w:val="nil"/>
            </w:tcBorders>
            <w:vAlign w:val="center"/>
          </w:tcPr>
          <w:p w:rsidR="0069710F" w:rsidRPr="009668FF" w:rsidRDefault="0069710F" w:rsidP="0069710F">
            <w:pPr>
              <w:jc w:val="center"/>
              <w:rPr>
                <w:rFonts w:ascii="Tahoma" w:hAnsi="Tahoma" w:cs="Tahoma"/>
                <w:lang w:val="en-US"/>
              </w:rPr>
            </w:pPr>
            <w:r w:rsidRPr="009668FF">
              <w:rPr>
                <w:rFonts w:ascii="Tahoma" w:hAnsi="Tahoma" w:cs="Tahoma"/>
              </w:rPr>
              <w:t>Μάι-12</w:t>
            </w:r>
          </w:p>
        </w:tc>
        <w:tc>
          <w:tcPr>
            <w:tcW w:w="772" w:type="dxa"/>
            <w:tcBorders>
              <w:top w:val="single" w:sz="4" w:space="0" w:color="auto"/>
              <w:left w:val="nil"/>
              <w:bottom w:val="single" w:sz="8"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Ιουν-12</w:t>
            </w:r>
          </w:p>
        </w:tc>
        <w:tc>
          <w:tcPr>
            <w:tcW w:w="775" w:type="dxa"/>
            <w:tcBorders>
              <w:top w:val="single" w:sz="4" w:space="0" w:color="auto"/>
              <w:left w:val="nil"/>
              <w:bottom w:val="single" w:sz="8"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Ιουλ-12</w:t>
            </w:r>
          </w:p>
        </w:tc>
        <w:tc>
          <w:tcPr>
            <w:tcW w:w="772" w:type="dxa"/>
            <w:tcBorders>
              <w:top w:val="single" w:sz="4" w:space="0" w:color="auto"/>
              <w:left w:val="nil"/>
              <w:bottom w:val="single" w:sz="8"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Αυγ-12</w:t>
            </w:r>
          </w:p>
        </w:tc>
        <w:tc>
          <w:tcPr>
            <w:tcW w:w="772" w:type="dxa"/>
            <w:tcBorders>
              <w:top w:val="single" w:sz="4" w:space="0" w:color="auto"/>
              <w:left w:val="nil"/>
              <w:bottom w:val="single" w:sz="8"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Σεπτ-12</w:t>
            </w:r>
          </w:p>
        </w:tc>
        <w:tc>
          <w:tcPr>
            <w:tcW w:w="772" w:type="dxa"/>
            <w:tcBorders>
              <w:top w:val="single" w:sz="4" w:space="0" w:color="auto"/>
              <w:left w:val="nil"/>
              <w:bottom w:val="single" w:sz="8"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Οκτ-12</w:t>
            </w:r>
          </w:p>
        </w:tc>
        <w:tc>
          <w:tcPr>
            <w:tcW w:w="772" w:type="dxa"/>
            <w:tcBorders>
              <w:top w:val="single" w:sz="4" w:space="0" w:color="auto"/>
              <w:left w:val="nil"/>
              <w:bottom w:val="single" w:sz="8"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Νοε-12</w:t>
            </w:r>
          </w:p>
        </w:tc>
        <w:tc>
          <w:tcPr>
            <w:tcW w:w="772" w:type="dxa"/>
            <w:tcBorders>
              <w:top w:val="single" w:sz="4" w:space="0" w:color="auto"/>
              <w:left w:val="nil"/>
              <w:bottom w:val="single" w:sz="8" w:space="0" w:color="auto"/>
              <w:right w:val="single" w:sz="4" w:space="0" w:color="auto"/>
            </w:tcBorders>
            <w:vAlign w:val="center"/>
          </w:tcPr>
          <w:p w:rsidR="0069710F" w:rsidRPr="009668FF" w:rsidRDefault="0069710F" w:rsidP="0069710F">
            <w:pPr>
              <w:jc w:val="center"/>
              <w:rPr>
                <w:rFonts w:ascii="Tahoma" w:hAnsi="Tahoma" w:cs="Tahoma"/>
              </w:rPr>
            </w:pPr>
            <w:r w:rsidRPr="009668FF">
              <w:rPr>
                <w:rFonts w:ascii="Tahoma" w:hAnsi="Tahoma" w:cs="Tahoma"/>
              </w:rPr>
              <w:t>Δεκ-12</w:t>
            </w:r>
          </w:p>
        </w:tc>
      </w:tr>
      <w:tr w:rsidR="0069710F" w:rsidRPr="009668FF" w:rsidTr="0069710F">
        <w:trPr>
          <w:trHeight w:val="20"/>
          <w:jc w:val="center"/>
        </w:trPr>
        <w:tc>
          <w:tcPr>
            <w:tcW w:w="931" w:type="dxa"/>
            <w:tcBorders>
              <w:top w:val="single" w:sz="8" w:space="0" w:color="auto"/>
              <w:left w:val="single" w:sz="4" w:space="0" w:color="auto"/>
              <w:bottom w:val="single" w:sz="6" w:space="0" w:color="auto"/>
              <w:right w:val="single" w:sz="6" w:space="0" w:color="auto"/>
            </w:tcBorders>
            <w:vAlign w:val="center"/>
          </w:tcPr>
          <w:p w:rsidR="0069710F" w:rsidRPr="009668FF" w:rsidRDefault="0069710F" w:rsidP="0069710F">
            <w:pPr>
              <w:spacing w:before="40" w:after="40"/>
              <w:rPr>
                <w:rFonts w:ascii="Tahoma" w:hAnsi="Tahoma" w:cs="Tahoma"/>
                <w:sz w:val="18"/>
                <w:szCs w:val="18"/>
              </w:rPr>
            </w:pPr>
            <w:r w:rsidRPr="009668FF">
              <w:rPr>
                <w:rFonts w:ascii="Tahoma" w:hAnsi="Tahoma" w:cs="Tahoma"/>
                <w:sz w:val="18"/>
                <w:szCs w:val="18"/>
              </w:rPr>
              <w:t>ΕΕ-27</w:t>
            </w:r>
          </w:p>
        </w:tc>
        <w:tc>
          <w:tcPr>
            <w:tcW w:w="790" w:type="dxa"/>
            <w:tcBorders>
              <w:top w:val="single" w:sz="8" w:space="0" w:color="auto"/>
              <w:left w:val="nil"/>
              <w:bottom w:val="single" w:sz="6" w:space="0" w:color="auto"/>
              <w:right w:val="nil"/>
            </w:tcBorders>
            <w:vAlign w:val="center"/>
          </w:tcPr>
          <w:p w:rsidR="0069710F" w:rsidRPr="009668FF" w:rsidRDefault="0069710F" w:rsidP="0069710F">
            <w:pPr>
              <w:jc w:val="center"/>
              <w:rPr>
                <w:rFonts w:ascii="Tahoma" w:hAnsi="Tahoma" w:cs="Tahoma"/>
                <w:color w:val="000000"/>
              </w:rPr>
            </w:pPr>
            <w:r w:rsidRPr="009668FF">
              <w:rPr>
                <w:rFonts w:ascii="Tahoma" w:hAnsi="Tahoma" w:cs="Tahoma"/>
                <w:color w:val="000000"/>
              </w:rPr>
              <w:t>92,8</w:t>
            </w:r>
          </w:p>
        </w:tc>
        <w:tc>
          <w:tcPr>
            <w:tcW w:w="765" w:type="dxa"/>
            <w:tcBorders>
              <w:top w:val="single" w:sz="8" w:space="0" w:color="auto"/>
              <w:left w:val="nil"/>
              <w:bottom w:val="single" w:sz="6" w:space="0" w:color="auto"/>
              <w:right w:val="nil"/>
            </w:tcBorders>
            <w:vAlign w:val="center"/>
          </w:tcPr>
          <w:p w:rsidR="0069710F" w:rsidRPr="009668FF" w:rsidRDefault="0069710F" w:rsidP="0069710F">
            <w:pPr>
              <w:jc w:val="center"/>
              <w:rPr>
                <w:rFonts w:ascii="Tahoma" w:hAnsi="Tahoma" w:cs="Tahoma"/>
                <w:color w:val="000000"/>
              </w:rPr>
            </w:pPr>
            <w:r w:rsidRPr="009668FF">
              <w:rPr>
                <w:rFonts w:ascii="Tahoma" w:hAnsi="Tahoma" w:cs="Tahoma"/>
                <w:color w:val="000000"/>
              </w:rPr>
              <w:t>93,9</w:t>
            </w:r>
          </w:p>
        </w:tc>
        <w:tc>
          <w:tcPr>
            <w:tcW w:w="801" w:type="dxa"/>
            <w:tcBorders>
              <w:top w:val="single" w:sz="8" w:space="0" w:color="auto"/>
              <w:left w:val="nil"/>
              <w:bottom w:val="single" w:sz="6" w:space="0" w:color="auto"/>
              <w:right w:val="nil"/>
            </w:tcBorders>
            <w:vAlign w:val="center"/>
          </w:tcPr>
          <w:p w:rsidR="0069710F" w:rsidRPr="009668FF" w:rsidRDefault="0069710F" w:rsidP="0069710F">
            <w:pPr>
              <w:jc w:val="center"/>
              <w:rPr>
                <w:rFonts w:ascii="Tahoma" w:hAnsi="Tahoma" w:cs="Tahoma"/>
                <w:color w:val="000000"/>
              </w:rPr>
            </w:pPr>
          </w:p>
        </w:tc>
        <w:tc>
          <w:tcPr>
            <w:tcW w:w="756" w:type="dxa"/>
            <w:tcBorders>
              <w:top w:val="single" w:sz="8" w:space="0" w:color="auto"/>
              <w:left w:val="nil"/>
              <w:bottom w:val="single" w:sz="6" w:space="0" w:color="auto"/>
              <w:right w:val="nil"/>
            </w:tcBorders>
            <w:vAlign w:val="center"/>
          </w:tcPr>
          <w:p w:rsidR="0069710F" w:rsidRPr="009668FF" w:rsidRDefault="0069710F" w:rsidP="0069710F">
            <w:pPr>
              <w:jc w:val="center"/>
              <w:rPr>
                <w:rFonts w:ascii="Tahoma" w:hAnsi="Tahoma" w:cs="Tahoma"/>
                <w:color w:val="000000"/>
              </w:rPr>
            </w:pPr>
          </w:p>
        </w:tc>
        <w:tc>
          <w:tcPr>
            <w:tcW w:w="770" w:type="dxa"/>
            <w:tcBorders>
              <w:top w:val="single" w:sz="8" w:space="0" w:color="auto"/>
              <w:left w:val="nil"/>
              <w:bottom w:val="single" w:sz="6" w:space="0" w:color="auto"/>
              <w:right w:val="nil"/>
            </w:tcBorders>
            <w:vAlign w:val="center"/>
          </w:tcPr>
          <w:p w:rsidR="0069710F" w:rsidRPr="009668FF" w:rsidRDefault="0069710F" w:rsidP="0069710F">
            <w:pPr>
              <w:jc w:val="center"/>
              <w:rPr>
                <w:rFonts w:ascii="Tahoma" w:hAnsi="Tahoma" w:cs="Tahoma"/>
                <w:color w:val="000000"/>
              </w:rPr>
            </w:pPr>
          </w:p>
        </w:tc>
        <w:tc>
          <w:tcPr>
            <w:tcW w:w="772" w:type="dxa"/>
            <w:tcBorders>
              <w:top w:val="single" w:sz="8" w:space="0" w:color="auto"/>
              <w:left w:val="nil"/>
              <w:bottom w:val="single" w:sz="6" w:space="0" w:color="auto"/>
              <w:right w:val="nil"/>
            </w:tcBorders>
            <w:vAlign w:val="center"/>
          </w:tcPr>
          <w:p w:rsidR="0069710F" w:rsidRPr="009668FF" w:rsidRDefault="0069710F" w:rsidP="0069710F">
            <w:pPr>
              <w:jc w:val="center"/>
              <w:rPr>
                <w:rFonts w:ascii="Tahoma" w:hAnsi="Tahoma" w:cs="Tahoma"/>
                <w:color w:val="000000"/>
              </w:rPr>
            </w:pPr>
          </w:p>
        </w:tc>
        <w:tc>
          <w:tcPr>
            <w:tcW w:w="775" w:type="dxa"/>
            <w:tcBorders>
              <w:top w:val="single" w:sz="8" w:space="0" w:color="auto"/>
              <w:left w:val="nil"/>
              <w:bottom w:val="single" w:sz="6" w:space="0" w:color="auto"/>
              <w:right w:val="nil"/>
            </w:tcBorders>
            <w:vAlign w:val="center"/>
          </w:tcPr>
          <w:p w:rsidR="0069710F" w:rsidRPr="009668FF" w:rsidRDefault="0069710F" w:rsidP="0069710F">
            <w:pPr>
              <w:jc w:val="center"/>
              <w:rPr>
                <w:rFonts w:ascii="Tahoma" w:hAnsi="Tahoma" w:cs="Tahoma"/>
                <w:color w:val="000000"/>
              </w:rPr>
            </w:pPr>
          </w:p>
        </w:tc>
        <w:tc>
          <w:tcPr>
            <w:tcW w:w="772" w:type="dxa"/>
            <w:tcBorders>
              <w:top w:val="single" w:sz="8" w:space="0" w:color="auto"/>
              <w:left w:val="nil"/>
              <w:bottom w:val="single" w:sz="6" w:space="0" w:color="auto"/>
              <w:right w:val="nil"/>
            </w:tcBorders>
            <w:vAlign w:val="center"/>
          </w:tcPr>
          <w:p w:rsidR="0069710F" w:rsidRPr="009668FF" w:rsidRDefault="0069710F" w:rsidP="0069710F">
            <w:pPr>
              <w:jc w:val="center"/>
              <w:rPr>
                <w:rFonts w:ascii="Tahoma" w:hAnsi="Tahoma" w:cs="Tahoma"/>
                <w:color w:val="000000"/>
              </w:rPr>
            </w:pPr>
          </w:p>
        </w:tc>
        <w:tc>
          <w:tcPr>
            <w:tcW w:w="772" w:type="dxa"/>
            <w:tcBorders>
              <w:top w:val="single" w:sz="8" w:space="0" w:color="auto"/>
              <w:left w:val="nil"/>
              <w:bottom w:val="single" w:sz="6" w:space="0" w:color="auto"/>
              <w:right w:val="nil"/>
            </w:tcBorders>
            <w:vAlign w:val="center"/>
          </w:tcPr>
          <w:p w:rsidR="0069710F" w:rsidRPr="009668FF" w:rsidRDefault="0069710F" w:rsidP="0069710F">
            <w:pPr>
              <w:jc w:val="center"/>
              <w:rPr>
                <w:rFonts w:ascii="Tahoma" w:hAnsi="Tahoma" w:cs="Tahoma"/>
                <w:color w:val="000000"/>
              </w:rPr>
            </w:pPr>
          </w:p>
        </w:tc>
        <w:tc>
          <w:tcPr>
            <w:tcW w:w="772" w:type="dxa"/>
            <w:tcBorders>
              <w:top w:val="single" w:sz="8" w:space="0" w:color="auto"/>
              <w:left w:val="nil"/>
              <w:bottom w:val="single" w:sz="6" w:space="0" w:color="auto"/>
              <w:right w:val="nil"/>
            </w:tcBorders>
            <w:vAlign w:val="center"/>
          </w:tcPr>
          <w:p w:rsidR="0069710F" w:rsidRPr="009668FF" w:rsidRDefault="0069710F" w:rsidP="0069710F">
            <w:pPr>
              <w:jc w:val="center"/>
              <w:rPr>
                <w:rFonts w:ascii="Tahoma" w:hAnsi="Tahoma" w:cs="Tahoma"/>
                <w:color w:val="000000"/>
              </w:rPr>
            </w:pPr>
          </w:p>
        </w:tc>
        <w:tc>
          <w:tcPr>
            <w:tcW w:w="772" w:type="dxa"/>
            <w:tcBorders>
              <w:top w:val="single" w:sz="8" w:space="0" w:color="auto"/>
              <w:left w:val="nil"/>
              <w:bottom w:val="single" w:sz="6" w:space="0" w:color="auto"/>
              <w:right w:val="nil"/>
            </w:tcBorders>
          </w:tcPr>
          <w:p w:rsidR="0069710F" w:rsidRPr="009668FF" w:rsidRDefault="0069710F" w:rsidP="0069710F">
            <w:pPr>
              <w:jc w:val="center"/>
              <w:rPr>
                <w:rFonts w:ascii="Tahoma" w:hAnsi="Tahoma" w:cs="Tahoma"/>
                <w:color w:val="000000"/>
              </w:rPr>
            </w:pPr>
          </w:p>
        </w:tc>
        <w:tc>
          <w:tcPr>
            <w:tcW w:w="772" w:type="dxa"/>
            <w:tcBorders>
              <w:top w:val="single" w:sz="8" w:space="0" w:color="auto"/>
              <w:left w:val="nil"/>
              <w:bottom w:val="single" w:sz="6" w:space="0" w:color="auto"/>
              <w:right w:val="single" w:sz="4" w:space="0" w:color="auto"/>
            </w:tcBorders>
            <w:vAlign w:val="center"/>
          </w:tcPr>
          <w:p w:rsidR="0069710F" w:rsidRPr="009668FF" w:rsidRDefault="0069710F" w:rsidP="0069710F">
            <w:pPr>
              <w:jc w:val="center"/>
              <w:rPr>
                <w:rFonts w:ascii="Tahoma" w:hAnsi="Tahoma" w:cs="Tahoma"/>
                <w:color w:val="000000"/>
              </w:rPr>
            </w:pPr>
          </w:p>
        </w:tc>
      </w:tr>
      <w:tr w:rsidR="0069710F" w:rsidRPr="009668FF" w:rsidTr="0069710F">
        <w:trPr>
          <w:trHeight w:val="20"/>
          <w:jc w:val="center"/>
        </w:trPr>
        <w:tc>
          <w:tcPr>
            <w:tcW w:w="931" w:type="dxa"/>
            <w:tcBorders>
              <w:top w:val="single" w:sz="6" w:space="0" w:color="auto"/>
              <w:left w:val="single" w:sz="4" w:space="0" w:color="auto"/>
              <w:bottom w:val="single" w:sz="4" w:space="0" w:color="auto"/>
              <w:right w:val="single" w:sz="6" w:space="0" w:color="auto"/>
            </w:tcBorders>
            <w:vAlign w:val="center"/>
          </w:tcPr>
          <w:p w:rsidR="0069710F" w:rsidRPr="009668FF" w:rsidRDefault="0069710F" w:rsidP="0069710F">
            <w:pPr>
              <w:spacing w:before="40" w:after="40"/>
              <w:rPr>
                <w:rFonts w:ascii="Tahoma" w:hAnsi="Tahoma" w:cs="Tahoma"/>
                <w:sz w:val="18"/>
                <w:szCs w:val="18"/>
              </w:rPr>
            </w:pPr>
            <w:r w:rsidRPr="009668FF">
              <w:rPr>
                <w:rFonts w:ascii="Tahoma" w:hAnsi="Tahoma" w:cs="Tahoma"/>
                <w:sz w:val="18"/>
                <w:szCs w:val="18"/>
              </w:rPr>
              <w:t>Ευρωζώνη</w:t>
            </w:r>
          </w:p>
        </w:tc>
        <w:tc>
          <w:tcPr>
            <w:tcW w:w="790" w:type="dxa"/>
            <w:tcBorders>
              <w:top w:val="single" w:sz="6" w:space="0" w:color="auto"/>
              <w:left w:val="nil"/>
              <w:bottom w:val="single" w:sz="4"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74,9</w:t>
            </w:r>
          </w:p>
        </w:tc>
        <w:tc>
          <w:tcPr>
            <w:tcW w:w="765" w:type="dxa"/>
            <w:tcBorders>
              <w:top w:val="single" w:sz="6" w:space="0" w:color="auto"/>
              <w:left w:val="nil"/>
              <w:bottom w:val="single" w:sz="4" w:space="0" w:color="auto"/>
              <w:right w:val="nil"/>
            </w:tcBorders>
            <w:vAlign w:val="center"/>
          </w:tcPr>
          <w:p w:rsidR="0069710F" w:rsidRPr="009668FF" w:rsidRDefault="0069710F" w:rsidP="0069710F">
            <w:pPr>
              <w:jc w:val="center"/>
              <w:rPr>
                <w:rFonts w:ascii="Tahoma" w:hAnsi="Tahoma" w:cs="Tahoma"/>
              </w:rPr>
            </w:pPr>
            <w:r w:rsidRPr="009668FF">
              <w:rPr>
                <w:rFonts w:ascii="Tahoma" w:hAnsi="Tahoma" w:cs="Tahoma"/>
              </w:rPr>
              <w:t>74,9</w:t>
            </w:r>
          </w:p>
        </w:tc>
        <w:tc>
          <w:tcPr>
            <w:tcW w:w="801" w:type="dxa"/>
            <w:tcBorders>
              <w:top w:val="single" w:sz="6" w:space="0" w:color="auto"/>
              <w:left w:val="nil"/>
              <w:bottom w:val="single" w:sz="4" w:space="0" w:color="auto"/>
              <w:right w:val="nil"/>
            </w:tcBorders>
            <w:vAlign w:val="center"/>
          </w:tcPr>
          <w:p w:rsidR="0069710F" w:rsidRPr="009668FF" w:rsidRDefault="0069710F" w:rsidP="0069710F">
            <w:pPr>
              <w:jc w:val="center"/>
              <w:rPr>
                <w:rFonts w:ascii="Tahoma" w:hAnsi="Tahoma" w:cs="Tahoma"/>
              </w:rPr>
            </w:pPr>
          </w:p>
        </w:tc>
        <w:tc>
          <w:tcPr>
            <w:tcW w:w="756" w:type="dxa"/>
            <w:tcBorders>
              <w:top w:val="single" w:sz="6" w:space="0" w:color="auto"/>
              <w:left w:val="nil"/>
              <w:bottom w:val="single" w:sz="4" w:space="0" w:color="auto"/>
              <w:right w:val="nil"/>
            </w:tcBorders>
            <w:vAlign w:val="center"/>
          </w:tcPr>
          <w:p w:rsidR="0069710F" w:rsidRPr="009668FF" w:rsidRDefault="0069710F" w:rsidP="0069710F">
            <w:pPr>
              <w:jc w:val="center"/>
              <w:rPr>
                <w:rFonts w:ascii="Tahoma" w:hAnsi="Tahoma" w:cs="Tahoma"/>
              </w:rPr>
            </w:pPr>
          </w:p>
        </w:tc>
        <w:tc>
          <w:tcPr>
            <w:tcW w:w="770" w:type="dxa"/>
            <w:tcBorders>
              <w:top w:val="single" w:sz="6" w:space="0" w:color="auto"/>
              <w:left w:val="nil"/>
              <w:bottom w:val="single" w:sz="4" w:space="0" w:color="auto"/>
              <w:right w:val="nil"/>
            </w:tcBorders>
            <w:vAlign w:val="center"/>
          </w:tcPr>
          <w:p w:rsidR="0069710F" w:rsidRPr="009668FF" w:rsidRDefault="0069710F" w:rsidP="0069710F">
            <w:pPr>
              <w:jc w:val="center"/>
              <w:rPr>
                <w:rFonts w:ascii="Tahoma" w:hAnsi="Tahoma" w:cs="Tahoma"/>
              </w:rPr>
            </w:pPr>
          </w:p>
        </w:tc>
        <w:tc>
          <w:tcPr>
            <w:tcW w:w="772" w:type="dxa"/>
            <w:tcBorders>
              <w:top w:val="single" w:sz="6" w:space="0" w:color="auto"/>
              <w:left w:val="nil"/>
              <w:bottom w:val="single" w:sz="4" w:space="0" w:color="auto"/>
              <w:right w:val="nil"/>
            </w:tcBorders>
            <w:vAlign w:val="center"/>
          </w:tcPr>
          <w:p w:rsidR="0069710F" w:rsidRPr="009668FF" w:rsidRDefault="0069710F" w:rsidP="0069710F">
            <w:pPr>
              <w:jc w:val="center"/>
              <w:rPr>
                <w:rFonts w:ascii="Tahoma" w:hAnsi="Tahoma" w:cs="Tahoma"/>
              </w:rPr>
            </w:pPr>
          </w:p>
        </w:tc>
        <w:tc>
          <w:tcPr>
            <w:tcW w:w="775" w:type="dxa"/>
            <w:tcBorders>
              <w:top w:val="single" w:sz="6" w:space="0" w:color="auto"/>
              <w:left w:val="nil"/>
              <w:bottom w:val="single" w:sz="4" w:space="0" w:color="auto"/>
              <w:right w:val="nil"/>
            </w:tcBorders>
            <w:vAlign w:val="center"/>
          </w:tcPr>
          <w:p w:rsidR="0069710F" w:rsidRPr="009668FF" w:rsidRDefault="0069710F" w:rsidP="0069710F">
            <w:pPr>
              <w:jc w:val="center"/>
              <w:rPr>
                <w:rFonts w:ascii="Tahoma" w:hAnsi="Tahoma" w:cs="Tahoma"/>
              </w:rPr>
            </w:pPr>
          </w:p>
        </w:tc>
        <w:tc>
          <w:tcPr>
            <w:tcW w:w="772" w:type="dxa"/>
            <w:tcBorders>
              <w:top w:val="single" w:sz="6" w:space="0" w:color="auto"/>
              <w:left w:val="nil"/>
              <w:bottom w:val="single" w:sz="4" w:space="0" w:color="auto"/>
              <w:right w:val="nil"/>
            </w:tcBorders>
            <w:vAlign w:val="center"/>
          </w:tcPr>
          <w:p w:rsidR="0069710F" w:rsidRPr="009668FF" w:rsidRDefault="0069710F" w:rsidP="0069710F">
            <w:pPr>
              <w:jc w:val="center"/>
              <w:rPr>
                <w:rFonts w:ascii="Tahoma" w:hAnsi="Tahoma" w:cs="Tahoma"/>
              </w:rPr>
            </w:pPr>
          </w:p>
        </w:tc>
        <w:tc>
          <w:tcPr>
            <w:tcW w:w="772" w:type="dxa"/>
            <w:tcBorders>
              <w:top w:val="single" w:sz="6" w:space="0" w:color="auto"/>
              <w:left w:val="nil"/>
              <w:bottom w:val="single" w:sz="4" w:space="0" w:color="auto"/>
              <w:right w:val="nil"/>
            </w:tcBorders>
            <w:vAlign w:val="center"/>
          </w:tcPr>
          <w:p w:rsidR="0069710F" w:rsidRPr="009668FF" w:rsidRDefault="0069710F" w:rsidP="0069710F">
            <w:pPr>
              <w:jc w:val="center"/>
              <w:rPr>
                <w:rFonts w:ascii="Tahoma" w:hAnsi="Tahoma" w:cs="Tahoma"/>
              </w:rPr>
            </w:pPr>
          </w:p>
        </w:tc>
        <w:tc>
          <w:tcPr>
            <w:tcW w:w="772" w:type="dxa"/>
            <w:tcBorders>
              <w:top w:val="single" w:sz="6" w:space="0" w:color="auto"/>
              <w:left w:val="nil"/>
              <w:bottom w:val="single" w:sz="4" w:space="0" w:color="auto"/>
              <w:right w:val="nil"/>
            </w:tcBorders>
            <w:vAlign w:val="center"/>
          </w:tcPr>
          <w:p w:rsidR="0069710F" w:rsidRPr="009668FF" w:rsidRDefault="0069710F" w:rsidP="0069710F">
            <w:pPr>
              <w:jc w:val="center"/>
              <w:rPr>
                <w:rFonts w:ascii="Tahoma" w:hAnsi="Tahoma" w:cs="Tahoma"/>
              </w:rPr>
            </w:pPr>
          </w:p>
        </w:tc>
        <w:tc>
          <w:tcPr>
            <w:tcW w:w="772" w:type="dxa"/>
            <w:tcBorders>
              <w:top w:val="single" w:sz="6" w:space="0" w:color="auto"/>
              <w:left w:val="nil"/>
              <w:bottom w:val="single" w:sz="4" w:space="0" w:color="auto"/>
              <w:right w:val="nil"/>
            </w:tcBorders>
          </w:tcPr>
          <w:p w:rsidR="0069710F" w:rsidRPr="009668FF" w:rsidRDefault="0069710F" w:rsidP="0069710F">
            <w:pPr>
              <w:jc w:val="center"/>
              <w:rPr>
                <w:rFonts w:ascii="Tahoma" w:hAnsi="Tahoma" w:cs="Tahoma"/>
              </w:rPr>
            </w:pPr>
          </w:p>
        </w:tc>
        <w:tc>
          <w:tcPr>
            <w:tcW w:w="772" w:type="dxa"/>
            <w:tcBorders>
              <w:top w:val="single" w:sz="6" w:space="0" w:color="auto"/>
              <w:left w:val="nil"/>
              <w:bottom w:val="single" w:sz="4" w:space="0" w:color="auto"/>
              <w:right w:val="single" w:sz="4" w:space="0" w:color="auto"/>
            </w:tcBorders>
            <w:vAlign w:val="center"/>
          </w:tcPr>
          <w:p w:rsidR="0069710F" w:rsidRPr="009668FF" w:rsidRDefault="0069710F" w:rsidP="0069710F">
            <w:pPr>
              <w:jc w:val="center"/>
              <w:rPr>
                <w:rFonts w:ascii="Tahoma" w:hAnsi="Tahoma" w:cs="Tahoma"/>
              </w:rPr>
            </w:pPr>
          </w:p>
        </w:tc>
      </w:tr>
    </w:tbl>
    <w:p w:rsidR="0069710F" w:rsidRPr="009668FF" w:rsidRDefault="0069710F" w:rsidP="0069710F">
      <w:pPr>
        <w:jc w:val="both"/>
        <w:rPr>
          <w:rFonts w:ascii="Tahoma" w:hAnsi="Tahoma" w:cs="Tahoma"/>
          <w:sz w:val="16"/>
          <w:szCs w:val="16"/>
        </w:rPr>
      </w:pPr>
      <w:r w:rsidRPr="009668FF">
        <w:rPr>
          <w:rFonts w:ascii="Tahoma" w:hAnsi="Tahoma" w:cs="Tahoma"/>
          <w:sz w:val="16"/>
          <w:szCs w:val="16"/>
        </w:rPr>
        <w:t xml:space="preserve">*Από τον Μάιο του 2010, τα στοιχεία των ερευνών των επιχειρήσεων για το οικονομικό κλίμα, ταξινομούνται πλέον σύμφωνα με την νέα </w:t>
      </w:r>
      <w:r w:rsidRPr="009668FF">
        <w:rPr>
          <w:rFonts w:ascii="Tahoma" w:hAnsi="Tahoma" w:cs="Tahoma"/>
          <w:sz w:val="16"/>
          <w:szCs w:val="16"/>
          <w:lang w:val="en-US"/>
        </w:rPr>
        <w:t>NACE</w:t>
      </w:r>
      <w:r w:rsidRPr="009668FF">
        <w:rPr>
          <w:rFonts w:ascii="Tahoma" w:hAnsi="Tahoma" w:cs="Tahoma"/>
          <w:sz w:val="16"/>
          <w:szCs w:val="16"/>
        </w:rPr>
        <w:t xml:space="preserve"> </w:t>
      </w:r>
      <w:r w:rsidRPr="009668FF">
        <w:rPr>
          <w:rFonts w:ascii="Tahoma" w:hAnsi="Tahoma" w:cs="Tahoma"/>
          <w:sz w:val="16"/>
          <w:szCs w:val="16"/>
          <w:lang w:val="en-US"/>
        </w:rPr>
        <w:t>Rev</w:t>
      </w:r>
      <w:r w:rsidRPr="009668FF">
        <w:rPr>
          <w:rFonts w:ascii="Tahoma" w:hAnsi="Tahoma" w:cs="Tahoma"/>
          <w:sz w:val="16"/>
          <w:szCs w:val="16"/>
        </w:rPr>
        <w:t>. 2 της Ευρωπαϊκής Ένωσης που αντιστοιχεί στην εθνική ΣΤΑΚΟΔ 08</w:t>
      </w:r>
    </w:p>
    <w:p w:rsidR="0069710F" w:rsidRDefault="0069710F" w:rsidP="0069710F">
      <w:pPr>
        <w:spacing w:line="288" w:lineRule="auto"/>
        <w:jc w:val="both"/>
        <w:rPr>
          <w:rFonts w:ascii="Tahoma" w:hAnsi="Tahoma" w:cs="Tahoma"/>
          <w:sz w:val="16"/>
          <w:szCs w:val="16"/>
          <w:lang w:val="en-GB"/>
        </w:rPr>
      </w:pPr>
      <w:r w:rsidRPr="009668FF">
        <w:rPr>
          <w:rFonts w:ascii="Tahoma" w:hAnsi="Tahoma" w:cs="Tahoma"/>
          <w:b/>
          <w:iCs/>
          <w:sz w:val="16"/>
          <w:szCs w:val="16"/>
        </w:rPr>
        <w:t>Πηγή</w:t>
      </w:r>
      <w:r w:rsidRPr="009668FF">
        <w:rPr>
          <w:rFonts w:ascii="Tahoma" w:hAnsi="Tahoma" w:cs="Tahoma"/>
          <w:b/>
          <w:iCs/>
          <w:sz w:val="16"/>
          <w:szCs w:val="16"/>
          <w:lang w:val="en-GB"/>
        </w:rPr>
        <w:t>:</w:t>
      </w:r>
      <w:r w:rsidRPr="009668FF">
        <w:rPr>
          <w:rFonts w:ascii="Tahoma" w:hAnsi="Tahoma" w:cs="Tahoma"/>
          <w:sz w:val="16"/>
          <w:szCs w:val="16"/>
          <w:lang w:val="en-GB"/>
        </w:rPr>
        <w:t xml:space="preserve"> </w:t>
      </w:r>
      <w:r w:rsidRPr="009668FF">
        <w:rPr>
          <w:rFonts w:ascii="Tahoma" w:hAnsi="Tahoma" w:cs="Tahoma"/>
          <w:sz w:val="16"/>
          <w:szCs w:val="16"/>
          <w:lang w:val="en-US"/>
        </w:rPr>
        <w:t>European</w:t>
      </w:r>
      <w:r w:rsidRPr="009668FF">
        <w:rPr>
          <w:rFonts w:ascii="Tahoma" w:hAnsi="Tahoma" w:cs="Tahoma"/>
          <w:sz w:val="16"/>
          <w:szCs w:val="16"/>
          <w:lang w:val="en-GB"/>
        </w:rPr>
        <w:t xml:space="preserve"> </w:t>
      </w:r>
      <w:r w:rsidRPr="009668FF">
        <w:rPr>
          <w:rFonts w:ascii="Tahoma" w:hAnsi="Tahoma" w:cs="Tahoma"/>
          <w:sz w:val="16"/>
          <w:szCs w:val="16"/>
          <w:lang w:val="en-US"/>
        </w:rPr>
        <w:t>Commission</w:t>
      </w:r>
      <w:r w:rsidRPr="009668FF">
        <w:rPr>
          <w:rFonts w:ascii="Tahoma" w:hAnsi="Tahoma" w:cs="Tahoma"/>
          <w:sz w:val="16"/>
          <w:szCs w:val="16"/>
          <w:lang w:val="en-GB"/>
        </w:rPr>
        <w:t xml:space="preserve"> (</w:t>
      </w:r>
      <w:r w:rsidRPr="009668FF">
        <w:rPr>
          <w:rFonts w:ascii="Tahoma" w:hAnsi="Tahoma" w:cs="Tahoma"/>
          <w:sz w:val="16"/>
          <w:szCs w:val="16"/>
          <w:lang w:val="en-US"/>
        </w:rPr>
        <w:t>DG</w:t>
      </w:r>
      <w:r w:rsidRPr="009668FF">
        <w:rPr>
          <w:rFonts w:ascii="Tahoma" w:hAnsi="Tahoma" w:cs="Tahoma"/>
          <w:sz w:val="16"/>
          <w:szCs w:val="16"/>
          <w:lang w:val="en-GB"/>
        </w:rPr>
        <w:t xml:space="preserve"> </w:t>
      </w:r>
      <w:r w:rsidRPr="009668FF">
        <w:rPr>
          <w:rFonts w:ascii="Tahoma" w:hAnsi="Tahoma" w:cs="Tahoma"/>
          <w:sz w:val="16"/>
          <w:szCs w:val="16"/>
          <w:lang w:val="en-US"/>
        </w:rPr>
        <w:t>ECFIN</w:t>
      </w:r>
      <w:r w:rsidRPr="009668FF">
        <w:rPr>
          <w:rFonts w:ascii="Tahoma" w:hAnsi="Tahoma" w:cs="Tahoma"/>
          <w:sz w:val="16"/>
          <w:szCs w:val="16"/>
          <w:lang w:val="en-GB"/>
        </w:rPr>
        <w:t xml:space="preserve">), </w:t>
      </w:r>
      <w:r>
        <w:rPr>
          <w:rFonts w:ascii="Tahoma" w:hAnsi="Tahoma" w:cs="Tahoma"/>
          <w:sz w:val="16"/>
          <w:szCs w:val="16"/>
          <w:lang w:val="en-GB"/>
        </w:rPr>
        <w:t xml:space="preserve">February </w:t>
      </w:r>
      <w:r w:rsidRPr="009668FF">
        <w:rPr>
          <w:rFonts w:ascii="Tahoma" w:hAnsi="Tahoma" w:cs="Tahoma"/>
          <w:sz w:val="16"/>
          <w:szCs w:val="16"/>
          <w:lang w:val="en-GB"/>
        </w:rPr>
        <w:t>201</w:t>
      </w:r>
      <w:r w:rsidRPr="00BD3C8E">
        <w:rPr>
          <w:rFonts w:ascii="Tahoma" w:hAnsi="Tahoma" w:cs="Tahoma"/>
          <w:sz w:val="16"/>
          <w:szCs w:val="16"/>
          <w:lang w:val="en-GB"/>
        </w:rPr>
        <w:t>2</w:t>
      </w:r>
    </w:p>
    <w:p w:rsidR="0069710F" w:rsidRDefault="0069710F" w:rsidP="0069710F">
      <w:pPr>
        <w:spacing w:line="288" w:lineRule="auto"/>
        <w:jc w:val="both"/>
        <w:rPr>
          <w:rFonts w:ascii="Tahoma" w:hAnsi="Tahoma" w:cs="Tahoma"/>
          <w:sz w:val="16"/>
          <w:szCs w:val="16"/>
          <w:lang w:val="en-GB"/>
        </w:rPr>
        <w:sectPr w:rsidR="0069710F" w:rsidSect="0069710F">
          <w:type w:val="continuous"/>
          <w:pgSz w:w="11906" w:h="16838" w:code="9"/>
          <w:pgMar w:top="1079" w:right="1106" w:bottom="719" w:left="1440" w:header="720" w:footer="720" w:gutter="0"/>
          <w:paperSrc w:first="15" w:other="15"/>
          <w:cols w:space="720"/>
        </w:sectPr>
      </w:pPr>
    </w:p>
    <w:p w:rsidR="00690B78" w:rsidRPr="00A43DFA" w:rsidRDefault="0069710F" w:rsidP="00824B57">
      <w:pPr>
        <w:spacing w:before="120" w:after="120" w:line="312" w:lineRule="auto"/>
        <w:jc w:val="both"/>
        <w:rPr>
          <w:rFonts w:ascii="Tahoma" w:hAnsi="Tahoma" w:cs="Tahoma"/>
          <w:sz w:val="22"/>
          <w:szCs w:val="22"/>
        </w:rPr>
      </w:pPr>
      <w:r w:rsidRPr="00FD1AFC">
        <w:rPr>
          <w:rFonts w:ascii="Tahoma" w:hAnsi="Tahoma" w:cs="Tahoma"/>
          <w:sz w:val="22"/>
          <w:szCs w:val="22"/>
        </w:rPr>
        <w:lastRenderedPageBreak/>
        <w:t xml:space="preserve">Επίσης, οι δείκτες </w:t>
      </w:r>
      <w:r w:rsidRPr="00FD1AFC">
        <w:rPr>
          <w:rFonts w:ascii="Tahoma" w:hAnsi="Tahoma" w:cs="Tahoma"/>
          <w:b/>
          <w:sz w:val="22"/>
          <w:szCs w:val="22"/>
        </w:rPr>
        <w:t>οικονομικού κλίματος</w:t>
      </w:r>
      <w:r w:rsidRPr="00FD1AFC">
        <w:rPr>
          <w:rFonts w:ascii="Tahoma" w:hAnsi="Tahoma" w:cs="Tahoma"/>
          <w:sz w:val="22"/>
          <w:szCs w:val="22"/>
        </w:rPr>
        <w:t xml:space="preserve"> της Ευρωπαϊκής Επιτροπής σε Ευρωζώνη και ΕΕ-27, οι οποίοι στην Ελλάδα εκτιμώνται από το ΙΟΒΕ, καταγράφουν βελτίωση το τελευταίο διάστημα (έστω και οριακή). Τον Φεβρουάριο παρατηρήθηκε αύξηση του εν λόγω δείκτη στην Ευρωζώνη, για δεύτερο συνεχόμενο μήνα. Παρόμοια τάση εμφανίζεται και σε επίπεδο ΕΕ-27. Ωστόσο, οι δείκτες απέχουν ακόμα από το μακροχρόνιο μέσο όρο και στις δυο ζώνες, ενώ η ανάκαμψη του Φεβρουαρίου οφείλεται σε υψηλότερες προσδοκίες σε </w:t>
      </w:r>
      <w:r w:rsidRPr="00FD1AFC">
        <w:rPr>
          <w:rFonts w:ascii="Tahoma" w:hAnsi="Tahoma" w:cs="Tahoma"/>
          <w:sz w:val="22"/>
          <w:szCs w:val="22"/>
        </w:rPr>
        <w:lastRenderedPageBreak/>
        <w:t xml:space="preserve">όλους του τομείς (Βιομηχανία, Λιανικό Εμπόριο, Κατασκευές) εκτός από τις Υπηρεσίες, όπου καταγράφεται οριακή υποχώρηση. Η μικρή βελτίωση των επιχειρηματικών προσδοκιών ουσιαστικά αντανακλά την υποχώρηση των ανησυχιών για επιδείνωση της κρίσης στην ευρωζώνη. Παράλληλα, ο δείκτης </w:t>
      </w:r>
      <w:r w:rsidRPr="00FD1AFC">
        <w:rPr>
          <w:rFonts w:ascii="Tahoma" w:hAnsi="Tahoma" w:cs="Tahoma"/>
          <w:b/>
          <w:sz w:val="22"/>
          <w:szCs w:val="22"/>
        </w:rPr>
        <w:t xml:space="preserve">καταναλωτικής εμπιστοσύνης </w:t>
      </w:r>
      <w:r w:rsidRPr="00FD1AFC">
        <w:rPr>
          <w:rFonts w:ascii="Tahoma" w:hAnsi="Tahoma" w:cs="Tahoma"/>
          <w:sz w:val="22"/>
          <w:szCs w:val="22"/>
        </w:rPr>
        <w:t>βελτιώθηκε</w:t>
      </w:r>
      <w:r w:rsidRPr="00FD1AFC">
        <w:rPr>
          <w:rFonts w:ascii="Tahoma" w:hAnsi="Tahoma" w:cs="Tahoma"/>
          <w:b/>
          <w:sz w:val="22"/>
          <w:szCs w:val="22"/>
        </w:rPr>
        <w:t xml:space="preserve"> </w:t>
      </w:r>
      <w:r w:rsidRPr="00FD1AFC">
        <w:rPr>
          <w:rFonts w:ascii="Tahoma" w:hAnsi="Tahoma" w:cs="Tahoma"/>
          <w:sz w:val="22"/>
          <w:szCs w:val="22"/>
        </w:rPr>
        <w:t xml:space="preserve">οριακά τον Φεβρουάριο και στις δυο ζώνες, εξέλιξη η οποία εκπορεύεται από την άνοδο των προσδοκιών των ευρωπαίων πολιτών ως προς τη μελλοντική οικονομική κατάσταση των νοικοκυριών και της χώρας τους. </w:t>
      </w:r>
    </w:p>
    <w:p w:rsidR="0069710F" w:rsidRPr="00A43DFA" w:rsidRDefault="0069710F" w:rsidP="00690B78">
      <w:pPr>
        <w:sectPr w:rsidR="0069710F" w:rsidRPr="00A43DFA" w:rsidSect="0069710F">
          <w:type w:val="continuous"/>
          <w:pgSz w:w="11906" w:h="16838" w:code="9"/>
          <w:pgMar w:top="1079" w:right="1106" w:bottom="719" w:left="1440" w:header="720" w:footer="720" w:gutter="0"/>
          <w:paperSrc w:first="15" w:other="15"/>
          <w:cols w:num="2" w:space="720"/>
        </w:sectPr>
      </w:pPr>
    </w:p>
    <w:p w:rsidR="0069710F" w:rsidRPr="00A43DFA" w:rsidRDefault="0069710F" w:rsidP="00690B78"/>
    <w:p w:rsidR="00E54163" w:rsidRPr="00690B78" w:rsidRDefault="00E54163" w:rsidP="00690B78">
      <w:pPr>
        <w:sectPr w:rsidR="00E54163" w:rsidRPr="00690B78" w:rsidSect="0069710F">
          <w:type w:val="continuous"/>
          <w:pgSz w:w="11906" w:h="16838" w:code="9"/>
          <w:pgMar w:top="1079" w:right="1106" w:bottom="719" w:left="1440" w:header="720" w:footer="720" w:gutter="0"/>
          <w:paperSrc w:first="15" w:other="15"/>
          <w:cols w:space="720"/>
        </w:sectPr>
      </w:pPr>
    </w:p>
    <w:p w:rsidR="005140DA" w:rsidRPr="005140DA" w:rsidRDefault="00814437" w:rsidP="00814437">
      <w:pPr>
        <w:pStyle w:val="new3"/>
        <w:tabs>
          <w:tab w:val="left" w:pos="540"/>
        </w:tabs>
        <w:spacing w:before="240" w:line="312" w:lineRule="auto"/>
        <w:ind w:left="0" w:right="41" w:firstLine="0"/>
        <w:jc w:val="both"/>
        <w:outlineLvl w:val="1"/>
      </w:pPr>
      <w:bookmarkStart w:id="98" w:name="_Toc320872877"/>
      <w:bookmarkStart w:id="99" w:name="_Toc305610195"/>
      <w:r>
        <w:lastRenderedPageBreak/>
        <w:t xml:space="preserve">2.2 </w:t>
      </w:r>
      <w:r w:rsidR="005140DA">
        <w:t xml:space="preserve">Το οικονομικό </w:t>
      </w:r>
      <w:r>
        <w:t>περιβάλλον στην Ελλάδα</w:t>
      </w:r>
      <w:bookmarkEnd w:id="98"/>
    </w:p>
    <w:p w:rsidR="00EA2458" w:rsidRPr="00A54FB1" w:rsidRDefault="00EA2458" w:rsidP="00010163">
      <w:pPr>
        <w:pStyle w:val="new2"/>
        <w:spacing w:before="240" w:line="312" w:lineRule="auto"/>
      </w:pPr>
      <w:bookmarkStart w:id="100" w:name="_Toc312070927"/>
      <w:bookmarkStart w:id="101" w:name="_Toc320872878"/>
      <w:bookmarkStart w:id="102" w:name="_Toc297714569"/>
      <w:bookmarkEnd w:id="99"/>
      <w:r w:rsidRPr="00A54FB1">
        <w:t>Α) Οικονομικό κλίμα</w:t>
      </w:r>
      <w:bookmarkEnd w:id="100"/>
      <w:bookmarkEnd w:id="101"/>
    </w:p>
    <w:p w:rsidR="00EA2458" w:rsidRPr="00287063" w:rsidRDefault="00EA2458" w:rsidP="00010163">
      <w:pPr>
        <w:pStyle w:val="new4"/>
        <w:spacing w:before="240" w:after="240" w:line="312" w:lineRule="auto"/>
        <w:jc w:val="both"/>
        <w:rPr>
          <w:rFonts w:cs="Tahoma"/>
          <w:b w:val="0"/>
          <w:sz w:val="22"/>
          <w:szCs w:val="22"/>
        </w:rPr>
      </w:pPr>
      <w:bookmarkStart w:id="103" w:name="_Toc193883094"/>
      <w:bookmarkStart w:id="104" w:name="_Toc193883359"/>
      <w:r>
        <w:rPr>
          <w:rFonts w:cs="Tahoma"/>
          <w:b w:val="0"/>
          <w:sz w:val="22"/>
          <w:szCs w:val="22"/>
        </w:rPr>
        <w:t xml:space="preserve">Οι </w:t>
      </w:r>
      <w:r w:rsidRPr="006002CF">
        <w:rPr>
          <w:rFonts w:cs="Tahoma"/>
          <w:b w:val="0"/>
          <w:sz w:val="22"/>
          <w:szCs w:val="22"/>
        </w:rPr>
        <w:t>έρευνες οικονομικής συγκυρίας του ΙΟΒΕ</w:t>
      </w:r>
      <w:r>
        <w:rPr>
          <w:rFonts w:cs="Tahoma"/>
          <w:b w:val="0"/>
          <w:sz w:val="22"/>
          <w:szCs w:val="22"/>
        </w:rPr>
        <w:t xml:space="preserve"> αντανακλούν τις δυσμενείς εξελίξεις</w:t>
      </w:r>
      <w:r w:rsidRPr="006002CF">
        <w:rPr>
          <w:rFonts w:cs="Tahoma"/>
          <w:b w:val="0"/>
          <w:sz w:val="22"/>
          <w:szCs w:val="22"/>
        </w:rPr>
        <w:t xml:space="preserve"> </w:t>
      </w:r>
      <w:r>
        <w:rPr>
          <w:rFonts w:cs="Tahoma"/>
          <w:b w:val="0"/>
          <w:sz w:val="22"/>
          <w:szCs w:val="22"/>
        </w:rPr>
        <w:t xml:space="preserve">στην οικονομία τους τελευταίους μήνες, αλλά και την εντεινόμενη απαισιοδοξία των καταναλωτών. </w:t>
      </w:r>
      <w:r w:rsidRPr="006002CF">
        <w:rPr>
          <w:rFonts w:cs="Tahoma"/>
          <w:b w:val="0"/>
          <w:sz w:val="22"/>
          <w:szCs w:val="22"/>
        </w:rPr>
        <w:t>Η μέχρι πρότινος εκτεταμένη αβεβαιότητα</w:t>
      </w:r>
      <w:r w:rsidRPr="00287063">
        <w:rPr>
          <w:rFonts w:cs="Tahoma"/>
          <w:b w:val="0"/>
          <w:sz w:val="22"/>
          <w:szCs w:val="22"/>
        </w:rPr>
        <w:t xml:space="preserve"> για το συνολικό οικονομικό προσανατολισμό της χώρας και τη χρηματοδότησή της με νέο δάνειο</w:t>
      </w:r>
      <w:r>
        <w:rPr>
          <w:rFonts w:cs="Tahoma"/>
          <w:b w:val="0"/>
          <w:sz w:val="22"/>
          <w:szCs w:val="22"/>
        </w:rPr>
        <w:t xml:space="preserve"> </w:t>
      </w:r>
      <w:r w:rsidRPr="00287063">
        <w:rPr>
          <w:rFonts w:cs="Tahoma"/>
          <w:b w:val="0"/>
          <w:sz w:val="22"/>
          <w:szCs w:val="22"/>
        </w:rPr>
        <w:t xml:space="preserve">δεν </w:t>
      </w:r>
      <w:r>
        <w:rPr>
          <w:rFonts w:cs="Tahoma"/>
          <w:b w:val="0"/>
          <w:sz w:val="22"/>
          <w:szCs w:val="22"/>
        </w:rPr>
        <w:t>επέτρεψε</w:t>
      </w:r>
      <w:r w:rsidR="000B1D28">
        <w:rPr>
          <w:rFonts w:cs="Tahoma"/>
          <w:b w:val="0"/>
          <w:sz w:val="22"/>
          <w:szCs w:val="22"/>
        </w:rPr>
        <w:t xml:space="preserve"> υποχώρηση των απαισιόδοξων</w:t>
      </w:r>
      <w:r>
        <w:rPr>
          <w:rFonts w:cs="Tahoma"/>
          <w:b w:val="0"/>
          <w:sz w:val="22"/>
          <w:szCs w:val="22"/>
        </w:rPr>
        <w:t xml:space="preserve"> προβλέψε</w:t>
      </w:r>
      <w:r w:rsidR="000B1D28">
        <w:rPr>
          <w:rFonts w:cs="Tahoma"/>
          <w:b w:val="0"/>
          <w:sz w:val="22"/>
          <w:szCs w:val="22"/>
        </w:rPr>
        <w:t>ων</w:t>
      </w:r>
      <w:r w:rsidRPr="0000264D">
        <w:rPr>
          <w:rFonts w:cs="Tahoma"/>
          <w:b w:val="0"/>
          <w:sz w:val="22"/>
          <w:szCs w:val="22"/>
        </w:rPr>
        <w:t>.</w:t>
      </w:r>
      <w:r>
        <w:rPr>
          <w:rFonts w:cs="Tahoma"/>
          <w:b w:val="0"/>
          <w:sz w:val="22"/>
          <w:szCs w:val="22"/>
        </w:rPr>
        <w:t xml:space="preserve"> Η </w:t>
      </w:r>
      <w:r w:rsidRPr="00BC31E2">
        <w:rPr>
          <w:rFonts w:cs="Tahoma"/>
          <w:b w:val="0"/>
          <w:sz w:val="22"/>
          <w:szCs w:val="22"/>
        </w:rPr>
        <w:t>επικύρωση από τη Βουλή τ</w:t>
      </w:r>
      <w:r>
        <w:rPr>
          <w:rFonts w:cs="Tahoma"/>
          <w:b w:val="0"/>
          <w:sz w:val="22"/>
          <w:szCs w:val="22"/>
        </w:rPr>
        <w:t xml:space="preserve">ου </w:t>
      </w:r>
      <w:r w:rsidRPr="00BC31E2">
        <w:rPr>
          <w:rFonts w:cs="Tahoma"/>
          <w:b w:val="0"/>
          <w:sz w:val="22"/>
          <w:szCs w:val="22"/>
        </w:rPr>
        <w:t>νέ</w:t>
      </w:r>
      <w:r>
        <w:rPr>
          <w:rFonts w:cs="Tahoma"/>
          <w:b w:val="0"/>
          <w:sz w:val="22"/>
          <w:szCs w:val="22"/>
        </w:rPr>
        <w:t xml:space="preserve">ου Μνημονίου, αν και συνέβαλε στην άρση του νομισματικού κινδύνου, δεν αμβλύνει την αβεβαιότητα για την οικονομική πορεία της χώρας, καθώς αυτό περιλαμβάνει ένα ευρύ πρόγραμμα διαρθρωτικών παρεμβάσεων, οι οποίες σε βραχυπρόθεσμο τουλάχιστον ορίζοντα, θα εντείνουν την ύφεση και την ανεργία, με αποτέλεσμα τη νέα μείωση των πραγματικών εισοδημάτων και των αποταμιεύσεων. Η άρση του νομισματικού κινδύνου, η επανακεφαλαιοποίηση των τραπεζών και η σταδιακή βελτίωση της εικόνας της χώρας στο εξωτερικό, αλλά και ο σαφής εκλογικός ορίζοντας, που λειτουργεί ως ένα βαθμό αποσυμπιεστικά για την κοινωνία, αναμένεται να οδηγήσουν σε βελτίωση του οικονομικού κλίματος. Από την πλευρά της ζήτησης, η </w:t>
      </w:r>
      <w:r w:rsidRPr="00287063">
        <w:rPr>
          <w:rFonts w:cs="Tahoma"/>
          <w:b w:val="0"/>
          <w:sz w:val="22"/>
          <w:szCs w:val="22"/>
        </w:rPr>
        <w:t xml:space="preserve">αυξανόμενη ανεργία και η </w:t>
      </w:r>
      <w:r w:rsidR="000B1D28">
        <w:rPr>
          <w:rFonts w:cs="Tahoma"/>
          <w:b w:val="0"/>
          <w:sz w:val="22"/>
          <w:szCs w:val="22"/>
        </w:rPr>
        <w:t xml:space="preserve">μείωση </w:t>
      </w:r>
      <w:r w:rsidRPr="00287063">
        <w:rPr>
          <w:rFonts w:cs="Tahoma"/>
          <w:b w:val="0"/>
          <w:sz w:val="22"/>
          <w:szCs w:val="22"/>
        </w:rPr>
        <w:t>των ονομαστικών μισθών και της πραγματικής αγοραστικής δύναμης των καταναλωτών δεν αφήνουν πολλά περιθώρια βελτίωσης της καταναλωτικής εμπιστοσύνης και κατ’ επέκταση της αναθέρμανσης της αγοράς, μέσα από την τόνωση της ζήτησης.</w:t>
      </w:r>
      <w:r>
        <w:rPr>
          <w:rFonts w:cs="Tahoma"/>
          <w:b w:val="0"/>
          <w:sz w:val="22"/>
          <w:szCs w:val="22"/>
        </w:rPr>
        <w:t xml:space="preserve"> Πιο συγκεκριμένα:</w:t>
      </w:r>
    </w:p>
    <w:p w:rsidR="00EA2458" w:rsidRDefault="00EA2458" w:rsidP="00010163">
      <w:pPr>
        <w:pStyle w:val="new4"/>
        <w:spacing w:before="240" w:after="240" w:line="312" w:lineRule="auto"/>
        <w:jc w:val="both"/>
        <w:rPr>
          <w:rFonts w:cs="Tahoma"/>
          <w:b w:val="0"/>
          <w:bCs w:val="0"/>
          <w:sz w:val="22"/>
          <w:szCs w:val="22"/>
        </w:rPr>
      </w:pPr>
      <w:r w:rsidRPr="006C73EA">
        <w:rPr>
          <w:rFonts w:cs="Tahoma"/>
          <w:bCs w:val="0"/>
          <w:sz w:val="22"/>
          <w:szCs w:val="22"/>
        </w:rPr>
        <w:lastRenderedPageBreak/>
        <w:t>Ο Δ</w:t>
      </w:r>
      <w:r w:rsidRPr="004E6408">
        <w:rPr>
          <w:rFonts w:cs="Tahoma"/>
          <w:bCs w:val="0"/>
          <w:sz w:val="22"/>
          <w:szCs w:val="22"/>
        </w:rPr>
        <w:t>είκτης Οικονομικού Κλίματος στην Ελλάδα</w:t>
      </w:r>
      <w:r w:rsidRPr="009657CE">
        <w:rPr>
          <w:rFonts w:cs="Tahoma"/>
          <w:bCs w:val="0"/>
          <w:sz w:val="22"/>
          <w:szCs w:val="22"/>
        </w:rPr>
        <w:t xml:space="preserve"> το </w:t>
      </w:r>
      <w:r>
        <w:rPr>
          <w:rFonts w:cs="Tahoma"/>
          <w:bCs w:val="0"/>
          <w:sz w:val="22"/>
          <w:szCs w:val="22"/>
        </w:rPr>
        <w:t xml:space="preserve">πρώτο δίμηνο του 2012 παραμένει σχεδόν </w:t>
      </w:r>
      <w:r>
        <w:rPr>
          <w:rFonts w:cs="Tahoma"/>
          <w:sz w:val="22"/>
          <w:szCs w:val="22"/>
        </w:rPr>
        <w:t>στα επίπεδα, του προηγούμενου τριμήνου στις 75 μονάδες (από 74,2</w:t>
      </w:r>
      <w:r w:rsidRPr="009657CE">
        <w:rPr>
          <w:rFonts w:cs="Tahoma"/>
          <w:sz w:val="22"/>
          <w:szCs w:val="22"/>
        </w:rPr>
        <w:t xml:space="preserve"> μονάδες</w:t>
      </w:r>
      <w:r>
        <w:rPr>
          <w:rFonts w:cs="Tahoma"/>
          <w:sz w:val="22"/>
          <w:szCs w:val="22"/>
        </w:rPr>
        <w:t>).</w:t>
      </w:r>
      <w:r w:rsidRPr="009657CE">
        <w:rPr>
          <w:rFonts w:cs="Tahoma"/>
          <w:sz w:val="22"/>
          <w:szCs w:val="22"/>
        </w:rPr>
        <w:t xml:space="preserve"> </w:t>
      </w:r>
      <w:r>
        <w:rPr>
          <w:rFonts w:cs="Tahoma"/>
          <w:b w:val="0"/>
          <w:sz w:val="22"/>
          <w:szCs w:val="22"/>
        </w:rPr>
        <w:t xml:space="preserve">Το οικονομικό κλίμα έχει όμως επιδεινωθεί σε σχέση με </w:t>
      </w:r>
      <w:r w:rsidRPr="00A130E6">
        <w:rPr>
          <w:rFonts w:cs="Tahoma"/>
          <w:b w:val="0"/>
          <w:sz w:val="22"/>
          <w:szCs w:val="22"/>
        </w:rPr>
        <w:t>την αντίστοιχη περσινή περίοδο</w:t>
      </w:r>
      <w:r>
        <w:rPr>
          <w:rFonts w:cs="Tahoma"/>
          <w:b w:val="0"/>
          <w:sz w:val="22"/>
          <w:szCs w:val="22"/>
        </w:rPr>
        <w:t xml:space="preserve"> (82,1 μονάδες), ενώ </w:t>
      </w:r>
      <w:r>
        <w:rPr>
          <w:rFonts w:cs="Tahoma"/>
          <w:b w:val="0"/>
          <w:bCs w:val="0"/>
          <w:sz w:val="22"/>
          <w:szCs w:val="22"/>
        </w:rPr>
        <w:t>απέχει σημαντικά</w:t>
      </w:r>
      <w:r>
        <w:rPr>
          <w:rFonts w:cs="Tahoma"/>
          <w:b w:val="0"/>
          <w:sz w:val="22"/>
          <w:szCs w:val="22"/>
        </w:rPr>
        <w:t xml:space="preserve"> συγκριτικά με το </w:t>
      </w:r>
      <w:r>
        <w:rPr>
          <w:rFonts w:cs="Tahoma"/>
          <w:b w:val="0"/>
          <w:bCs w:val="0"/>
          <w:sz w:val="22"/>
          <w:szCs w:val="22"/>
        </w:rPr>
        <w:t>μακροχρόνιο μέσο όρο</w:t>
      </w:r>
      <w:r w:rsidRPr="006C4407">
        <w:rPr>
          <w:rFonts w:cs="Tahoma"/>
          <w:b w:val="0"/>
          <w:bCs w:val="0"/>
          <w:sz w:val="22"/>
          <w:szCs w:val="22"/>
        </w:rPr>
        <w:t xml:space="preserve"> της περιό</w:t>
      </w:r>
      <w:r>
        <w:rPr>
          <w:rFonts w:cs="Tahoma"/>
          <w:b w:val="0"/>
          <w:bCs w:val="0"/>
          <w:sz w:val="22"/>
          <w:szCs w:val="22"/>
        </w:rPr>
        <w:t xml:space="preserve">δου 2001-2011 (96,3 μονάδες). Άλλωστε </w:t>
      </w:r>
      <w:r w:rsidRPr="000B1D28">
        <w:rPr>
          <w:rFonts w:cs="Tahoma"/>
          <w:bCs w:val="0"/>
          <w:sz w:val="22"/>
          <w:szCs w:val="22"/>
        </w:rPr>
        <w:t>τ</w:t>
      </w:r>
      <w:r w:rsidRPr="00DD7BB9">
        <w:rPr>
          <w:rFonts w:cs="Tahoma"/>
          <w:bCs w:val="0"/>
          <w:sz w:val="22"/>
          <w:szCs w:val="22"/>
        </w:rPr>
        <w:t>ο</w:t>
      </w:r>
      <w:r>
        <w:rPr>
          <w:rFonts w:cs="Tahoma"/>
          <w:b w:val="0"/>
          <w:bCs w:val="0"/>
          <w:sz w:val="22"/>
          <w:szCs w:val="22"/>
        </w:rPr>
        <w:t xml:space="preserve"> </w:t>
      </w:r>
      <w:r>
        <w:rPr>
          <w:rFonts w:cs="Tahoma"/>
          <w:bCs w:val="0"/>
          <w:sz w:val="22"/>
          <w:szCs w:val="22"/>
        </w:rPr>
        <w:t>οικονομικό κλίμα στις αρχές του έτους δεν μεταβάλλεται επί της ουσίας ούτε</w:t>
      </w:r>
      <w:r w:rsidRPr="001D64EB">
        <w:rPr>
          <w:rFonts w:cs="Tahoma"/>
          <w:bCs w:val="0"/>
          <w:sz w:val="22"/>
          <w:szCs w:val="22"/>
        </w:rPr>
        <w:t xml:space="preserve"> σε ευρωπαϊκό επίπεδο, </w:t>
      </w:r>
      <w:r>
        <w:rPr>
          <w:rFonts w:cs="Tahoma"/>
          <w:b w:val="0"/>
          <w:bCs w:val="0"/>
          <w:sz w:val="22"/>
          <w:szCs w:val="22"/>
        </w:rPr>
        <w:t xml:space="preserve">(στις 93,9 και 93,4 μονάδες </w:t>
      </w:r>
      <w:r w:rsidRPr="00A72932">
        <w:rPr>
          <w:rFonts w:cs="Tahoma"/>
          <w:b w:val="0"/>
          <w:bCs w:val="0"/>
          <w:sz w:val="22"/>
          <w:szCs w:val="22"/>
        </w:rPr>
        <w:t>σε</w:t>
      </w:r>
      <w:r>
        <w:rPr>
          <w:rFonts w:cs="Tahoma"/>
          <w:bCs w:val="0"/>
          <w:sz w:val="22"/>
          <w:szCs w:val="22"/>
        </w:rPr>
        <w:t xml:space="preserve"> </w:t>
      </w:r>
      <w:r w:rsidRPr="00B566FA">
        <w:rPr>
          <w:rFonts w:cs="Tahoma"/>
          <w:b w:val="0"/>
          <w:bCs w:val="0"/>
          <w:sz w:val="22"/>
          <w:szCs w:val="22"/>
        </w:rPr>
        <w:t>ΕΕ και Ευρωζώνη</w:t>
      </w:r>
      <w:r>
        <w:rPr>
          <w:rFonts w:cs="Tahoma"/>
          <w:b w:val="0"/>
          <w:bCs w:val="0"/>
          <w:sz w:val="22"/>
          <w:szCs w:val="22"/>
        </w:rPr>
        <w:t>), ενώ σε σχέση με το ίδιο διάστημα πέρυσι, έχει σημειωθεί κάμψη και στους δύο ευρωπαϊκούς δείκτες (στις 106,3 και 107 μονάδες αντίστοιχα).</w:t>
      </w:r>
      <w:r w:rsidRPr="004E6408">
        <w:rPr>
          <w:rFonts w:cs="Tahoma"/>
          <w:b w:val="0"/>
          <w:bCs w:val="0"/>
          <w:sz w:val="22"/>
          <w:szCs w:val="22"/>
        </w:rPr>
        <w:t xml:space="preserve"> </w:t>
      </w:r>
    </w:p>
    <w:p w:rsidR="00EA2458" w:rsidRDefault="00EA2458" w:rsidP="00010163">
      <w:pPr>
        <w:pStyle w:val="new4"/>
        <w:spacing w:before="240" w:after="240" w:line="312" w:lineRule="auto"/>
        <w:jc w:val="both"/>
        <w:rPr>
          <w:rFonts w:cs="Tahoma"/>
          <w:b w:val="0"/>
          <w:bCs w:val="0"/>
          <w:sz w:val="22"/>
          <w:szCs w:val="22"/>
        </w:rPr>
      </w:pPr>
      <w:r w:rsidRPr="003624C9">
        <w:rPr>
          <w:rFonts w:cs="Tahoma"/>
          <w:sz w:val="22"/>
          <w:szCs w:val="22"/>
        </w:rPr>
        <w:t xml:space="preserve">Οι επιχειρηματικές προσδοκίες </w:t>
      </w:r>
      <w:r>
        <w:rPr>
          <w:rFonts w:cs="Tahoma"/>
          <w:sz w:val="22"/>
          <w:szCs w:val="22"/>
        </w:rPr>
        <w:t xml:space="preserve">επιδεινώνονται στις αρχές του έτους </w:t>
      </w:r>
      <w:r>
        <w:rPr>
          <w:rFonts w:cs="Tahoma"/>
          <w:bCs w:val="0"/>
          <w:sz w:val="22"/>
          <w:szCs w:val="22"/>
        </w:rPr>
        <w:t xml:space="preserve">σε σχέση με το αμέσως προηγούμενο διάστημα </w:t>
      </w:r>
      <w:r w:rsidRPr="000C4B53">
        <w:rPr>
          <w:rFonts w:cs="Tahoma"/>
          <w:sz w:val="22"/>
          <w:szCs w:val="22"/>
        </w:rPr>
        <w:t xml:space="preserve">στο Λιανικό Εμπόριο </w:t>
      </w:r>
      <w:r w:rsidRPr="000D205F">
        <w:rPr>
          <w:rFonts w:cs="Tahoma"/>
          <w:sz w:val="22"/>
          <w:szCs w:val="22"/>
        </w:rPr>
        <w:t>και τις</w:t>
      </w:r>
      <w:r w:rsidRPr="00117209">
        <w:rPr>
          <w:rFonts w:cs="Tahoma"/>
          <w:sz w:val="22"/>
          <w:szCs w:val="22"/>
        </w:rPr>
        <w:t xml:space="preserve"> </w:t>
      </w:r>
      <w:r w:rsidRPr="000C4B53">
        <w:rPr>
          <w:rFonts w:cs="Tahoma"/>
          <w:sz w:val="22"/>
          <w:szCs w:val="22"/>
        </w:rPr>
        <w:t xml:space="preserve">Υπηρεσίες, ενώ </w:t>
      </w:r>
      <w:r>
        <w:rPr>
          <w:rFonts w:cs="Tahoma"/>
          <w:sz w:val="22"/>
          <w:szCs w:val="22"/>
        </w:rPr>
        <w:t xml:space="preserve">στη </w:t>
      </w:r>
      <w:r w:rsidRPr="00873843">
        <w:rPr>
          <w:rFonts w:cs="Tahoma"/>
          <w:sz w:val="22"/>
          <w:szCs w:val="22"/>
        </w:rPr>
        <w:t>Βιομηχανία</w:t>
      </w:r>
      <w:r>
        <w:rPr>
          <w:rFonts w:cs="Tahoma"/>
          <w:b w:val="0"/>
          <w:sz w:val="22"/>
          <w:szCs w:val="22"/>
        </w:rPr>
        <w:t xml:space="preserve"> </w:t>
      </w:r>
      <w:r>
        <w:rPr>
          <w:rFonts w:cs="Tahoma"/>
          <w:sz w:val="22"/>
          <w:szCs w:val="22"/>
        </w:rPr>
        <w:t xml:space="preserve">και στις </w:t>
      </w:r>
      <w:r w:rsidRPr="000D205F">
        <w:rPr>
          <w:rFonts w:cs="Tahoma"/>
          <w:sz w:val="22"/>
          <w:szCs w:val="22"/>
        </w:rPr>
        <w:t>Κατασκευέ</w:t>
      </w:r>
      <w:r w:rsidRPr="000C4B53">
        <w:rPr>
          <w:rFonts w:cs="Tahoma"/>
          <w:sz w:val="22"/>
          <w:szCs w:val="22"/>
        </w:rPr>
        <w:t xml:space="preserve">ς </w:t>
      </w:r>
      <w:r>
        <w:rPr>
          <w:rFonts w:cs="Tahoma"/>
          <w:sz w:val="22"/>
          <w:szCs w:val="22"/>
        </w:rPr>
        <w:t>παραμένουν σχεδόν αμετάβλητες.</w:t>
      </w:r>
      <w:r w:rsidRPr="003624C9">
        <w:rPr>
          <w:rFonts w:cs="Tahoma"/>
          <w:b w:val="0"/>
          <w:sz w:val="22"/>
          <w:szCs w:val="22"/>
        </w:rPr>
        <w:t xml:space="preserve"> </w:t>
      </w:r>
      <w:r>
        <w:rPr>
          <w:rFonts w:cs="Tahoma"/>
          <w:b w:val="0"/>
          <w:sz w:val="22"/>
          <w:szCs w:val="22"/>
        </w:rPr>
        <w:t>Σ</w:t>
      </w:r>
      <w:r w:rsidRPr="00003ED6">
        <w:rPr>
          <w:rFonts w:cs="Tahoma"/>
          <w:b w:val="0"/>
          <w:sz w:val="22"/>
          <w:szCs w:val="22"/>
        </w:rPr>
        <w:t>ε σχέση με την αντίστοιχη περσινή περίοδο</w:t>
      </w:r>
      <w:r>
        <w:rPr>
          <w:rFonts w:cs="Tahoma"/>
          <w:b w:val="0"/>
          <w:sz w:val="22"/>
          <w:szCs w:val="22"/>
        </w:rPr>
        <w:t xml:space="preserve">, οι σχετικοί μέσοι δείκτες έχουν υποχωρήσει ήπια </w:t>
      </w:r>
      <w:r w:rsidRPr="00003ED6">
        <w:rPr>
          <w:rFonts w:cs="Tahoma"/>
          <w:b w:val="0"/>
          <w:sz w:val="22"/>
          <w:szCs w:val="22"/>
        </w:rPr>
        <w:t>στη Βιομηχανία</w:t>
      </w:r>
      <w:r>
        <w:rPr>
          <w:rFonts w:cs="Tahoma"/>
          <w:b w:val="0"/>
          <w:sz w:val="22"/>
          <w:szCs w:val="22"/>
        </w:rPr>
        <w:t xml:space="preserve">, τις Υπηρεσίες και το Λιανικό Εμπόριο, ενώ αντίθετα στις Κατασκευές σημειώνουν ελαφρά ανάκαμψη. Από την πλευρά της ζήτησης, η καταναλωτική εμπιστοσύνη παραμένει πλησίον των ιστορικά χαμηλών επιπέδων του τελευταίου τριμήνου του 2011, καταγράφοντας έντονη </w:t>
      </w:r>
      <w:r w:rsidRPr="00B9643A">
        <w:rPr>
          <w:rFonts w:cs="Tahoma"/>
          <w:b w:val="0"/>
          <w:sz w:val="22"/>
          <w:szCs w:val="22"/>
        </w:rPr>
        <w:t xml:space="preserve">υποχώρηση σε σύγκριση με την αντίστοιχη περσινή περίοδο. </w:t>
      </w:r>
      <w:r w:rsidRPr="00B9643A">
        <w:rPr>
          <w:rFonts w:cs="Tahoma"/>
          <w:b w:val="0"/>
          <w:bCs w:val="0"/>
          <w:sz w:val="22"/>
          <w:szCs w:val="22"/>
        </w:rPr>
        <w:t>Αναλυτικότερα</w:t>
      </w:r>
      <w:r w:rsidRPr="004E6408">
        <w:rPr>
          <w:rFonts w:cs="Tahoma"/>
          <w:b w:val="0"/>
          <w:bCs w:val="0"/>
          <w:sz w:val="22"/>
          <w:szCs w:val="22"/>
        </w:rPr>
        <w:t>:</w:t>
      </w:r>
      <w:r w:rsidRPr="008A797E">
        <w:rPr>
          <w:rFonts w:cs="Tahoma"/>
          <w:b w:val="0"/>
          <w:bCs w:val="0"/>
          <w:sz w:val="22"/>
          <w:szCs w:val="22"/>
        </w:rPr>
        <w:t xml:space="preserve"> </w:t>
      </w:r>
    </w:p>
    <w:p w:rsidR="006B17B0" w:rsidRDefault="00EA2458" w:rsidP="00084C8E">
      <w:pPr>
        <w:pStyle w:val="new4"/>
        <w:spacing w:before="120" w:after="240" w:line="312" w:lineRule="auto"/>
        <w:jc w:val="both"/>
        <w:rPr>
          <w:rFonts w:cs="Tahoma"/>
          <w:b w:val="0"/>
          <w:sz w:val="22"/>
          <w:szCs w:val="22"/>
        </w:rPr>
      </w:pPr>
      <w:r w:rsidRPr="00C72693">
        <w:rPr>
          <w:rFonts w:cs="Tahoma"/>
          <w:b w:val="0"/>
          <w:sz w:val="22"/>
          <w:szCs w:val="22"/>
        </w:rPr>
        <w:t xml:space="preserve">Ο </w:t>
      </w:r>
      <w:r w:rsidRPr="0039703A">
        <w:rPr>
          <w:rFonts w:cs="Tahoma"/>
          <w:sz w:val="22"/>
          <w:szCs w:val="22"/>
        </w:rPr>
        <w:t>Δείκτης Καταναλωτικής Εμπιστοσύνης</w:t>
      </w:r>
      <w:r>
        <w:rPr>
          <w:rFonts w:cs="Tahoma"/>
          <w:b w:val="0"/>
          <w:sz w:val="22"/>
          <w:szCs w:val="22"/>
        </w:rPr>
        <w:t xml:space="preserve"> στην Ελλάδα, μετά τα ιστορικά χαμηλά επίπεδα του Οκτωβρίου, κατέγραφε σταθερότητα μέχρι τον Ιανουάριο. Τον Φεβρουάριο όμως </w:t>
      </w:r>
      <w:r>
        <w:rPr>
          <w:rFonts w:cs="Tahoma"/>
          <w:b w:val="0"/>
          <w:sz w:val="22"/>
          <w:szCs w:val="22"/>
        </w:rPr>
        <w:lastRenderedPageBreak/>
        <w:t>επιδεινώθηκε σημαντικά, καθώς στο προσκήνιο είχε έρθει το νέο πρόγραμμα χρηματοδότησης της ελληνικής οικονομίας και η ψήφισή του από την Βουλή. Έτσι ο σχετικός δείκτης σημείωσε επίδοση πολύ κοντά στην ιστορικά χαμηλή του και διαμορφώθηκε κατά μέσο όρο το πρώτο δίμη</w:t>
      </w:r>
      <w:r w:rsidR="000B1D28">
        <w:rPr>
          <w:rFonts w:cs="Tahoma"/>
          <w:b w:val="0"/>
          <w:sz w:val="22"/>
          <w:szCs w:val="22"/>
        </w:rPr>
        <w:t xml:space="preserve">νο του 2012 </w:t>
      </w:r>
      <w:r>
        <w:rPr>
          <w:rFonts w:cs="Tahoma"/>
          <w:b w:val="0"/>
          <w:sz w:val="22"/>
          <w:szCs w:val="22"/>
        </w:rPr>
        <w:t>στις -81,8 μονάδες, 12 μονάδες χαμηλότερα σε σχέση με την αντίστοιχη περσινή μέση τιμή του.</w:t>
      </w:r>
      <w:r w:rsidRPr="00BD08F5">
        <w:rPr>
          <w:rFonts w:cs="Tahoma"/>
          <w:sz w:val="22"/>
          <w:szCs w:val="22"/>
        </w:rPr>
        <w:t xml:space="preserve"> </w:t>
      </w:r>
      <w:r>
        <w:rPr>
          <w:rFonts w:cs="Tahoma"/>
          <w:b w:val="0"/>
          <w:sz w:val="22"/>
          <w:szCs w:val="22"/>
        </w:rPr>
        <w:t>Ο</w:t>
      </w:r>
      <w:r w:rsidRPr="00BA17F0">
        <w:rPr>
          <w:rFonts w:cs="Tahoma"/>
          <w:b w:val="0"/>
          <w:sz w:val="22"/>
          <w:szCs w:val="22"/>
        </w:rPr>
        <w:t xml:space="preserve">ι Έλληνες καταναλωτές </w:t>
      </w:r>
      <w:r>
        <w:rPr>
          <w:rFonts w:cs="Tahoma"/>
          <w:b w:val="0"/>
          <w:sz w:val="22"/>
          <w:szCs w:val="22"/>
        </w:rPr>
        <w:t xml:space="preserve">παραμένουν για πάνω από δύο έτη οι πιο απαισιόδοξοι Ευρωπαίοι. Οι μέσοι </w:t>
      </w:r>
      <w:r w:rsidRPr="00C72693">
        <w:rPr>
          <w:rFonts w:cs="Tahoma"/>
          <w:b w:val="0"/>
          <w:sz w:val="22"/>
          <w:szCs w:val="22"/>
        </w:rPr>
        <w:t>ευ</w:t>
      </w:r>
      <w:r>
        <w:rPr>
          <w:rFonts w:cs="Tahoma"/>
          <w:b w:val="0"/>
          <w:sz w:val="22"/>
          <w:szCs w:val="22"/>
        </w:rPr>
        <w:t>ρωπαϊκοί</w:t>
      </w:r>
      <w:r w:rsidRPr="00C72693">
        <w:rPr>
          <w:rFonts w:cs="Tahoma"/>
          <w:b w:val="0"/>
          <w:sz w:val="22"/>
          <w:szCs w:val="22"/>
        </w:rPr>
        <w:t xml:space="preserve"> δείκτες για </w:t>
      </w:r>
      <w:r>
        <w:rPr>
          <w:rFonts w:cs="Tahoma"/>
          <w:b w:val="0"/>
          <w:sz w:val="22"/>
          <w:szCs w:val="22"/>
        </w:rPr>
        <w:t xml:space="preserve">το υπό εξέταση δίμηνο διαμορφώνονται στις -20,5 </w:t>
      </w:r>
      <w:r w:rsidRPr="00C72693">
        <w:rPr>
          <w:rFonts w:cs="Tahoma"/>
          <w:b w:val="0"/>
          <w:sz w:val="22"/>
          <w:szCs w:val="22"/>
        </w:rPr>
        <w:t xml:space="preserve">μονάδες </w:t>
      </w:r>
      <w:r>
        <w:rPr>
          <w:rFonts w:cs="Tahoma"/>
          <w:b w:val="0"/>
          <w:sz w:val="22"/>
          <w:szCs w:val="22"/>
        </w:rPr>
        <w:t xml:space="preserve">σε </w:t>
      </w:r>
      <w:r w:rsidRPr="00C72693">
        <w:rPr>
          <w:rFonts w:cs="Tahoma"/>
          <w:b w:val="0"/>
          <w:sz w:val="22"/>
          <w:szCs w:val="22"/>
        </w:rPr>
        <w:t>ΕΕ και Ευρωζώ</w:t>
      </w:r>
      <w:r>
        <w:rPr>
          <w:rFonts w:cs="Tahoma"/>
          <w:b w:val="0"/>
          <w:sz w:val="22"/>
          <w:szCs w:val="22"/>
        </w:rPr>
        <w:t xml:space="preserve">νη, αισθητά </w:t>
      </w:r>
      <w:r w:rsidRPr="00C72693">
        <w:rPr>
          <w:rFonts w:cs="Tahoma"/>
          <w:b w:val="0"/>
          <w:sz w:val="22"/>
          <w:szCs w:val="22"/>
        </w:rPr>
        <w:t>υψη</w:t>
      </w:r>
      <w:r>
        <w:rPr>
          <w:rFonts w:cs="Tahoma"/>
          <w:b w:val="0"/>
          <w:sz w:val="22"/>
          <w:szCs w:val="22"/>
        </w:rPr>
        <w:t xml:space="preserve">λότερα έναντι του ελληνικού δείκτη και στα ίδια περίπου επίπεδα σε σχέση με το προηγούμενο τρίμηνο. Σε σύγκριση </w:t>
      </w:r>
      <w:r w:rsidR="000B1D28">
        <w:rPr>
          <w:rFonts w:cs="Tahoma"/>
          <w:b w:val="0"/>
          <w:sz w:val="22"/>
          <w:szCs w:val="22"/>
        </w:rPr>
        <w:t xml:space="preserve">ωστόσο </w:t>
      </w:r>
      <w:r>
        <w:rPr>
          <w:rFonts w:cs="Tahoma"/>
          <w:b w:val="0"/>
          <w:sz w:val="22"/>
          <w:szCs w:val="22"/>
        </w:rPr>
        <w:t>με την ίδια περίοδο πέρυσι ωστόσο έχουν μειωθεί κατά 9 και 7 μονάδες</w:t>
      </w:r>
      <w:r w:rsidR="000B1D28" w:rsidRPr="000B1D28">
        <w:rPr>
          <w:rFonts w:cs="Tahoma"/>
          <w:b w:val="0"/>
          <w:sz w:val="22"/>
          <w:szCs w:val="22"/>
        </w:rPr>
        <w:t xml:space="preserve"> </w:t>
      </w:r>
      <w:r w:rsidR="000B1D28">
        <w:rPr>
          <w:rFonts w:cs="Tahoma"/>
          <w:b w:val="0"/>
          <w:sz w:val="22"/>
          <w:szCs w:val="22"/>
        </w:rPr>
        <w:t>αντίστοιχα</w:t>
      </w:r>
      <w:r>
        <w:rPr>
          <w:rFonts w:cs="Tahoma"/>
          <w:b w:val="0"/>
          <w:sz w:val="22"/>
          <w:szCs w:val="22"/>
        </w:rPr>
        <w:t>.</w:t>
      </w:r>
    </w:p>
    <w:p w:rsidR="006B17B0" w:rsidRDefault="006B17B0" w:rsidP="00084C8E">
      <w:pPr>
        <w:pStyle w:val="new4"/>
        <w:spacing w:before="60" w:after="120" w:line="312" w:lineRule="auto"/>
        <w:jc w:val="both"/>
        <w:rPr>
          <w:rFonts w:cs="Tahoma"/>
          <w:b w:val="0"/>
          <w:sz w:val="22"/>
          <w:szCs w:val="22"/>
        </w:rPr>
      </w:pPr>
      <w:r w:rsidRPr="00A414AF">
        <w:rPr>
          <w:rFonts w:cs="Tahoma"/>
          <w:b w:val="0"/>
          <w:sz w:val="22"/>
          <w:szCs w:val="22"/>
        </w:rPr>
        <w:t xml:space="preserve">Σε ιστορικά χαμηλά επίπεδα κινούνται κατά μέσο όρο </w:t>
      </w:r>
      <w:r>
        <w:rPr>
          <w:rFonts w:cs="Tahoma"/>
          <w:b w:val="0"/>
          <w:sz w:val="22"/>
          <w:szCs w:val="22"/>
        </w:rPr>
        <w:t xml:space="preserve">το εξεταζόμενο δίμηνο </w:t>
      </w:r>
      <w:r w:rsidRPr="00A414AF">
        <w:rPr>
          <w:rFonts w:cs="Tahoma"/>
          <w:b w:val="0"/>
          <w:sz w:val="22"/>
          <w:szCs w:val="22"/>
        </w:rPr>
        <w:t xml:space="preserve">οι </w:t>
      </w:r>
      <w:r w:rsidRPr="00A414AF">
        <w:rPr>
          <w:rFonts w:cs="Tahoma"/>
          <w:b w:val="0"/>
          <w:sz w:val="22"/>
          <w:szCs w:val="22"/>
        </w:rPr>
        <w:lastRenderedPageBreak/>
        <w:t>προβλέψεις των Ελλήνων καταναλωτών για την οικονομική κατάσταση των νοικ</w:t>
      </w:r>
      <w:r>
        <w:rPr>
          <w:rFonts w:cs="Tahoma"/>
          <w:b w:val="0"/>
          <w:sz w:val="22"/>
          <w:szCs w:val="22"/>
        </w:rPr>
        <w:t xml:space="preserve">οκυριών τους το επόμενο 12μηνο και </w:t>
      </w:r>
      <w:r w:rsidRPr="00A414AF">
        <w:rPr>
          <w:rFonts w:cs="Tahoma"/>
          <w:b w:val="0"/>
          <w:sz w:val="22"/>
          <w:szCs w:val="22"/>
        </w:rPr>
        <w:t>την οικονομική κατάσταση της χώρας,</w:t>
      </w:r>
      <w:r>
        <w:rPr>
          <w:rFonts w:cs="Tahoma"/>
          <w:b w:val="0"/>
          <w:sz w:val="22"/>
          <w:szCs w:val="22"/>
        </w:rPr>
        <w:t xml:space="preserve"> ενώ σημειώνουν οριακή άνοδο από την ιστορικά χαμηλή </w:t>
      </w:r>
      <w:r w:rsidRPr="00A414AF">
        <w:rPr>
          <w:rFonts w:cs="Tahoma"/>
          <w:b w:val="0"/>
          <w:sz w:val="22"/>
          <w:szCs w:val="22"/>
        </w:rPr>
        <w:t xml:space="preserve">πρόθεση για αποταμίευση και τις </w:t>
      </w:r>
      <w:r>
        <w:rPr>
          <w:rFonts w:cs="Tahoma"/>
          <w:b w:val="0"/>
          <w:sz w:val="22"/>
          <w:szCs w:val="22"/>
        </w:rPr>
        <w:t xml:space="preserve">επίσης ιστορικά δυσμενέστερες </w:t>
      </w:r>
      <w:r w:rsidRPr="00A414AF">
        <w:rPr>
          <w:rFonts w:cs="Tahoma"/>
          <w:b w:val="0"/>
          <w:sz w:val="22"/>
          <w:szCs w:val="22"/>
        </w:rPr>
        <w:t>προβλέψεις για την εξέλιξη της ανεργί</w:t>
      </w:r>
      <w:r>
        <w:rPr>
          <w:rFonts w:cs="Tahoma"/>
          <w:b w:val="0"/>
          <w:sz w:val="22"/>
          <w:szCs w:val="22"/>
        </w:rPr>
        <w:t>ας</w:t>
      </w:r>
      <w:r w:rsidRPr="00EA586A">
        <w:rPr>
          <w:rFonts w:cs="Tahoma"/>
          <w:b w:val="0"/>
          <w:sz w:val="22"/>
          <w:szCs w:val="22"/>
        </w:rPr>
        <w:t xml:space="preserve"> </w:t>
      </w:r>
      <w:r>
        <w:rPr>
          <w:rFonts w:cs="Tahoma"/>
          <w:b w:val="0"/>
          <w:sz w:val="22"/>
          <w:szCs w:val="22"/>
        </w:rPr>
        <w:t xml:space="preserve">το τελευταίο τρίμηνο του 2011. Η συντριπτική πλειονότητα </w:t>
      </w:r>
      <w:r w:rsidRPr="00A414AF">
        <w:rPr>
          <w:rFonts w:cs="Tahoma"/>
          <w:b w:val="0"/>
          <w:sz w:val="22"/>
          <w:szCs w:val="22"/>
        </w:rPr>
        <w:t xml:space="preserve">των </w:t>
      </w:r>
      <w:r>
        <w:rPr>
          <w:rFonts w:cs="Tahoma"/>
          <w:b w:val="0"/>
          <w:sz w:val="22"/>
          <w:szCs w:val="22"/>
        </w:rPr>
        <w:t>καταναλωτών είναι απαισιόδοξη, με</w:t>
      </w:r>
      <w:r w:rsidRPr="00A414AF">
        <w:rPr>
          <w:rFonts w:cs="Tahoma"/>
          <w:b w:val="0"/>
          <w:sz w:val="22"/>
          <w:szCs w:val="22"/>
        </w:rPr>
        <w:t xml:space="preserve"> </w:t>
      </w:r>
      <w:r>
        <w:rPr>
          <w:rFonts w:cs="Tahoma"/>
          <w:b w:val="0"/>
          <w:sz w:val="22"/>
          <w:szCs w:val="22"/>
        </w:rPr>
        <w:t>το 85% περίπου των νοικοκυριών</w:t>
      </w:r>
      <w:r w:rsidRPr="00A414AF">
        <w:rPr>
          <w:rFonts w:cs="Tahoma"/>
          <w:b w:val="0"/>
          <w:sz w:val="22"/>
          <w:szCs w:val="22"/>
        </w:rPr>
        <w:t xml:space="preserve"> </w:t>
      </w:r>
      <w:r>
        <w:rPr>
          <w:rFonts w:cs="Tahoma"/>
          <w:b w:val="0"/>
          <w:sz w:val="22"/>
          <w:szCs w:val="22"/>
        </w:rPr>
        <w:t xml:space="preserve">να κρίνει </w:t>
      </w:r>
      <w:r w:rsidRPr="00A414AF">
        <w:rPr>
          <w:rFonts w:cs="Tahoma"/>
          <w:b w:val="0"/>
          <w:sz w:val="22"/>
          <w:szCs w:val="22"/>
        </w:rPr>
        <w:t>ότι η οικονομική</w:t>
      </w:r>
      <w:r>
        <w:rPr>
          <w:rFonts w:cs="Tahoma"/>
          <w:b w:val="0"/>
          <w:sz w:val="22"/>
          <w:szCs w:val="22"/>
        </w:rPr>
        <w:t xml:space="preserve"> του</w:t>
      </w:r>
      <w:r w:rsidRPr="00A414AF">
        <w:rPr>
          <w:rFonts w:cs="Tahoma"/>
          <w:b w:val="0"/>
          <w:sz w:val="22"/>
          <w:szCs w:val="22"/>
        </w:rPr>
        <w:t xml:space="preserve"> κατάσταση θα επιδεινωθεί λιγότερο ή πε</w:t>
      </w:r>
      <w:r>
        <w:rPr>
          <w:rFonts w:cs="Tahoma"/>
          <w:b w:val="0"/>
          <w:sz w:val="22"/>
          <w:szCs w:val="22"/>
        </w:rPr>
        <w:t xml:space="preserve">ρισσότερο στο επόμενο 12-μηνο και ένα ελαφρώς μεγαλύτερο ποσοστό να προβλέπει </w:t>
      </w:r>
      <w:r w:rsidRPr="00A414AF">
        <w:rPr>
          <w:rFonts w:cs="Tahoma"/>
          <w:b w:val="0"/>
          <w:sz w:val="22"/>
          <w:szCs w:val="22"/>
        </w:rPr>
        <w:t>ελαφρά ή αισθητή επιδείνωση στην οικονομική κατάσταση της χώρας. Οι προβλέψεις για την εξέλιξη της ανεργίας το επόμενο 12-μηνο</w:t>
      </w:r>
      <w:r>
        <w:rPr>
          <w:rFonts w:cs="Tahoma"/>
          <w:b w:val="0"/>
          <w:sz w:val="22"/>
          <w:szCs w:val="22"/>
        </w:rPr>
        <w:t xml:space="preserve"> αντανακλούν την</w:t>
      </w:r>
      <w:r w:rsidRPr="00A414AF">
        <w:rPr>
          <w:rFonts w:cs="Tahoma"/>
          <w:b w:val="0"/>
          <w:sz w:val="22"/>
          <w:szCs w:val="22"/>
        </w:rPr>
        <w:t xml:space="preserve"> </w:t>
      </w:r>
      <w:r>
        <w:rPr>
          <w:rFonts w:cs="Tahoma"/>
          <w:b w:val="0"/>
          <w:sz w:val="22"/>
          <w:szCs w:val="22"/>
        </w:rPr>
        <w:t>αβεβαιότητα και τους φόβους των καταναλωτών για τ</w:t>
      </w:r>
      <w:r w:rsidR="000B1D28">
        <w:rPr>
          <w:rFonts w:cs="Tahoma"/>
          <w:b w:val="0"/>
          <w:sz w:val="22"/>
          <w:szCs w:val="22"/>
        </w:rPr>
        <w:t>α τεκταινόμενα</w:t>
      </w:r>
      <w:r>
        <w:rPr>
          <w:rFonts w:cs="Tahoma"/>
          <w:b w:val="0"/>
          <w:sz w:val="22"/>
          <w:szCs w:val="22"/>
        </w:rPr>
        <w:t xml:space="preserve"> στην αγορά εργασίας</w:t>
      </w:r>
      <w:r w:rsidRPr="00A414AF">
        <w:rPr>
          <w:rFonts w:cs="Tahoma"/>
          <w:b w:val="0"/>
          <w:sz w:val="22"/>
          <w:szCs w:val="22"/>
        </w:rPr>
        <w:t xml:space="preserve">, </w:t>
      </w:r>
      <w:r>
        <w:rPr>
          <w:rFonts w:cs="Tahoma"/>
          <w:b w:val="0"/>
          <w:sz w:val="22"/>
          <w:szCs w:val="22"/>
        </w:rPr>
        <w:t>αφού εννιά στους δέκα</w:t>
      </w:r>
      <w:r w:rsidRPr="00A414AF">
        <w:rPr>
          <w:rFonts w:cs="Tahoma"/>
          <w:b w:val="0"/>
          <w:sz w:val="22"/>
          <w:szCs w:val="22"/>
        </w:rPr>
        <w:t xml:space="preserve"> αναμένουν </w:t>
      </w:r>
      <w:r>
        <w:rPr>
          <w:rFonts w:cs="Tahoma"/>
          <w:b w:val="0"/>
          <w:sz w:val="22"/>
          <w:szCs w:val="22"/>
        </w:rPr>
        <w:t>και νέα άνοδο της ανεργίας</w:t>
      </w:r>
      <w:r w:rsidRPr="00A414AF">
        <w:rPr>
          <w:rFonts w:cs="Tahoma"/>
          <w:b w:val="0"/>
          <w:sz w:val="22"/>
          <w:szCs w:val="22"/>
        </w:rPr>
        <w:t xml:space="preserve">. </w:t>
      </w:r>
    </w:p>
    <w:p w:rsidR="006B17B0" w:rsidRDefault="006B17B0" w:rsidP="00010163">
      <w:pPr>
        <w:pStyle w:val="new4"/>
        <w:spacing w:before="240" w:after="240" w:line="312" w:lineRule="auto"/>
        <w:jc w:val="both"/>
        <w:rPr>
          <w:rFonts w:cs="Tahoma"/>
          <w:b w:val="0"/>
          <w:sz w:val="22"/>
          <w:szCs w:val="22"/>
        </w:rPr>
        <w:sectPr w:rsidR="006B17B0" w:rsidSect="006B17B0">
          <w:pgSz w:w="11906" w:h="16838" w:code="9"/>
          <w:pgMar w:top="1079" w:right="1106" w:bottom="719" w:left="1440" w:header="720" w:footer="720" w:gutter="0"/>
          <w:paperSrc w:first="15" w:other="15"/>
          <w:cols w:num="2" w:space="720"/>
        </w:sectPr>
      </w:pPr>
    </w:p>
    <w:p w:rsidR="00EA2458" w:rsidRDefault="00EA2458" w:rsidP="00010163">
      <w:pPr>
        <w:pStyle w:val="new4"/>
        <w:spacing w:before="240" w:after="240" w:line="312" w:lineRule="auto"/>
        <w:jc w:val="both"/>
        <w:rPr>
          <w:rFonts w:cs="Tahoma"/>
          <w:b w:val="0"/>
          <w:sz w:val="22"/>
          <w:szCs w:val="22"/>
        </w:rPr>
      </w:pPr>
      <w:r>
        <w:rPr>
          <w:rFonts w:cs="Tahoma"/>
          <w:b w:val="0"/>
          <w:sz w:val="22"/>
          <w:szCs w:val="22"/>
        </w:rPr>
        <w:lastRenderedPageBreak/>
        <w:t xml:space="preserve"> </w:t>
      </w:r>
      <w:bookmarkStart w:id="105" w:name="_Toc237064804"/>
    </w:p>
    <w:p w:rsidR="006B17B0" w:rsidRDefault="006B17B0" w:rsidP="00010163">
      <w:pPr>
        <w:pStyle w:val="new4"/>
        <w:spacing w:before="240" w:after="240" w:line="312" w:lineRule="auto"/>
        <w:jc w:val="both"/>
        <w:rPr>
          <w:rFonts w:cs="Tahoma"/>
        </w:rPr>
        <w:sectPr w:rsidR="006B17B0" w:rsidSect="006B17B0">
          <w:type w:val="continuous"/>
          <w:pgSz w:w="11906" w:h="16838" w:code="9"/>
          <w:pgMar w:top="1079" w:right="1106" w:bottom="719" w:left="1440" w:header="720" w:footer="720" w:gutter="0"/>
          <w:paperSrc w:first="15" w:other="15"/>
          <w:cols w:space="720"/>
        </w:sectPr>
      </w:pPr>
    </w:p>
    <w:p w:rsidR="00EA2458" w:rsidRPr="007974C5" w:rsidRDefault="00EA2458" w:rsidP="00010163">
      <w:pPr>
        <w:pStyle w:val="new4"/>
        <w:spacing w:before="120" w:after="120" w:line="240" w:lineRule="auto"/>
        <w:rPr>
          <w:rFonts w:cs="Tahoma"/>
          <w:b w:val="0"/>
          <w:bCs w:val="0"/>
        </w:rPr>
      </w:pPr>
      <w:r w:rsidRPr="007974C5">
        <w:rPr>
          <w:rFonts w:cs="Tahoma"/>
        </w:rPr>
        <w:lastRenderedPageBreak/>
        <w:t>Διάγραμμα 2.2</w:t>
      </w:r>
    </w:p>
    <w:p w:rsidR="00EA2458" w:rsidRDefault="00EA2458" w:rsidP="000B1D28">
      <w:pPr>
        <w:pStyle w:val="new4"/>
        <w:spacing w:before="60" w:line="240" w:lineRule="auto"/>
        <w:rPr>
          <w:b w:val="0"/>
        </w:rPr>
      </w:pPr>
      <w:bookmarkStart w:id="106" w:name="_Toc193883095"/>
      <w:bookmarkStart w:id="107" w:name="_Toc193883360"/>
      <w:bookmarkStart w:id="108" w:name="_Toc202325726"/>
      <w:bookmarkStart w:id="109" w:name="_Toc210206103"/>
      <w:bookmarkStart w:id="110" w:name="_Toc210206797"/>
      <w:bookmarkStart w:id="111" w:name="_Toc210207712"/>
      <w:bookmarkStart w:id="112" w:name="_Toc217466203"/>
      <w:bookmarkStart w:id="113" w:name="_Toc217724859"/>
      <w:bookmarkStart w:id="114" w:name="_Toc217728883"/>
      <w:bookmarkStart w:id="115" w:name="_Toc228082313"/>
      <w:bookmarkStart w:id="116" w:name="_Toc228172677"/>
      <w:bookmarkStart w:id="117" w:name="_Toc230757306"/>
      <w:bookmarkStart w:id="118" w:name="_Toc237064801"/>
      <w:r w:rsidRPr="00AC5143">
        <w:rPr>
          <w:b w:val="0"/>
        </w:rPr>
        <w:t>Δείκτες Οικονομικού Κλίματος</w:t>
      </w:r>
      <w:r>
        <w:rPr>
          <w:b w:val="0"/>
        </w:rPr>
        <w:t>:</w:t>
      </w:r>
      <w:r w:rsidRPr="00AC5143">
        <w:rPr>
          <w:b w:val="0"/>
        </w:rPr>
        <w:t xml:space="preserve"> Ε.Ε</w:t>
      </w:r>
      <w:r w:rsidR="000B1D28">
        <w:rPr>
          <w:b w:val="0"/>
        </w:rPr>
        <w:t>.</w:t>
      </w:r>
      <w:r w:rsidRPr="00AC5143">
        <w:rPr>
          <w:b w:val="0"/>
        </w:rPr>
        <w:t>-27</w:t>
      </w:r>
      <w:r>
        <w:rPr>
          <w:b w:val="0"/>
        </w:rPr>
        <w:t>, Ευρωζώνη</w:t>
      </w:r>
      <w:r w:rsidRPr="00AC5143">
        <w:rPr>
          <w:b w:val="0"/>
        </w:rPr>
        <w:t xml:space="preserve"> και Ελ</w:t>
      </w:r>
      <w:r>
        <w:rPr>
          <w:b w:val="0"/>
        </w:rPr>
        <w:t xml:space="preserve">λάδα </w:t>
      </w:r>
    </w:p>
    <w:p w:rsidR="00EA2458" w:rsidRPr="00291EB2" w:rsidRDefault="00EA2458" w:rsidP="00010163">
      <w:pPr>
        <w:pStyle w:val="new4"/>
        <w:spacing w:before="120" w:after="120" w:line="240" w:lineRule="auto"/>
        <w:rPr>
          <w:noProof/>
        </w:rPr>
      </w:pPr>
      <w:r>
        <w:rPr>
          <w:b w:val="0"/>
        </w:rPr>
        <w:t>(1990-2011</w:t>
      </w:r>
      <w:r w:rsidRPr="00AC5143">
        <w:rPr>
          <w:b w:val="0"/>
        </w:rPr>
        <w:t>=100, εποχικά εξομαλυμένα στοιχεία)</w:t>
      </w:r>
      <w:bookmarkEnd w:id="106"/>
      <w:bookmarkEnd w:id="107"/>
      <w:bookmarkEnd w:id="108"/>
      <w:bookmarkEnd w:id="109"/>
      <w:bookmarkEnd w:id="110"/>
      <w:bookmarkEnd w:id="111"/>
      <w:bookmarkEnd w:id="112"/>
      <w:bookmarkEnd w:id="113"/>
      <w:bookmarkEnd w:id="114"/>
      <w:bookmarkEnd w:id="115"/>
      <w:bookmarkEnd w:id="116"/>
      <w:bookmarkEnd w:id="117"/>
      <w:bookmarkEnd w:id="118"/>
      <w:r w:rsidRPr="00291EB2">
        <w:rPr>
          <w:b w:val="0"/>
          <w:bCs w:val="0"/>
          <w:noProof/>
        </w:rPr>
        <w:t xml:space="preserve"> </w:t>
      </w:r>
      <w:r>
        <w:rPr>
          <w:noProof/>
          <w:lang w:val="en-US" w:eastAsia="en-US"/>
        </w:rPr>
        <w:drawing>
          <wp:inline distT="0" distB="0" distL="0" distR="0">
            <wp:extent cx="5039832" cy="3175280"/>
            <wp:effectExtent l="0" t="0" r="0" b="0"/>
            <wp:docPr id="5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srcRect/>
                    <a:stretch>
                      <a:fillRect/>
                    </a:stretch>
                  </pic:blipFill>
                  <pic:spPr bwMode="auto">
                    <a:xfrm>
                      <a:off x="0" y="0"/>
                      <a:ext cx="5043998" cy="3177905"/>
                    </a:xfrm>
                    <a:prstGeom prst="rect">
                      <a:avLst/>
                    </a:prstGeom>
                    <a:noFill/>
                    <a:ln w="9525">
                      <a:noFill/>
                      <a:miter lim="800000"/>
                      <a:headEnd/>
                      <a:tailEnd/>
                    </a:ln>
                  </pic:spPr>
                </pic:pic>
              </a:graphicData>
            </a:graphic>
          </wp:inline>
        </w:drawing>
      </w:r>
    </w:p>
    <w:p w:rsidR="00EA2458" w:rsidRPr="00010163" w:rsidRDefault="00EA2458" w:rsidP="00EA2458">
      <w:pPr>
        <w:spacing w:before="240" w:after="240" w:line="312" w:lineRule="auto"/>
        <w:jc w:val="both"/>
        <w:rPr>
          <w:rFonts w:ascii="Tahoma" w:hAnsi="Tahoma" w:cs="Tahoma"/>
          <w:sz w:val="16"/>
          <w:szCs w:val="18"/>
        </w:rPr>
      </w:pPr>
      <w:r w:rsidRPr="00010163">
        <w:rPr>
          <w:rFonts w:ascii="Tahoma" w:hAnsi="Tahoma" w:cs="Tahoma"/>
          <w:b/>
          <w:sz w:val="16"/>
          <w:szCs w:val="18"/>
        </w:rPr>
        <w:lastRenderedPageBreak/>
        <w:t>Πηγή:</w:t>
      </w:r>
      <w:r w:rsidRPr="00010163">
        <w:rPr>
          <w:rFonts w:ascii="Tahoma" w:hAnsi="Tahoma" w:cs="Tahoma"/>
          <w:sz w:val="16"/>
          <w:szCs w:val="18"/>
        </w:rPr>
        <w:t xml:space="preserve"> Ευρωπαϊκή Επιτροπή, DG ECFIN</w:t>
      </w:r>
    </w:p>
    <w:p w:rsidR="00EA2458" w:rsidRDefault="00EA2458" w:rsidP="00EA2458">
      <w:pPr>
        <w:pStyle w:val="new4"/>
        <w:spacing w:before="240" w:after="240" w:line="312" w:lineRule="auto"/>
        <w:jc w:val="both"/>
        <w:rPr>
          <w:rFonts w:cs="Tahoma"/>
          <w:b w:val="0"/>
          <w:sz w:val="22"/>
          <w:szCs w:val="22"/>
        </w:rPr>
        <w:sectPr w:rsidR="00EA2458" w:rsidSect="006B17B0">
          <w:type w:val="continuous"/>
          <w:pgSz w:w="11906" w:h="16838" w:code="9"/>
          <w:pgMar w:top="1079" w:right="1106" w:bottom="719" w:left="1440" w:header="720" w:footer="720" w:gutter="0"/>
          <w:paperSrc w:first="15" w:other="15"/>
          <w:cols w:space="720"/>
        </w:sectPr>
      </w:pPr>
    </w:p>
    <w:bookmarkEnd w:id="105"/>
    <w:p w:rsidR="00EA2458" w:rsidRDefault="00EA2458" w:rsidP="00010163">
      <w:pPr>
        <w:pStyle w:val="new4"/>
        <w:spacing w:before="240" w:after="240" w:line="312" w:lineRule="auto"/>
        <w:jc w:val="both"/>
        <w:rPr>
          <w:rFonts w:cs="Tahoma"/>
          <w:b w:val="0"/>
          <w:sz w:val="22"/>
          <w:szCs w:val="22"/>
        </w:rPr>
      </w:pPr>
      <w:r>
        <w:rPr>
          <w:rFonts w:cs="Tahoma"/>
          <w:b w:val="0"/>
          <w:sz w:val="22"/>
          <w:szCs w:val="22"/>
        </w:rPr>
        <w:lastRenderedPageBreak/>
        <w:t xml:space="preserve">Αναιμική παραμένει και </w:t>
      </w:r>
      <w:r w:rsidRPr="00A414AF">
        <w:rPr>
          <w:rFonts w:cs="Tahoma"/>
          <w:b w:val="0"/>
          <w:sz w:val="22"/>
          <w:szCs w:val="22"/>
        </w:rPr>
        <w:t>η πρόθεση για αποταμίευση</w:t>
      </w:r>
      <w:r w:rsidRPr="00172D29">
        <w:rPr>
          <w:rFonts w:cs="Tahoma"/>
          <w:b w:val="0"/>
          <w:sz w:val="22"/>
          <w:szCs w:val="22"/>
        </w:rPr>
        <w:t xml:space="preserve"> </w:t>
      </w:r>
      <w:r>
        <w:rPr>
          <w:rFonts w:cs="Tahoma"/>
          <w:b w:val="0"/>
          <w:sz w:val="22"/>
          <w:szCs w:val="22"/>
        </w:rPr>
        <w:t>σ</w:t>
      </w:r>
      <w:r w:rsidRPr="00A414AF">
        <w:rPr>
          <w:rFonts w:cs="Tahoma"/>
          <w:b w:val="0"/>
          <w:sz w:val="22"/>
          <w:szCs w:val="22"/>
        </w:rPr>
        <w:t xml:space="preserve">το επόμενο 12μηνο, αφού </w:t>
      </w:r>
      <w:r>
        <w:rPr>
          <w:rFonts w:cs="Tahoma"/>
          <w:b w:val="0"/>
          <w:sz w:val="22"/>
          <w:szCs w:val="22"/>
        </w:rPr>
        <w:t>περί το</w:t>
      </w:r>
      <w:r w:rsidRPr="00A414AF">
        <w:rPr>
          <w:rFonts w:cs="Tahoma"/>
          <w:b w:val="0"/>
          <w:sz w:val="22"/>
          <w:szCs w:val="22"/>
        </w:rPr>
        <w:t xml:space="preserve"> 85% των νοικοκυριών </w:t>
      </w:r>
      <w:r>
        <w:rPr>
          <w:rFonts w:cs="Tahoma"/>
          <w:b w:val="0"/>
          <w:sz w:val="22"/>
          <w:szCs w:val="22"/>
        </w:rPr>
        <w:t>δηλώνει</w:t>
      </w:r>
      <w:r w:rsidRPr="00A414AF">
        <w:rPr>
          <w:rFonts w:cs="Tahoma"/>
          <w:b w:val="0"/>
          <w:sz w:val="22"/>
          <w:szCs w:val="22"/>
        </w:rPr>
        <w:t xml:space="preserve"> </w:t>
      </w:r>
      <w:r>
        <w:rPr>
          <w:rFonts w:cs="Tahoma"/>
          <w:b w:val="0"/>
          <w:sz w:val="22"/>
          <w:szCs w:val="22"/>
        </w:rPr>
        <w:t xml:space="preserve">αδυναμία </w:t>
      </w:r>
      <w:r w:rsidRPr="00A414AF">
        <w:rPr>
          <w:rFonts w:cs="Tahoma"/>
          <w:b w:val="0"/>
          <w:sz w:val="22"/>
          <w:szCs w:val="22"/>
        </w:rPr>
        <w:t xml:space="preserve">να αποταμιεύσει. Το ποσοστό των καταναλωτών που </w:t>
      </w:r>
      <w:r>
        <w:rPr>
          <w:rFonts w:cs="Tahoma"/>
          <w:b w:val="0"/>
          <w:sz w:val="22"/>
          <w:szCs w:val="22"/>
        </w:rPr>
        <w:t>αναφέρει ότι είναι</w:t>
      </w:r>
      <w:r w:rsidRPr="00A414AF">
        <w:rPr>
          <w:rFonts w:cs="Tahoma"/>
          <w:b w:val="0"/>
          <w:sz w:val="22"/>
          <w:szCs w:val="22"/>
        </w:rPr>
        <w:t xml:space="preserve"> «χρεωμένο» </w:t>
      </w:r>
      <w:r>
        <w:rPr>
          <w:rFonts w:cs="Tahoma"/>
          <w:b w:val="0"/>
          <w:sz w:val="22"/>
          <w:szCs w:val="22"/>
        </w:rPr>
        <w:t>περιορίζεται ελαφρά</w:t>
      </w:r>
      <w:r w:rsidRPr="00A414AF">
        <w:rPr>
          <w:rFonts w:cs="Tahoma"/>
          <w:b w:val="0"/>
          <w:sz w:val="22"/>
          <w:szCs w:val="22"/>
        </w:rPr>
        <w:t xml:space="preserve"> στο 1</w:t>
      </w:r>
      <w:r>
        <w:rPr>
          <w:rFonts w:cs="Tahoma"/>
          <w:b w:val="0"/>
          <w:sz w:val="22"/>
          <w:szCs w:val="22"/>
        </w:rPr>
        <w:t>6</w:t>
      </w:r>
      <w:r w:rsidRPr="00A414AF">
        <w:rPr>
          <w:rFonts w:cs="Tahoma"/>
          <w:b w:val="0"/>
          <w:sz w:val="22"/>
          <w:szCs w:val="22"/>
        </w:rPr>
        <w:t xml:space="preserve">% </w:t>
      </w:r>
      <w:r>
        <w:rPr>
          <w:rFonts w:cs="Tahoma"/>
          <w:b w:val="0"/>
          <w:sz w:val="22"/>
          <w:szCs w:val="22"/>
        </w:rPr>
        <w:t>(από 18% το τελευταίο τρίμηνο του προηγούμενου έτους)</w:t>
      </w:r>
      <w:r w:rsidRPr="00A414AF">
        <w:rPr>
          <w:rFonts w:cs="Tahoma"/>
          <w:b w:val="0"/>
          <w:sz w:val="22"/>
          <w:szCs w:val="22"/>
        </w:rPr>
        <w:t xml:space="preserve">, ενώ </w:t>
      </w:r>
      <w:r>
        <w:rPr>
          <w:rFonts w:cs="Tahoma"/>
          <w:b w:val="0"/>
          <w:sz w:val="22"/>
          <w:szCs w:val="22"/>
        </w:rPr>
        <w:t>μόνο έν</w:t>
      </w:r>
      <w:r w:rsidR="000B1D28">
        <w:rPr>
          <w:rFonts w:cs="Tahoma"/>
          <w:b w:val="0"/>
          <w:sz w:val="22"/>
          <w:szCs w:val="22"/>
        </w:rPr>
        <w:t>ας στους 10 καταναλωτές δηλώνει</w:t>
      </w:r>
      <w:r>
        <w:rPr>
          <w:rFonts w:cs="Tahoma"/>
          <w:b w:val="0"/>
          <w:sz w:val="22"/>
          <w:szCs w:val="22"/>
        </w:rPr>
        <w:t xml:space="preserve"> ότι </w:t>
      </w:r>
      <w:r w:rsidR="000B1D28">
        <w:rPr>
          <w:rFonts w:cs="Tahoma"/>
          <w:b w:val="0"/>
          <w:sz w:val="22"/>
          <w:szCs w:val="22"/>
        </w:rPr>
        <w:t>αποταμιεύει</w:t>
      </w:r>
      <w:r w:rsidRPr="00A414AF">
        <w:rPr>
          <w:rFonts w:cs="Tahoma"/>
          <w:b w:val="0"/>
          <w:sz w:val="22"/>
          <w:szCs w:val="22"/>
        </w:rPr>
        <w:t xml:space="preserve"> λίγο ή πολύ</w:t>
      </w:r>
      <w:r>
        <w:rPr>
          <w:rFonts w:cs="Tahoma"/>
          <w:b w:val="0"/>
          <w:sz w:val="22"/>
          <w:szCs w:val="22"/>
        </w:rPr>
        <w:t xml:space="preserve">. </w:t>
      </w:r>
      <w:r w:rsidRPr="00A414AF">
        <w:rPr>
          <w:rFonts w:cs="Tahoma"/>
          <w:b w:val="0"/>
          <w:sz w:val="22"/>
          <w:szCs w:val="22"/>
        </w:rPr>
        <w:t>Τέλος, το</w:t>
      </w:r>
      <w:r>
        <w:rPr>
          <w:rFonts w:cs="Tahoma"/>
          <w:b w:val="0"/>
          <w:sz w:val="22"/>
          <w:szCs w:val="22"/>
        </w:rPr>
        <w:t xml:space="preserve"> 53%</w:t>
      </w:r>
      <w:r w:rsidRPr="00A414AF">
        <w:rPr>
          <w:rFonts w:cs="Tahoma"/>
          <w:b w:val="0"/>
          <w:sz w:val="22"/>
          <w:szCs w:val="22"/>
        </w:rPr>
        <w:t xml:space="preserve"> </w:t>
      </w:r>
      <w:r>
        <w:rPr>
          <w:rFonts w:cs="Tahoma"/>
          <w:b w:val="0"/>
          <w:sz w:val="22"/>
          <w:szCs w:val="22"/>
        </w:rPr>
        <w:t>τ</w:t>
      </w:r>
      <w:r w:rsidRPr="00A414AF">
        <w:rPr>
          <w:rFonts w:cs="Tahoma"/>
          <w:b w:val="0"/>
          <w:sz w:val="22"/>
          <w:szCs w:val="22"/>
        </w:rPr>
        <w:t xml:space="preserve">ων καταναλωτών δηλώνουν ότι «μόλις τα βγάζουν πέρα», ενώ </w:t>
      </w:r>
      <w:r>
        <w:rPr>
          <w:rFonts w:cs="Tahoma"/>
          <w:b w:val="0"/>
          <w:sz w:val="22"/>
          <w:szCs w:val="22"/>
        </w:rPr>
        <w:t xml:space="preserve">διευρύνεται </w:t>
      </w:r>
      <w:r w:rsidRPr="00A414AF">
        <w:rPr>
          <w:rFonts w:cs="Tahoma"/>
          <w:b w:val="0"/>
          <w:sz w:val="22"/>
          <w:szCs w:val="22"/>
        </w:rPr>
        <w:t xml:space="preserve">στο </w:t>
      </w:r>
      <w:r>
        <w:rPr>
          <w:rFonts w:cs="Tahoma"/>
          <w:b w:val="0"/>
          <w:sz w:val="22"/>
          <w:szCs w:val="22"/>
        </w:rPr>
        <w:t>19</w:t>
      </w:r>
      <w:r w:rsidRPr="00A414AF">
        <w:rPr>
          <w:rFonts w:cs="Tahoma"/>
          <w:b w:val="0"/>
          <w:sz w:val="22"/>
          <w:szCs w:val="22"/>
        </w:rPr>
        <w:t xml:space="preserve">% </w:t>
      </w:r>
      <w:r>
        <w:rPr>
          <w:rFonts w:cs="Tahoma"/>
          <w:b w:val="0"/>
          <w:sz w:val="22"/>
          <w:szCs w:val="22"/>
        </w:rPr>
        <w:t xml:space="preserve">(από 15%) το </w:t>
      </w:r>
      <w:r w:rsidRPr="00A414AF">
        <w:rPr>
          <w:rFonts w:cs="Tahoma"/>
          <w:b w:val="0"/>
          <w:sz w:val="22"/>
          <w:szCs w:val="22"/>
        </w:rPr>
        <w:t>ποσοστό εκείνων που δηλώνουν ότι «αντλούν από τις αποταμιεύσεις τους».</w:t>
      </w:r>
    </w:p>
    <w:p w:rsidR="006B17B0" w:rsidRDefault="00EA2458" w:rsidP="00010163">
      <w:pPr>
        <w:spacing w:before="240" w:after="240" w:line="312" w:lineRule="auto"/>
        <w:jc w:val="both"/>
        <w:rPr>
          <w:rFonts w:ascii="Tahoma" w:hAnsi="Tahoma" w:cs="Tahoma"/>
          <w:bCs/>
          <w:sz w:val="22"/>
          <w:szCs w:val="22"/>
        </w:rPr>
      </w:pPr>
      <w:r w:rsidRPr="00E66C3F">
        <w:rPr>
          <w:rFonts w:ascii="Tahoma" w:hAnsi="Tahoma" w:cs="Tahoma"/>
          <w:bCs/>
          <w:sz w:val="22"/>
          <w:szCs w:val="22"/>
        </w:rPr>
        <w:t xml:space="preserve">Στον τομέα της </w:t>
      </w:r>
      <w:r w:rsidRPr="00E66C3F">
        <w:rPr>
          <w:rFonts w:ascii="Tahoma" w:hAnsi="Tahoma" w:cs="Tahoma"/>
          <w:b/>
          <w:bCs/>
          <w:sz w:val="22"/>
          <w:szCs w:val="22"/>
        </w:rPr>
        <w:t>Βιομηχανίας,</w:t>
      </w:r>
      <w:r w:rsidRPr="00E66C3F">
        <w:rPr>
          <w:rFonts w:ascii="Tahoma" w:hAnsi="Tahoma" w:cs="Tahoma"/>
          <w:bCs/>
          <w:sz w:val="22"/>
          <w:szCs w:val="22"/>
        </w:rPr>
        <w:t xml:space="preserve"> ο Δείκτης Επιχειρηματικών Προσδοκιών το πρώτο δίμηνο του 2012 κινείται κατά μέσο όρο στις 71,5 μονάδες, οριακά χαμηλότερα σε σχέση με το προηγούμενο τρίμηνο, αλλά επτά μονάδες χαμηλότερα σε σχέση με το μέσο όρο του αντίστοιχου περσινού διμήνου. Οι δυσμενείς προβλέψεις για τη βραχυπρόθεσμη εξέλιξη της παραγωγής εξομαλύνονται ελαφρά, </w:t>
      </w:r>
      <w:r w:rsidR="000B1D28">
        <w:rPr>
          <w:rFonts w:ascii="Tahoma" w:hAnsi="Tahoma" w:cs="Tahoma"/>
          <w:bCs/>
          <w:sz w:val="22"/>
          <w:szCs w:val="22"/>
        </w:rPr>
        <w:t xml:space="preserve">ενώ η </w:t>
      </w:r>
      <w:r w:rsidRPr="00E66C3F">
        <w:rPr>
          <w:rFonts w:ascii="Tahoma" w:hAnsi="Tahoma" w:cs="Tahoma"/>
          <w:bCs/>
          <w:sz w:val="22"/>
          <w:szCs w:val="22"/>
        </w:rPr>
        <w:t xml:space="preserve">εξαγωγική δυναμική του τομέα να εξασθενεί σε σχέση με τους προηγούμενους μήνες. Οι περισσότεροι δείκτες δραστηριότητας του τομέα επιδεινώνονται: </w:t>
      </w:r>
      <w:r>
        <w:rPr>
          <w:rFonts w:ascii="Tahoma" w:hAnsi="Tahoma" w:cs="Tahoma"/>
          <w:bCs/>
          <w:sz w:val="22"/>
          <w:szCs w:val="22"/>
        </w:rPr>
        <w:t xml:space="preserve">οι </w:t>
      </w:r>
      <w:r w:rsidRPr="00E66C3F">
        <w:rPr>
          <w:rFonts w:ascii="Tahoma" w:hAnsi="Tahoma" w:cs="Tahoma"/>
          <w:bCs/>
          <w:sz w:val="22"/>
          <w:szCs w:val="22"/>
        </w:rPr>
        <w:t xml:space="preserve">εκτιμήσεις για το επίπεδο παραγγελιών και ζήτησης </w:t>
      </w:r>
      <w:r>
        <w:rPr>
          <w:rFonts w:ascii="Tahoma" w:hAnsi="Tahoma" w:cs="Tahoma"/>
          <w:bCs/>
          <w:sz w:val="22"/>
          <w:szCs w:val="22"/>
        </w:rPr>
        <w:t xml:space="preserve">περιορίζονται ακόμα περισσότερο </w:t>
      </w:r>
      <w:r w:rsidRPr="00E66C3F">
        <w:rPr>
          <w:rFonts w:ascii="Tahoma" w:hAnsi="Tahoma" w:cs="Tahoma"/>
          <w:bCs/>
          <w:sz w:val="22"/>
          <w:szCs w:val="22"/>
        </w:rPr>
        <w:t xml:space="preserve">(στις -54 από -48 μονάδες), με το δείκτη να φθάνει σε σημαντικά χαμηλότερα επίπεδα σε σχέση με τα αντίστοιχα περσινά (-39 μονάδες). Οι </w:t>
      </w:r>
      <w:r w:rsidRPr="00E66C3F">
        <w:rPr>
          <w:rFonts w:ascii="Tahoma" w:hAnsi="Tahoma" w:cs="Tahoma"/>
          <w:bCs/>
          <w:sz w:val="22"/>
          <w:szCs w:val="22"/>
        </w:rPr>
        <w:lastRenderedPageBreak/>
        <w:t xml:space="preserve">προβλέψεις για την εξέλιξη της παραγωγής τους προσεχείς 3-4 μήνες </w:t>
      </w:r>
      <w:r>
        <w:rPr>
          <w:rFonts w:ascii="Tahoma" w:hAnsi="Tahoma" w:cs="Tahoma"/>
          <w:bCs/>
          <w:sz w:val="22"/>
          <w:szCs w:val="22"/>
        </w:rPr>
        <w:t xml:space="preserve">είναι ακόμα πιο απαισιόδοξες </w:t>
      </w:r>
      <w:r w:rsidRPr="00E66C3F">
        <w:rPr>
          <w:rFonts w:ascii="Tahoma" w:hAnsi="Tahoma" w:cs="Tahoma"/>
          <w:bCs/>
          <w:sz w:val="22"/>
          <w:szCs w:val="22"/>
        </w:rPr>
        <w:t xml:space="preserve">και διαμορφώνονται κατά μέσο όρο στις -10 μονάδες (από -3 μονάδες το περασμένο τρίμηνο), ενώ </w:t>
      </w:r>
      <w:r>
        <w:rPr>
          <w:rFonts w:ascii="Tahoma" w:hAnsi="Tahoma" w:cs="Tahoma"/>
          <w:bCs/>
          <w:sz w:val="22"/>
          <w:szCs w:val="22"/>
        </w:rPr>
        <w:t xml:space="preserve">διογκωμένα είναι και </w:t>
      </w:r>
      <w:r w:rsidRPr="00E66C3F">
        <w:rPr>
          <w:rFonts w:ascii="Tahoma" w:hAnsi="Tahoma" w:cs="Tahoma"/>
          <w:bCs/>
          <w:sz w:val="22"/>
          <w:szCs w:val="22"/>
        </w:rPr>
        <w:t xml:space="preserve">τα αποθέματα </w:t>
      </w:r>
      <w:r w:rsidR="000B1D28">
        <w:rPr>
          <w:rFonts w:ascii="Tahoma" w:hAnsi="Tahoma" w:cs="Tahoma"/>
          <w:bCs/>
          <w:sz w:val="22"/>
          <w:szCs w:val="22"/>
        </w:rPr>
        <w:t xml:space="preserve">ετοίμων προϊόντων, </w:t>
      </w:r>
      <w:r>
        <w:rPr>
          <w:rFonts w:ascii="Tahoma" w:hAnsi="Tahoma" w:cs="Tahoma"/>
          <w:bCs/>
          <w:sz w:val="22"/>
          <w:szCs w:val="22"/>
        </w:rPr>
        <w:t xml:space="preserve">με το </w:t>
      </w:r>
      <w:r w:rsidR="000B1D28">
        <w:rPr>
          <w:rFonts w:ascii="Tahoma" w:hAnsi="Tahoma" w:cs="Tahoma"/>
          <w:bCs/>
          <w:sz w:val="22"/>
          <w:szCs w:val="22"/>
        </w:rPr>
        <w:t xml:space="preserve">σχετικό </w:t>
      </w:r>
      <w:r>
        <w:rPr>
          <w:rFonts w:ascii="Tahoma" w:hAnsi="Tahoma" w:cs="Tahoma"/>
          <w:bCs/>
          <w:sz w:val="22"/>
          <w:szCs w:val="22"/>
        </w:rPr>
        <w:t xml:space="preserve">δείκτη </w:t>
      </w:r>
      <w:r w:rsidRPr="00E66C3F">
        <w:rPr>
          <w:rFonts w:ascii="Tahoma" w:hAnsi="Tahoma" w:cs="Tahoma"/>
          <w:bCs/>
          <w:sz w:val="22"/>
          <w:szCs w:val="22"/>
        </w:rPr>
        <w:t xml:space="preserve">στις +15 μονάδες. Από τα υπόλοιπα στοιχεία, το αρνητικό ισοζύγιο στις προβλέψεις απασχόλησης στον τομέα παραμένει στις -27 μονάδες, σε επίδοση χαμηλότερη σε σύγκριση με τον αντίστοιχο μέσο όρο της περσινής χρονιάς (-21 μονάδες). Ως προς το ποσοστό χρησιμοποίησης του εργοστασιακού δυναμικού, αυτό υποχωρεί στο 64% </w:t>
      </w:r>
      <w:r>
        <w:rPr>
          <w:rFonts w:ascii="Tahoma" w:hAnsi="Tahoma" w:cs="Tahoma"/>
          <w:bCs/>
          <w:sz w:val="22"/>
          <w:szCs w:val="22"/>
        </w:rPr>
        <w:t xml:space="preserve">στις αρχές του έτους </w:t>
      </w:r>
      <w:r w:rsidRPr="00E66C3F">
        <w:rPr>
          <w:rFonts w:ascii="Tahoma" w:hAnsi="Tahoma" w:cs="Tahoma"/>
          <w:bCs/>
          <w:sz w:val="22"/>
          <w:szCs w:val="22"/>
        </w:rPr>
        <w:t>(από 67% το προηγούμενο διάστημα), κατώτερα έναντι της αντίστοιχης περσινής επίδοσης (68%). Τέλος, οι μήνες εξασφαλισμένης παραγωγής περιορίζονται οριακά στους 4 μήνες (από 4,2 μήνες), ελαφρώς χαμηλότερα σε σχέση με πέρυσι.</w:t>
      </w:r>
    </w:p>
    <w:p w:rsidR="006B17B0" w:rsidRDefault="006B17B0" w:rsidP="006B17B0">
      <w:pPr>
        <w:spacing w:before="240" w:after="240" w:line="312" w:lineRule="auto"/>
        <w:jc w:val="both"/>
        <w:rPr>
          <w:rFonts w:ascii="Tahoma" w:hAnsi="Tahoma" w:cs="Tahoma"/>
          <w:bCs/>
          <w:sz w:val="22"/>
          <w:szCs w:val="22"/>
        </w:rPr>
      </w:pPr>
      <w:r w:rsidRPr="006B17B0">
        <w:rPr>
          <w:rFonts w:ascii="Tahoma" w:hAnsi="Tahoma" w:cs="Tahoma"/>
          <w:sz w:val="22"/>
          <w:szCs w:val="22"/>
        </w:rPr>
        <w:t xml:space="preserve">Ο Δείκτης Επιχειρηματικών Προσδοκιών στο </w:t>
      </w:r>
      <w:r w:rsidRPr="006B17B0">
        <w:rPr>
          <w:rFonts w:ascii="Tahoma" w:hAnsi="Tahoma" w:cs="Tahoma"/>
          <w:b/>
          <w:sz w:val="22"/>
          <w:szCs w:val="22"/>
        </w:rPr>
        <w:t>Λιανικό Εμπόριο</w:t>
      </w:r>
      <w:r w:rsidRPr="006B17B0">
        <w:rPr>
          <w:rFonts w:ascii="Tahoma" w:hAnsi="Tahoma" w:cs="Tahoma"/>
          <w:sz w:val="22"/>
          <w:szCs w:val="22"/>
        </w:rPr>
        <w:t xml:space="preserve"> το δίμηνο Ιανουαρίου – Φεβρουαρίου διαμορφώνεται στις 54,3 μονάδες, από 59 μονάδες το προηγούμενο τρίμηνο και 61 μονάδες το αντίστοιχο περυσινό διάστημα. </w:t>
      </w:r>
      <w:r w:rsidRPr="006B17B0">
        <w:rPr>
          <w:rFonts w:ascii="Tahoma" w:hAnsi="Tahoma" w:cs="Tahoma"/>
          <w:b/>
          <w:sz w:val="22"/>
          <w:szCs w:val="22"/>
        </w:rPr>
        <w:t>Η πτώση αυτή εκπορεύεται κυρίως από την αισθητή μείωση στις εκτιμήσεις των επιχειρήσεων για τις τρέχουσες πωλήσεις τους, με τα αποθέματα να παραμένουν εν γένει σε χαμηλά για την εποχή επίπεδα, αφού δεν ανανεώνονται οι παραγγελίες προς προμηθευτές</w:t>
      </w:r>
      <w:r w:rsidRPr="009D52EA">
        <w:rPr>
          <w:b/>
          <w:sz w:val="22"/>
          <w:szCs w:val="22"/>
        </w:rPr>
        <w:t>.</w:t>
      </w:r>
    </w:p>
    <w:p w:rsidR="006B17B0" w:rsidRDefault="006B17B0" w:rsidP="00010163">
      <w:pPr>
        <w:spacing w:before="240" w:after="240" w:line="312" w:lineRule="auto"/>
        <w:jc w:val="both"/>
        <w:rPr>
          <w:rFonts w:ascii="Tahoma" w:hAnsi="Tahoma" w:cs="Tahoma"/>
          <w:bCs/>
          <w:sz w:val="22"/>
          <w:szCs w:val="22"/>
        </w:rPr>
        <w:sectPr w:rsidR="006B17B0" w:rsidSect="006B17B0">
          <w:footerReference w:type="even" r:id="rId26"/>
          <w:pgSz w:w="11906" w:h="16838"/>
          <w:pgMar w:top="1440" w:right="849" w:bottom="1440" w:left="1560" w:header="708" w:footer="708" w:gutter="0"/>
          <w:cols w:num="2" w:space="720"/>
          <w:docGrid w:linePitch="360"/>
        </w:sectPr>
      </w:pPr>
    </w:p>
    <w:p w:rsidR="00EA2458" w:rsidRPr="008D523F" w:rsidRDefault="006B17B0" w:rsidP="00BD0EAA">
      <w:pPr>
        <w:pStyle w:val="new4"/>
        <w:spacing w:line="240" w:lineRule="auto"/>
      </w:pPr>
      <w:bookmarkStart w:id="119" w:name="_Toc228172678"/>
      <w:bookmarkStart w:id="120" w:name="_Toc237064802"/>
      <w:bookmarkStart w:id="121" w:name="_Toc193883098"/>
      <w:bookmarkStart w:id="122" w:name="_Toc193883363"/>
      <w:bookmarkStart w:id="123" w:name="_Toc202325729"/>
      <w:bookmarkStart w:id="124" w:name="_Toc210206106"/>
      <w:bookmarkStart w:id="125" w:name="_Toc210206800"/>
      <w:bookmarkStart w:id="126" w:name="_Toc210207715"/>
      <w:bookmarkStart w:id="127" w:name="_Toc217466206"/>
      <w:bookmarkStart w:id="128" w:name="_Toc217724862"/>
      <w:bookmarkStart w:id="129" w:name="_Toc217728886"/>
      <w:bookmarkEnd w:id="103"/>
      <w:bookmarkEnd w:id="104"/>
      <w:r>
        <w:lastRenderedPageBreak/>
        <w:br w:type="column"/>
      </w:r>
      <w:r w:rsidR="00EA2458" w:rsidRPr="00824B57">
        <w:lastRenderedPageBreak/>
        <w:t>Πίνακας 2.6</w:t>
      </w:r>
      <w:bookmarkEnd w:id="119"/>
      <w:bookmarkEnd w:id="120"/>
    </w:p>
    <w:p w:rsidR="00EA2458" w:rsidRPr="00CD7612" w:rsidRDefault="00EA2458" w:rsidP="00BD0EAA">
      <w:pPr>
        <w:pStyle w:val="new4"/>
        <w:spacing w:before="120" w:line="240" w:lineRule="auto"/>
        <w:rPr>
          <w:b w:val="0"/>
        </w:rPr>
      </w:pPr>
      <w:bookmarkStart w:id="130" w:name="_Toc185675090"/>
      <w:bookmarkStart w:id="131" w:name="_Toc193882955"/>
      <w:bookmarkStart w:id="132" w:name="_Toc193883362"/>
      <w:bookmarkStart w:id="133" w:name="_Toc193883449"/>
      <w:bookmarkStart w:id="134" w:name="_Toc202326815"/>
      <w:bookmarkStart w:id="135" w:name="_Toc210207714"/>
      <w:bookmarkStart w:id="136" w:name="_Toc217724861"/>
      <w:bookmarkStart w:id="137" w:name="_Toc228172679"/>
      <w:bookmarkStart w:id="138" w:name="_Toc237064803"/>
      <w:r w:rsidRPr="004222BE">
        <w:rPr>
          <w:b w:val="0"/>
        </w:rPr>
        <w:t>Βραχυχρόνιοι Δείκτες Οικονομικής Συγκυρίας</w:t>
      </w:r>
      <w:bookmarkEnd w:id="130"/>
      <w:bookmarkEnd w:id="131"/>
      <w:bookmarkEnd w:id="132"/>
      <w:bookmarkEnd w:id="133"/>
      <w:bookmarkEnd w:id="134"/>
      <w:bookmarkEnd w:id="135"/>
      <w:bookmarkEnd w:id="136"/>
      <w:bookmarkEnd w:id="137"/>
      <w:bookmarkEnd w:id="138"/>
      <w:r w:rsidRPr="00814437">
        <w:t xml:space="preserve"> </w:t>
      </w:r>
    </w:p>
    <w:tbl>
      <w:tblPr>
        <w:tblW w:w="10483" w:type="dxa"/>
        <w:jc w:val="center"/>
        <w:tblInd w:w="70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E0"/>
      </w:tblPr>
      <w:tblGrid>
        <w:gridCol w:w="1105"/>
        <w:gridCol w:w="916"/>
        <w:gridCol w:w="1088"/>
        <w:gridCol w:w="1507"/>
        <w:gridCol w:w="1440"/>
        <w:gridCol w:w="1547"/>
        <w:gridCol w:w="1260"/>
        <w:gridCol w:w="1620"/>
      </w:tblGrid>
      <w:tr w:rsidR="00EA2458" w:rsidRPr="003A1F57" w:rsidTr="00AE1766">
        <w:trPr>
          <w:trHeight w:val="696"/>
          <w:jc w:val="center"/>
        </w:trPr>
        <w:tc>
          <w:tcPr>
            <w:tcW w:w="1105" w:type="dxa"/>
            <w:vMerge w:val="restart"/>
            <w:shd w:val="clear" w:color="auto" w:fill="003366"/>
            <w:vAlign w:val="center"/>
          </w:tcPr>
          <w:p w:rsidR="00EA2458" w:rsidRPr="003A1F57" w:rsidRDefault="00EA2458" w:rsidP="00AE1766">
            <w:pPr>
              <w:spacing w:line="288" w:lineRule="auto"/>
              <w:jc w:val="center"/>
              <w:rPr>
                <w:rFonts w:ascii="Calibri" w:hAnsi="Calibri" w:cs="Tahoma"/>
                <w:b/>
              </w:rPr>
            </w:pPr>
            <w:r w:rsidRPr="003A1F57">
              <w:rPr>
                <w:rFonts w:ascii="Calibri" w:hAnsi="Calibri" w:cs="Tahoma"/>
                <w:b/>
              </w:rPr>
              <w:t>Μήνας/ Έτος</w:t>
            </w:r>
          </w:p>
        </w:tc>
        <w:tc>
          <w:tcPr>
            <w:tcW w:w="2004" w:type="dxa"/>
            <w:gridSpan w:val="2"/>
            <w:shd w:val="clear" w:color="auto" w:fill="003366"/>
            <w:vAlign w:val="center"/>
          </w:tcPr>
          <w:p w:rsidR="00EA2458" w:rsidRPr="003A1F57" w:rsidRDefault="00EA2458" w:rsidP="00AE1766">
            <w:pPr>
              <w:spacing w:line="288" w:lineRule="auto"/>
              <w:jc w:val="center"/>
              <w:rPr>
                <w:rFonts w:ascii="Calibri" w:hAnsi="Calibri" w:cs="Tahoma"/>
                <w:b/>
              </w:rPr>
            </w:pPr>
            <w:r w:rsidRPr="003A1F57">
              <w:rPr>
                <w:rFonts w:ascii="Calibri" w:hAnsi="Calibri" w:cs="Tahoma"/>
                <w:b/>
              </w:rPr>
              <w:t>Δείκτες Οικονομικού</w:t>
            </w:r>
            <w:r w:rsidRPr="003A1F57">
              <w:rPr>
                <w:rFonts w:ascii="Calibri" w:hAnsi="Calibri" w:cs="Tahoma"/>
                <w:b/>
                <w:lang w:val="en-US"/>
              </w:rPr>
              <w:t xml:space="preserve"> </w:t>
            </w:r>
            <w:r w:rsidRPr="003A1F57">
              <w:rPr>
                <w:rFonts w:ascii="Calibri" w:hAnsi="Calibri" w:cs="Tahoma"/>
                <w:b/>
              </w:rPr>
              <w:t>Κλίματος</w:t>
            </w:r>
            <w:r w:rsidRPr="003A1F57">
              <w:rPr>
                <w:rFonts w:ascii="Calibri" w:hAnsi="Calibri" w:cs="Tahoma"/>
                <w:b/>
                <w:vertAlign w:val="superscript"/>
              </w:rPr>
              <w:t>1</w:t>
            </w:r>
          </w:p>
        </w:tc>
        <w:tc>
          <w:tcPr>
            <w:tcW w:w="5754" w:type="dxa"/>
            <w:gridSpan w:val="4"/>
            <w:shd w:val="clear" w:color="auto" w:fill="003366"/>
            <w:vAlign w:val="center"/>
          </w:tcPr>
          <w:p w:rsidR="00EA2458" w:rsidRPr="003A1F57" w:rsidRDefault="00EA2458" w:rsidP="00AE1766">
            <w:pPr>
              <w:spacing w:line="288" w:lineRule="auto"/>
              <w:jc w:val="center"/>
              <w:rPr>
                <w:rFonts w:ascii="Calibri" w:hAnsi="Calibri" w:cs="Tahoma"/>
                <w:b/>
                <w:vertAlign w:val="superscript"/>
              </w:rPr>
            </w:pPr>
            <w:r w:rsidRPr="003A1F57">
              <w:rPr>
                <w:rFonts w:ascii="Calibri" w:hAnsi="Calibri" w:cs="Tahoma"/>
                <w:b/>
              </w:rPr>
              <w:t>Δείκτες Επιχειρηματικών Προσδοκιών</w:t>
            </w:r>
            <w:r w:rsidRPr="003A1F57">
              <w:rPr>
                <w:rFonts w:ascii="Calibri" w:hAnsi="Calibri" w:cs="Tahoma"/>
                <w:b/>
                <w:vertAlign w:val="superscript"/>
              </w:rPr>
              <w:t>2</w:t>
            </w:r>
          </w:p>
          <w:p w:rsidR="00EA2458" w:rsidRPr="003A1F57" w:rsidRDefault="00EA2458" w:rsidP="00AE1766">
            <w:pPr>
              <w:spacing w:line="288" w:lineRule="auto"/>
              <w:jc w:val="center"/>
              <w:rPr>
                <w:rFonts w:ascii="Calibri" w:hAnsi="Calibri" w:cs="Tahoma"/>
                <w:b/>
              </w:rPr>
            </w:pPr>
            <w:r w:rsidRPr="003A1F57">
              <w:rPr>
                <w:rFonts w:ascii="Calibri" w:hAnsi="Calibri" w:cs="Tahoma"/>
                <w:b/>
              </w:rPr>
              <w:t>(Ελλάδα)</w:t>
            </w:r>
          </w:p>
        </w:tc>
        <w:tc>
          <w:tcPr>
            <w:tcW w:w="1620" w:type="dxa"/>
            <w:vMerge w:val="restart"/>
            <w:shd w:val="clear" w:color="auto" w:fill="003366"/>
            <w:vAlign w:val="center"/>
          </w:tcPr>
          <w:p w:rsidR="00EA2458" w:rsidRPr="003A1F57" w:rsidRDefault="00EA2458" w:rsidP="00AE1766">
            <w:pPr>
              <w:spacing w:line="288" w:lineRule="auto"/>
              <w:jc w:val="center"/>
              <w:rPr>
                <w:rFonts w:ascii="Calibri" w:hAnsi="Calibri" w:cs="Tahoma"/>
                <w:b/>
                <w:vertAlign w:val="superscript"/>
              </w:rPr>
            </w:pPr>
            <w:r w:rsidRPr="003A1F57">
              <w:rPr>
                <w:rFonts w:ascii="Calibri" w:hAnsi="Calibri" w:cs="Tahoma"/>
                <w:b/>
              </w:rPr>
              <w:t>Δείκτης</w:t>
            </w:r>
            <w:r w:rsidRPr="003A1F57">
              <w:rPr>
                <w:rFonts w:ascii="Calibri" w:hAnsi="Calibri" w:cs="Tahoma"/>
                <w:b/>
                <w:lang w:val="en-US"/>
              </w:rPr>
              <w:t xml:space="preserve"> </w:t>
            </w:r>
            <w:r w:rsidRPr="003A1F57">
              <w:rPr>
                <w:rFonts w:ascii="Calibri" w:hAnsi="Calibri" w:cs="Tahoma"/>
                <w:b/>
              </w:rPr>
              <w:t>Καταναλωτικής</w:t>
            </w:r>
            <w:r w:rsidRPr="003A1F57">
              <w:rPr>
                <w:rFonts w:ascii="Calibri" w:hAnsi="Calibri" w:cs="Tahoma"/>
                <w:b/>
                <w:lang w:val="en-US"/>
              </w:rPr>
              <w:t xml:space="preserve"> </w:t>
            </w:r>
            <w:r w:rsidRPr="003A1F57">
              <w:rPr>
                <w:rFonts w:ascii="Calibri" w:hAnsi="Calibri" w:cs="Tahoma"/>
                <w:b/>
              </w:rPr>
              <w:t>Εμπιστοσύνης</w:t>
            </w:r>
            <w:r w:rsidRPr="003A1F57">
              <w:rPr>
                <w:rFonts w:ascii="Calibri" w:hAnsi="Calibri" w:cs="Tahoma"/>
                <w:b/>
                <w:vertAlign w:val="superscript"/>
              </w:rPr>
              <w:t>1</w:t>
            </w:r>
          </w:p>
          <w:p w:rsidR="00EA2458" w:rsidRPr="003A1F57" w:rsidRDefault="00EA2458" w:rsidP="00AE1766">
            <w:pPr>
              <w:spacing w:line="288" w:lineRule="auto"/>
              <w:jc w:val="center"/>
              <w:rPr>
                <w:rFonts w:ascii="Calibri" w:hAnsi="Calibri" w:cs="Tahoma"/>
                <w:b/>
              </w:rPr>
            </w:pPr>
            <w:r w:rsidRPr="003A1F57">
              <w:rPr>
                <w:rFonts w:ascii="Calibri" w:hAnsi="Calibri" w:cs="Tahoma"/>
                <w:b/>
              </w:rPr>
              <w:t>(Ελλάδα)</w:t>
            </w:r>
          </w:p>
        </w:tc>
      </w:tr>
      <w:tr w:rsidR="00EA2458" w:rsidRPr="003A1F57" w:rsidTr="00AE1766">
        <w:trPr>
          <w:trHeight w:hRule="exact" w:val="572"/>
          <w:jc w:val="center"/>
        </w:trPr>
        <w:tc>
          <w:tcPr>
            <w:tcW w:w="1105" w:type="dxa"/>
            <w:vMerge/>
            <w:vAlign w:val="center"/>
          </w:tcPr>
          <w:p w:rsidR="00EA2458" w:rsidRPr="003A1F57" w:rsidRDefault="00EA2458" w:rsidP="00AE1766">
            <w:pPr>
              <w:spacing w:line="288" w:lineRule="auto"/>
              <w:jc w:val="center"/>
              <w:rPr>
                <w:rFonts w:ascii="Calibri" w:hAnsi="Calibri" w:cs="Tahoma"/>
                <w:i/>
              </w:rPr>
            </w:pPr>
          </w:p>
        </w:tc>
        <w:tc>
          <w:tcPr>
            <w:tcW w:w="916" w:type="dxa"/>
            <w:shd w:val="clear" w:color="auto" w:fill="003366"/>
            <w:vAlign w:val="center"/>
          </w:tcPr>
          <w:p w:rsidR="00EA2458" w:rsidRPr="003A1F57" w:rsidRDefault="00EA2458" w:rsidP="00AE1766">
            <w:pPr>
              <w:spacing w:line="288" w:lineRule="auto"/>
              <w:jc w:val="center"/>
              <w:rPr>
                <w:rFonts w:ascii="Calibri" w:hAnsi="Calibri" w:cs="Tahoma"/>
                <w:b/>
                <w:i/>
              </w:rPr>
            </w:pPr>
            <w:r w:rsidRPr="003A1F57">
              <w:rPr>
                <w:rFonts w:ascii="Calibri" w:hAnsi="Calibri" w:cs="Tahoma"/>
                <w:b/>
                <w:i/>
              </w:rPr>
              <w:t>E.E-27</w:t>
            </w:r>
          </w:p>
        </w:tc>
        <w:tc>
          <w:tcPr>
            <w:tcW w:w="1088" w:type="dxa"/>
            <w:shd w:val="clear" w:color="auto" w:fill="003366"/>
            <w:vAlign w:val="center"/>
          </w:tcPr>
          <w:p w:rsidR="00EA2458" w:rsidRPr="003A1F57" w:rsidRDefault="00EA2458" w:rsidP="00AE1766">
            <w:pPr>
              <w:spacing w:line="288" w:lineRule="auto"/>
              <w:jc w:val="center"/>
              <w:rPr>
                <w:rFonts w:ascii="Calibri" w:hAnsi="Calibri" w:cs="Tahoma"/>
                <w:b/>
                <w:i/>
              </w:rPr>
            </w:pPr>
            <w:r w:rsidRPr="003A1F57">
              <w:rPr>
                <w:rFonts w:ascii="Calibri" w:hAnsi="Calibri" w:cs="Tahoma"/>
                <w:b/>
                <w:i/>
              </w:rPr>
              <w:t>Ελλάδα</w:t>
            </w:r>
          </w:p>
        </w:tc>
        <w:tc>
          <w:tcPr>
            <w:tcW w:w="1507" w:type="dxa"/>
            <w:shd w:val="clear" w:color="auto" w:fill="003366"/>
            <w:vAlign w:val="center"/>
          </w:tcPr>
          <w:p w:rsidR="00EA2458" w:rsidRPr="003A1F57" w:rsidRDefault="00EA2458" w:rsidP="00AE1766">
            <w:pPr>
              <w:spacing w:line="288" w:lineRule="auto"/>
              <w:jc w:val="center"/>
              <w:rPr>
                <w:rFonts w:ascii="Calibri" w:hAnsi="Calibri" w:cs="Tahoma"/>
                <w:b/>
                <w:i/>
              </w:rPr>
            </w:pPr>
            <w:r w:rsidRPr="003A1F57">
              <w:rPr>
                <w:rFonts w:ascii="Calibri" w:hAnsi="Calibri" w:cs="Tahoma"/>
                <w:b/>
                <w:i/>
              </w:rPr>
              <w:t>Βιομηχανία</w:t>
            </w:r>
          </w:p>
        </w:tc>
        <w:tc>
          <w:tcPr>
            <w:tcW w:w="1440" w:type="dxa"/>
            <w:shd w:val="clear" w:color="auto" w:fill="003366"/>
            <w:vAlign w:val="center"/>
          </w:tcPr>
          <w:p w:rsidR="00EA2458" w:rsidRPr="003A1F57" w:rsidRDefault="00EA2458" w:rsidP="00AE1766">
            <w:pPr>
              <w:spacing w:line="288" w:lineRule="auto"/>
              <w:jc w:val="center"/>
              <w:rPr>
                <w:rFonts w:ascii="Calibri" w:hAnsi="Calibri" w:cs="Tahoma"/>
                <w:b/>
                <w:i/>
              </w:rPr>
            </w:pPr>
            <w:r w:rsidRPr="003A1F57">
              <w:rPr>
                <w:rFonts w:ascii="Calibri" w:hAnsi="Calibri" w:cs="Tahoma"/>
                <w:b/>
                <w:i/>
              </w:rPr>
              <w:t>Κατασκευές</w:t>
            </w:r>
          </w:p>
        </w:tc>
        <w:tc>
          <w:tcPr>
            <w:tcW w:w="1547" w:type="dxa"/>
            <w:shd w:val="clear" w:color="auto" w:fill="003366"/>
            <w:vAlign w:val="center"/>
          </w:tcPr>
          <w:p w:rsidR="00EA2458" w:rsidRPr="003A1F57" w:rsidRDefault="00EA2458" w:rsidP="00AE1766">
            <w:pPr>
              <w:spacing w:line="288" w:lineRule="auto"/>
              <w:jc w:val="center"/>
              <w:rPr>
                <w:rFonts w:ascii="Calibri" w:hAnsi="Calibri" w:cs="Tahoma"/>
                <w:b/>
                <w:i/>
              </w:rPr>
            </w:pPr>
            <w:r w:rsidRPr="003A1F57">
              <w:rPr>
                <w:rFonts w:ascii="Calibri" w:hAnsi="Calibri" w:cs="Tahoma"/>
                <w:b/>
                <w:i/>
              </w:rPr>
              <w:t>Λιαν. Εμπόριο</w:t>
            </w:r>
          </w:p>
        </w:tc>
        <w:tc>
          <w:tcPr>
            <w:tcW w:w="1260" w:type="dxa"/>
            <w:shd w:val="clear" w:color="auto" w:fill="003366"/>
            <w:vAlign w:val="center"/>
          </w:tcPr>
          <w:p w:rsidR="00EA2458" w:rsidRPr="003A1F57" w:rsidRDefault="00EA2458" w:rsidP="00AE1766">
            <w:pPr>
              <w:spacing w:line="288" w:lineRule="auto"/>
              <w:jc w:val="center"/>
              <w:rPr>
                <w:rFonts w:ascii="Calibri" w:hAnsi="Calibri" w:cs="Tahoma"/>
                <w:b/>
                <w:i/>
              </w:rPr>
            </w:pPr>
            <w:r w:rsidRPr="003A1F57">
              <w:rPr>
                <w:rFonts w:ascii="Calibri" w:hAnsi="Calibri" w:cs="Tahoma"/>
                <w:b/>
                <w:i/>
              </w:rPr>
              <w:t>Υπηρεσίες</w:t>
            </w:r>
          </w:p>
        </w:tc>
        <w:tc>
          <w:tcPr>
            <w:tcW w:w="1620" w:type="dxa"/>
            <w:vMerge/>
            <w:vAlign w:val="center"/>
          </w:tcPr>
          <w:p w:rsidR="00EA2458" w:rsidRPr="003A1F57" w:rsidRDefault="00EA2458" w:rsidP="00AE1766">
            <w:pPr>
              <w:spacing w:line="288" w:lineRule="auto"/>
              <w:jc w:val="center"/>
              <w:rPr>
                <w:rFonts w:ascii="Calibri" w:hAnsi="Calibri" w:cs="Tahoma"/>
                <w:i/>
              </w:rPr>
            </w:pPr>
          </w:p>
        </w:tc>
      </w:tr>
      <w:tr w:rsidR="00EA2458" w:rsidRPr="003153E1" w:rsidTr="00AE1766">
        <w:trPr>
          <w:trHeight w:hRule="exact" w:val="272"/>
          <w:jc w:val="center"/>
        </w:trPr>
        <w:tc>
          <w:tcPr>
            <w:tcW w:w="1105"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2002</w:t>
            </w:r>
          </w:p>
        </w:tc>
        <w:tc>
          <w:tcPr>
            <w:tcW w:w="916" w:type="dxa"/>
            <w:vAlign w:val="center"/>
          </w:tcPr>
          <w:p w:rsidR="00EA2458" w:rsidRPr="00010163" w:rsidRDefault="00EA2458" w:rsidP="00AE1766">
            <w:pPr>
              <w:jc w:val="center"/>
              <w:rPr>
                <w:rFonts w:asciiTheme="minorHAnsi" w:hAnsiTheme="minorHAnsi"/>
              </w:rPr>
            </w:pPr>
            <w:r w:rsidRPr="00010163">
              <w:rPr>
                <w:rFonts w:asciiTheme="minorHAnsi" w:hAnsiTheme="minorHAnsi"/>
              </w:rPr>
              <w:t>97,3</w:t>
            </w:r>
          </w:p>
        </w:tc>
        <w:tc>
          <w:tcPr>
            <w:tcW w:w="1088" w:type="dxa"/>
            <w:vAlign w:val="center"/>
          </w:tcPr>
          <w:p w:rsidR="00EA2458" w:rsidRPr="00010163" w:rsidRDefault="00EA2458" w:rsidP="00AE1766">
            <w:pPr>
              <w:jc w:val="center"/>
              <w:rPr>
                <w:rFonts w:asciiTheme="minorHAnsi" w:hAnsiTheme="minorHAnsi"/>
              </w:rPr>
            </w:pPr>
            <w:r w:rsidRPr="00010163">
              <w:rPr>
                <w:rFonts w:asciiTheme="minorHAnsi" w:hAnsiTheme="minorHAnsi"/>
              </w:rPr>
              <w:t>102,0</w:t>
            </w:r>
          </w:p>
        </w:tc>
        <w:tc>
          <w:tcPr>
            <w:tcW w:w="1507"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101,2</w:t>
            </w:r>
          </w:p>
        </w:tc>
        <w:tc>
          <w:tcPr>
            <w:tcW w:w="1440"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114,0</w:t>
            </w:r>
          </w:p>
        </w:tc>
        <w:tc>
          <w:tcPr>
            <w:tcW w:w="1547"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93,3</w:t>
            </w:r>
          </w:p>
        </w:tc>
        <w:tc>
          <w:tcPr>
            <w:tcW w:w="1260"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82,8</w:t>
            </w:r>
          </w:p>
        </w:tc>
        <w:tc>
          <w:tcPr>
            <w:tcW w:w="1620" w:type="dxa"/>
            <w:vAlign w:val="center"/>
          </w:tcPr>
          <w:p w:rsidR="00EA2458" w:rsidRPr="00010163" w:rsidRDefault="00EA2458" w:rsidP="00AE1766">
            <w:pPr>
              <w:jc w:val="center"/>
              <w:rPr>
                <w:rFonts w:asciiTheme="minorHAnsi" w:hAnsiTheme="minorHAnsi"/>
              </w:rPr>
            </w:pPr>
            <w:r w:rsidRPr="00010163">
              <w:rPr>
                <w:rFonts w:asciiTheme="minorHAnsi" w:hAnsiTheme="minorHAnsi"/>
              </w:rPr>
              <w:t>-27</w:t>
            </w:r>
          </w:p>
        </w:tc>
      </w:tr>
      <w:tr w:rsidR="00EA2458" w:rsidRPr="003153E1" w:rsidTr="00AE1766">
        <w:trPr>
          <w:trHeight w:hRule="exact" w:val="272"/>
          <w:jc w:val="center"/>
        </w:trPr>
        <w:tc>
          <w:tcPr>
            <w:tcW w:w="1105"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2003</w:t>
            </w:r>
          </w:p>
        </w:tc>
        <w:tc>
          <w:tcPr>
            <w:tcW w:w="916" w:type="dxa"/>
            <w:vAlign w:val="center"/>
          </w:tcPr>
          <w:p w:rsidR="00EA2458" w:rsidRPr="00010163" w:rsidRDefault="00EA2458" w:rsidP="00AE1766">
            <w:pPr>
              <w:jc w:val="center"/>
              <w:rPr>
                <w:rFonts w:asciiTheme="minorHAnsi" w:hAnsiTheme="minorHAnsi"/>
              </w:rPr>
            </w:pPr>
            <w:r w:rsidRPr="00010163">
              <w:rPr>
                <w:rFonts w:asciiTheme="minorHAnsi" w:hAnsiTheme="minorHAnsi"/>
              </w:rPr>
              <w:t>95,4</w:t>
            </w:r>
          </w:p>
        </w:tc>
        <w:tc>
          <w:tcPr>
            <w:tcW w:w="1088" w:type="dxa"/>
            <w:vAlign w:val="center"/>
          </w:tcPr>
          <w:p w:rsidR="00EA2458" w:rsidRPr="00010163" w:rsidRDefault="00EA2458" w:rsidP="00AE1766">
            <w:pPr>
              <w:jc w:val="center"/>
              <w:rPr>
                <w:rFonts w:asciiTheme="minorHAnsi" w:hAnsiTheme="minorHAnsi"/>
              </w:rPr>
            </w:pPr>
            <w:r w:rsidRPr="00010163">
              <w:rPr>
                <w:rFonts w:asciiTheme="minorHAnsi" w:hAnsiTheme="minorHAnsi"/>
              </w:rPr>
              <w:t>100,1</w:t>
            </w:r>
          </w:p>
        </w:tc>
        <w:tc>
          <w:tcPr>
            <w:tcW w:w="1507"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97,9</w:t>
            </w:r>
          </w:p>
        </w:tc>
        <w:tc>
          <w:tcPr>
            <w:tcW w:w="1440"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115,0</w:t>
            </w:r>
          </w:p>
        </w:tc>
        <w:tc>
          <w:tcPr>
            <w:tcW w:w="1547"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102,0</w:t>
            </w:r>
          </w:p>
        </w:tc>
        <w:tc>
          <w:tcPr>
            <w:tcW w:w="1260"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85,5</w:t>
            </w:r>
          </w:p>
        </w:tc>
        <w:tc>
          <w:tcPr>
            <w:tcW w:w="1620" w:type="dxa"/>
            <w:vAlign w:val="center"/>
          </w:tcPr>
          <w:p w:rsidR="00EA2458" w:rsidRPr="00010163" w:rsidRDefault="00EA2458" w:rsidP="00AE1766">
            <w:pPr>
              <w:jc w:val="center"/>
              <w:rPr>
                <w:rFonts w:asciiTheme="minorHAnsi" w:hAnsiTheme="minorHAnsi"/>
              </w:rPr>
            </w:pPr>
            <w:r w:rsidRPr="00010163">
              <w:rPr>
                <w:rFonts w:asciiTheme="minorHAnsi" w:hAnsiTheme="minorHAnsi"/>
              </w:rPr>
              <w:t>-39</w:t>
            </w:r>
          </w:p>
        </w:tc>
      </w:tr>
      <w:tr w:rsidR="00EA2458" w:rsidRPr="003153E1" w:rsidTr="00AE1766">
        <w:trPr>
          <w:trHeight w:hRule="exact" w:val="272"/>
          <w:jc w:val="center"/>
        </w:trPr>
        <w:tc>
          <w:tcPr>
            <w:tcW w:w="1105"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2004</w:t>
            </w:r>
          </w:p>
        </w:tc>
        <w:tc>
          <w:tcPr>
            <w:tcW w:w="916" w:type="dxa"/>
            <w:vAlign w:val="center"/>
          </w:tcPr>
          <w:p w:rsidR="00EA2458" w:rsidRPr="00010163" w:rsidRDefault="00EA2458" w:rsidP="00AE1766">
            <w:pPr>
              <w:jc w:val="center"/>
              <w:rPr>
                <w:rFonts w:asciiTheme="minorHAnsi" w:hAnsiTheme="minorHAnsi"/>
              </w:rPr>
            </w:pPr>
            <w:r w:rsidRPr="00010163">
              <w:rPr>
                <w:rFonts w:asciiTheme="minorHAnsi" w:hAnsiTheme="minorHAnsi"/>
              </w:rPr>
              <w:t>103,3</w:t>
            </w:r>
          </w:p>
        </w:tc>
        <w:tc>
          <w:tcPr>
            <w:tcW w:w="1088" w:type="dxa"/>
            <w:vAlign w:val="center"/>
          </w:tcPr>
          <w:p w:rsidR="00EA2458" w:rsidRPr="00010163" w:rsidRDefault="00EA2458" w:rsidP="00AE1766">
            <w:pPr>
              <w:jc w:val="center"/>
              <w:rPr>
                <w:rFonts w:asciiTheme="minorHAnsi" w:hAnsiTheme="minorHAnsi"/>
              </w:rPr>
            </w:pPr>
            <w:r w:rsidRPr="00010163">
              <w:rPr>
                <w:rFonts w:asciiTheme="minorHAnsi" w:hAnsiTheme="minorHAnsi"/>
              </w:rPr>
              <w:t>104,8</w:t>
            </w:r>
          </w:p>
        </w:tc>
        <w:tc>
          <w:tcPr>
            <w:tcW w:w="1507"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99,1</w:t>
            </w:r>
          </w:p>
        </w:tc>
        <w:tc>
          <w:tcPr>
            <w:tcW w:w="1440"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81,5</w:t>
            </w:r>
          </w:p>
        </w:tc>
        <w:tc>
          <w:tcPr>
            <w:tcW w:w="1547"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104,8</w:t>
            </w:r>
          </w:p>
        </w:tc>
        <w:tc>
          <w:tcPr>
            <w:tcW w:w="1260"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94,6</w:t>
            </w:r>
          </w:p>
        </w:tc>
        <w:tc>
          <w:tcPr>
            <w:tcW w:w="1620" w:type="dxa"/>
            <w:vAlign w:val="center"/>
          </w:tcPr>
          <w:p w:rsidR="00EA2458" w:rsidRPr="00010163" w:rsidRDefault="00EA2458" w:rsidP="00AE1766">
            <w:pPr>
              <w:jc w:val="center"/>
              <w:rPr>
                <w:rFonts w:asciiTheme="minorHAnsi" w:hAnsiTheme="minorHAnsi"/>
              </w:rPr>
            </w:pPr>
            <w:r w:rsidRPr="00010163">
              <w:rPr>
                <w:rFonts w:asciiTheme="minorHAnsi" w:hAnsiTheme="minorHAnsi"/>
              </w:rPr>
              <w:t>-26</w:t>
            </w:r>
          </w:p>
        </w:tc>
      </w:tr>
      <w:tr w:rsidR="00EA2458" w:rsidRPr="003153E1" w:rsidTr="00AE1766">
        <w:trPr>
          <w:trHeight w:hRule="exact" w:val="272"/>
          <w:jc w:val="center"/>
        </w:trPr>
        <w:tc>
          <w:tcPr>
            <w:tcW w:w="1105"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2005</w:t>
            </w:r>
          </w:p>
        </w:tc>
        <w:tc>
          <w:tcPr>
            <w:tcW w:w="916" w:type="dxa"/>
            <w:vAlign w:val="center"/>
          </w:tcPr>
          <w:p w:rsidR="00EA2458" w:rsidRPr="00010163" w:rsidRDefault="00EA2458" w:rsidP="00AE1766">
            <w:pPr>
              <w:jc w:val="center"/>
              <w:rPr>
                <w:rFonts w:asciiTheme="minorHAnsi" w:hAnsiTheme="minorHAnsi"/>
              </w:rPr>
            </w:pPr>
            <w:r w:rsidRPr="00010163">
              <w:rPr>
                <w:rFonts w:asciiTheme="minorHAnsi" w:hAnsiTheme="minorHAnsi"/>
              </w:rPr>
              <w:t>100,8</w:t>
            </w:r>
          </w:p>
        </w:tc>
        <w:tc>
          <w:tcPr>
            <w:tcW w:w="1088" w:type="dxa"/>
            <w:vAlign w:val="center"/>
          </w:tcPr>
          <w:p w:rsidR="00EA2458" w:rsidRPr="00010163" w:rsidRDefault="00EA2458" w:rsidP="00AE1766">
            <w:pPr>
              <w:jc w:val="center"/>
              <w:rPr>
                <w:rFonts w:asciiTheme="minorHAnsi" w:hAnsiTheme="minorHAnsi"/>
              </w:rPr>
            </w:pPr>
            <w:r w:rsidRPr="00010163">
              <w:rPr>
                <w:rFonts w:asciiTheme="minorHAnsi" w:hAnsiTheme="minorHAnsi"/>
              </w:rPr>
              <w:t>98,1</w:t>
            </w:r>
          </w:p>
        </w:tc>
        <w:tc>
          <w:tcPr>
            <w:tcW w:w="1507"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92,6</w:t>
            </w:r>
          </w:p>
        </w:tc>
        <w:tc>
          <w:tcPr>
            <w:tcW w:w="1440"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63,0</w:t>
            </w:r>
          </w:p>
        </w:tc>
        <w:tc>
          <w:tcPr>
            <w:tcW w:w="1547"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96,8</w:t>
            </w:r>
          </w:p>
        </w:tc>
        <w:tc>
          <w:tcPr>
            <w:tcW w:w="1260"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93,6</w:t>
            </w:r>
          </w:p>
        </w:tc>
        <w:tc>
          <w:tcPr>
            <w:tcW w:w="1620" w:type="dxa"/>
            <w:vAlign w:val="center"/>
          </w:tcPr>
          <w:p w:rsidR="00EA2458" w:rsidRPr="00010163" w:rsidRDefault="00EA2458" w:rsidP="00AE1766">
            <w:pPr>
              <w:jc w:val="center"/>
              <w:rPr>
                <w:rFonts w:asciiTheme="minorHAnsi" w:hAnsiTheme="minorHAnsi"/>
              </w:rPr>
            </w:pPr>
            <w:r w:rsidRPr="00010163">
              <w:rPr>
                <w:rFonts w:asciiTheme="minorHAnsi" w:hAnsiTheme="minorHAnsi"/>
              </w:rPr>
              <w:t>-34</w:t>
            </w:r>
          </w:p>
        </w:tc>
      </w:tr>
      <w:tr w:rsidR="00EA2458" w:rsidRPr="003153E1" w:rsidTr="00AE1766">
        <w:trPr>
          <w:trHeight w:hRule="exact" w:val="272"/>
          <w:jc w:val="center"/>
        </w:trPr>
        <w:tc>
          <w:tcPr>
            <w:tcW w:w="1105"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2006</w:t>
            </w:r>
          </w:p>
        </w:tc>
        <w:tc>
          <w:tcPr>
            <w:tcW w:w="916" w:type="dxa"/>
            <w:vAlign w:val="center"/>
          </w:tcPr>
          <w:p w:rsidR="00EA2458" w:rsidRPr="00010163" w:rsidRDefault="00EA2458" w:rsidP="00AE1766">
            <w:pPr>
              <w:jc w:val="center"/>
              <w:rPr>
                <w:rFonts w:asciiTheme="minorHAnsi" w:hAnsiTheme="minorHAnsi"/>
              </w:rPr>
            </w:pPr>
            <w:r w:rsidRPr="00010163">
              <w:rPr>
                <w:rFonts w:asciiTheme="minorHAnsi" w:hAnsiTheme="minorHAnsi"/>
              </w:rPr>
              <w:t>108,3</w:t>
            </w:r>
          </w:p>
        </w:tc>
        <w:tc>
          <w:tcPr>
            <w:tcW w:w="1088" w:type="dxa"/>
            <w:vAlign w:val="center"/>
          </w:tcPr>
          <w:p w:rsidR="00EA2458" w:rsidRPr="00010163" w:rsidRDefault="00EA2458" w:rsidP="00AE1766">
            <w:pPr>
              <w:jc w:val="center"/>
              <w:rPr>
                <w:rFonts w:asciiTheme="minorHAnsi" w:hAnsiTheme="minorHAnsi"/>
              </w:rPr>
            </w:pPr>
            <w:r w:rsidRPr="00010163">
              <w:rPr>
                <w:rFonts w:asciiTheme="minorHAnsi" w:hAnsiTheme="minorHAnsi"/>
              </w:rPr>
              <w:t>104,9</w:t>
            </w:r>
          </w:p>
        </w:tc>
        <w:tc>
          <w:tcPr>
            <w:tcW w:w="1507"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101,5</w:t>
            </w:r>
          </w:p>
        </w:tc>
        <w:tc>
          <w:tcPr>
            <w:tcW w:w="1440"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91,1</w:t>
            </w:r>
          </w:p>
        </w:tc>
        <w:tc>
          <w:tcPr>
            <w:tcW w:w="1547"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110,8</w:t>
            </w:r>
          </w:p>
        </w:tc>
        <w:tc>
          <w:tcPr>
            <w:tcW w:w="1260"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103,7</w:t>
            </w:r>
          </w:p>
        </w:tc>
        <w:tc>
          <w:tcPr>
            <w:tcW w:w="1620" w:type="dxa"/>
            <w:vAlign w:val="center"/>
          </w:tcPr>
          <w:p w:rsidR="00EA2458" w:rsidRPr="00010163" w:rsidRDefault="00EA2458" w:rsidP="00AE1766">
            <w:pPr>
              <w:jc w:val="center"/>
              <w:rPr>
                <w:rFonts w:asciiTheme="minorHAnsi" w:hAnsiTheme="minorHAnsi"/>
              </w:rPr>
            </w:pPr>
            <w:r w:rsidRPr="00010163">
              <w:rPr>
                <w:rFonts w:asciiTheme="minorHAnsi" w:hAnsiTheme="minorHAnsi"/>
              </w:rPr>
              <w:t>-33</w:t>
            </w:r>
          </w:p>
        </w:tc>
      </w:tr>
      <w:tr w:rsidR="00EA2458" w:rsidRPr="003153E1" w:rsidTr="00AE1766">
        <w:trPr>
          <w:trHeight w:hRule="exact" w:val="272"/>
          <w:jc w:val="center"/>
        </w:trPr>
        <w:tc>
          <w:tcPr>
            <w:tcW w:w="1105"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2007</w:t>
            </w:r>
          </w:p>
        </w:tc>
        <w:tc>
          <w:tcPr>
            <w:tcW w:w="916" w:type="dxa"/>
            <w:vAlign w:val="center"/>
          </w:tcPr>
          <w:p w:rsidR="00EA2458" w:rsidRPr="00010163" w:rsidRDefault="00EA2458" w:rsidP="00AE1766">
            <w:pPr>
              <w:jc w:val="center"/>
              <w:rPr>
                <w:rFonts w:asciiTheme="minorHAnsi" w:hAnsiTheme="minorHAnsi"/>
              </w:rPr>
            </w:pPr>
            <w:r w:rsidRPr="00010163">
              <w:rPr>
                <w:rFonts w:asciiTheme="minorHAnsi" w:hAnsiTheme="minorHAnsi"/>
              </w:rPr>
              <w:t>111,0</w:t>
            </w:r>
          </w:p>
        </w:tc>
        <w:tc>
          <w:tcPr>
            <w:tcW w:w="1088" w:type="dxa"/>
            <w:vAlign w:val="center"/>
          </w:tcPr>
          <w:p w:rsidR="00EA2458" w:rsidRPr="00010163" w:rsidRDefault="00EA2458" w:rsidP="00AE1766">
            <w:pPr>
              <w:jc w:val="center"/>
              <w:rPr>
                <w:rFonts w:asciiTheme="minorHAnsi" w:hAnsiTheme="minorHAnsi"/>
              </w:rPr>
            </w:pPr>
            <w:r w:rsidRPr="00010163">
              <w:rPr>
                <w:rFonts w:asciiTheme="minorHAnsi" w:hAnsiTheme="minorHAnsi"/>
              </w:rPr>
              <w:t>108,4</w:t>
            </w:r>
          </w:p>
        </w:tc>
        <w:tc>
          <w:tcPr>
            <w:tcW w:w="1507"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102,8</w:t>
            </w:r>
          </w:p>
        </w:tc>
        <w:tc>
          <w:tcPr>
            <w:tcW w:w="1440"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92,5</w:t>
            </w:r>
          </w:p>
        </w:tc>
        <w:tc>
          <w:tcPr>
            <w:tcW w:w="1547"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120,8</w:t>
            </w:r>
          </w:p>
        </w:tc>
        <w:tc>
          <w:tcPr>
            <w:tcW w:w="1260"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106,6</w:t>
            </w:r>
          </w:p>
        </w:tc>
        <w:tc>
          <w:tcPr>
            <w:tcW w:w="1620" w:type="dxa"/>
            <w:vAlign w:val="center"/>
          </w:tcPr>
          <w:p w:rsidR="00EA2458" w:rsidRPr="00010163" w:rsidRDefault="00EA2458" w:rsidP="00AE1766">
            <w:pPr>
              <w:jc w:val="center"/>
              <w:rPr>
                <w:rFonts w:asciiTheme="minorHAnsi" w:hAnsiTheme="minorHAnsi"/>
              </w:rPr>
            </w:pPr>
            <w:r w:rsidRPr="00010163">
              <w:rPr>
                <w:rFonts w:asciiTheme="minorHAnsi" w:hAnsiTheme="minorHAnsi"/>
              </w:rPr>
              <w:t>-28</w:t>
            </w:r>
          </w:p>
        </w:tc>
      </w:tr>
      <w:tr w:rsidR="00EA2458" w:rsidRPr="003153E1" w:rsidTr="00AE1766">
        <w:trPr>
          <w:trHeight w:hRule="exact" w:val="272"/>
          <w:jc w:val="center"/>
        </w:trPr>
        <w:tc>
          <w:tcPr>
            <w:tcW w:w="1105"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2008</w:t>
            </w:r>
          </w:p>
        </w:tc>
        <w:tc>
          <w:tcPr>
            <w:tcW w:w="916" w:type="dxa"/>
            <w:vAlign w:val="center"/>
          </w:tcPr>
          <w:p w:rsidR="00EA2458" w:rsidRPr="00010163" w:rsidRDefault="00EA2458" w:rsidP="00AE1766">
            <w:pPr>
              <w:jc w:val="center"/>
              <w:rPr>
                <w:rFonts w:asciiTheme="minorHAnsi" w:hAnsiTheme="minorHAnsi"/>
              </w:rPr>
            </w:pPr>
            <w:r w:rsidRPr="00010163">
              <w:rPr>
                <w:rFonts w:asciiTheme="minorHAnsi" w:hAnsiTheme="minorHAnsi"/>
              </w:rPr>
              <w:t>93,3</w:t>
            </w:r>
          </w:p>
        </w:tc>
        <w:tc>
          <w:tcPr>
            <w:tcW w:w="1088" w:type="dxa"/>
            <w:vAlign w:val="center"/>
          </w:tcPr>
          <w:p w:rsidR="00EA2458" w:rsidRPr="00010163" w:rsidRDefault="00EA2458" w:rsidP="00AE1766">
            <w:pPr>
              <w:jc w:val="center"/>
              <w:rPr>
                <w:rFonts w:asciiTheme="minorHAnsi" w:hAnsiTheme="minorHAnsi"/>
              </w:rPr>
            </w:pPr>
            <w:r w:rsidRPr="00010163">
              <w:rPr>
                <w:rFonts w:asciiTheme="minorHAnsi" w:hAnsiTheme="minorHAnsi"/>
              </w:rPr>
              <w:t>97,4</w:t>
            </w:r>
          </w:p>
        </w:tc>
        <w:tc>
          <w:tcPr>
            <w:tcW w:w="1507"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91,9</w:t>
            </w:r>
          </w:p>
        </w:tc>
        <w:tc>
          <w:tcPr>
            <w:tcW w:w="1440"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95,2</w:t>
            </w:r>
          </w:p>
        </w:tc>
        <w:tc>
          <w:tcPr>
            <w:tcW w:w="1547"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102,5</w:t>
            </w:r>
          </w:p>
        </w:tc>
        <w:tc>
          <w:tcPr>
            <w:tcW w:w="1260"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97,8</w:t>
            </w:r>
          </w:p>
        </w:tc>
        <w:tc>
          <w:tcPr>
            <w:tcW w:w="1620" w:type="dxa"/>
            <w:vAlign w:val="center"/>
          </w:tcPr>
          <w:p w:rsidR="00EA2458" w:rsidRPr="00010163" w:rsidRDefault="00EA2458" w:rsidP="00AE1766">
            <w:pPr>
              <w:jc w:val="center"/>
              <w:rPr>
                <w:rFonts w:asciiTheme="minorHAnsi" w:hAnsiTheme="minorHAnsi"/>
              </w:rPr>
            </w:pPr>
            <w:r w:rsidRPr="00010163">
              <w:rPr>
                <w:rFonts w:asciiTheme="minorHAnsi" w:hAnsiTheme="minorHAnsi"/>
              </w:rPr>
              <w:t>-46</w:t>
            </w:r>
          </w:p>
        </w:tc>
      </w:tr>
      <w:tr w:rsidR="00EA2458" w:rsidRPr="003153E1" w:rsidTr="00AE1766">
        <w:trPr>
          <w:trHeight w:hRule="exact" w:val="272"/>
          <w:jc w:val="center"/>
        </w:trPr>
        <w:tc>
          <w:tcPr>
            <w:tcW w:w="1105"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2009</w:t>
            </w:r>
          </w:p>
        </w:tc>
        <w:tc>
          <w:tcPr>
            <w:tcW w:w="916" w:type="dxa"/>
            <w:vAlign w:val="center"/>
          </w:tcPr>
          <w:p w:rsidR="00EA2458" w:rsidRPr="00010163" w:rsidRDefault="00EA2458" w:rsidP="00AE1766">
            <w:pPr>
              <w:jc w:val="center"/>
              <w:rPr>
                <w:rFonts w:asciiTheme="minorHAnsi" w:hAnsiTheme="minorHAnsi"/>
              </w:rPr>
            </w:pPr>
            <w:r w:rsidRPr="00010163">
              <w:rPr>
                <w:rFonts w:asciiTheme="minorHAnsi" w:hAnsiTheme="minorHAnsi"/>
              </w:rPr>
              <w:t>79,3</w:t>
            </w:r>
          </w:p>
        </w:tc>
        <w:tc>
          <w:tcPr>
            <w:tcW w:w="1088" w:type="dxa"/>
            <w:vAlign w:val="center"/>
          </w:tcPr>
          <w:p w:rsidR="00EA2458" w:rsidRPr="00010163" w:rsidRDefault="00EA2458" w:rsidP="00AE1766">
            <w:pPr>
              <w:jc w:val="center"/>
              <w:rPr>
                <w:rFonts w:asciiTheme="minorHAnsi" w:hAnsiTheme="minorHAnsi"/>
              </w:rPr>
            </w:pPr>
            <w:r w:rsidRPr="00010163">
              <w:rPr>
                <w:rFonts w:asciiTheme="minorHAnsi" w:hAnsiTheme="minorHAnsi"/>
              </w:rPr>
              <w:t>79,7</w:t>
            </w:r>
          </w:p>
        </w:tc>
        <w:tc>
          <w:tcPr>
            <w:tcW w:w="1507"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72,1</w:t>
            </w:r>
          </w:p>
        </w:tc>
        <w:tc>
          <w:tcPr>
            <w:tcW w:w="1440"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65,5</w:t>
            </w:r>
          </w:p>
        </w:tc>
        <w:tc>
          <w:tcPr>
            <w:tcW w:w="1547"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80,4</w:t>
            </w:r>
          </w:p>
        </w:tc>
        <w:tc>
          <w:tcPr>
            <w:tcW w:w="1260"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70,1</w:t>
            </w:r>
          </w:p>
        </w:tc>
        <w:tc>
          <w:tcPr>
            <w:tcW w:w="1620" w:type="dxa"/>
            <w:vAlign w:val="center"/>
          </w:tcPr>
          <w:p w:rsidR="00EA2458" w:rsidRPr="00010163" w:rsidRDefault="00EA2458" w:rsidP="00AE1766">
            <w:pPr>
              <w:jc w:val="center"/>
              <w:rPr>
                <w:rFonts w:asciiTheme="minorHAnsi" w:hAnsiTheme="minorHAnsi"/>
              </w:rPr>
            </w:pPr>
            <w:r w:rsidRPr="00010163">
              <w:rPr>
                <w:rFonts w:asciiTheme="minorHAnsi" w:hAnsiTheme="minorHAnsi"/>
              </w:rPr>
              <w:t>-46</w:t>
            </w:r>
          </w:p>
        </w:tc>
      </w:tr>
      <w:tr w:rsidR="00EA2458" w:rsidRPr="003153E1" w:rsidTr="00AE1766">
        <w:trPr>
          <w:trHeight w:hRule="exact" w:val="272"/>
          <w:jc w:val="center"/>
        </w:trPr>
        <w:tc>
          <w:tcPr>
            <w:tcW w:w="1105"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2010</w:t>
            </w:r>
          </w:p>
        </w:tc>
        <w:tc>
          <w:tcPr>
            <w:tcW w:w="916" w:type="dxa"/>
            <w:vAlign w:val="center"/>
          </w:tcPr>
          <w:p w:rsidR="00EA2458" w:rsidRPr="00010163" w:rsidRDefault="00EA2458" w:rsidP="00AE1766">
            <w:pPr>
              <w:jc w:val="center"/>
              <w:rPr>
                <w:rFonts w:asciiTheme="minorHAnsi" w:hAnsiTheme="minorHAnsi"/>
              </w:rPr>
            </w:pPr>
            <w:r w:rsidRPr="00010163">
              <w:rPr>
                <w:rFonts w:asciiTheme="minorHAnsi" w:hAnsiTheme="minorHAnsi"/>
              </w:rPr>
              <w:t>101,2</w:t>
            </w:r>
          </w:p>
        </w:tc>
        <w:tc>
          <w:tcPr>
            <w:tcW w:w="1088" w:type="dxa"/>
            <w:vAlign w:val="center"/>
          </w:tcPr>
          <w:p w:rsidR="00EA2458" w:rsidRPr="00010163" w:rsidRDefault="00EA2458" w:rsidP="00AE1766">
            <w:pPr>
              <w:jc w:val="center"/>
              <w:rPr>
                <w:rFonts w:asciiTheme="minorHAnsi" w:hAnsiTheme="minorHAnsi"/>
              </w:rPr>
            </w:pPr>
            <w:r w:rsidRPr="00010163">
              <w:rPr>
                <w:rFonts w:asciiTheme="minorHAnsi" w:hAnsiTheme="minorHAnsi"/>
              </w:rPr>
              <w:t>79,3</w:t>
            </w:r>
          </w:p>
        </w:tc>
        <w:tc>
          <w:tcPr>
            <w:tcW w:w="1507"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76,2</w:t>
            </w:r>
          </w:p>
        </w:tc>
        <w:tc>
          <w:tcPr>
            <w:tcW w:w="1440"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45,2</w:t>
            </w:r>
          </w:p>
        </w:tc>
        <w:tc>
          <w:tcPr>
            <w:tcW w:w="1547"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59,5</w:t>
            </w:r>
          </w:p>
        </w:tc>
        <w:tc>
          <w:tcPr>
            <w:tcW w:w="1260"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62,9</w:t>
            </w:r>
          </w:p>
        </w:tc>
        <w:tc>
          <w:tcPr>
            <w:tcW w:w="1620" w:type="dxa"/>
            <w:vAlign w:val="center"/>
          </w:tcPr>
          <w:p w:rsidR="00EA2458" w:rsidRPr="00010163" w:rsidRDefault="00EA2458" w:rsidP="00AE1766">
            <w:pPr>
              <w:jc w:val="center"/>
              <w:rPr>
                <w:rFonts w:asciiTheme="minorHAnsi" w:hAnsiTheme="minorHAnsi"/>
              </w:rPr>
            </w:pPr>
            <w:r w:rsidRPr="00010163">
              <w:rPr>
                <w:rFonts w:asciiTheme="minorHAnsi" w:hAnsiTheme="minorHAnsi"/>
              </w:rPr>
              <w:t>-63</w:t>
            </w:r>
          </w:p>
        </w:tc>
      </w:tr>
      <w:tr w:rsidR="00EA2458" w:rsidRPr="003153E1" w:rsidTr="00AE1766">
        <w:trPr>
          <w:trHeight w:hRule="exact" w:val="272"/>
          <w:jc w:val="center"/>
        </w:trPr>
        <w:tc>
          <w:tcPr>
            <w:tcW w:w="1105" w:type="dxa"/>
            <w:vAlign w:val="center"/>
          </w:tcPr>
          <w:p w:rsidR="00EA2458" w:rsidRPr="00010163" w:rsidRDefault="00EA2458" w:rsidP="00AE1766">
            <w:pPr>
              <w:spacing w:line="360" w:lineRule="auto"/>
              <w:jc w:val="center"/>
              <w:rPr>
                <w:rFonts w:asciiTheme="minorHAnsi" w:hAnsiTheme="minorHAnsi" w:cs="Tahoma"/>
                <w:lang w:val="en-US"/>
              </w:rPr>
            </w:pPr>
            <w:r w:rsidRPr="00010163">
              <w:rPr>
                <w:rFonts w:asciiTheme="minorHAnsi" w:hAnsiTheme="minorHAnsi" w:cs="Tahoma"/>
                <w:lang w:val="en-US"/>
              </w:rPr>
              <w:t>2011</w:t>
            </w:r>
          </w:p>
        </w:tc>
        <w:tc>
          <w:tcPr>
            <w:tcW w:w="916" w:type="dxa"/>
            <w:vAlign w:val="center"/>
          </w:tcPr>
          <w:p w:rsidR="00EA2458" w:rsidRPr="00010163" w:rsidRDefault="00EA2458" w:rsidP="00AE1766">
            <w:pPr>
              <w:jc w:val="center"/>
              <w:rPr>
                <w:rFonts w:asciiTheme="minorHAnsi" w:hAnsiTheme="minorHAnsi"/>
              </w:rPr>
            </w:pPr>
            <w:r w:rsidRPr="00010163">
              <w:rPr>
                <w:rFonts w:asciiTheme="minorHAnsi" w:hAnsiTheme="minorHAnsi"/>
              </w:rPr>
              <w:t>100,3</w:t>
            </w:r>
          </w:p>
        </w:tc>
        <w:tc>
          <w:tcPr>
            <w:tcW w:w="1088" w:type="dxa"/>
            <w:vAlign w:val="center"/>
          </w:tcPr>
          <w:p w:rsidR="00EA2458" w:rsidRPr="00010163" w:rsidRDefault="00EA2458" w:rsidP="00AE1766">
            <w:pPr>
              <w:jc w:val="center"/>
              <w:rPr>
                <w:rFonts w:asciiTheme="minorHAnsi" w:hAnsiTheme="minorHAnsi"/>
              </w:rPr>
            </w:pPr>
            <w:r w:rsidRPr="00010163">
              <w:rPr>
                <w:rFonts w:asciiTheme="minorHAnsi" w:hAnsiTheme="minorHAnsi"/>
              </w:rPr>
              <w:t>77,6</w:t>
            </w:r>
          </w:p>
        </w:tc>
        <w:tc>
          <w:tcPr>
            <w:tcW w:w="1507"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76,9</w:t>
            </w:r>
          </w:p>
        </w:tc>
        <w:tc>
          <w:tcPr>
            <w:tcW w:w="1440"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34,2</w:t>
            </w:r>
          </w:p>
        </w:tc>
        <w:tc>
          <w:tcPr>
            <w:tcW w:w="1547"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58,9</w:t>
            </w:r>
          </w:p>
        </w:tc>
        <w:tc>
          <w:tcPr>
            <w:tcW w:w="1260"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61,7</w:t>
            </w:r>
          </w:p>
        </w:tc>
        <w:tc>
          <w:tcPr>
            <w:tcW w:w="1620" w:type="dxa"/>
            <w:vAlign w:val="center"/>
          </w:tcPr>
          <w:p w:rsidR="00EA2458" w:rsidRPr="00010163" w:rsidRDefault="00EA2458" w:rsidP="00AE1766">
            <w:pPr>
              <w:jc w:val="center"/>
              <w:rPr>
                <w:rFonts w:asciiTheme="minorHAnsi" w:hAnsiTheme="minorHAnsi"/>
              </w:rPr>
            </w:pPr>
            <w:r w:rsidRPr="00010163">
              <w:rPr>
                <w:rFonts w:asciiTheme="minorHAnsi" w:hAnsiTheme="minorHAnsi"/>
              </w:rPr>
              <w:t>-74</w:t>
            </w:r>
          </w:p>
        </w:tc>
      </w:tr>
      <w:tr w:rsidR="00EA2458" w:rsidRPr="003A1F57" w:rsidTr="00AE1766">
        <w:trPr>
          <w:trHeight w:hRule="exact" w:val="272"/>
          <w:jc w:val="center"/>
        </w:trPr>
        <w:tc>
          <w:tcPr>
            <w:tcW w:w="1105"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Ιαν–11</w:t>
            </w:r>
          </w:p>
        </w:tc>
        <w:tc>
          <w:tcPr>
            <w:tcW w:w="916"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105,5</w:t>
            </w:r>
          </w:p>
        </w:tc>
        <w:tc>
          <w:tcPr>
            <w:tcW w:w="1088"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80,6</w:t>
            </w:r>
          </w:p>
        </w:tc>
        <w:tc>
          <w:tcPr>
            <w:tcW w:w="1507"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76,6</w:t>
            </w:r>
          </w:p>
        </w:tc>
        <w:tc>
          <w:tcPr>
            <w:tcW w:w="1440"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29,1</w:t>
            </w:r>
          </w:p>
        </w:tc>
        <w:tc>
          <w:tcPr>
            <w:tcW w:w="1547"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57,5</w:t>
            </w:r>
          </w:p>
        </w:tc>
        <w:tc>
          <w:tcPr>
            <w:tcW w:w="1260"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60,1</w:t>
            </w:r>
          </w:p>
        </w:tc>
        <w:tc>
          <w:tcPr>
            <w:tcW w:w="1620"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-72</w:t>
            </w:r>
          </w:p>
        </w:tc>
      </w:tr>
      <w:tr w:rsidR="00EA2458" w:rsidRPr="003A1F57" w:rsidTr="00AE1766">
        <w:trPr>
          <w:trHeight w:hRule="exact" w:val="272"/>
          <w:jc w:val="center"/>
        </w:trPr>
        <w:tc>
          <w:tcPr>
            <w:tcW w:w="1105"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Φεβ-11</w:t>
            </w:r>
          </w:p>
        </w:tc>
        <w:tc>
          <w:tcPr>
            <w:tcW w:w="916"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107,0</w:t>
            </w:r>
          </w:p>
        </w:tc>
        <w:tc>
          <w:tcPr>
            <w:tcW w:w="1088"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83,5</w:t>
            </w:r>
          </w:p>
        </w:tc>
        <w:tc>
          <w:tcPr>
            <w:tcW w:w="1507"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80,6</w:t>
            </w:r>
          </w:p>
        </w:tc>
        <w:tc>
          <w:tcPr>
            <w:tcW w:w="1440"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34,6</w:t>
            </w:r>
          </w:p>
        </w:tc>
        <w:tc>
          <w:tcPr>
            <w:tcW w:w="1547"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64,8</w:t>
            </w:r>
          </w:p>
        </w:tc>
        <w:tc>
          <w:tcPr>
            <w:tcW w:w="1260"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57,5</w:t>
            </w:r>
          </w:p>
        </w:tc>
        <w:tc>
          <w:tcPr>
            <w:tcW w:w="1620"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-67</w:t>
            </w:r>
          </w:p>
        </w:tc>
      </w:tr>
      <w:tr w:rsidR="00EA2458" w:rsidRPr="003A1F57" w:rsidTr="00AE1766">
        <w:trPr>
          <w:trHeight w:hRule="exact" w:val="272"/>
          <w:jc w:val="center"/>
        </w:trPr>
        <w:tc>
          <w:tcPr>
            <w:tcW w:w="1105"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Μαρτ-</w:t>
            </w:r>
            <w:r w:rsidRPr="00010163">
              <w:rPr>
                <w:rFonts w:asciiTheme="minorHAnsi" w:hAnsiTheme="minorHAnsi" w:cs="Tahoma"/>
                <w:lang w:val="en-US"/>
              </w:rPr>
              <w:t>1</w:t>
            </w:r>
            <w:r w:rsidRPr="00010163">
              <w:rPr>
                <w:rFonts w:asciiTheme="minorHAnsi" w:hAnsiTheme="minorHAnsi" w:cs="Tahoma"/>
              </w:rPr>
              <w:t>1</w:t>
            </w:r>
          </w:p>
        </w:tc>
        <w:tc>
          <w:tcPr>
            <w:tcW w:w="916"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106,8</w:t>
            </w:r>
          </w:p>
        </w:tc>
        <w:tc>
          <w:tcPr>
            <w:tcW w:w="1088"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82,6</w:t>
            </w:r>
          </w:p>
        </w:tc>
        <w:tc>
          <w:tcPr>
            <w:tcW w:w="1507"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80,5</w:t>
            </w:r>
          </w:p>
        </w:tc>
        <w:tc>
          <w:tcPr>
            <w:tcW w:w="1440"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26,3</w:t>
            </w:r>
          </w:p>
        </w:tc>
        <w:tc>
          <w:tcPr>
            <w:tcW w:w="1547"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66,7</w:t>
            </w:r>
          </w:p>
        </w:tc>
        <w:tc>
          <w:tcPr>
            <w:tcW w:w="1260"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59,2</w:t>
            </w:r>
          </w:p>
        </w:tc>
        <w:tc>
          <w:tcPr>
            <w:tcW w:w="1620"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-66</w:t>
            </w:r>
          </w:p>
        </w:tc>
      </w:tr>
      <w:tr w:rsidR="00EA2458" w:rsidRPr="003A1F57" w:rsidTr="00AE1766">
        <w:trPr>
          <w:trHeight w:hRule="exact" w:val="272"/>
          <w:jc w:val="center"/>
        </w:trPr>
        <w:tc>
          <w:tcPr>
            <w:tcW w:w="1105"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Απρίλ-</w:t>
            </w:r>
            <w:r w:rsidRPr="00010163">
              <w:rPr>
                <w:rFonts w:asciiTheme="minorHAnsi" w:hAnsiTheme="minorHAnsi" w:cs="Tahoma"/>
                <w:lang w:val="en-US"/>
              </w:rPr>
              <w:t>11</w:t>
            </w:r>
          </w:p>
        </w:tc>
        <w:tc>
          <w:tcPr>
            <w:tcW w:w="916"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104,7</w:t>
            </w:r>
          </w:p>
        </w:tc>
        <w:tc>
          <w:tcPr>
            <w:tcW w:w="1088"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78,8</w:t>
            </w:r>
          </w:p>
        </w:tc>
        <w:tc>
          <w:tcPr>
            <w:tcW w:w="1507"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78,3</w:t>
            </w:r>
          </w:p>
        </w:tc>
        <w:tc>
          <w:tcPr>
            <w:tcW w:w="1440"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29,4</w:t>
            </w:r>
          </w:p>
        </w:tc>
        <w:tc>
          <w:tcPr>
            <w:tcW w:w="1547"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62,0</w:t>
            </w:r>
          </w:p>
        </w:tc>
        <w:tc>
          <w:tcPr>
            <w:tcW w:w="1260"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62,9</w:t>
            </w:r>
          </w:p>
        </w:tc>
        <w:tc>
          <w:tcPr>
            <w:tcW w:w="1620"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-70</w:t>
            </w:r>
          </w:p>
        </w:tc>
      </w:tr>
      <w:tr w:rsidR="00EA2458" w:rsidRPr="003A1F57" w:rsidTr="00AE1766">
        <w:trPr>
          <w:trHeight w:hRule="exact" w:val="272"/>
          <w:jc w:val="center"/>
        </w:trPr>
        <w:tc>
          <w:tcPr>
            <w:tcW w:w="1105"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Μάιος-</w:t>
            </w:r>
            <w:r w:rsidRPr="00010163">
              <w:rPr>
                <w:rFonts w:asciiTheme="minorHAnsi" w:hAnsiTheme="minorHAnsi" w:cs="Tahoma"/>
                <w:lang w:val="en-US"/>
              </w:rPr>
              <w:t>1</w:t>
            </w:r>
            <w:r w:rsidRPr="00010163">
              <w:rPr>
                <w:rFonts w:asciiTheme="minorHAnsi" w:hAnsiTheme="minorHAnsi" w:cs="Tahoma"/>
              </w:rPr>
              <w:t>1</w:t>
            </w:r>
          </w:p>
        </w:tc>
        <w:tc>
          <w:tcPr>
            <w:tcW w:w="916"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104,9</w:t>
            </w:r>
          </w:p>
        </w:tc>
        <w:tc>
          <w:tcPr>
            <w:tcW w:w="1088"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78,6</w:t>
            </w:r>
          </w:p>
        </w:tc>
        <w:tc>
          <w:tcPr>
            <w:tcW w:w="1507"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78,1</w:t>
            </w:r>
          </w:p>
        </w:tc>
        <w:tc>
          <w:tcPr>
            <w:tcW w:w="1440"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36,4</w:t>
            </w:r>
          </w:p>
        </w:tc>
        <w:tc>
          <w:tcPr>
            <w:tcW w:w="1547"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52,9</w:t>
            </w:r>
          </w:p>
        </w:tc>
        <w:tc>
          <w:tcPr>
            <w:tcW w:w="1260"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61,9</w:t>
            </w:r>
          </w:p>
        </w:tc>
        <w:tc>
          <w:tcPr>
            <w:tcW w:w="1620"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-69</w:t>
            </w:r>
          </w:p>
        </w:tc>
      </w:tr>
      <w:tr w:rsidR="00EA2458" w:rsidRPr="003A1F57" w:rsidTr="00AE1766">
        <w:trPr>
          <w:trHeight w:hRule="exact" w:val="272"/>
          <w:jc w:val="center"/>
        </w:trPr>
        <w:tc>
          <w:tcPr>
            <w:tcW w:w="1105" w:type="dxa"/>
            <w:vAlign w:val="center"/>
          </w:tcPr>
          <w:p w:rsidR="00EA2458" w:rsidRPr="00010163" w:rsidRDefault="00EA2458" w:rsidP="00AE1766">
            <w:pPr>
              <w:spacing w:line="360" w:lineRule="auto"/>
              <w:jc w:val="center"/>
              <w:rPr>
                <w:rFonts w:asciiTheme="minorHAnsi" w:hAnsiTheme="minorHAnsi" w:cs="Tahoma"/>
                <w:lang w:val="en-US"/>
              </w:rPr>
            </w:pPr>
            <w:r w:rsidRPr="00010163">
              <w:rPr>
                <w:rFonts w:asciiTheme="minorHAnsi" w:hAnsiTheme="minorHAnsi" w:cs="Tahoma"/>
              </w:rPr>
              <w:t>Ιούν-1</w:t>
            </w:r>
            <w:r w:rsidRPr="00010163">
              <w:rPr>
                <w:rFonts w:asciiTheme="minorHAnsi" w:hAnsiTheme="minorHAnsi" w:cs="Tahoma"/>
                <w:lang w:val="en-US"/>
              </w:rPr>
              <w:t>1</w:t>
            </w:r>
          </w:p>
        </w:tc>
        <w:tc>
          <w:tcPr>
            <w:tcW w:w="916"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104,1</w:t>
            </w:r>
          </w:p>
        </w:tc>
        <w:tc>
          <w:tcPr>
            <w:tcW w:w="1088"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75,0</w:t>
            </w:r>
          </w:p>
        </w:tc>
        <w:tc>
          <w:tcPr>
            <w:tcW w:w="1507"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76,2</w:t>
            </w:r>
          </w:p>
        </w:tc>
        <w:tc>
          <w:tcPr>
            <w:tcW w:w="1440"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29,9</w:t>
            </w:r>
          </w:p>
        </w:tc>
        <w:tc>
          <w:tcPr>
            <w:tcW w:w="1547"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55,0</w:t>
            </w:r>
          </w:p>
        </w:tc>
        <w:tc>
          <w:tcPr>
            <w:tcW w:w="1260"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64,0</w:t>
            </w:r>
          </w:p>
        </w:tc>
        <w:tc>
          <w:tcPr>
            <w:tcW w:w="1620"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-75</w:t>
            </w:r>
          </w:p>
        </w:tc>
      </w:tr>
      <w:tr w:rsidR="00EA2458" w:rsidRPr="003A1F57" w:rsidTr="00AE1766">
        <w:trPr>
          <w:trHeight w:hRule="exact" w:val="272"/>
          <w:jc w:val="center"/>
        </w:trPr>
        <w:tc>
          <w:tcPr>
            <w:tcW w:w="1105" w:type="dxa"/>
            <w:vAlign w:val="center"/>
          </w:tcPr>
          <w:p w:rsidR="00EA2458" w:rsidRPr="00010163" w:rsidRDefault="00EA2458" w:rsidP="00AE1766">
            <w:pPr>
              <w:spacing w:line="360" w:lineRule="auto"/>
              <w:jc w:val="center"/>
              <w:rPr>
                <w:rFonts w:asciiTheme="minorHAnsi" w:hAnsiTheme="minorHAnsi" w:cs="Tahoma"/>
                <w:lang w:val="en-US"/>
              </w:rPr>
            </w:pPr>
            <w:r w:rsidRPr="00010163">
              <w:rPr>
                <w:rFonts w:asciiTheme="minorHAnsi" w:hAnsiTheme="minorHAnsi" w:cs="Tahoma"/>
              </w:rPr>
              <w:t>Ιούλ-1</w:t>
            </w:r>
            <w:r w:rsidRPr="00010163">
              <w:rPr>
                <w:rFonts w:asciiTheme="minorHAnsi" w:hAnsiTheme="minorHAnsi" w:cs="Tahoma"/>
                <w:lang w:val="en-US"/>
              </w:rPr>
              <w:t>1</w:t>
            </w:r>
          </w:p>
        </w:tc>
        <w:tc>
          <w:tcPr>
            <w:tcW w:w="916"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101,9</w:t>
            </w:r>
          </w:p>
        </w:tc>
        <w:tc>
          <w:tcPr>
            <w:tcW w:w="1088"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75,8</w:t>
            </w:r>
          </w:p>
        </w:tc>
        <w:tc>
          <w:tcPr>
            <w:tcW w:w="1507"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77,5</w:t>
            </w:r>
          </w:p>
        </w:tc>
        <w:tc>
          <w:tcPr>
            <w:tcW w:w="1440"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28,8</w:t>
            </w:r>
          </w:p>
        </w:tc>
        <w:tc>
          <w:tcPr>
            <w:tcW w:w="1547"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56,9</w:t>
            </w:r>
          </w:p>
        </w:tc>
        <w:tc>
          <w:tcPr>
            <w:tcW w:w="1260"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65,4</w:t>
            </w:r>
          </w:p>
        </w:tc>
        <w:tc>
          <w:tcPr>
            <w:tcW w:w="1620"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-77</w:t>
            </w:r>
          </w:p>
        </w:tc>
      </w:tr>
      <w:tr w:rsidR="00EA2458" w:rsidRPr="003A1F57" w:rsidTr="00AE1766">
        <w:trPr>
          <w:trHeight w:hRule="exact" w:val="272"/>
          <w:jc w:val="center"/>
        </w:trPr>
        <w:tc>
          <w:tcPr>
            <w:tcW w:w="1105"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Αυγ-11</w:t>
            </w:r>
          </w:p>
        </w:tc>
        <w:tc>
          <w:tcPr>
            <w:tcW w:w="916"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97,1</w:t>
            </w:r>
          </w:p>
        </w:tc>
        <w:tc>
          <w:tcPr>
            <w:tcW w:w="1088"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78,3</w:t>
            </w:r>
          </w:p>
        </w:tc>
        <w:tc>
          <w:tcPr>
            <w:tcW w:w="1507"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81,0</w:t>
            </w:r>
          </w:p>
        </w:tc>
        <w:tc>
          <w:tcPr>
            <w:tcW w:w="1440"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33,7</w:t>
            </w:r>
          </w:p>
        </w:tc>
        <w:tc>
          <w:tcPr>
            <w:tcW w:w="1547"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57,2</w:t>
            </w:r>
          </w:p>
        </w:tc>
        <w:tc>
          <w:tcPr>
            <w:tcW w:w="1260"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69,1</w:t>
            </w:r>
          </w:p>
        </w:tc>
        <w:tc>
          <w:tcPr>
            <w:tcW w:w="1620"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-71</w:t>
            </w:r>
          </w:p>
        </w:tc>
      </w:tr>
      <w:tr w:rsidR="00EA2458" w:rsidRPr="003A1F57" w:rsidTr="00AE1766">
        <w:trPr>
          <w:trHeight w:hRule="exact" w:val="272"/>
          <w:jc w:val="center"/>
        </w:trPr>
        <w:tc>
          <w:tcPr>
            <w:tcW w:w="1105" w:type="dxa"/>
            <w:vAlign w:val="center"/>
          </w:tcPr>
          <w:p w:rsidR="00EA2458" w:rsidRPr="00010163" w:rsidRDefault="00EA2458" w:rsidP="00AE1766">
            <w:pPr>
              <w:spacing w:line="360" w:lineRule="auto"/>
              <w:jc w:val="center"/>
              <w:rPr>
                <w:rFonts w:asciiTheme="minorHAnsi" w:hAnsiTheme="minorHAnsi" w:cs="Tahoma"/>
                <w:lang w:val="en-US"/>
              </w:rPr>
            </w:pPr>
            <w:r w:rsidRPr="00010163">
              <w:rPr>
                <w:rFonts w:asciiTheme="minorHAnsi" w:hAnsiTheme="minorHAnsi" w:cs="Tahoma"/>
              </w:rPr>
              <w:t>Σεπτ-</w:t>
            </w:r>
            <w:r w:rsidRPr="00010163">
              <w:rPr>
                <w:rFonts w:asciiTheme="minorHAnsi" w:hAnsiTheme="minorHAnsi" w:cs="Tahoma"/>
                <w:lang w:val="en-US"/>
              </w:rPr>
              <w:t>11</w:t>
            </w:r>
          </w:p>
        </w:tc>
        <w:tc>
          <w:tcPr>
            <w:tcW w:w="916"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93,6</w:t>
            </w:r>
          </w:p>
        </w:tc>
        <w:tc>
          <w:tcPr>
            <w:tcW w:w="1088"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75,5</w:t>
            </w:r>
          </w:p>
        </w:tc>
        <w:tc>
          <w:tcPr>
            <w:tcW w:w="1507"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76,2</w:t>
            </w:r>
          </w:p>
        </w:tc>
        <w:tc>
          <w:tcPr>
            <w:tcW w:w="1440"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44,3</w:t>
            </w:r>
          </w:p>
        </w:tc>
        <w:tc>
          <w:tcPr>
            <w:tcW w:w="1547"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57,1</w:t>
            </w:r>
          </w:p>
        </w:tc>
        <w:tc>
          <w:tcPr>
            <w:tcW w:w="1260"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66,8</w:t>
            </w:r>
          </w:p>
        </w:tc>
        <w:tc>
          <w:tcPr>
            <w:tcW w:w="1620"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-74</w:t>
            </w:r>
          </w:p>
        </w:tc>
      </w:tr>
      <w:tr w:rsidR="00EA2458" w:rsidRPr="003A1F57" w:rsidTr="00AE1766">
        <w:trPr>
          <w:trHeight w:hRule="exact" w:val="272"/>
          <w:jc w:val="center"/>
        </w:trPr>
        <w:tc>
          <w:tcPr>
            <w:tcW w:w="1105" w:type="dxa"/>
            <w:vAlign w:val="center"/>
          </w:tcPr>
          <w:p w:rsidR="00EA2458" w:rsidRPr="00010163" w:rsidRDefault="00EA2458" w:rsidP="00AE1766">
            <w:pPr>
              <w:spacing w:line="360" w:lineRule="auto"/>
              <w:jc w:val="center"/>
              <w:rPr>
                <w:rFonts w:asciiTheme="minorHAnsi" w:hAnsiTheme="minorHAnsi" w:cs="Tahoma"/>
                <w:lang w:val="en-US"/>
              </w:rPr>
            </w:pPr>
            <w:r w:rsidRPr="00010163">
              <w:rPr>
                <w:rFonts w:asciiTheme="minorHAnsi" w:hAnsiTheme="minorHAnsi" w:cs="Tahoma"/>
              </w:rPr>
              <w:t>Οκτ-</w:t>
            </w:r>
            <w:r w:rsidRPr="00010163">
              <w:rPr>
                <w:rFonts w:asciiTheme="minorHAnsi" w:hAnsiTheme="minorHAnsi" w:cs="Tahoma"/>
                <w:lang w:val="en-US"/>
              </w:rPr>
              <w:t>11</w:t>
            </w:r>
          </w:p>
        </w:tc>
        <w:tc>
          <w:tcPr>
            <w:tcW w:w="916"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93,6</w:t>
            </w:r>
          </w:p>
        </w:tc>
        <w:tc>
          <w:tcPr>
            <w:tcW w:w="1088"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73,0</w:t>
            </w:r>
          </w:p>
        </w:tc>
        <w:tc>
          <w:tcPr>
            <w:tcW w:w="1507"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74,0</w:t>
            </w:r>
          </w:p>
        </w:tc>
        <w:tc>
          <w:tcPr>
            <w:tcW w:w="1440"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40,6</w:t>
            </w:r>
          </w:p>
        </w:tc>
        <w:tc>
          <w:tcPr>
            <w:tcW w:w="1547"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62,8</w:t>
            </w:r>
          </w:p>
        </w:tc>
        <w:tc>
          <w:tcPr>
            <w:tcW w:w="1260"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62,1</w:t>
            </w:r>
          </w:p>
        </w:tc>
        <w:tc>
          <w:tcPr>
            <w:tcW w:w="1620"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-84</w:t>
            </w:r>
          </w:p>
        </w:tc>
      </w:tr>
      <w:tr w:rsidR="00EA2458" w:rsidRPr="003A1F57" w:rsidTr="00AE1766">
        <w:trPr>
          <w:trHeight w:hRule="exact" w:val="272"/>
          <w:jc w:val="center"/>
        </w:trPr>
        <w:tc>
          <w:tcPr>
            <w:tcW w:w="1105" w:type="dxa"/>
            <w:vAlign w:val="center"/>
          </w:tcPr>
          <w:p w:rsidR="00EA2458" w:rsidRPr="00010163" w:rsidRDefault="00EA2458" w:rsidP="00AE1766">
            <w:pPr>
              <w:spacing w:line="360" w:lineRule="auto"/>
              <w:jc w:val="center"/>
              <w:rPr>
                <w:rFonts w:asciiTheme="minorHAnsi" w:hAnsiTheme="minorHAnsi" w:cs="Tahoma"/>
                <w:lang w:val="en-US"/>
              </w:rPr>
            </w:pPr>
            <w:r w:rsidRPr="00010163">
              <w:rPr>
                <w:rFonts w:asciiTheme="minorHAnsi" w:hAnsiTheme="minorHAnsi" w:cs="Tahoma"/>
              </w:rPr>
              <w:t>Νοεμ-</w:t>
            </w:r>
            <w:r w:rsidRPr="00010163">
              <w:rPr>
                <w:rFonts w:asciiTheme="minorHAnsi" w:hAnsiTheme="minorHAnsi" w:cs="Tahoma"/>
                <w:lang w:val="en-US"/>
              </w:rPr>
              <w:t>11</w:t>
            </w:r>
          </w:p>
        </w:tc>
        <w:tc>
          <w:tcPr>
            <w:tcW w:w="916"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92,6</w:t>
            </w:r>
          </w:p>
        </w:tc>
        <w:tc>
          <w:tcPr>
            <w:tcW w:w="1088"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74,0</w:t>
            </w:r>
          </w:p>
        </w:tc>
        <w:tc>
          <w:tcPr>
            <w:tcW w:w="1507"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72,6</w:t>
            </w:r>
          </w:p>
        </w:tc>
        <w:tc>
          <w:tcPr>
            <w:tcW w:w="1440"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37,1</w:t>
            </w:r>
          </w:p>
        </w:tc>
        <w:tc>
          <w:tcPr>
            <w:tcW w:w="1547"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59,7</w:t>
            </w:r>
          </w:p>
        </w:tc>
        <w:tc>
          <w:tcPr>
            <w:tcW w:w="1260" w:type="dxa"/>
            <w:vAlign w:val="center"/>
          </w:tcPr>
          <w:p w:rsidR="00EA2458" w:rsidRPr="00010163" w:rsidRDefault="00EA2458" w:rsidP="00AE1766">
            <w:pPr>
              <w:spacing w:line="288" w:lineRule="auto"/>
              <w:jc w:val="center"/>
              <w:rPr>
                <w:rFonts w:asciiTheme="minorHAnsi" w:hAnsiTheme="minorHAnsi" w:cs="Tahoma"/>
              </w:rPr>
            </w:pPr>
            <w:r w:rsidRPr="00010163">
              <w:rPr>
                <w:rFonts w:asciiTheme="minorHAnsi" w:hAnsiTheme="minorHAnsi" w:cs="Tahoma"/>
              </w:rPr>
              <w:t>56,5</w:t>
            </w:r>
          </w:p>
        </w:tc>
        <w:tc>
          <w:tcPr>
            <w:tcW w:w="1620"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-82</w:t>
            </w:r>
          </w:p>
        </w:tc>
      </w:tr>
      <w:tr w:rsidR="00EA2458" w:rsidRPr="003A1F57" w:rsidTr="00AE1766">
        <w:trPr>
          <w:trHeight w:hRule="exact" w:val="272"/>
          <w:jc w:val="center"/>
        </w:trPr>
        <w:tc>
          <w:tcPr>
            <w:tcW w:w="1105"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Δεκ -11</w:t>
            </w:r>
          </w:p>
        </w:tc>
        <w:tc>
          <w:tcPr>
            <w:tcW w:w="916"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91,6</w:t>
            </w:r>
          </w:p>
        </w:tc>
        <w:tc>
          <w:tcPr>
            <w:tcW w:w="1088"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75,7</w:t>
            </w:r>
          </w:p>
        </w:tc>
        <w:tc>
          <w:tcPr>
            <w:tcW w:w="1507"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70,9</w:t>
            </w:r>
          </w:p>
        </w:tc>
        <w:tc>
          <w:tcPr>
            <w:tcW w:w="1440"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40,7</w:t>
            </w:r>
          </w:p>
        </w:tc>
        <w:tc>
          <w:tcPr>
            <w:tcW w:w="1547"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54,1</w:t>
            </w:r>
          </w:p>
        </w:tc>
        <w:tc>
          <w:tcPr>
            <w:tcW w:w="1260"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55,2</w:t>
            </w:r>
          </w:p>
        </w:tc>
        <w:tc>
          <w:tcPr>
            <w:tcW w:w="1620"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-82</w:t>
            </w:r>
          </w:p>
        </w:tc>
      </w:tr>
      <w:tr w:rsidR="00EA2458" w:rsidRPr="003A1F57" w:rsidTr="00AE1766">
        <w:trPr>
          <w:trHeight w:hRule="exact" w:val="272"/>
          <w:jc w:val="center"/>
        </w:trPr>
        <w:tc>
          <w:tcPr>
            <w:tcW w:w="1105"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Ιαν–12</w:t>
            </w:r>
          </w:p>
        </w:tc>
        <w:tc>
          <w:tcPr>
            <w:tcW w:w="916"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92,8</w:t>
            </w:r>
          </w:p>
        </w:tc>
        <w:tc>
          <w:tcPr>
            <w:tcW w:w="1088"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74,9</w:t>
            </w:r>
          </w:p>
        </w:tc>
        <w:tc>
          <w:tcPr>
            <w:tcW w:w="1507"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71,4</w:t>
            </w:r>
          </w:p>
        </w:tc>
        <w:tc>
          <w:tcPr>
            <w:tcW w:w="1440"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36,4</w:t>
            </w:r>
          </w:p>
        </w:tc>
        <w:tc>
          <w:tcPr>
            <w:tcW w:w="1547"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56,0</w:t>
            </w:r>
          </w:p>
        </w:tc>
        <w:tc>
          <w:tcPr>
            <w:tcW w:w="1260"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54,2</w:t>
            </w:r>
          </w:p>
        </w:tc>
        <w:tc>
          <w:tcPr>
            <w:tcW w:w="1620"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-80</w:t>
            </w:r>
          </w:p>
        </w:tc>
      </w:tr>
      <w:tr w:rsidR="00EA2458" w:rsidRPr="003A1F57" w:rsidTr="00AE1766">
        <w:trPr>
          <w:trHeight w:hRule="exact" w:val="272"/>
          <w:jc w:val="center"/>
        </w:trPr>
        <w:tc>
          <w:tcPr>
            <w:tcW w:w="1105" w:type="dxa"/>
            <w:vAlign w:val="center"/>
          </w:tcPr>
          <w:p w:rsidR="00EA2458" w:rsidRPr="00010163" w:rsidRDefault="00EA2458" w:rsidP="00AE1766">
            <w:pPr>
              <w:spacing w:line="360" w:lineRule="auto"/>
              <w:jc w:val="center"/>
              <w:rPr>
                <w:rFonts w:asciiTheme="minorHAnsi" w:hAnsiTheme="minorHAnsi" w:cs="Tahoma"/>
              </w:rPr>
            </w:pPr>
            <w:r w:rsidRPr="00010163">
              <w:rPr>
                <w:rFonts w:asciiTheme="minorHAnsi" w:hAnsiTheme="minorHAnsi" w:cs="Tahoma"/>
              </w:rPr>
              <w:t>Φεβ-12</w:t>
            </w:r>
          </w:p>
        </w:tc>
        <w:tc>
          <w:tcPr>
            <w:tcW w:w="916"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93,9</w:t>
            </w:r>
          </w:p>
        </w:tc>
        <w:tc>
          <w:tcPr>
            <w:tcW w:w="1088"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74,9</w:t>
            </w:r>
          </w:p>
        </w:tc>
        <w:tc>
          <w:tcPr>
            <w:tcW w:w="1507"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71,6</w:t>
            </w:r>
          </w:p>
        </w:tc>
        <w:tc>
          <w:tcPr>
            <w:tcW w:w="1440"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43,4</w:t>
            </w:r>
          </w:p>
        </w:tc>
        <w:tc>
          <w:tcPr>
            <w:tcW w:w="1547"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52,7</w:t>
            </w:r>
          </w:p>
        </w:tc>
        <w:tc>
          <w:tcPr>
            <w:tcW w:w="1260"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53,4</w:t>
            </w:r>
          </w:p>
        </w:tc>
        <w:tc>
          <w:tcPr>
            <w:tcW w:w="1620" w:type="dxa"/>
            <w:vAlign w:val="center"/>
          </w:tcPr>
          <w:p w:rsidR="00EA2458" w:rsidRPr="00010163" w:rsidRDefault="00EA2458" w:rsidP="00AE1766">
            <w:pPr>
              <w:jc w:val="center"/>
              <w:rPr>
                <w:rFonts w:asciiTheme="minorHAnsi" w:hAnsiTheme="minorHAnsi" w:cs="Tahoma"/>
              </w:rPr>
            </w:pPr>
            <w:r w:rsidRPr="00010163">
              <w:rPr>
                <w:rFonts w:asciiTheme="minorHAnsi" w:hAnsiTheme="minorHAnsi" w:cs="Tahoma"/>
              </w:rPr>
              <w:t>-84</w:t>
            </w:r>
          </w:p>
        </w:tc>
      </w:tr>
    </w:tbl>
    <w:p w:rsidR="00EA2458" w:rsidRPr="00010163" w:rsidRDefault="00EA2458" w:rsidP="00BA1B31">
      <w:pPr>
        <w:ind w:left="-567"/>
        <w:rPr>
          <w:rFonts w:ascii="Tahoma" w:hAnsi="Tahoma" w:cs="Tahoma"/>
          <w:sz w:val="16"/>
          <w:szCs w:val="18"/>
        </w:rPr>
      </w:pPr>
      <w:r w:rsidRPr="00010163">
        <w:rPr>
          <w:rFonts w:ascii="Tahoma" w:hAnsi="Tahoma" w:cs="Tahoma"/>
          <w:b/>
          <w:sz w:val="16"/>
          <w:szCs w:val="18"/>
        </w:rPr>
        <w:t>Πηγές:</w:t>
      </w:r>
      <w:r w:rsidRPr="00010163">
        <w:rPr>
          <w:rFonts w:ascii="Tahoma" w:hAnsi="Tahoma" w:cs="Tahoma"/>
          <w:sz w:val="16"/>
          <w:szCs w:val="18"/>
        </w:rPr>
        <w:t xml:space="preserve"> </w:t>
      </w:r>
      <w:r w:rsidRPr="00010163">
        <w:rPr>
          <w:rFonts w:ascii="Tahoma" w:hAnsi="Tahoma" w:cs="Tahoma"/>
          <w:sz w:val="16"/>
          <w:szCs w:val="18"/>
          <w:vertAlign w:val="superscript"/>
        </w:rPr>
        <w:t>1</w:t>
      </w:r>
      <w:r w:rsidRPr="00010163">
        <w:rPr>
          <w:rFonts w:ascii="Tahoma" w:hAnsi="Tahoma" w:cs="Tahoma"/>
          <w:sz w:val="16"/>
          <w:szCs w:val="18"/>
        </w:rPr>
        <w:t xml:space="preserve"> Ευρωπαϊκή Επιτροπή, </w:t>
      </w:r>
      <w:r w:rsidRPr="00010163">
        <w:rPr>
          <w:rFonts w:ascii="Tahoma" w:hAnsi="Tahoma" w:cs="Tahoma"/>
          <w:sz w:val="16"/>
          <w:szCs w:val="18"/>
          <w:lang w:val="en-US"/>
        </w:rPr>
        <w:t>DG</w:t>
      </w:r>
      <w:r w:rsidRPr="00010163">
        <w:rPr>
          <w:rFonts w:ascii="Tahoma" w:hAnsi="Tahoma" w:cs="Tahoma"/>
          <w:sz w:val="16"/>
          <w:szCs w:val="18"/>
        </w:rPr>
        <w:t xml:space="preserve"> </w:t>
      </w:r>
      <w:r w:rsidRPr="00010163">
        <w:rPr>
          <w:rFonts w:ascii="Tahoma" w:hAnsi="Tahoma" w:cs="Tahoma"/>
          <w:sz w:val="16"/>
          <w:szCs w:val="18"/>
          <w:lang w:val="en-US"/>
        </w:rPr>
        <w:t>ECFIN</w:t>
      </w:r>
      <w:r w:rsidRPr="00010163">
        <w:rPr>
          <w:rFonts w:ascii="Tahoma" w:hAnsi="Tahoma" w:cs="Tahoma"/>
          <w:sz w:val="16"/>
          <w:szCs w:val="18"/>
        </w:rPr>
        <w:t xml:space="preserve">, </w:t>
      </w:r>
      <w:r w:rsidRPr="00010163">
        <w:rPr>
          <w:rFonts w:ascii="Tahoma" w:hAnsi="Tahoma" w:cs="Tahoma"/>
          <w:sz w:val="16"/>
          <w:szCs w:val="18"/>
          <w:vertAlign w:val="superscript"/>
        </w:rPr>
        <w:t>2</w:t>
      </w:r>
      <w:r w:rsidRPr="00010163">
        <w:rPr>
          <w:rFonts w:ascii="Tahoma" w:hAnsi="Tahoma" w:cs="Tahoma"/>
          <w:sz w:val="16"/>
          <w:szCs w:val="18"/>
        </w:rPr>
        <w:t xml:space="preserve"> ΙΟΒΕ</w:t>
      </w:r>
    </w:p>
    <w:p w:rsidR="00EA2458" w:rsidRPr="008D523F" w:rsidRDefault="00EA2458" w:rsidP="00BD0EAA">
      <w:pPr>
        <w:pStyle w:val="new4"/>
        <w:spacing w:before="60" w:line="240" w:lineRule="auto"/>
      </w:pPr>
      <w:r>
        <w:t>Διάγραμμα</w:t>
      </w:r>
      <w:r w:rsidRPr="004222BE">
        <w:t xml:space="preserve"> </w:t>
      </w:r>
      <w:r w:rsidRPr="00554E5E">
        <w:t>2.</w:t>
      </w:r>
      <w:r>
        <w:t>3</w:t>
      </w:r>
    </w:p>
    <w:p w:rsidR="00BD0EAA" w:rsidRDefault="00EA2458" w:rsidP="00BD0EAA">
      <w:pPr>
        <w:pStyle w:val="new4"/>
        <w:spacing w:after="0" w:line="240" w:lineRule="auto"/>
        <w:rPr>
          <w:b w:val="0"/>
        </w:rPr>
      </w:pPr>
      <w:r w:rsidRPr="007458BF">
        <w:rPr>
          <w:b w:val="0"/>
        </w:rPr>
        <w:t>Στοιχεία έρευνας καταναλωτών για την οικονομική κατάσταση του νοικοκυριού τους</w:t>
      </w:r>
      <w:r>
        <w:rPr>
          <w:b w:val="0"/>
        </w:rPr>
        <w:t xml:space="preserve"> </w:t>
      </w:r>
    </w:p>
    <w:p w:rsidR="00EA2458" w:rsidRPr="00563795" w:rsidRDefault="00EA2458" w:rsidP="00BD0EAA">
      <w:pPr>
        <w:pStyle w:val="new4"/>
        <w:spacing w:after="0" w:line="240" w:lineRule="auto"/>
        <w:rPr>
          <w:b w:val="0"/>
        </w:rPr>
      </w:pPr>
      <w:r w:rsidRPr="007458BF">
        <w:rPr>
          <w:b w:val="0"/>
        </w:rPr>
        <w:t xml:space="preserve">(μέσος όρος </w:t>
      </w:r>
      <w:r>
        <w:rPr>
          <w:b w:val="0"/>
        </w:rPr>
        <w:t xml:space="preserve">Ιανουαρίου – Φεβρουαρίου </w:t>
      </w:r>
      <w:r w:rsidRPr="007458BF">
        <w:rPr>
          <w:b w:val="0"/>
        </w:rPr>
        <w:t>20</w:t>
      </w:r>
      <w:r>
        <w:rPr>
          <w:b w:val="0"/>
        </w:rPr>
        <w:t>12</w:t>
      </w:r>
      <w:r w:rsidRPr="007458BF">
        <w:rPr>
          <w:b w:val="0"/>
        </w:rPr>
        <w:t>)</w:t>
      </w:r>
    </w:p>
    <w:p w:rsidR="00EA2458" w:rsidRPr="00464340" w:rsidRDefault="00EA2458" w:rsidP="00EA2458">
      <w:pPr>
        <w:spacing w:before="240" w:after="240" w:line="312" w:lineRule="auto"/>
        <w:ind w:left="-720"/>
        <w:jc w:val="center"/>
        <w:rPr>
          <w:noProof/>
          <w:szCs w:val="18"/>
        </w:rPr>
      </w:pPr>
      <w:r>
        <w:rPr>
          <w:noProof/>
          <w:lang w:val="en-US" w:eastAsia="en-US"/>
        </w:rPr>
        <w:drawing>
          <wp:inline distT="0" distB="0" distL="0" distR="0">
            <wp:extent cx="3819525" cy="2276475"/>
            <wp:effectExtent l="19050" t="0" r="9525" b="0"/>
            <wp:docPr id="51"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srcRect l="15350" t="7582" r="14812" b="17174"/>
                    <a:stretch>
                      <a:fillRect/>
                    </a:stretch>
                  </pic:blipFill>
                  <pic:spPr bwMode="auto">
                    <a:xfrm>
                      <a:off x="0" y="0"/>
                      <a:ext cx="3819525" cy="2276475"/>
                    </a:xfrm>
                    <a:prstGeom prst="rect">
                      <a:avLst/>
                    </a:prstGeom>
                    <a:noFill/>
                    <a:ln w="9525">
                      <a:noFill/>
                      <a:miter lim="800000"/>
                      <a:headEnd/>
                      <a:tailEnd/>
                    </a:ln>
                  </pic:spPr>
                </pic:pic>
              </a:graphicData>
            </a:graphic>
          </wp:inline>
        </w:drawing>
      </w:r>
    </w:p>
    <w:p w:rsidR="00EA2458" w:rsidRDefault="00EA2458" w:rsidP="00EA2458">
      <w:pPr>
        <w:spacing w:before="240" w:after="240" w:line="312" w:lineRule="auto"/>
        <w:rPr>
          <w:rFonts w:ascii="Tahoma" w:hAnsi="Tahoma" w:cs="Tahoma"/>
          <w:sz w:val="16"/>
          <w:szCs w:val="18"/>
        </w:rPr>
      </w:pPr>
      <w:r w:rsidRPr="00010163">
        <w:rPr>
          <w:rFonts w:ascii="Tahoma" w:hAnsi="Tahoma" w:cs="Tahoma"/>
          <w:b/>
          <w:sz w:val="16"/>
          <w:szCs w:val="18"/>
        </w:rPr>
        <w:t>Πηγή</w:t>
      </w:r>
      <w:r w:rsidRPr="00010163">
        <w:rPr>
          <w:rFonts w:ascii="Tahoma" w:hAnsi="Tahoma" w:cs="Tahoma"/>
          <w:sz w:val="16"/>
          <w:szCs w:val="18"/>
        </w:rPr>
        <w:t>: ΙΟΒΕ</w:t>
      </w:r>
    </w:p>
    <w:p w:rsidR="006B17B0" w:rsidRDefault="006B17B0" w:rsidP="00EA2458">
      <w:pPr>
        <w:spacing w:before="240" w:after="240" w:line="312" w:lineRule="auto"/>
        <w:rPr>
          <w:rFonts w:ascii="Tahoma" w:hAnsi="Tahoma" w:cs="Tahoma"/>
          <w:sz w:val="16"/>
          <w:szCs w:val="18"/>
        </w:rPr>
        <w:sectPr w:rsidR="006B17B0" w:rsidSect="006B17B0">
          <w:type w:val="continuous"/>
          <w:pgSz w:w="11906" w:h="16838"/>
          <w:pgMar w:top="1440" w:right="849" w:bottom="1440" w:left="1560" w:header="708" w:footer="708" w:gutter="0"/>
          <w:cols w:space="720"/>
          <w:docGrid w:linePitch="360"/>
        </w:sectPr>
      </w:pPr>
    </w:p>
    <w:p w:rsidR="00EA2458" w:rsidRPr="007000B4" w:rsidRDefault="00EA2458" w:rsidP="00B26F5F">
      <w:pPr>
        <w:pStyle w:val="Default"/>
        <w:spacing w:before="240" w:after="240" w:line="312" w:lineRule="auto"/>
        <w:jc w:val="both"/>
        <w:rPr>
          <w:sz w:val="22"/>
          <w:szCs w:val="22"/>
        </w:rPr>
      </w:pPr>
      <w:r w:rsidRPr="009D52EA">
        <w:rPr>
          <w:sz w:val="22"/>
          <w:szCs w:val="22"/>
        </w:rPr>
        <w:lastRenderedPageBreak/>
        <w:t xml:space="preserve">Έτσι, από τα βασικά στοιχεία δραστηριότητας, οι εκτιμήσεις των επιχειρήσεων </w:t>
      </w:r>
      <w:r w:rsidR="000B1D28">
        <w:rPr>
          <w:sz w:val="22"/>
          <w:szCs w:val="22"/>
        </w:rPr>
        <w:t xml:space="preserve">για τις τρέχουσες πωλήσεις τους, </w:t>
      </w:r>
      <w:r w:rsidRPr="009D52EA">
        <w:rPr>
          <w:sz w:val="22"/>
          <w:szCs w:val="22"/>
        </w:rPr>
        <w:t xml:space="preserve">χάνουν 10 μονάδες, με το σχετικό δείκτη να διαμορφώνεται στις -64 μονάδες και το 74% των επιχειρήσεων να κρίνουν και πάλι τις πωλήσεις τους ως χαμηλότερες σε σχέση με το προηγούμενο διάστημα. Η πτώση του δείκτη σε σύγκριση με το προηγούμενο τρίμηνο εκπορεύεται και από την </w:t>
      </w:r>
      <w:r>
        <w:rPr>
          <w:sz w:val="22"/>
          <w:szCs w:val="22"/>
        </w:rPr>
        <w:t xml:space="preserve">περαιτέρω </w:t>
      </w:r>
      <w:r w:rsidRPr="009D52EA">
        <w:rPr>
          <w:sz w:val="22"/>
          <w:szCs w:val="22"/>
        </w:rPr>
        <w:t xml:space="preserve">υποχώρηση </w:t>
      </w:r>
      <w:r>
        <w:rPr>
          <w:sz w:val="22"/>
          <w:szCs w:val="22"/>
        </w:rPr>
        <w:t>σ</w:t>
      </w:r>
      <w:r w:rsidRPr="009D52EA">
        <w:rPr>
          <w:sz w:val="22"/>
          <w:szCs w:val="22"/>
        </w:rPr>
        <w:t>τις ήδη έντονα εξασθενημένες προβλέψεις για τις βραχυπρόθεσμες πωλήσεις</w:t>
      </w:r>
      <w:r>
        <w:rPr>
          <w:sz w:val="22"/>
          <w:szCs w:val="22"/>
        </w:rPr>
        <w:t>, με το σχετικό</w:t>
      </w:r>
      <w:r w:rsidRPr="009D52EA">
        <w:rPr>
          <w:sz w:val="22"/>
          <w:szCs w:val="22"/>
        </w:rPr>
        <w:t xml:space="preserve"> ισοζύγιο </w:t>
      </w:r>
      <w:r>
        <w:rPr>
          <w:sz w:val="22"/>
          <w:szCs w:val="22"/>
        </w:rPr>
        <w:t>να</w:t>
      </w:r>
      <w:r w:rsidRPr="009D52EA">
        <w:rPr>
          <w:sz w:val="22"/>
          <w:szCs w:val="22"/>
        </w:rPr>
        <w:t xml:space="preserve"> διαμορφώνεται κατά μέσο όρο στις -58 μονάδες (από -46 μονάδες), πολύ χαμηλότερα έναντι της ίδιας περιόδου πέρυσι (-32 μονάδες). Αντίθετα, ο δείκτης των αποθεμάτων περιορίζεται σημαντικά, στις -4 μονάδες (από +3 το προηγούμενο διάστημα και +15 το ίδιο δίμηνο πέρυσι), υποδηλώνοντας ότι οι όποιες πωλήσεις τροφοδοτούνται από τα αποθέματα των επιχειρήσεων. </w:t>
      </w:r>
      <w:r w:rsidRPr="007000B4">
        <w:rPr>
          <w:sz w:val="22"/>
          <w:szCs w:val="22"/>
        </w:rPr>
        <w:t>Αρνητικ</w:t>
      </w:r>
      <w:r>
        <w:rPr>
          <w:sz w:val="22"/>
          <w:szCs w:val="22"/>
        </w:rPr>
        <w:t xml:space="preserve">ές </w:t>
      </w:r>
      <w:r w:rsidRPr="007000B4">
        <w:rPr>
          <w:sz w:val="22"/>
          <w:szCs w:val="22"/>
        </w:rPr>
        <w:t xml:space="preserve">είναι </w:t>
      </w:r>
      <w:r>
        <w:rPr>
          <w:sz w:val="22"/>
          <w:szCs w:val="22"/>
        </w:rPr>
        <w:t xml:space="preserve">και οι </w:t>
      </w:r>
      <w:r w:rsidRPr="007000B4">
        <w:rPr>
          <w:sz w:val="22"/>
          <w:szCs w:val="22"/>
        </w:rPr>
        <w:t>προβλέψεις για τις παραγγελίες προς προμηθευτές (στις -62 από -54 μονάδες ο μέσος δείκτης της περιόδου), ενώ σχετικά με την απασχόληση του τομέα, οι αρνητικές προ</w:t>
      </w:r>
      <w:r>
        <w:rPr>
          <w:sz w:val="22"/>
          <w:szCs w:val="22"/>
        </w:rPr>
        <w:t>βλέψεις ενισχύονται</w:t>
      </w:r>
      <w:r w:rsidRPr="007000B4">
        <w:rPr>
          <w:sz w:val="22"/>
          <w:szCs w:val="22"/>
        </w:rPr>
        <w:t>, με το σχετικό ισοζύγιο να διπλασιάζεται στις -57 μονάδες σε ιστορικά χαμηλά επίπεδα. Τέλος, σε όρους τιμών, κυριαρχούν σταθερά οι αποπληθωριστικές προσδοκίες καθ</w:t>
      </w:r>
      <w:r w:rsidR="007D023C">
        <w:rPr>
          <w:sz w:val="22"/>
          <w:szCs w:val="22"/>
        </w:rPr>
        <w:t xml:space="preserve">’ </w:t>
      </w:r>
      <w:r w:rsidRPr="007000B4">
        <w:rPr>
          <w:sz w:val="22"/>
          <w:szCs w:val="22"/>
        </w:rPr>
        <w:t xml:space="preserve">όλη τη διάρκεια του έτους έναντι των προσδοκιών ανόδου των τιμών. </w:t>
      </w:r>
      <w:r>
        <w:rPr>
          <w:sz w:val="22"/>
          <w:szCs w:val="22"/>
        </w:rPr>
        <w:t xml:space="preserve">Σε </w:t>
      </w:r>
      <w:r w:rsidRPr="007000B4">
        <w:rPr>
          <w:sz w:val="22"/>
          <w:szCs w:val="22"/>
        </w:rPr>
        <w:t>επιμέρους κλάδους, καταγράφεται μικρή άνοδος στα Υφάσματα-</w:t>
      </w:r>
      <w:r w:rsidR="007D023C" w:rsidRPr="007000B4">
        <w:rPr>
          <w:sz w:val="22"/>
          <w:szCs w:val="22"/>
        </w:rPr>
        <w:t>Ένδυση</w:t>
      </w:r>
      <w:r w:rsidRPr="007000B4">
        <w:rPr>
          <w:sz w:val="22"/>
          <w:szCs w:val="22"/>
        </w:rPr>
        <w:t xml:space="preserve">-Υπόδηση και τα Πολυκαταστήματα αυτό το δίμηνο σε σχέση με το προηγούμενο διάστημα, </w:t>
      </w:r>
      <w:r>
        <w:rPr>
          <w:sz w:val="22"/>
          <w:szCs w:val="22"/>
        </w:rPr>
        <w:t xml:space="preserve">όμως </w:t>
      </w:r>
      <w:r w:rsidRPr="007000B4">
        <w:rPr>
          <w:sz w:val="22"/>
          <w:szCs w:val="22"/>
        </w:rPr>
        <w:t>σε όλους</w:t>
      </w:r>
      <w:r w:rsidR="000B1D28">
        <w:rPr>
          <w:sz w:val="22"/>
          <w:szCs w:val="22"/>
        </w:rPr>
        <w:t xml:space="preserve"> </w:t>
      </w:r>
      <w:r w:rsidRPr="007000B4">
        <w:rPr>
          <w:sz w:val="22"/>
          <w:szCs w:val="22"/>
        </w:rPr>
        <w:t>οι προσδοκίες βρί</w:t>
      </w:r>
      <w:r w:rsidR="00F312DE">
        <w:rPr>
          <w:sz w:val="22"/>
          <w:szCs w:val="22"/>
        </w:rPr>
        <w:t>σκονται σε πολύ χαμηλά επίπεδα.</w:t>
      </w:r>
    </w:p>
    <w:p w:rsidR="00EA2458" w:rsidRPr="00441346" w:rsidRDefault="00EA2458" w:rsidP="00B26F5F">
      <w:pPr>
        <w:pStyle w:val="Default"/>
        <w:spacing w:before="240" w:after="240" w:line="312" w:lineRule="auto"/>
        <w:jc w:val="both"/>
        <w:rPr>
          <w:sz w:val="22"/>
          <w:szCs w:val="22"/>
        </w:rPr>
      </w:pPr>
      <w:r>
        <w:rPr>
          <w:sz w:val="22"/>
          <w:szCs w:val="22"/>
        </w:rPr>
        <w:lastRenderedPageBreak/>
        <w:t xml:space="preserve">Από την άλλη πλευρά οι </w:t>
      </w:r>
      <w:r w:rsidRPr="00057D58">
        <w:rPr>
          <w:sz w:val="22"/>
          <w:szCs w:val="22"/>
        </w:rPr>
        <w:t xml:space="preserve">επιχειρηματικές προσδοκίες στις </w:t>
      </w:r>
      <w:r w:rsidRPr="00057D58">
        <w:rPr>
          <w:b/>
          <w:sz w:val="22"/>
          <w:szCs w:val="22"/>
        </w:rPr>
        <w:t>Κατασκευές</w:t>
      </w:r>
      <w:r w:rsidRPr="00057D58">
        <w:rPr>
          <w:sz w:val="22"/>
          <w:szCs w:val="22"/>
        </w:rPr>
        <w:t xml:space="preserve"> </w:t>
      </w:r>
      <w:r>
        <w:rPr>
          <w:sz w:val="22"/>
          <w:szCs w:val="22"/>
        </w:rPr>
        <w:t>σημειώνουν οριακή βελτίωση στις αρχές του 2012 σε σχέση με τα τέλη του 2011, παραμένοντας όμως</w:t>
      </w:r>
      <w:r w:rsidRPr="00057D58">
        <w:rPr>
          <w:sz w:val="22"/>
          <w:szCs w:val="22"/>
        </w:rPr>
        <w:t xml:space="preserve"> </w:t>
      </w:r>
      <w:r>
        <w:rPr>
          <w:sz w:val="22"/>
          <w:szCs w:val="22"/>
        </w:rPr>
        <w:t xml:space="preserve">εξαιρετικά υποτονικές. Ο </w:t>
      </w:r>
      <w:r w:rsidRPr="00057D58">
        <w:rPr>
          <w:sz w:val="22"/>
          <w:szCs w:val="22"/>
        </w:rPr>
        <w:t>σχετικό</w:t>
      </w:r>
      <w:r>
        <w:rPr>
          <w:sz w:val="22"/>
          <w:szCs w:val="22"/>
        </w:rPr>
        <w:t>ς</w:t>
      </w:r>
      <w:r w:rsidRPr="00057D58">
        <w:rPr>
          <w:sz w:val="22"/>
          <w:szCs w:val="22"/>
        </w:rPr>
        <w:t xml:space="preserve"> δείκτη</w:t>
      </w:r>
      <w:r>
        <w:rPr>
          <w:sz w:val="22"/>
          <w:szCs w:val="22"/>
        </w:rPr>
        <w:t>ς</w:t>
      </w:r>
      <w:r w:rsidRPr="00057D58">
        <w:rPr>
          <w:sz w:val="22"/>
          <w:szCs w:val="22"/>
        </w:rPr>
        <w:t xml:space="preserve"> </w:t>
      </w:r>
      <w:r>
        <w:rPr>
          <w:sz w:val="22"/>
          <w:szCs w:val="22"/>
        </w:rPr>
        <w:t>διαμορφώνεται στις 40 μονάδες, επίδοση ελαφρώς υψηλότερη έναντι της αντίστοιχης περσινής (32 μονάδες)</w:t>
      </w:r>
      <w:r w:rsidRPr="00057D58">
        <w:rPr>
          <w:sz w:val="22"/>
          <w:szCs w:val="22"/>
        </w:rPr>
        <w:t xml:space="preserve">. </w:t>
      </w:r>
      <w:r w:rsidRPr="00A61A36">
        <w:rPr>
          <w:b/>
          <w:sz w:val="22"/>
          <w:szCs w:val="22"/>
        </w:rPr>
        <w:t>Δεν υπάρχουν</w:t>
      </w:r>
      <w:r>
        <w:rPr>
          <w:sz w:val="22"/>
          <w:szCs w:val="22"/>
        </w:rPr>
        <w:t xml:space="preserve"> </w:t>
      </w:r>
      <w:r>
        <w:rPr>
          <w:b/>
          <w:sz w:val="22"/>
          <w:szCs w:val="22"/>
        </w:rPr>
        <w:t>ουσιαστικές προοπτικές</w:t>
      </w:r>
      <w:r w:rsidRPr="00057D58">
        <w:rPr>
          <w:b/>
          <w:sz w:val="22"/>
          <w:szCs w:val="22"/>
        </w:rPr>
        <w:t xml:space="preserve"> </w:t>
      </w:r>
      <w:r>
        <w:rPr>
          <w:b/>
          <w:sz w:val="22"/>
          <w:szCs w:val="22"/>
        </w:rPr>
        <w:t>ανάκαμψης στον τομέα το επόμενο διάστημα και παρά τη μικρή βελτίωση στις</w:t>
      </w:r>
      <w:r>
        <w:t xml:space="preserve"> </w:t>
      </w:r>
      <w:r>
        <w:rPr>
          <w:b/>
          <w:sz w:val="22"/>
          <w:szCs w:val="22"/>
        </w:rPr>
        <w:t>προσδοκίες για το</w:t>
      </w:r>
      <w:r w:rsidRPr="00A479C7">
        <w:rPr>
          <w:b/>
          <w:sz w:val="22"/>
          <w:szCs w:val="22"/>
        </w:rPr>
        <w:t xml:space="preserve"> πρόγραμμα </w:t>
      </w:r>
      <w:r>
        <w:rPr>
          <w:b/>
          <w:sz w:val="22"/>
          <w:szCs w:val="22"/>
        </w:rPr>
        <w:t xml:space="preserve">εργασιών, οι συνθήκες στον κλάδο είναι απογοητευτικές. </w:t>
      </w:r>
      <w:r w:rsidRPr="00A61A36">
        <w:rPr>
          <w:sz w:val="22"/>
          <w:szCs w:val="22"/>
        </w:rPr>
        <w:t>Πράγματι</w:t>
      </w:r>
      <w:r w:rsidRPr="00856275">
        <w:rPr>
          <w:sz w:val="22"/>
          <w:szCs w:val="22"/>
        </w:rPr>
        <w:t>,</w:t>
      </w:r>
      <w:r>
        <w:rPr>
          <w:b/>
          <w:sz w:val="22"/>
          <w:szCs w:val="22"/>
        </w:rPr>
        <w:t xml:space="preserve"> </w:t>
      </w:r>
      <w:r>
        <w:rPr>
          <w:sz w:val="22"/>
          <w:szCs w:val="22"/>
        </w:rPr>
        <w:t>ο</w:t>
      </w:r>
      <w:r w:rsidRPr="001F3C93">
        <w:rPr>
          <w:sz w:val="22"/>
          <w:szCs w:val="22"/>
        </w:rPr>
        <w:t xml:space="preserve">ι </w:t>
      </w:r>
      <w:r>
        <w:rPr>
          <w:sz w:val="22"/>
          <w:szCs w:val="22"/>
        </w:rPr>
        <w:t>έντονα αρνητικές</w:t>
      </w:r>
      <w:r w:rsidRPr="001F3C93">
        <w:rPr>
          <w:sz w:val="22"/>
          <w:szCs w:val="22"/>
        </w:rPr>
        <w:t xml:space="preserve"> προβλέψεις των επιχειρήσεων για το επίπεδο προγράμματος εργασιών τους </w:t>
      </w:r>
      <w:r>
        <w:rPr>
          <w:sz w:val="22"/>
          <w:szCs w:val="22"/>
        </w:rPr>
        <w:t>αμβλύνονται το εξεταζόμενο δίμηνο, με το σχετικό ισοζύγιο</w:t>
      </w:r>
      <w:r w:rsidRPr="001F3C93">
        <w:rPr>
          <w:sz w:val="22"/>
          <w:szCs w:val="22"/>
        </w:rPr>
        <w:t xml:space="preserve"> να διαμορφών</w:t>
      </w:r>
      <w:r>
        <w:rPr>
          <w:sz w:val="22"/>
          <w:szCs w:val="22"/>
        </w:rPr>
        <w:t>ε</w:t>
      </w:r>
      <w:r w:rsidRPr="001F3C93">
        <w:rPr>
          <w:sz w:val="22"/>
          <w:szCs w:val="22"/>
        </w:rPr>
        <w:t xml:space="preserve">ται </w:t>
      </w:r>
      <w:r>
        <w:rPr>
          <w:sz w:val="22"/>
          <w:szCs w:val="22"/>
        </w:rPr>
        <w:t>στις -73 μονάδες (από -85 μονάδες), σε ελαφρώς υψηλότερα επίπεδα σε σχέση με τα αντίστοιχα περσινά. Από την άλλη πλευρά</w:t>
      </w:r>
      <w:r w:rsidR="000B1D28">
        <w:rPr>
          <w:sz w:val="22"/>
          <w:szCs w:val="22"/>
        </w:rPr>
        <w:t xml:space="preserve">, </w:t>
      </w:r>
      <w:r>
        <w:rPr>
          <w:b/>
          <w:sz w:val="22"/>
          <w:szCs w:val="22"/>
        </w:rPr>
        <w:t xml:space="preserve">οι προβλέψεις για την απασχόληση του τομέα βαίνουν δυσμενέστερες, </w:t>
      </w:r>
      <w:r w:rsidRPr="00A61A36">
        <w:rPr>
          <w:sz w:val="22"/>
          <w:szCs w:val="22"/>
        </w:rPr>
        <w:t xml:space="preserve">με </w:t>
      </w:r>
      <w:r>
        <w:rPr>
          <w:sz w:val="22"/>
          <w:szCs w:val="22"/>
        </w:rPr>
        <w:t xml:space="preserve">περαιτέρω υποχώρηση του αρνητικού ισοζυγίου της απασχόλησης στις  -51 μονάδες (από -38). Από τα υπόλοιπα στοιχεία δραστηριότητας, οι έντονα αρνητικές </w:t>
      </w:r>
      <w:r w:rsidRPr="001F3C93">
        <w:rPr>
          <w:sz w:val="22"/>
          <w:szCs w:val="22"/>
        </w:rPr>
        <w:t>εκτιμήσεις των επιχειρήσεων για το</w:t>
      </w:r>
      <w:r>
        <w:rPr>
          <w:sz w:val="22"/>
          <w:szCs w:val="22"/>
        </w:rPr>
        <w:t xml:space="preserve"> τρέχον</w:t>
      </w:r>
      <w:r w:rsidRPr="001F3C93">
        <w:rPr>
          <w:sz w:val="22"/>
          <w:szCs w:val="22"/>
        </w:rPr>
        <w:t xml:space="preserve"> επίπεδο προγράμματος των εργασιών τους </w:t>
      </w:r>
      <w:r>
        <w:rPr>
          <w:sz w:val="22"/>
          <w:szCs w:val="22"/>
        </w:rPr>
        <w:t>βαίνουν δυσμενέστερες στις αρχές του 2012 και διαμορφώνονται κατά μέσο όρο στις -50 μονάδες (από -33 μονάδες)</w:t>
      </w:r>
      <w:r w:rsidRPr="001F3C93">
        <w:rPr>
          <w:sz w:val="22"/>
          <w:szCs w:val="22"/>
        </w:rPr>
        <w:t xml:space="preserve">. Οι μήνες εξασφαλισμένης δραστηριότητας </w:t>
      </w:r>
      <w:r>
        <w:rPr>
          <w:sz w:val="22"/>
          <w:szCs w:val="22"/>
        </w:rPr>
        <w:t xml:space="preserve">περιορίζονται </w:t>
      </w:r>
      <w:r w:rsidRPr="001F3C93">
        <w:rPr>
          <w:sz w:val="22"/>
          <w:szCs w:val="22"/>
        </w:rPr>
        <w:t>στους</w:t>
      </w:r>
      <w:r>
        <w:rPr>
          <w:sz w:val="22"/>
          <w:szCs w:val="22"/>
        </w:rPr>
        <w:t xml:space="preserve"> 7, όταν πέρυσι την ίδια περίοδο εμφανίζονταν διπλάσιοι. Σε σχέση με τις </w:t>
      </w:r>
      <w:r w:rsidRPr="001F3C93">
        <w:rPr>
          <w:sz w:val="22"/>
          <w:szCs w:val="22"/>
        </w:rPr>
        <w:t xml:space="preserve">προβλέψεις </w:t>
      </w:r>
      <w:r>
        <w:rPr>
          <w:sz w:val="22"/>
          <w:szCs w:val="22"/>
        </w:rPr>
        <w:t>των τιμών, τα 2/5 των επιχειρήσεων αναμένουν μείωσή τους (από 55%).</w:t>
      </w:r>
      <w:r w:rsidRPr="001F3C93">
        <w:rPr>
          <w:sz w:val="22"/>
          <w:szCs w:val="22"/>
        </w:rPr>
        <w:t xml:space="preserve"> Τέλος, </w:t>
      </w:r>
      <w:r>
        <w:rPr>
          <w:sz w:val="22"/>
          <w:szCs w:val="22"/>
        </w:rPr>
        <w:t>το 7% κατά μέσο όρο των ερωτηθέντων (από 3%) εκτιμά</w:t>
      </w:r>
      <w:r w:rsidRPr="001F3C93">
        <w:rPr>
          <w:sz w:val="22"/>
          <w:szCs w:val="22"/>
        </w:rPr>
        <w:t xml:space="preserve"> ότι δεν αντιμετωπίζει προσκόμματα </w:t>
      </w:r>
      <w:r w:rsidRPr="001F3C93">
        <w:rPr>
          <w:sz w:val="22"/>
          <w:szCs w:val="22"/>
        </w:rPr>
        <w:lastRenderedPageBreak/>
        <w:t xml:space="preserve">στη λειτουργία του, με </w:t>
      </w:r>
      <w:r>
        <w:rPr>
          <w:sz w:val="22"/>
          <w:szCs w:val="22"/>
        </w:rPr>
        <w:t>το 44% να κρίνει</w:t>
      </w:r>
      <w:r w:rsidRPr="001F3C93">
        <w:rPr>
          <w:sz w:val="22"/>
          <w:szCs w:val="22"/>
        </w:rPr>
        <w:t xml:space="preserve"> ως σημαντικότερο εμπόδιο την ανεπαρκή χρηματοδότηση, </w:t>
      </w:r>
      <w:r>
        <w:rPr>
          <w:sz w:val="22"/>
          <w:szCs w:val="22"/>
        </w:rPr>
        <w:t xml:space="preserve">το 33% </w:t>
      </w:r>
      <w:r w:rsidRPr="001F3C93">
        <w:rPr>
          <w:sz w:val="22"/>
          <w:szCs w:val="22"/>
        </w:rPr>
        <w:t xml:space="preserve">τη χαμηλή ζήτηση και ένα </w:t>
      </w:r>
      <w:r>
        <w:rPr>
          <w:sz w:val="22"/>
          <w:szCs w:val="22"/>
        </w:rPr>
        <w:t>14</w:t>
      </w:r>
      <w:r w:rsidRPr="001F3C93">
        <w:rPr>
          <w:sz w:val="22"/>
          <w:szCs w:val="22"/>
        </w:rPr>
        <w:t>% παράγοντες</w:t>
      </w:r>
      <w:r>
        <w:rPr>
          <w:sz w:val="22"/>
          <w:szCs w:val="22"/>
        </w:rPr>
        <w:t xml:space="preserve"> όπως η </w:t>
      </w:r>
      <w:r w:rsidRPr="005C3AB4">
        <w:rPr>
          <w:sz w:val="22"/>
          <w:szCs w:val="22"/>
        </w:rPr>
        <w:t xml:space="preserve">γενική οικονομική κατάσταση της χώρας και η ύφεση, η υψηλή φορολογία, </w:t>
      </w:r>
      <w:r>
        <w:rPr>
          <w:sz w:val="22"/>
          <w:szCs w:val="22"/>
        </w:rPr>
        <w:t xml:space="preserve">η έλλειψη έργων, </w:t>
      </w:r>
      <w:r w:rsidRPr="005C3AB4">
        <w:rPr>
          <w:sz w:val="22"/>
          <w:szCs w:val="22"/>
        </w:rPr>
        <w:t xml:space="preserve">η </w:t>
      </w:r>
      <w:r>
        <w:rPr>
          <w:sz w:val="22"/>
          <w:szCs w:val="22"/>
        </w:rPr>
        <w:t>καθυστέρηση</w:t>
      </w:r>
      <w:r w:rsidRPr="005C3AB4">
        <w:rPr>
          <w:sz w:val="22"/>
          <w:szCs w:val="22"/>
        </w:rPr>
        <w:t xml:space="preserve"> πληρωμών από το Κράτος, </w:t>
      </w:r>
      <w:r>
        <w:rPr>
          <w:sz w:val="22"/>
          <w:szCs w:val="22"/>
        </w:rPr>
        <w:t>οι οφειλές από εκτελεσμένες εργασίες,</w:t>
      </w:r>
      <w:r w:rsidRPr="00F62B7D">
        <w:rPr>
          <w:sz w:val="22"/>
          <w:szCs w:val="22"/>
        </w:rPr>
        <w:t xml:space="preserve"> </w:t>
      </w:r>
      <w:r>
        <w:rPr>
          <w:sz w:val="22"/>
          <w:szCs w:val="22"/>
        </w:rPr>
        <w:t xml:space="preserve">η αναποτελεσματική διοικητική υποστήριξη, </w:t>
      </w:r>
      <w:r w:rsidRPr="005C3AB4">
        <w:rPr>
          <w:sz w:val="22"/>
          <w:szCs w:val="22"/>
        </w:rPr>
        <w:t>οι μεγάλες εκπτώσει</w:t>
      </w:r>
      <w:r>
        <w:rPr>
          <w:sz w:val="22"/>
          <w:szCs w:val="22"/>
        </w:rPr>
        <w:t xml:space="preserve">ς, η γραφειοκρατία </w:t>
      </w:r>
      <w:r w:rsidRPr="005C3AB4">
        <w:rPr>
          <w:sz w:val="22"/>
          <w:szCs w:val="22"/>
        </w:rPr>
        <w:t>κ.α</w:t>
      </w:r>
      <w:r>
        <w:rPr>
          <w:sz w:val="22"/>
          <w:szCs w:val="22"/>
        </w:rPr>
        <w:t>.</w:t>
      </w:r>
      <w:r w:rsidRPr="00F41876">
        <w:rPr>
          <w:sz w:val="22"/>
          <w:szCs w:val="22"/>
        </w:rPr>
        <w:t xml:space="preserve"> </w:t>
      </w:r>
      <w:r>
        <w:rPr>
          <w:sz w:val="22"/>
          <w:szCs w:val="22"/>
        </w:rPr>
        <w:t>Σε κλαδικό επίπεδο, οι προσδοκίες κινούνται θετικά αυτό το δίμηνο σε σχέση με τους τελευταίους μήνες του προηγούμενου έτους στις Κατασκευές Δημοσίων Έργων, ενώ αντίθετα στις Ιδιωτικές Κατασκευές σημειώνουν πτώση.</w:t>
      </w:r>
    </w:p>
    <w:p w:rsidR="00BD0EAA" w:rsidRDefault="00EA2458" w:rsidP="00B26F5F">
      <w:pPr>
        <w:pStyle w:val="Default"/>
        <w:spacing w:before="240" w:after="240" w:line="312" w:lineRule="auto"/>
        <w:ind w:right="-6"/>
        <w:jc w:val="both"/>
        <w:rPr>
          <w:sz w:val="22"/>
          <w:szCs w:val="22"/>
        </w:rPr>
      </w:pPr>
      <w:r>
        <w:rPr>
          <w:sz w:val="22"/>
          <w:szCs w:val="22"/>
        </w:rPr>
        <w:t xml:space="preserve">Στον τομέα των </w:t>
      </w:r>
      <w:r w:rsidRPr="001F3C93">
        <w:rPr>
          <w:b/>
          <w:sz w:val="22"/>
          <w:szCs w:val="22"/>
        </w:rPr>
        <w:t>Υπηρεσ</w:t>
      </w:r>
      <w:r>
        <w:rPr>
          <w:b/>
          <w:sz w:val="22"/>
          <w:szCs w:val="22"/>
        </w:rPr>
        <w:t>ιών</w:t>
      </w:r>
      <w:r w:rsidRPr="001F3C93">
        <w:rPr>
          <w:sz w:val="22"/>
          <w:szCs w:val="22"/>
        </w:rPr>
        <w:t xml:space="preserve">, ο Δείκτης Επιχειρηματικών Προσδοκιών το </w:t>
      </w:r>
      <w:r>
        <w:rPr>
          <w:sz w:val="22"/>
          <w:szCs w:val="22"/>
        </w:rPr>
        <w:t>εξεταζόμενο διάστημα</w:t>
      </w:r>
      <w:r w:rsidRPr="001F3C93">
        <w:rPr>
          <w:sz w:val="22"/>
          <w:szCs w:val="22"/>
        </w:rPr>
        <w:t xml:space="preserve"> </w:t>
      </w:r>
      <w:r>
        <w:rPr>
          <w:sz w:val="22"/>
          <w:szCs w:val="22"/>
        </w:rPr>
        <w:t>περιορίζεται σε ιστορικά χαμηλά επίπεδα,</w:t>
      </w:r>
      <w:r w:rsidRPr="001F3C93">
        <w:rPr>
          <w:sz w:val="22"/>
          <w:szCs w:val="22"/>
        </w:rPr>
        <w:t xml:space="preserve"> στις </w:t>
      </w:r>
      <w:r>
        <w:rPr>
          <w:sz w:val="22"/>
          <w:szCs w:val="22"/>
        </w:rPr>
        <w:t xml:space="preserve">54 μονάδες (από 58 μονάδες το προηγούμενο τρίμηνο). </w:t>
      </w:r>
      <w:r>
        <w:rPr>
          <w:b/>
          <w:sz w:val="22"/>
          <w:szCs w:val="22"/>
        </w:rPr>
        <w:t>Το διάχυτο κλίμα απαισιοδοξίας στον τομέα για την τρέχουσα δραστηριότητα και την πορεί</w:t>
      </w:r>
      <w:r w:rsidR="000B1D28">
        <w:rPr>
          <w:b/>
          <w:sz w:val="22"/>
          <w:szCs w:val="22"/>
        </w:rPr>
        <w:softHyphen/>
      </w:r>
      <w:r>
        <w:rPr>
          <w:b/>
          <w:sz w:val="22"/>
          <w:szCs w:val="22"/>
        </w:rPr>
        <w:t xml:space="preserve">α της ζήτησης διευρύνεται, ενώ και οι προβλέψεις για το επόμενο διάστημα παραμένουν δυσοίωνες, παρά τη μικρή εξομάλυνση. </w:t>
      </w:r>
      <w:r>
        <w:rPr>
          <w:sz w:val="22"/>
          <w:szCs w:val="22"/>
        </w:rPr>
        <w:t>Συγκεκριμένα, το ισοζύγιο των</w:t>
      </w:r>
      <w:r w:rsidRPr="001F3C93">
        <w:rPr>
          <w:b/>
          <w:sz w:val="22"/>
          <w:szCs w:val="22"/>
        </w:rPr>
        <w:t xml:space="preserve"> </w:t>
      </w:r>
      <w:r w:rsidRPr="001F3C93">
        <w:rPr>
          <w:sz w:val="22"/>
          <w:szCs w:val="22"/>
        </w:rPr>
        <w:t>εκτιμήσεων των επιχειρήσεων για την τρέχουσα δραστη</w:t>
      </w:r>
      <w:r>
        <w:rPr>
          <w:sz w:val="22"/>
          <w:szCs w:val="22"/>
        </w:rPr>
        <w:t>ριότητά τους περιορίζεται σε ιστορικά χαμηλά επίπεδα, στις -44 μονάδες (</w:t>
      </w:r>
      <w:r w:rsidR="000B1D28">
        <w:rPr>
          <w:sz w:val="22"/>
          <w:szCs w:val="22"/>
        </w:rPr>
        <w:t xml:space="preserve">ίδια επίδοση με την </w:t>
      </w:r>
      <w:r w:rsidR="000B1D28" w:rsidRPr="001F3C93">
        <w:rPr>
          <w:sz w:val="22"/>
          <w:szCs w:val="22"/>
        </w:rPr>
        <w:t>αντίστοιχη περ</w:t>
      </w:r>
      <w:r w:rsidR="000B1D28">
        <w:rPr>
          <w:sz w:val="22"/>
          <w:szCs w:val="22"/>
        </w:rPr>
        <w:t xml:space="preserve">σινή στις </w:t>
      </w:r>
      <w:r>
        <w:rPr>
          <w:sz w:val="22"/>
          <w:szCs w:val="22"/>
        </w:rPr>
        <w:t>-30 μονάδες το περασμένο τρίμηνο,).</w:t>
      </w:r>
      <w:bookmarkStart w:id="139" w:name="_Toc237064805"/>
      <w:bookmarkEnd w:id="121"/>
      <w:bookmarkEnd w:id="122"/>
      <w:bookmarkEnd w:id="123"/>
      <w:bookmarkEnd w:id="124"/>
      <w:bookmarkEnd w:id="125"/>
      <w:bookmarkEnd w:id="126"/>
      <w:bookmarkEnd w:id="127"/>
      <w:bookmarkEnd w:id="128"/>
      <w:bookmarkEnd w:id="129"/>
      <w:r>
        <w:rPr>
          <w:sz w:val="22"/>
          <w:szCs w:val="22"/>
        </w:rPr>
        <w:t xml:space="preserve"> Οι αρνητικές προβλέψεις πάντως για τη ζήτηση αμβλύνονται ελαφρά το εξεταζόμενο δίμηνο, κατά 9 μονάδες, με το σχετικό δείκτη να διαμορφώνεται στις -19</w:t>
      </w:r>
      <w:r w:rsidRPr="001F3C93">
        <w:rPr>
          <w:sz w:val="22"/>
          <w:szCs w:val="22"/>
        </w:rPr>
        <w:t xml:space="preserve"> </w:t>
      </w:r>
      <w:r w:rsidRPr="001F3C93">
        <w:rPr>
          <w:sz w:val="22"/>
          <w:szCs w:val="22"/>
        </w:rPr>
        <w:lastRenderedPageBreak/>
        <w:t xml:space="preserve">μονάδες, </w:t>
      </w:r>
      <w:r>
        <w:rPr>
          <w:sz w:val="22"/>
          <w:szCs w:val="22"/>
        </w:rPr>
        <w:t xml:space="preserve">σε ελαφρώς καλύτερα επίπεδα σε σχέση με τα αντίστοιχα περσινά (-22 μονάδες). Αντίθετα, </w:t>
      </w:r>
      <w:r w:rsidRPr="001F3C93">
        <w:rPr>
          <w:sz w:val="22"/>
          <w:szCs w:val="22"/>
        </w:rPr>
        <w:t>οι εκτ</w:t>
      </w:r>
      <w:r>
        <w:rPr>
          <w:sz w:val="22"/>
          <w:szCs w:val="22"/>
        </w:rPr>
        <w:t xml:space="preserve">ιμήσεις για την τρέχουσα ζήτηση επιδεινώνονται περαιτέρω </w:t>
      </w:r>
      <w:r w:rsidRPr="001F3C93">
        <w:rPr>
          <w:sz w:val="22"/>
          <w:szCs w:val="22"/>
        </w:rPr>
        <w:t xml:space="preserve">σε </w:t>
      </w:r>
      <w:r>
        <w:rPr>
          <w:sz w:val="22"/>
          <w:szCs w:val="22"/>
        </w:rPr>
        <w:t>σύγκριση</w:t>
      </w:r>
      <w:r w:rsidRPr="001F3C93">
        <w:rPr>
          <w:sz w:val="22"/>
          <w:szCs w:val="22"/>
        </w:rPr>
        <w:t xml:space="preserve"> με </w:t>
      </w:r>
      <w:r>
        <w:rPr>
          <w:sz w:val="22"/>
          <w:szCs w:val="22"/>
        </w:rPr>
        <w:t xml:space="preserve">το προηγούμενο τρίμηνο, με τις μισές επιχειρήσεις του τομέα (από 40%) να την εκτιμούν ως μειωμένη και μόλις το 5% να δηλώνει το αντίθετο. </w:t>
      </w:r>
      <w:r w:rsidRPr="001F3C93">
        <w:rPr>
          <w:sz w:val="22"/>
          <w:szCs w:val="22"/>
        </w:rPr>
        <w:t xml:space="preserve">Οι προβλέψεις για την απασχόληση </w:t>
      </w:r>
      <w:r>
        <w:rPr>
          <w:sz w:val="22"/>
          <w:szCs w:val="22"/>
        </w:rPr>
        <w:t xml:space="preserve">κερδίζουν 7 μονάδες, αλλά παραμένουν δυσμενείς (στις -22 μονάδες ο σχετικός δείκτης), </w:t>
      </w:r>
      <w:r w:rsidRPr="001F3C93">
        <w:rPr>
          <w:sz w:val="22"/>
          <w:szCs w:val="22"/>
        </w:rPr>
        <w:t>ενώ ως προς τις τιμές, οι σχετικές προσδοκίες</w:t>
      </w:r>
      <w:r>
        <w:rPr>
          <w:sz w:val="22"/>
          <w:szCs w:val="22"/>
        </w:rPr>
        <w:t xml:space="preserve"> παραμένουν σταθερά αποπληθωριστικές</w:t>
      </w:r>
      <w:r w:rsidRPr="001F3C93">
        <w:rPr>
          <w:sz w:val="22"/>
          <w:szCs w:val="22"/>
        </w:rPr>
        <w:t xml:space="preserve">. </w:t>
      </w:r>
      <w:r w:rsidRPr="00E32E0B">
        <w:rPr>
          <w:sz w:val="22"/>
          <w:szCs w:val="22"/>
        </w:rPr>
        <w:t xml:space="preserve">Τέλος, </w:t>
      </w:r>
      <w:r>
        <w:rPr>
          <w:sz w:val="22"/>
          <w:szCs w:val="22"/>
        </w:rPr>
        <w:t>μόλις το 16%</w:t>
      </w:r>
      <w:r w:rsidRPr="00E32E0B">
        <w:rPr>
          <w:sz w:val="22"/>
          <w:szCs w:val="22"/>
        </w:rPr>
        <w:t xml:space="preserve"> των επιχειρήσεων </w:t>
      </w:r>
      <w:r>
        <w:rPr>
          <w:sz w:val="22"/>
          <w:szCs w:val="22"/>
        </w:rPr>
        <w:t xml:space="preserve">(από 20%) </w:t>
      </w:r>
      <w:r w:rsidRPr="00E32E0B">
        <w:rPr>
          <w:sz w:val="22"/>
          <w:szCs w:val="22"/>
        </w:rPr>
        <w:t xml:space="preserve">αναφέρει </w:t>
      </w:r>
      <w:r>
        <w:rPr>
          <w:sz w:val="22"/>
          <w:szCs w:val="22"/>
        </w:rPr>
        <w:t xml:space="preserve">απρόσκοπτη </w:t>
      </w:r>
      <w:r w:rsidRPr="00E32E0B">
        <w:rPr>
          <w:sz w:val="22"/>
          <w:szCs w:val="22"/>
        </w:rPr>
        <w:t xml:space="preserve">επιχειρηματική λειτουργία, </w:t>
      </w:r>
      <w:r>
        <w:rPr>
          <w:sz w:val="22"/>
          <w:szCs w:val="22"/>
        </w:rPr>
        <w:t>με τα 2/5</w:t>
      </w:r>
      <w:r w:rsidRPr="00E32E0B">
        <w:rPr>
          <w:sz w:val="22"/>
          <w:szCs w:val="22"/>
        </w:rPr>
        <w:t xml:space="preserve"> </w:t>
      </w:r>
      <w:r w:rsidR="000B1D28">
        <w:rPr>
          <w:sz w:val="22"/>
          <w:szCs w:val="22"/>
        </w:rPr>
        <w:t>αυτών</w:t>
      </w:r>
      <w:r>
        <w:rPr>
          <w:sz w:val="22"/>
          <w:szCs w:val="22"/>
        </w:rPr>
        <w:t xml:space="preserve"> να δηλώνουν </w:t>
      </w:r>
      <w:r w:rsidRPr="00E32E0B">
        <w:rPr>
          <w:sz w:val="22"/>
          <w:szCs w:val="22"/>
        </w:rPr>
        <w:t>την ανεπάρκεια ζήτησης ως το βασικότερο ε</w:t>
      </w:r>
      <w:r>
        <w:rPr>
          <w:sz w:val="22"/>
          <w:szCs w:val="22"/>
        </w:rPr>
        <w:t>μπόδιο στη λειτουργία τους, το 23</w:t>
      </w:r>
      <w:r w:rsidRPr="00E32E0B">
        <w:rPr>
          <w:sz w:val="22"/>
          <w:szCs w:val="22"/>
        </w:rPr>
        <w:t>% την ανεπάρκεια κεφαλαίων κίνησης και το 1</w:t>
      </w:r>
      <w:r>
        <w:rPr>
          <w:sz w:val="22"/>
          <w:szCs w:val="22"/>
        </w:rPr>
        <w:t>7</w:t>
      </w:r>
      <w:r w:rsidRPr="00E32E0B">
        <w:rPr>
          <w:sz w:val="22"/>
          <w:szCs w:val="22"/>
        </w:rPr>
        <w:t xml:space="preserve">% </w:t>
      </w:r>
      <w:r>
        <w:rPr>
          <w:sz w:val="22"/>
          <w:szCs w:val="22"/>
        </w:rPr>
        <w:t xml:space="preserve">να υπογραμμίζει </w:t>
      </w:r>
      <w:r w:rsidRPr="00E32E0B">
        <w:rPr>
          <w:sz w:val="22"/>
          <w:szCs w:val="22"/>
        </w:rPr>
        <w:t>τους παράγοντες που συνδέονται με τη γενική οικονομική κατάσταση και την κρίση, την ανεπάρκεια του κράτους</w:t>
      </w:r>
      <w:r>
        <w:rPr>
          <w:sz w:val="22"/>
          <w:szCs w:val="22"/>
        </w:rPr>
        <w:t>,</w:t>
      </w:r>
      <w:r w:rsidRPr="00E32E0B">
        <w:rPr>
          <w:sz w:val="22"/>
          <w:szCs w:val="22"/>
        </w:rPr>
        <w:t xml:space="preserve"> την εποχικότητα, το μειωμένο τραπεζικό δανεισμό, την υψηλή φορολογία, την καθυστέρηση πληρωμών από πελάτες, τη διεθνή δύσκολη συγκυρία, την αρνητική εικόνα της χώρας σε διεθνές επίπεδο, το υποβαθμισμένο κέντρο της πρωτεύουσας και την άνοδο της εγκληματικότητας, τις απεργιακές κινητοποιήσεις κ.ά.</w:t>
      </w:r>
      <w:r w:rsidRPr="00BE56C0">
        <w:rPr>
          <w:sz w:val="22"/>
          <w:szCs w:val="22"/>
        </w:rPr>
        <w:t xml:space="preserve"> </w:t>
      </w:r>
      <w:r>
        <w:rPr>
          <w:sz w:val="22"/>
          <w:szCs w:val="22"/>
        </w:rPr>
        <w:t xml:space="preserve">Οι </w:t>
      </w:r>
      <w:r w:rsidRPr="00BE56C0">
        <w:rPr>
          <w:sz w:val="22"/>
          <w:szCs w:val="22"/>
        </w:rPr>
        <w:t xml:space="preserve">Ενδιάμεσοι Χρηματοπιστωτικοί οργανισμοί </w:t>
      </w:r>
      <w:r>
        <w:rPr>
          <w:sz w:val="22"/>
          <w:szCs w:val="22"/>
        </w:rPr>
        <w:t xml:space="preserve">και οι </w:t>
      </w:r>
      <w:r w:rsidRPr="00BE56C0">
        <w:rPr>
          <w:sz w:val="22"/>
          <w:szCs w:val="22"/>
        </w:rPr>
        <w:t>Διάφορες επιχειρηματικές δραστηριότητες</w:t>
      </w:r>
      <w:r>
        <w:rPr>
          <w:sz w:val="22"/>
          <w:szCs w:val="22"/>
        </w:rPr>
        <w:t xml:space="preserve"> είναι οι μόνοι κλάδοι στους οποίους οι επιχειρηματικές προσδοκίες μεταβάλλονται θετικά αυτό το δίμηνο σε σύγκριση με τους τελευταίους μήνες του προηγούμενου έτους</w:t>
      </w:r>
      <w:r w:rsidR="000B1D28">
        <w:rPr>
          <w:sz w:val="22"/>
          <w:szCs w:val="22"/>
        </w:rPr>
        <w:t>.</w:t>
      </w:r>
    </w:p>
    <w:p w:rsidR="000B1D28" w:rsidRDefault="000B1D28" w:rsidP="00B26F5F">
      <w:pPr>
        <w:pStyle w:val="Default"/>
        <w:spacing w:before="240" w:after="240" w:line="312" w:lineRule="auto"/>
        <w:ind w:right="-6"/>
        <w:jc w:val="both"/>
        <w:rPr>
          <w:sz w:val="22"/>
          <w:szCs w:val="22"/>
        </w:rPr>
        <w:sectPr w:rsidR="000B1D28" w:rsidSect="00BD0EAA">
          <w:type w:val="continuous"/>
          <w:pgSz w:w="11906" w:h="16838"/>
          <w:pgMar w:top="1440" w:right="849" w:bottom="1440" w:left="1560" w:header="708" w:footer="708" w:gutter="0"/>
          <w:cols w:num="2" w:space="720"/>
          <w:docGrid w:linePitch="360"/>
        </w:sectPr>
      </w:pPr>
    </w:p>
    <w:p w:rsidR="006B17B0" w:rsidRDefault="006B17B0" w:rsidP="00B26F5F">
      <w:pPr>
        <w:pStyle w:val="Default"/>
        <w:spacing w:before="240" w:after="240" w:line="312" w:lineRule="auto"/>
        <w:ind w:right="-6"/>
        <w:jc w:val="both"/>
        <w:rPr>
          <w:sz w:val="22"/>
          <w:szCs w:val="22"/>
        </w:rPr>
      </w:pPr>
    </w:p>
    <w:p w:rsidR="00BD0EAA" w:rsidRDefault="00BD0EAA" w:rsidP="00010163">
      <w:pPr>
        <w:spacing w:before="120" w:after="120"/>
        <w:jc w:val="center"/>
        <w:rPr>
          <w:rFonts w:ascii="Tahoma" w:hAnsi="Tahoma" w:cs="Tahoma"/>
          <w:b/>
        </w:rPr>
        <w:sectPr w:rsidR="00BD0EAA" w:rsidSect="006B17B0">
          <w:type w:val="continuous"/>
          <w:pgSz w:w="11906" w:h="16838"/>
          <w:pgMar w:top="1440" w:right="849" w:bottom="1440" w:left="1560" w:header="708" w:footer="708" w:gutter="0"/>
          <w:cols w:space="720"/>
          <w:docGrid w:linePitch="360"/>
        </w:sectPr>
      </w:pPr>
    </w:p>
    <w:p w:rsidR="00EA2458" w:rsidRPr="001B73FD" w:rsidRDefault="00EA2458" w:rsidP="00010163">
      <w:pPr>
        <w:spacing w:before="120" w:after="120"/>
        <w:jc w:val="center"/>
        <w:rPr>
          <w:rFonts w:ascii="Tahoma" w:hAnsi="Tahoma" w:cs="Tahoma"/>
          <w:b/>
        </w:rPr>
      </w:pPr>
      <w:r w:rsidRPr="001B73FD">
        <w:rPr>
          <w:rFonts w:ascii="Tahoma" w:hAnsi="Tahoma" w:cs="Tahoma"/>
          <w:b/>
        </w:rPr>
        <w:lastRenderedPageBreak/>
        <w:t>Διάγραμμα 2.</w:t>
      </w:r>
      <w:bookmarkEnd w:id="139"/>
      <w:r w:rsidRPr="001B73FD">
        <w:rPr>
          <w:rFonts w:ascii="Tahoma" w:hAnsi="Tahoma" w:cs="Tahoma"/>
          <w:b/>
        </w:rPr>
        <w:t>4</w:t>
      </w:r>
    </w:p>
    <w:p w:rsidR="00EA2458" w:rsidRPr="001B73FD" w:rsidRDefault="00010163" w:rsidP="00EA2458">
      <w:pPr>
        <w:pStyle w:val="new4"/>
        <w:spacing w:before="120" w:after="120" w:line="240" w:lineRule="auto"/>
        <w:rPr>
          <w:b w:val="0"/>
          <w:vertAlign w:val="superscript"/>
          <w:lang w:val="en-US"/>
        </w:rPr>
      </w:pPr>
      <w:bookmarkStart w:id="140" w:name="_Toc99372934"/>
      <w:bookmarkStart w:id="141" w:name="_Toc99433502"/>
      <w:bookmarkStart w:id="142" w:name="_Toc128387527"/>
      <w:bookmarkStart w:id="143" w:name="_Toc128396846"/>
      <w:bookmarkStart w:id="144" w:name="_Toc137359923"/>
      <w:bookmarkStart w:id="145" w:name="_Toc150583595"/>
      <w:bookmarkStart w:id="146" w:name="_Toc158997794"/>
      <w:bookmarkStart w:id="147" w:name="_Toc159135506"/>
      <w:bookmarkStart w:id="148" w:name="_Toc159143347"/>
      <w:bookmarkStart w:id="149" w:name="_Toc185664909"/>
      <w:bookmarkStart w:id="150" w:name="_Toc193883099"/>
      <w:bookmarkStart w:id="151" w:name="_Toc193883364"/>
      <w:bookmarkStart w:id="152" w:name="_Toc202325730"/>
      <w:bookmarkStart w:id="153" w:name="_Toc210206107"/>
      <w:bookmarkStart w:id="154" w:name="_Toc210206801"/>
      <w:bookmarkStart w:id="155" w:name="_Toc210207716"/>
      <w:bookmarkStart w:id="156" w:name="_Toc217466207"/>
      <w:bookmarkStart w:id="157" w:name="_Toc217724863"/>
      <w:bookmarkStart w:id="158" w:name="_Toc217728887"/>
      <w:bookmarkStart w:id="159" w:name="_Toc228082317"/>
      <w:bookmarkStart w:id="160" w:name="_Toc228172681"/>
      <w:bookmarkStart w:id="161" w:name="_Toc230757310"/>
      <w:bookmarkStart w:id="162" w:name="_Toc237064806"/>
      <w:r>
        <w:rPr>
          <w:b w:val="0"/>
        </w:rPr>
        <w:t xml:space="preserve">Δείκτες Επιχειρηματικών </w:t>
      </w:r>
      <w:r w:rsidR="00EA2458" w:rsidRPr="001B73FD">
        <w:rPr>
          <w:b w:val="0"/>
        </w:rPr>
        <w:t>Προσδοκιών</w:t>
      </w:r>
      <w:bookmarkEnd w:id="140"/>
      <w:bookmarkEnd w:id="141"/>
      <w:bookmarkEnd w:id="142"/>
      <w:bookmarkEnd w:id="143"/>
      <w:bookmarkEnd w:id="144"/>
      <w:bookmarkEnd w:id="145"/>
      <w:bookmarkEnd w:id="146"/>
      <w:bookmarkEnd w:id="147"/>
      <w:bookmarkEnd w:id="148"/>
      <w:r w:rsidR="00EA2458" w:rsidRPr="001B73FD">
        <w:rPr>
          <w:b w:val="0"/>
          <w:vertAlign w:val="superscript"/>
        </w:rPr>
        <w:t>1</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tbl>
      <w:tblPr>
        <w:tblW w:w="982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tblPr>
      <w:tblGrid>
        <w:gridCol w:w="4924"/>
        <w:gridCol w:w="4904"/>
      </w:tblGrid>
      <w:tr w:rsidR="00EA2458" w:rsidRPr="00FD647A" w:rsidTr="00AE1766">
        <w:trPr>
          <w:trHeight w:val="5303"/>
        </w:trPr>
        <w:tc>
          <w:tcPr>
            <w:tcW w:w="4924" w:type="dxa"/>
          </w:tcPr>
          <w:p w:rsidR="00EA2458" w:rsidRPr="004D2FBE" w:rsidRDefault="00EA2458" w:rsidP="00AE1766">
            <w:pPr>
              <w:spacing w:before="240" w:after="240"/>
              <w:jc w:val="center"/>
              <w:rPr>
                <w:rFonts w:ascii="Tahoma" w:hAnsi="Tahoma" w:cs="Tahoma"/>
                <w:b/>
                <w:i/>
              </w:rPr>
            </w:pPr>
            <w:r w:rsidRPr="004D2FBE">
              <w:rPr>
                <w:rFonts w:ascii="Tahoma" w:hAnsi="Tahoma" w:cs="Tahoma"/>
                <w:b/>
                <w:i/>
              </w:rPr>
              <w:t>Βιομηχανία</w:t>
            </w:r>
          </w:p>
          <w:p w:rsidR="00EA2458" w:rsidRPr="00B61A64" w:rsidRDefault="00EA2458" w:rsidP="00AE1766">
            <w:pPr>
              <w:spacing w:before="240" w:after="240"/>
              <w:jc w:val="center"/>
              <w:rPr>
                <w:rFonts w:ascii="Tahoma" w:hAnsi="Tahoma" w:cs="Tahoma"/>
                <w:noProof/>
                <w:color w:val="003366"/>
              </w:rPr>
            </w:pPr>
            <w:r>
              <w:rPr>
                <w:rFonts w:ascii="Tahoma" w:hAnsi="Tahoma" w:cs="Tahoma"/>
                <w:noProof/>
                <w:color w:val="003366"/>
                <w:lang w:val="en-US" w:eastAsia="en-US"/>
              </w:rPr>
              <w:drawing>
                <wp:inline distT="0" distB="0" distL="0" distR="0">
                  <wp:extent cx="2990850" cy="2971800"/>
                  <wp:effectExtent l="0" t="0" r="0" b="0"/>
                  <wp:docPr id="50"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srcRect/>
                          <a:stretch>
                            <a:fillRect/>
                          </a:stretch>
                        </pic:blipFill>
                        <pic:spPr bwMode="auto">
                          <a:xfrm>
                            <a:off x="0" y="0"/>
                            <a:ext cx="2990850" cy="2971800"/>
                          </a:xfrm>
                          <a:prstGeom prst="rect">
                            <a:avLst/>
                          </a:prstGeom>
                          <a:noFill/>
                          <a:ln w="9525">
                            <a:noFill/>
                            <a:miter lim="800000"/>
                            <a:headEnd/>
                            <a:tailEnd/>
                          </a:ln>
                        </pic:spPr>
                      </pic:pic>
                    </a:graphicData>
                  </a:graphic>
                </wp:inline>
              </w:drawing>
            </w:r>
          </w:p>
        </w:tc>
        <w:tc>
          <w:tcPr>
            <w:tcW w:w="4904" w:type="dxa"/>
          </w:tcPr>
          <w:p w:rsidR="00EA2458" w:rsidRPr="004D2FBE" w:rsidRDefault="00EA2458" w:rsidP="00AE1766">
            <w:pPr>
              <w:spacing w:before="240" w:after="240"/>
              <w:jc w:val="center"/>
              <w:rPr>
                <w:rFonts w:ascii="Tahoma" w:hAnsi="Tahoma" w:cs="Tahoma"/>
                <w:b/>
                <w:i/>
              </w:rPr>
            </w:pPr>
            <w:r w:rsidRPr="004D2FBE">
              <w:rPr>
                <w:rFonts w:ascii="Tahoma" w:hAnsi="Tahoma" w:cs="Tahoma"/>
                <w:b/>
                <w:i/>
              </w:rPr>
              <w:t>Κατασκευές</w:t>
            </w:r>
          </w:p>
          <w:p w:rsidR="00EA2458" w:rsidRPr="00312F56" w:rsidRDefault="00EA2458" w:rsidP="00AE1766">
            <w:pPr>
              <w:spacing w:before="240" w:after="240"/>
              <w:rPr>
                <w:rFonts w:ascii="Tahoma" w:hAnsi="Tahoma" w:cs="Tahoma"/>
                <w:noProof/>
                <w:color w:val="003366"/>
              </w:rPr>
            </w:pPr>
            <w:r>
              <w:rPr>
                <w:rFonts w:ascii="Tahoma" w:hAnsi="Tahoma" w:cs="Tahoma"/>
                <w:noProof/>
                <w:color w:val="003366"/>
                <w:lang w:val="en-US" w:eastAsia="en-US"/>
              </w:rPr>
              <w:drawing>
                <wp:inline distT="0" distB="0" distL="0" distR="0">
                  <wp:extent cx="2971800" cy="2962275"/>
                  <wp:effectExtent l="0" t="0" r="0" b="0"/>
                  <wp:docPr id="49"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srcRect/>
                          <a:stretch>
                            <a:fillRect/>
                          </a:stretch>
                        </pic:blipFill>
                        <pic:spPr bwMode="auto">
                          <a:xfrm>
                            <a:off x="0" y="0"/>
                            <a:ext cx="2971800" cy="2962275"/>
                          </a:xfrm>
                          <a:prstGeom prst="rect">
                            <a:avLst/>
                          </a:prstGeom>
                          <a:noFill/>
                          <a:ln w="9525">
                            <a:noFill/>
                            <a:miter lim="800000"/>
                            <a:headEnd/>
                            <a:tailEnd/>
                          </a:ln>
                        </pic:spPr>
                      </pic:pic>
                    </a:graphicData>
                  </a:graphic>
                </wp:inline>
              </w:drawing>
            </w:r>
          </w:p>
        </w:tc>
      </w:tr>
      <w:tr w:rsidR="00EA2458" w:rsidRPr="00FD647A" w:rsidTr="00AE1766">
        <w:trPr>
          <w:trHeight w:val="5253"/>
        </w:trPr>
        <w:tc>
          <w:tcPr>
            <w:tcW w:w="4924" w:type="dxa"/>
          </w:tcPr>
          <w:p w:rsidR="00EA2458" w:rsidRPr="004D2FBE" w:rsidRDefault="00EA2458" w:rsidP="00AE1766">
            <w:pPr>
              <w:spacing w:before="240" w:after="240"/>
              <w:jc w:val="center"/>
              <w:rPr>
                <w:rFonts w:ascii="Tahoma" w:hAnsi="Tahoma" w:cs="Tahoma"/>
                <w:b/>
                <w:i/>
              </w:rPr>
            </w:pPr>
            <w:r w:rsidRPr="004D2FBE">
              <w:rPr>
                <w:rFonts w:ascii="Tahoma" w:hAnsi="Tahoma" w:cs="Tahoma"/>
                <w:b/>
                <w:i/>
              </w:rPr>
              <w:t>Λιανικό Εμπόριο</w:t>
            </w:r>
          </w:p>
          <w:p w:rsidR="00EA2458" w:rsidRPr="00ED1EA8" w:rsidRDefault="00EA2458" w:rsidP="00AE1766">
            <w:pPr>
              <w:spacing w:before="240" w:after="240"/>
              <w:jc w:val="center"/>
              <w:rPr>
                <w:rFonts w:ascii="Tahoma" w:hAnsi="Tahoma" w:cs="Tahoma"/>
                <w:noProof/>
                <w:color w:val="003366"/>
              </w:rPr>
            </w:pPr>
            <w:r>
              <w:rPr>
                <w:rFonts w:ascii="Tahoma" w:hAnsi="Tahoma" w:cs="Tahoma"/>
                <w:noProof/>
                <w:color w:val="003366"/>
                <w:lang w:val="en-US" w:eastAsia="en-US"/>
              </w:rPr>
              <w:drawing>
                <wp:inline distT="0" distB="0" distL="0" distR="0">
                  <wp:extent cx="2990850" cy="2971800"/>
                  <wp:effectExtent l="0" t="0" r="0" b="0"/>
                  <wp:docPr id="48"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srcRect/>
                          <a:stretch>
                            <a:fillRect/>
                          </a:stretch>
                        </pic:blipFill>
                        <pic:spPr bwMode="auto">
                          <a:xfrm>
                            <a:off x="0" y="0"/>
                            <a:ext cx="2990850" cy="2971800"/>
                          </a:xfrm>
                          <a:prstGeom prst="rect">
                            <a:avLst/>
                          </a:prstGeom>
                          <a:noFill/>
                          <a:ln w="9525">
                            <a:noFill/>
                            <a:miter lim="800000"/>
                            <a:headEnd/>
                            <a:tailEnd/>
                          </a:ln>
                        </pic:spPr>
                      </pic:pic>
                    </a:graphicData>
                  </a:graphic>
                </wp:inline>
              </w:drawing>
            </w:r>
          </w:p>
        </w:tc>
        <w:tc>
          <w:tcPr>
            <w:tcW w:w="4904" w:type="dxa"/>
          </w:tcPr>
          <w:p w:rsidR="00EA2458" w:rsidRPr="004D2FBE" w:rsidRDefault="00EA2458" w:rsidP="00AE1766">
            <w:pPr>
              <w:spacing w:before="240" w:after="240"/>
              <w:jc w:val="center"/>
              <w:rPr>
                <w:rFonts w:ascii="Tahoma" w:hAnsi="Tahoma" w:cs="Tahoma"/>
                <w:b/>
                <w:i/>
              </w:rPr>
            </w:pPr>
            <w:r w:rsidRPr="004D2FBE">
              <w:rPr>
                <w:rFonts w:ascii="Tahoma" w:hAnsi="Tahoma" w:cs="Tahoma"/>
                <w:b/>
                <w:i/>
              </w:rPr>
              <w:t>Υπηρεσίες</w:t>
            </w:r>
          </w:p>
          <w:p w:rsidR="00EA2458" w:rsidRPr="00ED1EA8" w:rsidRDefault="00EA2458" w:rsidP="00AE1766">
            <w:pPr>
              <w:spacing w:before="240" w:after="240"/>
              <w:rPr>
                <w:rFonts w:ascii="Tahoma" w:hAnsi="Tahoma" w:cs="Tahoma"/>
                <w:b/>
                <w:noProof/>
                <w:color w:val="003366"/>
              </w:rPr>
            </w:pPr>
            <w:r>
              <w:rPr>
                <w:rFonts w:ascii="Tahoma" w:hAnsi="Tahoma" w:cs="Tahoma"/>
                <w:b/>
                <w:noProof/>
                <w:color w:val="003366"/>
                <w:lang w:val="en-US" w:eastAsia="en-US"/>
              </w:rPr>
              <w:drawing>
                <wp:inline distT="0" distB="0" distL="0" distR="0">
                  <wp:extent cx="2971800" cy="2962275"/>
                  <wp:effectExtent l="0" t="0" r="0" b="0"/>
                  <wp:docPr id="4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srcRect/>
                          <a:stretch>
                            <a:fillRect/>
                          </a:stretch>
                        </pic:blipFill>
                        <pic:spPr bwMode="auto">
                          <a:xfrm>
                            <a:off x="0" y="0"/>
                            <a:ext cx="2971800" cy="2962275"/>
                          </a:xfrm>
                          <a:prstGeom prst="rect">
                            <a:avLst/>
                          </a:prstGeom>
                          <a:noFill/>
                          <a:ln w="9525">
                            <a:noFill/>
                            <a:miter lim="800000"/>
                            <a:headEnd/>
                            <a:tailEnd/>
                          </a:ln>
                        </pic:spPr>
                      </pic:pic>
                    </a:graphicData>
                  </a:graphic>
                </wp:inline>
              </w:drawing>
            </w:r>
          </w:p>
        </w:tc>
      </w:tr>
    </w:tbl>
    <w:p w:rsidR="00EA2458" w:rsidRPr="006B17B0" w:rsidRDefault="00EA2458" w:rsidP="00EA2458">
      <w:pPr>
        <w:numPr>
          <w:ilvl w:val="0"/>
          <w:numId w:val="1"/>
        </w:numPr>
        <w:spacing w:before="120" w:after="120"/>
        <w:ind w:left="0" w:right="-340" w:hanging="357"/>
        <w:jc w:val="both"/>
        <w:rPr>
          <w:rFonts w:ascii="Tahoma" w:hAnsi="Tahoma" w:cs="Tahoma"/>
          <w:sz w:val="16"/>
          <w:szCs w:val="16"/>
          <w:lang w:val="en-US"/>
        </w:rPr>
      </w:pPr>
      <w:r w:rsidRPr="004D5900">
        <w:rPr>
          <w:rFonts w:ascii="Tahoma" w:hAnsi="Tahoma" w:cs="Tahoma"/>
          <w:sz w:val="16"/>
          <w:szCs w:val="16"/>
        </w:rPr>
        <w:t xml:space="preserve">Στον υπολογισμό των δεικτών χρησιμοποιείται περίοδος βάσης, αντί για έτος βάσης. Έτσι οι τομείς της Βιομηχανίας, των Κατασκευών και του Λιανικού εμπορίου αποκτούν κοινή περίοδο βάσης (1996-2006=100) και στις Υπηρεσίες χρησιμοποιείται η περίοδος (1998-2006=100) αφού δεν υπάρχουν μετρήσεις του τομέα πριν το 1998. Η αλλαγή αυτή επιτρέπει την ακριβέστερη αποτύπωση των διακυμάνσεων της επιχειρηματικών προσδοκιών σε μία μακρά περίοδο, ενώ παράλληλα δίνει τη δυνατότητα κατασκευής συγκρίσιμων επιμέρους κλαδικών δεικτών. </w:t>
      </w:r>
      <w:r w:rsidRPr="004D5900">
        <w:rPr>
          <w:rFonts w:ascii="Tahoma" w:hAnsi="Tahoma" w:cs="Tahoma"/>
          <w:b/>
          <w:sz w:val="16"/>
          <w:szCs w:val="16"/>
        </w:rPr>
        <w:t>Πηγή:</w:t>
      </w:r>
      <w:r w:rsidRPr="004D5900">
        <w:rPr>
          <w:rFonts w:ascii="Tahoma" w:hAnsi="Tahoma" w:cs="Tahoma"/>
          <w:sz w:val="16"/>
          <w:szCs w:val="16"/>
        </w:rPr>
        <w:t xml:space="preserve"> ΙΟΒΕ</w:t>
      </w:r>
    </w:p>
    <w:p w:rsidR="006B17B0" w:rsidRDefault="006B17B0" w:rsidP="006B17B0">
      <w:pPr>
        <w:spacing w:before="120" w:after="120"/>
        <w:ind w:right="-340"/>
        <w:jc w:val="both"/>
        <w:rPr>
          <w:rFonts w:ascii="Tahoma" w:hAnsi="Tahoma" w:cs="Tahoma"/>
          <w:sz w:val="16"/>
          <w:szCs w:val="16"/>
          <w:lang w:val="en-US"/>
        </w:rPr>
        <w:sectPr w:rsidR="006B17B0" w:rsidSect="00BD0EAA">
          <w:pgSz w:w="11906" w:h="16838"/>
          <w:pgMar w:top="1440" w:right="849" w:bottom="1440" w:left="1560" w:header="708" w:footer="708" w:gutter="0"/>
          <w:cols w:space="720"/>
          <w:docGrid w:linePitch="360"/>
        </w:sectPr>
      </w:pPr>
    </w:p>
    <w:p w:rsidR="006B17B0" w:rsidRDefault="006B17B0" w:rsidP="006B17B0">
      <w:pPr>
        <w:spacing w:before="120" w:after="120"/>
        <w:ind w:right="-340"/>
        <w:jc w:val="both"/>
        <w:rPr>
          <w:rFonts w:ascii="Tahoma" w:hAnsi="Tahoma" w:cs="Tahoma"/>
          <w:sz w:val="16"/>
          <w:szCs w:val="16"/>
          <w:lang w:val="en-US"/>
        </w:rPr>
      </w:pPr>
    </w:p>
    <w:p w:rsidR="00BD0EAA" w:rsidRDefault="00BD0EAA" w:rsidP="00425199">
      <w:pPr>
        <w:pStyle w:val="new2"/>
        <w:spacing w:before="240" w:line="312" w:lineRule="auto"/>
        <w:sectPr w:rsidR="00BD0EAA" w:rsidSect="006B17B0">
          <w:type w:val="continuous"/>
          <w:pgSz w:w="11906" w:h="16838"/>
          <w:pgMar w:top="1440" w:right="849" w:bottom="1440" w:left="1560" w:header="708" w:footer="708" w:gutter="0"/>
          <w:cols w:space="720"/>
          <w:docGrid w:linePitch="360"/>
        </w:sectPr>
      </w:pPr>
    </w:p>
    <w:p w:rsidR="00425199" w:rsidRPr="00477CD6" w:rsidRDefault="008D3430" w:rsidP="00425199">
      <w:pPr>
        <w:pStyle w:val="new2"/>
        <w:spacing w:before="240" w:line="312" w:lineRule="auto"/>
      </w:pPr>
      <w:bookmarkStart w:id="163" w:name="_Toc320872879"/>
      <w:r w:rsidRPr="00425199">
        <w:lastRenderedPageBreak/>
        <w:t>B)</w:t>
      </w:r>
      <w:r w:rsidR="00425199" w:rsidRPr="00425199">
        <w:t xml:space="preserve"> </w:t>
      </w:r>
      <w:r w:rsidR="00425199" w:rsidRPr="00477CD6">
        <w:t>Δ</w:t>
      </w:r>
      <w:r w:rsidR="00442549">
        <w:t>ημοσιονομικές Εξελίξεις και Προοπτικές</w:t>
      </w:r>
      <w:bookmarkEnd w:id="163"/>
    </w:p>
    <w:p w:rsidR="00617B6C" w:rsidRDefault="00425199" w:rsidP="00084C8E">
      <w:pPr>
        <w:spacing w:before="120" w:after="240" w:line="312" w:lineRule="auto"/>
        <w:jc w:val="both"/>
        <w:rPr>
          <w:rFonts w:ascii="Tahoma" w:hAnsi="Tahoma" w:cs="Tahoma"/>
          <w:color w:val="000000"/>
          <w:sz w:val="22"/>
          <w:szCs w:val="22"/>
        </w:rPr>
      </w:pPr>
      <w:r w:rsidRPr="00425199">
        <w:rPr>
          <w:rFonts w:ascii="Tahoma" w:hAnsi="Tahoma" w:cs="Tahoma"/>
          <w:color w:val="000000"/>
          <w:sz w:val="22"/>
          <w:szCs w:val="22"/>
        </w:rPr>
        <w:t>Στο πλαίσιο της έγκρισης του δεύτερου πακέτου χρηματοδοτικής στήριξης και της εφαρμογής του Μνημονίου, όπως ψηφίστηκε με το ν.4046/2012, η κυβέρνηση προχώρησε στην αναθεώρηση του προϋπολογισμού (ν.4051/2012). Ο κύριος λόγος ήταν η συνεχής υστέρηση των φορολογικών εσόδων, η οποία αναμένεται να διαμορφώσει τα μεγέθη τόσο του 2011 όσο και του 2012 προς το χειρότερο σε σχέση με τις εκτιμήσεις του Προϋπολογισμού 2012. Με την αναθεώρηση προβλέπεται ότι το έλλειμμα του 2011 θα είναι περί το €1,3 δισ. υψηλότερο της αρχικής εκτίμησης, ενώ ο στόχος για το έλλειμμα του 2012 είναι €2,3 δισ. υψηλότερος, παρά τις νέες παρεμβάσεις που προβλέπονται (βλέπε Πίνακα 2.7)</w:t>
      </w:r>
      <w:r w:rsidR="00BD0EAA">
        <w:rPr>
          <w:rFonts w:ascii="Tahoma" w:hAnsi="Tahoma" w:cs="Tahoma"/>
          <w:color w:val="000000"/>
          <w:sz w:val="22"/>
          <w:szCs w:val="22"/>
        </w:rPr>
        <w:t>.</w:t>
      </w:r>
      <w:r w:rsidR="00BD0EAA" w:rsidRPr="00BD0EAA">
        <w:rPr>
          <w:rFonts w:ascii="Tahoma" w:hAnsi="Tahoma" w:cs="Tahoma"/>
          <w:color w:val="000000"/>
          <w:sz w:val="22"/>
          <w:szCs w:val="22"/>
        </w:rPr>
        <w:t xml:space="preserve"> </w:t>
      </w:r>
    </w:p>
    <w:p w:rsidR="00BD0EAA" w:rsidRDefault="00BD0EAA" w:rsidP="00617B6C">
      <w:pPr>
        <w:spacing w:before="120" w:after="120" w:line="312" w:lineRule="auto"/>
        <w:jc w:val="both"/>
        <w:rPr>
          <w:rFonts w:ascii="Tahoma" w:hAnsi="Tahoma" w:cs="Tahoma"/>
          <w:color w:val="000000"/>
          <w:sz w:val="22"/>
          <w:szCs w:val="22"/>
        </w:rPr>
      </w:pPr>
      <w:r w:rsidRPr="00425199">
        <w:rPr>
          <w:rFonts w:ascii="Tahoma" w:hAnsi="Tahoma" w:cs="Tahoma"/>
          <w:color w:val="000000"/>
          <w:sz w:val="22"/>
          <w:szCs w:val="22"/>
        </w:rPr>
        <w:lastRenderedPageBreak/>
        <w:t xml:space="preserve">Ειδικότερα, η εικόνα του Κρατικού Προϋπολογισμού για το σκέλος των εσόδων διαμορφώνεται ως εξής (Πίνακας 2.8): Για το 2011, οι έμμεσοι φόροι παρουσιάζουν την υψηλότερη απόκλιση (€452 εκατ.), η οποία προέρχεται κυρίως από τους φόρους κατανάλωσης και την αδυναμία είσπραξης φόρων παρελθόντων ετών. Σημαντική υστέρηση παρατηρείται και στους άμεσους φόρους (€303 εκατ.), η οποία προέρχεται και πάλι από τη μη είσπραξη των προβλεπομένων ληξιπροθέσμων οφειλών, καθώς και από τους λοιπούς άμεσους φόρους. </w:t>
      </w:r>
    </w:p>
    <w:p w:rsidR="00BD0EAA" w:rsidRDefault="00BD0EAA" w:rsidP="00425199">
      <w:pPr>
        <w:spacing w:before="240" w:after="240" w:line="312" w:lineRule="auto"/>
        <w:jc w:val="both"/>
        <w:rPr>
          <w:rFonts w:ascii="Tahoma" w:hAnsi="Tahoma" w:cs="Tahoma"/>
          <w:color w:val="000000"/>
          <w:sz w:val="22"/>
          <w:szCs w:val="22"/>
        </w:rPr>
      </w:pPr>
      <w:r w:rsidRPr="00425199">
        <w:rPr>
          <w:rFonts w:ascii="Tahoma" w:hAnsi="Tahoma" w:cs="Tahoma"/>
          <w:color w:val="000000"/>
          <w:sz w:val="22"/>
          <w:szCs w:val="22"/>
        </w:rPr>
        <w:t>Επίσης, παρουσιάζεται υπέρβαση €283 εκατ. στις επιστροφές φόρων.</w:t>
      </w:r>
      <w:r>
        <w:rPr>
          <w:rFonts w:ascii="Tahoma" w:hAnsi="Tahoma" w:cs="Tahoma"/>
          <w:color w:val="000000"/>
          <w:sz w:val="22"/>
          <w:szCs w:val="22"/>
        </w:rPr>
        <w:t xml:space="preserve"> </w:t>
      </w:r>
      <w:r w:rsidRPr="00425199">
        <w:rPr>
          <w:rFonts w:ascii="Tahoma" w:hAnsi="Tahoma" w:cs="Tahoma"/>
          <w:color w:val="000000"/>
          <w:sz w:val="22"/>
          <w:szCs w:val="22"/>
        </w:rPr>
        <w:t>Η είσπραξη € 405 εκατ. επί πλέον για το ΠΔΕ περιορίζει τη συνολική απόκλιση εσόδων του 2011 σε €1,1 δισ..</w:t>
      </w:r>
    </w:p>
    <w:p w:rsidR="00BD0EAA" w:rsidRDefault="00BD0EAA" w:rsidP="00425199">
      <w:pPr>
        <w:spacing w:before="240" w:after="240" w:line="312" w:lineRule="auto"/>
        <w:jc w:val="both"/>
        <w:rPr>
          <w:rFonts w:ascii="Tahoma" w:hAnsi="Tahoma" w:cs="Tahoma"/>
          <w:color w:val="000000"/>
          <w:sz w:val="22"/>
          <w:szCs w:val="22"/>
        </w:rPr>
        <w:sectPr w:rsidR="00BD0EAA" w:rsidSect="00BD0EAA">
          <w:type w:val="continuous"/>
          <w:pgSz w:w="11906" w:h="16838"/>
          <w:pgMar w:top="1440" w:right="849" w:bottom="1440" w:left="1560" w:header="708" w:footer="708" w:gutter="0"/>
          <w:cols w:num="2" w:space="720"/>
          <w:docGrid w:linePitch="360"/>
        </w:sectPr>
      </w:pPr>
    </w:p>
    <w:p w:rsidR="00425199" w:rsidRPr="0066593B" w:rsidRDefault="00425199" w:rsidP="0066593B">
      <w:pPr>
        <w:spacing w:before="240" w:after="240" w:line="312" w:lineRule="auto"/>
        <w:jc w:val="center"/>
        <w:rPr>
          <w:rFonts w:ascii="Tahoma" w:hAnsi="Tahoma" w:cs="Tahoma"/>
          <w:color w:val="000000"/>
          <w:sz w:val="22"/>
          <w:szCs w:val="22"/>
        </w:rPr>
      </w:pPr>
      <w:r w:rsidRPr="006B17B0">
        <w:rPr>
          <w:rFonts w:ascii="Tahoma" w:hAnsi="Tahoma" w:cs="Tahoma"/>
          <w:b/>
          <w:color w:val="000000" w:themeColor="text1"/>
          <w:szCs w:val="22"/>
        </w:rPr>
        <w:lastRenderedPageBreak/>
        <w:t xml:space="preserve">Πίνακας </w:t>
      </w:r>
      <w:r w:rsidRPr="009C55C0">
        <w:rPr>
          <w:rFonts w:ascii="Tahoma" w:hAnsi="Tahoma" w:cs="Tahoma"/>
          <w:b/>
          <w:color w:val="000000" w:themeColor="text1"/>
          <w:szCs w:val="22"/>
        </w:rPr>
        <w:t>2.7</w:t>
      </w:r>
    </w:p>
    <w:p w:rsidR="00425199" w:rsidRPr="006B17B0" w:rsidRDefault="00425199" w:rsidP="00425199">
      <w:pPr>
        <w:pStyle w:val="Heading6"/>
        <w:spacing w:before="120" w:after="120"/>
        <w:jc w:val="center"/>
        <w:rPr>
          <w:rFonts w:ascii="Tahoma" w:hAnsi="Tahoma" w:cs="Tahoma"/>
          <w:i w:val="0"/>
          <w:color w:val="000000" w:themeColor="text1"/>
          <w:szCs w:val="22"/>
        </w:rPr>
      </w:pPr>
      <w:r w:rsidRPr="006B17B0">
        <w:rPr>
          <w:rFonts w:ascii="Tahoma" w:hAnsi="Tahoma" w:cs="Tahoma"/>
          <w:i w:val="0"/>
          <w:color w:val="000000" w:themeColor="text1"/>
          <w:szCs w:val="22"/>
        </w:rPr>
        <w:t>Πηγές υπέρβασης του καθαρού ελλείμματος</w:t>
      </w:r>
    </w:p>
    <w:tbl>
      <w:tblPr>
        <w:tblW w:w="5679" w:type="dxa"/>
        <w:jc w:val="center"/>
        <w:tblInd w:w="-562" w:type="dxa"/>
        <w:tblLook w:val="04A0"/>
      </w:tblPr>
      <w:tblGrid>
        <w:gridCol w:w="659"/>
        <w:gridCol w:w="3160"/>
        <w:gridCol w:w="887"/>
        <w:gridCol w:w="973"/>
      </w:tblGrid>
      <w:tr w:rsidR="0052086F" w:rsidRPr="0052086F" w:rsidTr="0066593B">
        <w:trPr>
          <w:gridBefore w:val="1"/>
          <w:wBefore w:w="659" w:type="dxa"/>
          <w:trHeight w:val="269"/>
          <w:jc w:val="center"/>
        </w:trPr>
        <w:tc>
          <w:tcPr>
            <w:tcW w:w="3160" w:type="dxa"/>
            <w:tcBorders>
              <w:top w:val="nil"/>
              <w:left w:val="nil"/>
              <w:bottom w:val="nil"/>
              <w:right w:val="nil"/>
            </w:tcBorders>
            <w:shd w:val="clear" w:color="auto" w:fill="auto"/>
            <w:vAlign w:val="bottom"/>
            <w:hideMark/>
          </w:tcPr>
          <w:p w:rsidR="0052086F" w:rsidRPr="0052086F" w:rsidRDefault="0052086F" w:rsidP="0052086F">
            <w:pPr>
              <w:jc w:val="right"/>
              <w:rPr>
                <w:rFonts w:ascii="Tahoma" w:hAnsi="Tahoma" w:cs="Tahoma"/>
                <w:i/>
                <w:iCs/>
                <w:sz w:val="16"/>
                <w:szCs w:val="16"/>
              </w:rPr>
            </w:pPr>
            <w:r w:rsidRPr="0052086F">
              <w:rPr>
                <w:rFonts w:ascii="Tahoma" w:hAnsi="Tahoma" w:cs="Tahoma"/>
                <w:i/>
                <w:iCs/>
                <w:sz w:val="18"/>
                <w:szCs w:val="16"/>
              </w:rPr>
              <w:t>€ εκατ.</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086F" w:rsidRPr="0052086F" w:rsidRDefault="0052086F" w:rsidP="0052086F">
            <w:pPr>
              <w:jc w:val="center"/>
              <w:rPr>
                <w:rFonts w:ascii="Tahoma" w:hAnsi="Tahoma" w:cs="Tahoma"/>
                <w:b/>
                <w:bCs/>
                <w:sz w:val="18"/>
                <w:szCs w:val="16"/>
              </w:rPr>
            </w:pPr>
            <w:r w:rsidRPr="0052086F">
              <w:rPr>
                <w:rFonts w:ascii="Tahoma" w:hAnsi="Tahoma" w:cs="Tahoma"/>
                <w:b/>
                <w:bCs/>
                <w:sz w:val="18"/>
                <w:szCs w:val="16"/>
              </w:rPr>
              <w:t>2011</w:t>
            </w:r>
          </w:p>
        </w:tc>
        <w:tc>
          <w:tcPr>
            <w:tcW w:w="973" w:type="dxa"/>
            <w:tcBorders>
              <w:top w:val="single" w:sz="4" w:space="0" w:color="auto"/>
              <w:left w:val="nil"/>
              <w:bottom w:val="single" w:sz="4" w:space="0" w:color="auto"/>
              <w:right w:val="single" w:sz="4" w:space="0" w:color="auto"/>
            </w:tcBorders>
            <w:shd w:val="clear" w:color="auto" w:fill="auto"/>
            <w:vAlign w:val="center"/>
            <w:hideMark/>
          </w:tcPr>
          <w:p w:rsidR="0052086F" w:rsidRPr="0052086F" w:rsidRDefault="0052086F" w:rsidP="0052086F">
            <w:pPr>
              <w:jc w:val="center"/>
              <w:rPr>
                <w:rFonts w:ascii="Tahoma" w:hAnsi="Tahoma" w:cs="Tahoma"/>
                <w:b/>
                <w:bCs/>
                <w:sz w:val="18"/>
                <w:szCs w:val="16"/>
              </w:rPr>
            </w:pPr>
            <w:r w:rsidRPr="0052086F">
              <w:rPr>
                <w:rFonts w:ascii="Tahoma" w:hAnsi="Tahoma" w:cs="Tahoma"/>
                <w:b/>
                <w:bCs/>
                <w:sz w:val="18"/>
                <w:szCs w:val="16"/>
              </w:rPr>
              <w:t>2012</w:t>
            </w:r>
          </w:p>
        </w:tc>
      </w:tr>
      <w:tr w:rsidR="0052086F" w:rsidRPr="0052086F" w:rsidTr="0066593B">
        <w:trPr>
          <w:trHeight w:val="269"/>
          <w:jc w:val="center"/>
        </w:trPr>
        <w:tc>
          <w:tcPr>
            <w:tcW w:w="3819" w:type="dxa"/>
            <w:gridSpan w:val="2"/>
            <w:tcBorders>
              <w:top w:val="single" w:sz="4" w:space="0" w:color="auto"/>
              <w:left w:val="single" w:sz="4" w:space="0" w:color="auto"/>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8"/>
                <w:szCs w:val="18"/>
              </w:rPr>
            </w:pPr>
            <w:r w:rsidRPr="0052086F">
              <w:rPr>
                <w:rFonts w:ascii="Tahoma" w:hAnsi="Tahoma" w:cs="Tahoma"/>
                <w:color w:val="000000"/>
                <w:sz w:val="18"/>
                <w:szCs w:val="18"/>
              </w:rPr>
              <w:t>ΦΟΡΟΛΟΓΙΚΑ ΕΣΟΔΑ</w:t>
            </w:r>
          </w:p>
        </w:tc>
        <w:tc>
          <w:tcPr>
            <w:tcW w:w="887" w:type="dxa"/>
            <w:tcBorders>
              <w:top w:val="nil"/>
              <w:left w:val="nil"/>
              <w:bottom w:val="nil"/>
              <w:right w:val="nil"/>
            </w:tcBorders>
            <w:shd w:val="clear" w:color="auto" w:fill="auto"/>
            <w:noWrap/>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-755</w:t>
            </w:r>
          </w:p>
        </w:tc>
        <w:tc>
          <w:tcPr>
            <w:tcW w:w="973"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-2.898</w:t>
            </w:r>
          </w:p>
        </w:tc>
      </w:tr>
      <w:tr w:rsidR="0052086F" w:rsidRPr="0052086F" w:rsidTr="0066593B">
        <w:trPr>
          <w:trHeight w:val="269"/>
          <w:jc w:val="center"/>
        </w:trPr>
        <w:tc>
          <w:tcPr>
            <w:tcW w:w="3819" w:type="dxa"/>
            <w:gridSpan w:val="2"/>
            <w:tcBorders>
              <w:top w:val="nil"/>
              <w:left w:val="single" w:sz="4" w:space="0" w:color="auto"/>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8"/>
                <w:szCs w:val="18"/>
              </w:rPr>
            </w:pPr>
            <w:r w:rsidRPr="0052086F">
              <w:rPr>
                <w:rFonts w:ascii="Tahoma" w:hAnsi="Tahoma" w:cs="Tahoma"/>
                <w:color w:val="000000"/>
                <w:sz w:val="18"/>
                <w:szCs w:val="18"/>
              </w:rPr>
              <w:t>ΜΗ ΦΟΡΟΛΟΓΙΚΑ ΕΣΟΔΑ</w:t>
            </w:r>
          </w:p>
        </w:tc>
        <w:tc>
          <w:tcPr>
            <w:tcW w:w="887" w:type="dxa"/>
            <w:tcBorders>
              <w:top w:val="nil"/>
              <w:left w:val="nil"/>
              <w:bottom w:val="nil"/>
              <w:right w:val="nil"/>
            </w:tcBorders>
            <w:shd w:val="clear" w:color="auto" w:fill="auto"/>
            <w:noWrap/>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-180</w:t>
            </w:r>
          </w:p>
        </w:tc>
        <w:tc>
          <w:tcPr>
            <w:tcW w:w="973"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-118</w:t>
            </w:r>
          </w:p>
        </w:tc>
      </w:tr>
      <w:tr w:rsidR="0052086F" w:rsidRPr="0052086F" w:rsidTr="0066593B">
        <w:trPr>
          <w:trHeight w:val="269"/>
          <w:jc w:val="center"/>
        </w:trPr>
        <w:tc>
          <w:tcPr>
            <w:tcW w:w="3819" w:type="dxa"/>
            <w:gridSpan w:val="2"/>
            <w:tcBorders>
              <w:top w:val="nil"/>
              <w:left w:val="single" w:sz="4" w:space="0" w:color="auto"/>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8"/>
                <w:szCs w:val="18"/>
              </w:rPr>
            </w:pPr>
            <w:r w:rsidRPr="0052086F">
              <w:rPr>
                <w:rFonts w:ascii="Tahoma" w:hAnsi="Tahoma" w:cs="Tahoma"/>
                <w:color w:val="000000"/>
                <w:sz w:val="18"/>
                <w:szCs w:val="18"/>
              </w:rPr>
              <w:t>ΕΠΙΣΤΡΟΦΕΣ ΦΟΡΩΝ</w:t>
            </w:r>
          </w:p>
        </w:tc>
        <w:tc>
          <w:tcPr>
            <w:tcW w:w="887" w:type="dxa"/>
            <w:tcBorders>
              <w:top w:val="nil"/>
              <w:left w:val="nil"/>
              <w:bottom w:val="nil"/>
              <w:right w:val="nil"/>
            </w:tcBorders>
            <w:shd w:val="clear" w:color="auto" w:fill="auto"/>
            <w:noWrap/>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283</w:t>
            </w:r>
          </w:p>
        </w:tc>
        <w:tc>
          <w:tcPr>
            <w:tcW w:w="973"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10</w:t>
            </w:r>
          </w:p>
        </w:tc>
      </w:tr>
      <w:tr w:rsidR="0052086F" w:rsidRPr="0052086F" w:rsidTr="0066593B">
        <w:trPr>
          <w:trHeight w:val="269"/>
          <w:jc w:val="center"/>
        </w:trPr>
        <w:tc>
          <w:tcPr>
            <w:tcW w:w="3819" w:type="dxa"/>
            <w:gridSpan w:val="2"/>
            <w:tcBorders>
              <w:top w:val="nil"/>
              <w:left w:val="single" w:sz="4" w:space="0" w:color="auto"/>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8"/>
                <w:szCs w:val="18"/>
              </w:rPr>
            </w:pPr>
            <w:r w:rsidRPr="0052086F">
              <w:rPr>
                <w:rFonts w:ascii="Tahoma" w:hAnsi="Tahoma" w:cs="Tahoma"/>
                <w:color w:val="000000"/>
                <w:sz w:val="18"/>
                <w:szCs w:val="18"/>
              </w:rPr>
              <w:t>Π.Δ.Ε.</w:t>
            </w:r>
          </w:p>
        </w:tc>
        <w:tc>
          <w:tcPr>
            <w:tcW w:w="887" w:type="dxa"/>
            <w:tcBorders>
              <w:top w:val="nil"/>
              <w:left w:val="nil"/>
              <w:bottom w:val="nil"/>
              <w:right w:val="nil"/>
            </w:tcBorders>
            <w:shd w:val="clear" w:color="auto" w:fill="auto"/>
            <w:noWrap/>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405</w:t>
            </w:r>
          </w:p>
        </w:tc>
        <w:tc>
          <w:tcPr>
            <w:tcW w:w="973"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0</w:t>
            </w:r>
          </w:p>
        </w:tc>
      </w:tr>
      <w:tr w:rsidR="0052086F" w:rsidRPr="0052086F" w:rsidTr="0066593B">
        <w:trPr>
          <w:trHeight w:val="269"/>
          <w:jc w:val="center"/>
        </w:trPr>
        <w:tc>
          <w:tcPr>
            <w:tcW w:w="3819" w:type="dxa"/>
            <w:gridSpan w:val="2"/>
            <w:tcBorders>
              <w:top w:val="nil"/>
              <w:left w:val="single" w:sz="4" w:space="0" w:color="auto"/>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sz w:val="18"/>
                <w:szCs w:val="18"/>
              </w:rPr>
            </w:pPr>
            <w:r w:rsidRPr="0052086F">
              <w:rPr>
                <w:rFonts w:ascii="Tahoma" w:hAnsi="Tahoma" w:cs="Tahoma"/>
                <w:b/>
                <w:bCs/>
                <w:sz w:val="18"/>
                <w:szCs w:val="18"/>
              </w:rPr>
              <w:t>ΥΣΤΕΡΗΣΗ ΕΣΟΔΩΝ ΚΡΑΤ. Π/Υ</w:t>
            </w:r>
          </w:p>
        </w:tc>
        <w:tc>
          <w:tcPr>
            <w:tcW w:w="887" w:type="dxa"/>
            <w:tcBorders>
              <w:top w:val="nil"/>
              <w:left w:val="nil"/>
              <w:bottom w:val="single" w:sz="4" w:space="0" w:color="auto"/>
              <w:right w:val="nil"/>
            </w:tcBorders>
            <w:shd w:val="clear" w:color="auto" w:fill="auto"/>
            <w:noWrap/>
            <w:vAlign w:val="center"/>
            <w:hideMark/>
          </w:tcPr>
          <w:p w:rsidR="0052086F" w:rsidRPr="0052086F" w:rsidRDefault="0052086F" w:rsidP="006F3AA0">
            <w:pPr>
              <w:jc w:val="center"/>
              <w:rPr>
                <w:rFonts w:ascii="Tahoma" w:hAnsi="Tahoma" w:cs="Tahoma"/>
                <w:b/>
                <w:bCs/>
                <w:sz w:val="18"/>
                <w:szCs w:val="18"/>
              </w:rPr>
            </w:pPr>
            <w:r w:rsidRPr="0052086F">
              <w:rPr>
                <w:rFonts w:ascii="Tahoma" w:hAnsi="Tahoma" w:cs="Tahoma"/>
                <w:b/>
                <w:bCs/>
                <w:sz w:val="18"/>
                <w:szCs w:val="18"/>
              </w:rPr>
              <w:t>-1.057</w:t>
            </w: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sz w:val="18"/>
                <w:szCs w:val="18"/>
              </w:rPr>
            </w:pPr>
            <w:r w:rsidRPr="0052086F">
              <w:rPr>
                <w:rFonts w:ascii="Tahoma" w:hAnsi="Tahoma" w:cs="Tahoma"/>
                <w:b/>
                <w:bCs/>
                <w:sz w:val="18"/>
                <w:szCs w:val="18"/>
              </w:rPr>
              <w:t>-3.006</w:t>
            </w:r>
          </w:p>
        </w:tc>
      </w:tr>
      <w:tr w:rsidR="0052086F" w:rsidRPr="0052086F" w:rsidTr="0066593B">
        <w:trPr>
          <w:trHeight w:val="269"/>
          <w:jc w:val="center"/>
        </w:trPr>
        <w:tc>
          <w:tcPr>
            <w:tcW w:w="3819" w:type="dxa"/>
            <w:gridSpan w:val="2"/>
            <w:tcBorders>
              <w:top w:val="nil"/>
              <w:left w:val="single" w:sz="4" w:space="0" w:color="auto"/>
              <w:bottom w:val="nil"/>
              <w:right w:val="single" w:sz="4" w:space="0" w:color="auto"/>
            </w:tcBorders>
            <w:shd w:val="clear" w:color="auto" w:fill="auto"/>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ΤΟΚΟΙ</w:t>
            </w:r>
          </w:p>
        </w:tc>
        <w:tc>
          <w:tcPr>
            <w:tcW w:w="887" w:type="dxa"/>
            <w:tcBorders>
              <w:top w:val="nil"/>
              <w:left w:val="nil"/>
              <w:bottom w:val="nil"/>
              <w:right w:val="nil"/>
            </w:tcBorders>
            <w:shd w:val="clear" w:color="auto" w:fill="auto"/>
            <w:noWrap/>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520</w:t>
            </w:r>
          </w:p>
        </w:tc>
        <w:tc>
          <w:tcPr>
            <w:tcW w:w="973"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300</w:t>
            </w:r>
          </w:p>
        </w:tc>
      </w:tr>
      <w:tr w:rsidR="0052086F" w:rsidRPr="0052086F" w:rsidTr="0066593B">
        <w:trPr>
          <w:trHeight w:val="269"/>
          <w:jc w:val="center"/>
        </w:trPr>
        <w:tc>
          <w:tcPr>
            <w:tcW w:w="3819" w:type="dxa"/>
            <w:gridSpan w:val="2"/>
            <w:tcBorders>
              <w:top w:val="nil"/>
              <w:left w:val="single" w:sz="4" w:space="0" w:color="auto"/>
              <w:bottom w:val="nil"/>
              <w:right w:val="single" w:sz="4" w:space="0" w:color="auto"/>
            </w:tcBorders>
            <w:shd w:val="clear" w:color="auto" w:fill="auto"/>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ΑΠΟΔΟΧΕΣ ΚΑΙ ΣΥΝΤΑΞΕΙΣ</w:t>
            </w:r>
          </w:p>
        </w:tc>
        <w:tc>
          <w:tcPr>
            <w:tcW w:w="887" w:type="dxa"/>
            <w:tcBorders>
              <w:top w:val="nil"/>
              <w:left w:val="nil"/>
              <w:bottom w:val="nil"/>
              <w:right w:val="nil"/>
            </w:tcBorders>
            <w:shd w:val="clear" w:color="auto" w:fill="auto"/>
            <w:noWrap/>
            <w:vAlign w:val="center"/>
            <w:hideMark/>
          </w:tcPr>
          <w:p w:rsidR="0052086F" w:rsidRPr="0052086F" w:rsidRDefault="0052086F" w:rsidP="006F3AA0">
            <w:pPr>
              <w:jc w:val="center"/>
              <w:rPr>
                <w:rFonts w:ascii="Tahoma" w:hAnsi="Tahoma" w:cs="Tahoma"/>
                <w:sz w:val="18"/>
                <w:szCs w:val="18"/>
              </w:rPr>
            </w:pPr>
          </w:p>
        </w:tc>
        <w:tc>
          <w:tcPr>
            <w:tcW w:w="973"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-13</w:t>
            </w:r>
          </w:p>
        </w:tc>
      </w:tr>
      <w:tr w:rsidR="0052086F" w:rsidRPr="0052086F" w:rsidTr="0066593B">
        <w:trPr>
          <w:trHeight w:val="269"/>
          <w:jc w:val="center"/>
        </w:trPr>
        <w:tc>
          <w:tcPr>
            <w:tcW w:w="3819" w:type="dxa"/>
            <w:gridSpan w:val="2"/>
            <w:tcBorders>
              <w:top w:val="nil"/>
              <w:left w:val="single" w:sz="4" w:space="0" w:color="auto"/>
              <w:bottom w:val="nil"/>
              <w:right w:val="single" w:sz="4" w:space="0" w:color="auto"/>
            </w:tcBorders>
            <w:shd w:val="clear" w:color="auto" w:fill="auto"/>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ΑΣΦΑΛΙΣΗ,  ΠΕΡΙΘ., ΚΟΙΝ. ΠΡΟΣΤ.</w:t>
            </w:r>
          </w:p>
        </w:tc>
        <w:tc>
          <w:tcPr>
            <w:tcW w:w="887" w:type="dxa"/>
            <w:tcBorders>
              <w:top w:val="nil"/>
              <w:left w:val="nil"/>
              <w:bottom w:val="nil"/>
              <w:right w:val="nil"/>
            </w:tcBorders>
            <w:shd w:val="clear" w:color="auto" w:fill="auto"/>
            <w:noWrap/>
            <w:vAlign w:val="center"/>
            <w:hideMark/>
          </w:tcPr>
          <w:p w:rsidR="0052086F" w:rsidRPr="0052086F" w:rsidRDefault="0052086F" w:rsidP="006F3AA0">
            <w:pPr>
              <w:jc w:val="center"/>
              <w:rPr>
                <w:rFonts w:ascii="Tahoma" w:hAnsi="Tahoma" w:cs="Tahoma"/>
                <w:sz w:val="18"/>
                <w:szCs w:val="18"/>
              </w:rPr>
            </w:pPr>
          </w:p>
        </w:tc>
        <w:tc>
          <w:tcPr>
            <w:tcW w:w="973"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-327</w:t>
            </w:r>
          </w:p>
        </w:tc>
      </w:tr>
      <w:tr w:rsidR="0052086F" w:rsidRPr="0052086F" w:rsidTr="0066593B">
        <w:trPr>
          <w:trHeight w:val="269"/>
          <w:jc w:val="center"/>
        </w:trPr>
        <w:tc>
          <w:tcPr>
            <w:tcW w:w="3819" w:type="dxa"/>
            <w:gridSpan w:val="2"/>
            <w:tcBorders>
              <w:top w:val="nil"/>
              <w:left w:val="single" w:sz="4" w:space="0" w:color="auto"/>
              <w:bottom w:val="nil"/>
              <w:right w:val="single" w:sz="4" w:space="0" w:color="auto"/>
            </w:tcBorders>
            <w:shd w:val="clear" w:color="auto" w:fill="auto"/>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ΛΕΙΤΟΥΡΓΙΚΕΣ &amp; ΛΟΙΠΕΣ ΔΑΠΑΝΕΣ</w:t>
            </w:r>
          </w:p>
        </w:tc>
        <w:tc>
          <w:tcPr>
            <w:tcW w:w="887" w:type="dxa"/>
            <w:tcBorders>
              <w:top w:val="nil"/>
              <w:left w:val="nil"/>
              <w:bottom w:val="nil"/>
              <w:right w:val="nil"/>
            </w:tcBorders>
            <w:shd w:val="clear" w:color="auto" w:fill="auto"/>
            <w:noWrap/>
            <w:vAlign w:val="center"/>
            <w:hideMark/>
          </w:tcPr>
          <w:p w:rsidR="0052086F" w:rsidRPr="0052086F" w:rsidRDefault="0052086F" w:rsidP="006F3AA0">
            <w:pPr>
              <w:jc w:val="center"/>
              <w:rPr>
                <w:rFonts w:ascii="Tahoma" w:hAnsi="Tahoma" w:cs="Tahoma"/>
                <w:sz w:val="18"/>
                <w:szCs w:val="18"/>
              </w:rPr>
            </w:pPr>
          </w:p>
        </w:tc>
        <w:tc>
          <w:tcPr>
            <w:tcW w:w="973"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-1.389</w:t>
            </w:r>
          </w:p>
        </w:tc>
      </w:tr>
      <w:tr w:rsidR="0052086F" w:rsidRPr="0052086F" w:rsidTr="0066593B">
        <w:trPr>
          <w:trHeight w:val="269"/>
          <w:jc w:val="center"/>
        </w:trPr>
        <w:tc>
          <w:tcPr>
            <w:tcW w:w="3819" w:type="dxa"/>
            <w:gridSpan w:val="2"/>
            <w:tcBorders>
              <w:top w:val="nil"/>
              <w:left w:val="single" w:sz="4" w:space="0" w:color="auto"/>
              <w:bottom w:val="nil"/>
              <w:right w:val="single" w:sz="4" w:space="0" w:color="auto"/>
            </w:tcBorders>
            <w:shd w:val="clear" w:color="auto" w:fill="auto"/>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ΑΠΟΔΙΔΟΜΕΝΟΙ ΠΟΡΟΙ</w:t>
            </w:r>
          </w:p>
        </w:tc>
        <w:tc>
          <w:tcPr>
            <w:tcW w:w="887" w:type="dxa"/>
            <w:tcBorders>
              <w:top w:val="nil"/>
              <w:left w:val="nil"/>
              <w:bottom w:val="nil"/>
              <w:right w:val="nil"/>
            </w:tcBorders>
            <w:shd w:val="clear" w:color="auto" w:fill="auto"/>
            <w:noWrap/>
            <w:vAlign w:val="center"/>
            <w:hideMark/>
          </w:tcPr>
          <w:p w:rsidR="0052086F" w:rsidRPr="0052086F" w:rsidRDefault="0052086F" w:rsidP="006F3AA0">
            <w:pPr>
              <w:jc w:val="center"/>
              <w:rPr>
                <w:rFonts w:ascii="Tahoma" w:hAnsi="Tahoma" w:cs="Tahoma"/>
                <w:sz w:val="18"/>
                <w:szCs w:val="18"/>
              </w:rPr>
            </w:pPr>
          </w:p>
        </w:tc>
        <w:tc>
          <w:tcPr>
            <w:tcW w:w="973"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-429</w:t>
            </w:r>
          </w:p>
        </w:tc>
      </w:tr>
      <w:tr w:rsidR="0052086F" w:rsidRPr="0052086F" w:rsidTr="0066593B">
        <w:trPr>
          <w:trHeight w:val="269"/>
          <w:jc w:val="center"/>
        </w:trPr>
        <w:tc>
          <w:tcPr>
            <w:tcW w:w="3819" w:type="dxa"/>
            <w:gridSpan w:val="2"/>
            <w:tcBorders>
              <w:top w:val="nil"/>
              <w:left w:val="single" w:sz="4" w:space="0" w:color="auto"/>
              <w:bottom w:val="nil"/>
              <w:right w:val="single" w:sz="4" w:space="0" w:color="auto"/>
            </w:tcBorders>
            <w:shd w:val="clear" w:color="auto" w:fill="auto"/>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ΑΠΟΘΕΜΑΤΙΚΟ</w:t>
            </w:r>
          </w:p>
        </w:tc>
        <w:tc>
          <w:tcPr>
            <w:tcW w:w="887" w:type="dxa"/>
            <w:tcBorders>
              <w:top w:val="nil"/>
              <w:left w:val="nil"/>
              <w:bottom w:val="nil"/>
              <w:right w:val="nil"/>
            </w:tcBorders>
            <w:shd w:val="clear" w:color="auto" w:fill="auto"/>
            <w:noWrap/>
            <w:vAlign w:val="center"/>
            <w:hideMark/>
          </w:tcPr>
          <w:p w:rsidR="0052086F" w:rsidRPr="0052086F" w:rsidRDefault="0052086F" w:rsidP="006F3AA0">
            <w:pPr>
              <w:jc w:val="center"/>
              <w:rPr>
                <w:rFonts w:ascii="Tahoma" w:hAnsi="Tahoma" w:cs="Tahoma"/>
                <w:sz w:val="18"/>
                <w:szCs w:val="18"/>
              </w:rPr>
            </w:pPr>
          </w:p>
        </w:tc>
        <w:tc>
          <w:tcPr>
            <w:tcW w:w="973"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8"/>
                <w:szCs w:val="18"/>
              </w:rPr>
            </w:pPr>
          </w:p>
        </w:tc>
      </w:tr>
      <w:tr w:rsidR="0052086F" w:rsidRPr="0052086F" w:rsidTr="0066593B">
        <w:trPr>
          <w:trHeight w:val="269"/>
          <w:jc w:val="center"/>
        </w:trPr>
        <w:tc>
          <w:tcPr>
            <w:tcW w:w="3819" w:type="dxa"/>
            <w:gridSpan w:val="2"/>
            <w:tcBorders>
              <w:top w:val="nil"/>
              <w:left w:val="single" w:sz="4" w:space="0" w:color="auto"/>
              <w:bottom w:val="nil"/>
              <w:right w:val="single" w:sz="4" w:space="0" w:color="auto"/>
            </w:tcBorders>
            <w:shd w:val="clear" w:color="auto" w:fill="auto"/>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Π.Δ.Ε.</w:t>
            </w:r>
          </w:p>
        </w:tc>
        <w:tc>
          <w:tcPr>
            <w:tcW w:w="887" w:type="dxa"/>
            <w:tcBorders>
              <w:top w:val="nil"/>
              <w:left w:val="nil"/>
              <w:bottom w:val="nil"/>
              <w:right w:val="nil"/>
            </w:tcBorders>
            <w:shd w:val="clear" w:color="auto" w:fill="auto"/>
            <w:noWrap/>
            <w:vAlign w:val="center"/>
            <w:hideMark/>
          </w:tcPr>
          <w:p w:rsidR="0052086F" w:rsidRPr="0052086F" w:rsidRDefault="0052086F" w:rsidP="006F3AA0">
            <w:pPr>
              <w:jc w:val="center"/>
              <w:rPr>
                <w:rFonts w:ascii="Tahoma" w:hAnsi="Tahoma" w:cs="Tahoma"/>
                <w:sz w:val="18"/>
                <w:szCs w:val="18"/>
              </w:rPr>
            </w:pPr>
          </w:p>
        </w:tc>
        <w:tc>
          <w:tcPr>
            <w:tcW w:w="973"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-400</w:t>
            </w:r>
          </w:p>
        </w:tc>
      </w:tr>
      <w:tr w:rsidR="0052086F" w:rsidRPr="0052086F" w:rsidTr="0066593B">
        <w:trPr>
          <w:trHeight w:val="269"/>
          <w:jc w:val="center"/>
        </w:trPr>
        <w:tc>
          <w:tcPr>
            <w:tcW w:w="3819" w:type="dxa"/>
            <w:gridSpan w:val="2"/>
            <w:tcBorders>
              <w:top w:val="nil"/>
              <w:left w:val="single" w:sz="4" w:space="0" w:color="auto"/>
              <w:bottom w:val="single" w:sz="4" w:space="0" w:color="auto"/>
              <w:right w:val="single" w:sz="4" w:space="0" w:color="auto"/>
            </w:tcBorders>
            <w:shd w:val="clear" w:color="auto" w:fill="auto"/>
            <w:vAlign w:val="center"/>
            <w:hideMark/>
          </w:tcPr>
          <w:p w:rsidR="0052086F" w:rsidRPr="0052086F" w:rsidRDefault="0052086F" w:rsidP="006F3AA0">
            <w:pPr>
              <w:jc w:val="center"/>
              <w:rPr>
                <w:rFonts w:ascii="Tahoma" w:hAnsi="Tahoma" w:cs="Tahoma"/>
                <w:b/>
                <w:bCs/>
                <w:sz w:val="18"/>
                <w:szCs w:val="18"/>
              </w:rPr>
            </w:pPr>
            <w:r w:rsidRPr="0052086F">
              <w:rPr>
                <w:rFonts w:ascii="Tahoma" w:hAnsi="Tahoma" w:cs="Tahoma"/>
                <w:b/>
                <w:bCs/>
                <w:sz w:val="18"/>
                <w:szCs w:val="18"/>
              </w:rPr>
              <w:t>ΣΥΝΟΛΟ ΔΑΠΑΝΩΝ ΚΡΑΤ. Π/Υ</w:t>
            </w:r>
          </w:p>
        </w:tc>
        <w:tc>
          <w:tcPr>
            <w:tcW w:w="887" w:type="dxa"/>
            <w:tcBorders>
              <w:top w:val="nil"/>
              <w:left w:val="nil"/>
              <w:bottom w:val="single" w:sz="4" w:space="0" w:color="auto"/>
              <w:right w:val="nil"/>
            </w:tcBorders>
            <w:shd w:val="clear" w:color="auto" w:fill="auto"/>
            <w:noWrap/>
            <w:vAlign w:val="center"/>
            <w:hideMark/>
          </w:tcPr>
          <w:p w:rsidR="0052086F" w:rsidRPr="0052086F" w:rsidRDefault="0052086F" w:rsidP="006F3AA0">
            <w:pPr>
              <w:jc w:val="center"/>
              <w:rPr>
                <w:rFonts w:ascii="Tahoma" w:hAnsi="Tahoma" w:cs="Tahoma"/>
                <w:b/>
                <w:bCs/>
                <w:sz w:val="18"/>
                <w:szCs w:val="18"/>
              </w:rPr>
            </w:pPr>
            <w:r w:rsidRPr="0052086F">
              <w:rPr>
                <w:rFonts w:ascii="Tahoma" w:hAnsi="Tahoma" w:cs="Tahoma"/>
                <w:b/>
                <w:bCs/>
                <w:sz w:val="18"/>
                <w:szCs w:val="18"/>
              </w:rPr>
              <w:t>520</w:t>
            </w: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sz w:val="18"/>
                <w:szCs w:val="18"/>
              </w:rPr>
            </w:pPr>
            <w:r w:rsidRPr="0052086F">
              <w:rPr>
                <w:rFonts w:ascii="Tahoma" w:hAnsi="Tahoma" w:cs="Tahoma"/>
                <w:b/>
                <w:bCs/>
                <w:sz w:val="18"/>
                <w:szCs w:val="18"/>
              </w:rPr>
              <w:t>-2.258</w:t>
            </w:r>
          </w:p>
        </w:tc>
      </w:tr>
      <w:tr w:rsidR="0052086F" w:rsidRPr="0052086F" w:rsidTr="0066593B">
        <w:trPr>
          <w:trHeight w:val="269"/>
          <w:jc w:val="center"/>
        </w:trPr>
        <w:tc>
          <w:tcPr>
            <w:tcW w:w="3819" w:type="dxa"/>
            <w:gridSpan w:val="2"/>
            <w:tcBorders>
              <w:top w:val="nil"/>
              <w:left w:val="single" w:sz="4" w:space="0" w:color="auto"/>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sz w:val="18"/>
                <w:szCs w:val="18"/>
              </w:rPr>
            </w:pPr>
            <w:r w:rsidRPr="0052086F">
              <w:rPr>
                <w:rFonts w:ascii="Tahoma" w:hAnsi="Tahoma" w:cs="Tahoma"/>
                <w:b/>
                <w:bCs/>
                <w:sz w:val="18"/>
                <w:szCs w:val="18"/>
              </w:rPr>
              <w:t>ΕΛΛΕΙΜΜΑ ΚΡΑΤ. Π/Υ</w:t>
            </w:r>
          </w:p>
        </w:tc>
        <w:tc>
          <w:tcPr>
            <w:tcW w:w="887" w:type="dxa"/>
            <w:tcBorders>
              <w:top w:val="nil"/>
              <w:left w:val="nil"/>
              <w:bottom w:val="single" w:sz="4" w:space="0" w:color="auto"/>
              <w:right w:val="nil"/>
            </w:tcBorders>
            <w:shd w:val="clear" w:color="auto" w:fill="auto"/>
            <w:noWrap/>
            <w:vAlign w:val="center"/>
            <w:hideMark/>
          </w:tcPr>
          <w:p w:rsidR="0052086F" w:rsidRPr="0052086F" w:rsidRDefault="0052086F" w:rsidP="006F3AA0">
            <w:pPr>
              <w:jc w:val="center"/>
              <w:rPr>
                <w:rFonts w:ascii="Tahoma" w:hAnsi="Tahoma" w:cs="Tahoma"/>
                <w:b/>
                <w:bCs/>
                <w:sz w:val="18"/>
                <w:szCs w:val="18"/>
              </w:rPr>
            </w:pPr>
            <w:r w:rsidRPr="0052086F">
              <w:rPr>
                <w:rFonts w:ascii="Tahoma" w:hAnsi="Tahoma" w:cs="Tahoma"/>
                <w:b/>
                <w:bCs/>
                <w:sz w:val="18"/>
                <w:szCs w:val="18"/>
              </w:rPr>
              <w:t>1.577</w:t>
            </w: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sz w:val="18"/>
                <w:szCs w:val="18"/>
              </w:rPr>
            </w:pPr>
            <w:r w:rsidRPr="0052086F">
              <w:rPr>
                <w:rFonts w:ascii="Tahoma" w:hAnsi="Tahoma" w:cs="Tahoma"/>
                <w:b/>
                <w:bCs/>
                <w:sz w:val="18"/>
                <w:szCs w:val="18"/>
              </w:rPr>
              <w:t>748</w:t>
            </w:r>
          </w:p>
        </w:tc>
      </w:tr>
      <w:tr w:rsidR="0052086F" w:rsidRPr="0052086F" w:rsidTr="0066593B">
        <w:trPr>
          <w:trHeight w:val="269"/>
          <w:jc w:val="center"/>
        </w:trPr>
        <w:tc>
          <w:tcPr>
            <w:tcW w:w="3819" w:type="dxa"/>
            <w:gridSpan w:val="2"/>
            <w:tcBorders>
              <w:top w:val="nil"/>
              <w:left w:val="single" w:sz="4" w:space="0" w:color="auto"/>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ΕΘΝΙΚΟΛΟΓΙΣΤΙΚΕΣ ΠΡΟΣΑΡΜΟΓΕΣ</w:t>
            </w:r>
          </w:p>
        </w:tc>
        <w:tc>
          <w:tcPr>
            <w:tcW w:w="887" w:type="dxa"/>
            <w:tcBorders>
              <w:top w:val="nil"/>
              <w:left w:val="nil"/>
              <w:bottom w:val="nil"/>
              <w:right w:val="nil"/>
            </w:tcBorders>
            <w:shd w:val="clear" w:color="auto" w:fill="auto"/>
            <w:noWrap/>
            <w:vAlign w:val="center"/>
            <w:hideMark/>
          </w:tcPr>
          <w:p w:rsidR="0052086F" w:rsidRPr="0052086F" w:rsidRDefault="0052086F" w:rsidP="006F3AA0">
            <w:pPr>
              <w:jc w:val="center"/>
              <w:rPr>
                <w:rFonts w:ascii="Tahoma" w:hAnsi="Tahoma" w:cs="Tahoma"/>
                <w:sz w:val="18"/>
                <w:szCs w:val="18"/>
              </w:rPr>
            </w:pPr>
          </w:p>
        </w:tc>
        <w:tc>
          <w:tcPr>
            <w:tcW w:w="973"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-387</w:t>
            </w:r>
          </w:p>
        </w:tc>
      </w:tr>
      <w:tr w:rsidR="0052086F" w:rsidRPr="0052086F" w:rsidTr="0066593B">
        <w:trPr>
          <w:trHeight w:val="269"/>
          <w:jc w:val="center"/>
        </w:trPr>
        <w:tc>
          <w:tcPr>
            <w:tcW w:w="3819" w:type="dxa"/>
            <w:gridSpan w:val="2"/>
            <w:tcBorders>
              <w:top w:val="nil"/>
              <w:left w:val="single" w:sz="4" w:space="0" w:color="auto"/>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ΕΛΛΕΙΜΜΑ Ν.Π.Δ.Δ.</w:t>
            </w:r>
          </w:p>
        </w:tc>
        <w:tc>
          <w:tcPr>
            <w:tcW w:w="887" w:type="dxa"/>
            <w:tcBorders>
              <w:top w:val="nil"/>
              <w:left w:val="nil"/>
              <w:bottom w:val="nil"/>
              <w:right w:val="nil"/>
            </w:tcBorders>
            <w:shd w:val="clear" w:color="auto" w:fill="auto"/>
            <w:noWrap/>
            <w:vAlign w:val="center"/>
            <w:hideMark/>
          </w:tcPr>
          <w:p w:rsidR="0052086F" w:rsidRPr="0052086F" w:rsidRDefault="0052086F" w:rsidP="006F3AA0">
            <w:pPr>
              <w:jc w:val="center"/>
              <w:rPr>
                <w:rFonts w:ascii="Tahoma" w:hAnsi="Tahoma" w:cs="Tahoma"/>
                <w:sz w:val="18"/>
                <w:szCs w:val="18"/>
              </w:rPr>
            </w:pPr>
          </w:p>
        </w:tc>
        <w:tc>
          <w:tcPr>
            <w:tcW w:w="973"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0</w:t>
            </w:r>
          </w:p>
        </w:tc>
      </w:tr>
      <w:tr w:rsidR="0052086F" w:rsidRPr="0052086F" w:rsidTr="0066593B">
        <w:trPr>
          <w:trHeight w:val="269"/>
          <w:jc w:val="center"/>
        </w:trPr>
        <w:tc>
          <w:tcPr>
            <w:tcW w:w="3819" w:type="dxa"/>
            <w:gridSpan w:val="2"/>
            <w:tcBorders>
              <w:top w:val="nil"/>
              <w:left w:val="single" w:sz="4" w:space="0" w:color="auto"/>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ΕΛΛΕΙΜΜΑ ΔΕΚΟ</w:t>
            </w:r>
          </w:p>
        </w:tc>
        <w:tc>
          <w:tcPr>
            <w:tcW w:w="887" w:type="dxa"/>
            <w:tcBorders>
              <w:top w:val="nil"/>
              <w:left w:val="nil"/>
              <w:bottom w:val="nil"/>
              <w:right w:val="nil"/>
            </w:tcBorders>
            <w:shd w:val="clear" w:color="auto" w:fill="auto"/>
            <w:noWrap/>
            <w:vAlign w:val="center"/>
            <w:hideMark/>
          </w:tcPr>
          <w:p w:rsidR="0052086F" w:rsidRPr="0052086F" w:rsidRDefault="0052086F" w:rsidP="006F3AA0">
            <w:pPr>
              <w:jc w:val="center"/>
              <w:rPr>
                <w:rFonts w:ascii="Tahoma" w:hAnsi="Tahoma" w:cs="Tahoma"/>
                <w:sz w:val="18"/>
                <w:szCs w:val="18"/>
              </w:rPr>
            </w:pPr>
          </w:p>
        </w:tc>
        <w:tc>
          <w:tcPr>
            <w:tcW w:w="973"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564</w:t>
            </w:r>
          </w:p>
        </w:tc>
      </w:tr>
      <w:tr w:rsidR="0052086F" w:rsidRPr="0052086F" w:rsidTr="0066593B">
        <w:trPr>
          <w:trHeight w:val="269"/>
          <w:jc w:val="center"/>
        </w:trPr>
        <w:tc>
          <w:tcPr>
            <w:tcW w:w="3819" w:type="dxa"/>
            <w:gridSpan w:val="2"/>
            <w:tcBorders>
              <w:top w:val="nil"/>
              <w:left w:val="single" w:sz="4" w:space="0" w:color="auto"/>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ΕΛΛΕΙΜΜΑ ΟΤΑ</w:t>
            </w:r>
          </w:p>
        </w:tc>
        <w:tc>
          <w:tcPr>
            <w:tcW w:w="887" w:type="dxa"/>
            <w:tcBorders>
              <w:top w:val="nil"/>
              <w:left w:val="nil"/>
              <w:bottom w:val="nil"/>
              <w:right w:val="nil"/>
            </w:tcBorders>
            <w:shd w:val="clear" w:color="auto" w:fill="auto"/>
            <w:noWrap/>
            <w:vAlign w:val="center"/>
            <w:hideMark/>
          </w:tcPr>
          <w:p w:rsidR="0052086F" w:rsidRPr="0052086F" w:rsidRDefault="0052086F" w:rsidP="006F3AA0">
            <w:pPr>
              <w:jc w:val="center"/>
              <w:rPr>
                <w:rFonts w:ascii="Tahoma" w:hAnsi="Tahoma" w:cs="Tahoma"/>
                <w:sz w:val="18"/>
                <w:szCs w:val="18"/>
              </w:rPr>
            </w:pPr>
          </w:p>
        </w:tc>
        <w:tc>
          <w:tcPr>
            <w:tcW w:w="973"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0</w:t>
            </w:r>
          </w:p>
        </w:tc>
      </w:tr>
      <w:tr w:rsidR="0052086F" w:rsidRPr="0052086F" w:rsidTr="0066593B">
        <w:trPr>
          <w:trHeight w:val="269"/>
          <w:jc w:val="center"/>
        </w:trPr>
        <w:tc>
          <w:tcPr>
            <w:tcW w:w="3819" w:type="dxa"/>
            <w:gridSpan w:val="2"/>
            <w:tcBorders>
              <w:top w:val="nil"/>
              <w:left w:val="single" w:sz="4" w:space="0" w:color="auto"/>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ΕΛΛΕΙΜΜΑ ΟΚΑ</w:t>
            </w:r>
          </w:p>
        </w:tc>
        <w:tc>
          <w:tcPr>
            <w:tcW w:w="887" w:type="dxa"/>
            <w:tcBorders>
              <w:top w:val="nil"/>
              <w:left w:val="nil"/>
              <w:bottom w:val="nil"/>
              <w:right w:val="nil"/>
            </w:tcBorders>
            <w:shd w:val="clear" w:color="auto" w:fill="auto"/>
            <w:noWrap/>
            <w:vAlign w:val="center"/>
            <w:hideMark/>
          </w:tcPr>
          <w:p w:rsidR="0052086F" w:rsidRPr="0052086F" w:rsidRDefault="0052086F" w:rsidP="006F3AA0">
            <w:pPr>
              <w:jc w:val="center"/>
              <w:rPr>
                <w:rFonts w:ascii="Tahoma" w:hAnsi="Tahoma" w:cs="Tahoma"/>
                <w:sz w:val="18"/>
                <w:szCs w:val="18"/>
              </w:rPr>
            </w:pPr>
          </w:p>
        </w:tc>
        <w:tc>
          <w:tcPr>
            <w:tcW w:w="973"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8"/>
                <w:szCs w:val="18"/>
              </w:rPr>
            </w:pPr>
            <w:r w:rsidRPr="0052086F">
              <w:rPr>
                <w:rFonts w:ascii="Tahoma" w:hAnsi="Tahoma" w:cs="Tahoma"/>
                <w:sz w:val="18"/>
                <w:szCs w:val="18"/>
              </w:rPr>
              <w:t>1.364</w:t>
            </w:r>
          </w:p>
        </w:tc>
      </w:tr>
      <w:tr w:rsidR="0052086F" w:rsidRPr="0052086F" w:rsidTr="0066593B">
        <w:trPr>
          <w:trHeight w:val="269"/>
          <w:jc w:val="center"/>
        </w:trPr>
        <w:tc>
          <w:tcPr>
            <w:tcW w:w="38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sz w:val="18"/>
                <w:szCs w:val="18"/>
              </w:rPr>
            </w:pPr>
            <w:r w:rsidRPr="0052086F">
              <w:rPr>
                <w:rFonts w:ascii="Tahoma" w:hAnsi="Tahoma" w:cs="Tahoma"/>
                <w:b/>
                <w:bCs/>
                <w:sz w:val="18"/>
                <w:szCs w:val="18"/>
              </w:rPr>
              <w:t>ΕΠΙΒΑΡΥΝΣΗ ΕΛΛΕΙΜΜΑΤΟΣ</w:t>
            </w:r>
          </w:p>
        </w:tc>
        <w:tc>
          <w:tcPr>
            <w:tcW w:w="887" w:type="dxa"/>
            <w:tcBorders>
              <w:top w:val="single" w:sz="4" w:space="0" w:color="auto"/>
              <w:left w:val="nil"/>
              <w:bottom w:val="single" w:sz="4" w:space="0" w:color="auto"/>
              <w:right w:val="nil"/>
            </w:tcBorders>
            <w:shd w:val="clear" w:color="auto" w:fill="auto"/>
            <w:noWrap/>
            <w:vAlign w:val="center"/>
            <w:hideMark/>
          </w:tcPr>
          <w:p w:rsidR="0052086F" w:rsidRPr="0052086F" w:rsidRDefault="0052086F" w:rsidP="006F3AA0">
            <w:pPr>
              <w:jc w:val="center"/>
              <w:rPr>
                <w:rFonts w:ascii="Tahoma" w:hAnsi="Tahoma" w:cs="Tahoma"/>
                <w:b/>
                <w:bCs/>
                <w:sz w:val="18"/>
                <w:szCs w:val="18"/>
              </w:rPr>
            </w:pPr>
            <w:r w:rsidRPr="0052086F">
              <w:rPr>
                <w:rFonts w:ascii="Tahoma" w:hAnsi="Tahoma" w:cs="Tahoma"/>
                <w:b/>
                <w:bCs/>
                <w:sz w:val="18"/>
                <w:szCs w:val="18"/>
              </w:rPr>
              <w:t>1.577</w:t>
            </w: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sz w:val="18"/>
                <w:szCs w:val="18"/>
              </w:rPr>
            </w:pPr>
            <w:r w:rsidRPr="0052086F">
              <w:rPr>
                <w:rFonts w:ascii="Tahoma" w:hAnsi="Tahoma" w:cs="Tahoma"/>
                <w:b/>
                <w:bCs/>
                <w:sz w:val="18"/>
                <w:szCs w:val="18"/>
              </w:rPr>
              <w:t>2.289</w:t>
            </w:r>
          </w:p>
        </w:tc>
      </w:tr>
    </w:tbl>
    <w:p w:rsidR="00425199" w:rsidRDefault="00425199" w:rsidP="006F3AA0">
      <w:pPr>
        <w:pStyle w:val="TOC1"/>
      </w:pPr>
      <w:r w:rsidRPr="0066593B">
        <w:rPr>
          <w:b/>
        </w:rPr>
        <w:lastRenderedPageBreak/>
        <w:t>Επεξεργασία στοιχείων</w:t>
      </w:r>
      <w:r w:rsidRPr="00425199">
        <w:t xml:space="preserve">: </w:t>
      </w:r>
      <w:r w:rsidRPr="0066593B">
        <w:rPr>
          <w:lang w:val="en-US"/>
        </w:rPr>
        <w:t>IOBE</w:t>
      </w:r>
    </w:p>
    <w:p w:rsidR="006B17B0" w:rsidRDefault="006B17B0" w:rsidP="006B17B0">
      <w:pPr>
        <w:sectPr w:rsidR="006B17B0" w:rsidSect="006B17B0">
          <w:type w:val="continuous"/>
          <w:pgSz w:w="11906" w:h="16838"/>
          <w:pgMar w:top="1440" w:right="849" w:bottom="1440" w:left="1560" w:header="708" w:footer="708" w:gutter="0"/>
          <w:cols w:space="720"/>
          <w:docGrid w:linePitch="360"/>
        </w:sectPr>
      </w:pPr>
    </w:p>
    <w:p w:rsidR="00425199" w:rsidRPr="00425199" w:rsidRDefault="00425199" w:rsidP="00BD0EAA">
      <w:pPr>
        <w:spacing w:before="60" w:after="240" w:line="312" w:lineRule="auto"/>
        <w:jc w:val="both"/>
        <w:rPr>
          <w:rFonts w:ascii="Tahoma" w:hAnsi="Tahoma" w:cs="Tahoma"/>
          <w:color w:val="000000"/>
          <w:sz w:val="22"/>
          <w:szCs w:val="22"/>
        </w:rPr>
      </w:pPr>
      <w:r w:rsidRPr="00425199">
        <w:rPr>
          <w:rFonts w:ascii="Tahoma" w:hAnsi="Tahoma" w:cs="Tahoma"/>
          <w:color w:val="000000"/>
          <w:sz w:val="22"/>
          <w:szCs w:val="22"/>
        </w:rPr>
        <w:lastRenderedPageBreak/>
        <w:t>Επισημαίνεται πάντως ότι τον κίνδυνο απόκλισης είχε επισημάνει και το ΙΟΒΕ (Έκθεση για την Ελληνική Οικονομία 04/11).</w:t>
      </w:r>
    </w:p>
    <w:p w:rsidR="00BD0EAA" w:rsidRDefault="00425199" w:rsidP="00425199">
      <w:pPr>
        <w:spacing w:before="240" w:after="240" w:line="312" w:lineRule="auto"/>
        <w:jc w:val="both"/>
        <w:rPr>
          <w:rFonts w:ascii="Tahoma" w:hAnsi="Tahoma" w:cs="Tahoma"/>
          <w:color w:val="000000"/>
          <w:sz w:val="22"/>
          <w:szCs w:val="22"/>
        </w:rPr>
      </w:pPr>
      <w:r w:rsidRPr="00425199">
        <w:rPr>
          <w:rFonts w:ascii="Tahoma" w:hAnsi="Tahoma" w:cs="Tahoma"/>
          <w:color w:val="000000"/>
          <w:sz w:val="22"/>
          <w:szCs w:val="22"/>
        </w:rPr>
        <w:t>Οι χειρότερες επιδόσεις για το 2011, καθώς και η αναθεώρηση του ΑΕΠ του 2012 προς τα κάτω, επηρεάζουν αναλόγως και τους στόχους του 2012. Η αναθεώρηση του στόχου των εσόδων κατά €3 δισ., οφείλεται κυρίως στους έμμεσους φόρους (€2,2 δισ.) και μοιράζεται σχεδόν ισομερώς μεταξύ ΦΠΑ και φόρων κατανάλωσης. Σε κάθε περίπτωση, πάντως, εντυπωσιακή  είναι η σταδιακή αναπροσαρμογή του στόχου για το 2012 από €60,8 δισ. που προβλεπόταν στο ΜΠΔΣ σε €56,2 δισ. (-€4,6 δισ.)</w:t>
      </w:r>
      <w:r w:rsidR="00BD0EAA">
        <w:rPr>
          <w:rFonts w:ascii="Tahoma" w:hAnsi="Tahoma" w:cs="Tahoma"/>
          <w:color w:val="000000"/>
          <w:sz w:val="22"/>
          <w:szCs w:val="22"/>
        </w:rPr>
        <w:t xml:space="preserve"> </w:t>
      </w:r>
      <w:r w:rsidR="00BD0EAA" w:rsidRPr="00425199">
        <w:rPr>
          <w:rFonts w:ascii="Tahoma" w:hAnsi="Tahoma" w:cs="Tahoma"/>
          <w:color w:val="000000"/>
          <w:sz w:val="22"/>
          <w:szCs w:val="22"/>
        </w:rPr>
        <w:t xml:space="preserve">Η προβλεπόμενη σημαντική υστέρηση των εσόδων οδήγησε στη λήψη σχεδόν </w:t>
      </w:r>
      <w:r w:rsidR="00BD0EAA" w:rsidRPr="00425199">
        <w:rPr>
          <w:rFonts w:ascii="Tahoma" w:hAnsi="Tahoma" w:cs="Tahoma"/>
          <w:color w:val="000000"/>
          <w:sz w:val="22"/>
          <w:szCs w:val="22"/>
        </w:rPr>
        <w:lastRenderedPageBreak/>
        <w:t>ισόποσων μέτρων ύψους €3,2 δισ. από την πλευρά των δαπανών. Οι περικοπές των δαπανών προέρχονται κυρίως από τον περιορισμό της φαρμακευτικής δαπάνης (€576 εκατ.), τη μείωση της επιχορήγησης στον ΕΟΠΥY (€500 εκατ.), τη μείωση του εθνικού σκέλους του ΠΔΕ (€400 εκατ.), την περικοπή συντάξεων (€386 εκατ.), τη μείωση των εξοπλιστικών δαπανών (€300 εκατ.), τον περιορισμό των λειτουργικών δαπανών (€300 εκατ.), τις περικοπές στα ειδικά μισθολόγια (€205 εκατ.) κ.ά.</w:t>
      </w:r>
      <w:r w:rsidR="00BD0EAA">
        <w:rPr>
          <w:rFonts w:ascii="Tahoma" w:hAnsi="Tahoma" w:cs="Tahoma"/>
          <w:color w:val="000000"/>
          <w:sz w:val="22"/>
          <w:szCs w:val="22"/>
        </w:rPr>
        <w:t xml:space="preserve"> </w:t>
      </w:r>
      <w:r w:rsidR="00BD0EAA" w:rsidRPr="00425199">
        <w:rPr>
          <w:rFonts w:ascii="Tahoma" w:hAnsi="Tahoma" w:cs="Tahoma"/>
          <w:color w:val="000000"/>
          <w:sz w:val="22"/>
          <w:szCs w:val="22"/>
        </w:rPr>
        <w:t>Συνολικά προβλέπονται μέτρα ύψους €2,2 δισ. στον Κρατικό Προϋπολογισμό και €962 εκατ. στους Οργανισμούς Κοινωνικής Ασφάλισης. Από την άλλη πλευρά, εκτιμάται ότι οι πληρωμές για τόκους θα είναι €300 εκατ. υψηλότερες των αρχικώς προβλεφθεισών.</w:t>
      </w:r>
    </w:p>
    <w:p w:rsidR="00BD0EAA" w:rsidRDefault="00BD0EAA" w:rsidP="00425199">
      <w:pPr>
        <w:spacing w:before="240" w:after="240" w:line="312" w:lineRule="auto"/>
        <w:jc w:val="both"/>
        <w:rPr>
          <w:rFonts w:ascii="Tahoma" w:hAnsi="Tahoma" w:cs="Tahoma"/>
          <w:color w:val="000000"/>
          <w:sz w:val="22"/>
          <w:szCs w:val="22"/>
        </w:rPr>
        <w:sectPr w:rsidR="00BD0EAA" w:rsidSect="00BD0EAA">
          <w:type w:val="continuous"/>
          <w:pgSz w:w="11906" w:h="16838"/>
          <w:pgMar w:top="1440" w:right="849" w:bottom="1440" w:left="1560" w:header="708" w:footer="708" w:gutter="0"/>
          <w:cols w:num="2" w:space="720"/>
          <w:docGrid w:linePitch="360"/>
        </w:sectPr>
      </w:pPr>
    </w:p>
    <w:p w:rsidR="006B17B0" w:rsidRDefault="006B17B0" w:rsidP="00425199">
      <w:pPr>
        <w:spacing w:before="240" w:after="240" w:line="312" w:lineRule="auto"/>
        <w:jc w:val="both"/>
        <w:rPr>
          <w:rFonts w:ascii="Tahoma" w:hAnsi="Tahoma" w:cs="Tahoma"/>
          <w:color w:val="000000"/>
          <w:sz w:val="22"/>
          <w:szCs w:val="22"/>
        </w:rPr>
        <w:sectPr w:rsidR="006B17B0" w:rsidSect="006B17B0">
          <w:type w:val="continuous"/>
          <w:pgSz w:w="11906" w:h="16838"/>
          <w:pgMar w:top="1440" w:right="849" w:bottom="1440" w:left="1560" w:header="708" w:footer="708" w:gutter="0"/>
          <w:cols w:space="720"/>
          <w:docGrid w:linePitch="360"/>
        </w:sectPr>
      </w:pPr>
    </w:p>
    <w:p w:rsidR="00425199" w:rsidRPr="0066593B" w:rsidRDefault="00425199" w:rsidP="00425199">
      <w:pPr>
        <w:pStyle w:val="Heading5"/>
        <w:spacing w:before="120" w:after="120"/>
        <w:jc w:val="center"/>
        <w:rPr>
          <w:rFonts w:ascii="Tahoma" w:hAnsi="Tahoma" w:cs="Tahoma"/>
          <w:b/>
          <w:color w:val="000000" w:themeColor="text1"/>
          <w:szCs w:val="22"/>
        </w:rPr>
      </w:pPr>
      <w:r w:rsidRPr="0066593B">
        <w:rPr>
          <w:rFonts w:ascii="Tahoma" w:hAnsi="Tahoma" w:cs="Tahoma"/>
          <w:b/>
          <w:color w:val="000000" w:themeColor="text1"/>
          <w:szCs w:val="22"/>
        </w:rPr>
        <w:lastRenderedPageBreak/>
        <w:t>Πίνακας 2.8</w:t>
      </w:r>
    </w:p>
    <w:p w:rsidR="00425199" w:rsidRPr="0066593B" w:rsidRDefault="00425199" w:rsidP="00425199">
      <w:pPr>
        <w:pStyle w:val="Heading6"/>
        <w:spacing w:before="120" w:after="120"/>
        <w:jc w:val="center"/>
        <w:rPr>
          <w:rFonts w:ascii="Tahoma" w:hAnsi="Tahoma" w:cs="Tahoma"/>
          <w:i w:val="0"/>
          <w:color w:val="000000" w:themeColor="text1"/>
          <w:szCs w:val="22"/>
        </w:rPr>
      </w:pPr>
      <w:r w:rsidRPr="0066593B">
        <w:rPr>
          <w:rFonts w:ascii="Tahoma" w:hAnsi="Tahoma" w:cs="Tahoma"/>
          <w:i w:val="0"/>
          <w:color w:val="000000" w:themeColor="text1"/>
          <w:szCs w:val="22"/>
        </w:rPr>
        <w:t xml:space="preserve">Αναθεωρημένος Κρατικός Προϋπολογισμός </w:t>
      </w:r>
      <w:r w:rsidR="0052086F" w:rsidRPr="0066593B">
        <w:rPr>
          <w:rFonts w:ascii="Tahoma" w:hAnsi="Tahoma" w:cs="Tahoma"/>
          <w:i w:val="0"/>
          <w:color w:val="000000" w:themeColor="text1"/>
          <w:szCs w:val="22"/>
        </w:rPr>
        <w:t>–</w:t>
      </w:r>
      <w:r w:rsidRPr="0066593B">
        <w:rPr>
          <w:rFonts w:ascii="Tahoma" w:hAnsi="Tahoma" w:cs="Tahoma"/>
          <w:i w:val="0"/>
          <w:color w:val="000000" w:themeColor="text1"/>
          <w:szCs w:val="22"/>
        </w:rPr>
        <w:t xml:space="preserve"> Έσοδα</w:t>
      </w:r>
    </w:p>
    <w:tbl>
      <w:tblPr>
        <w:tblW w:w="7300" w:type="dxa"/>
        <w:jc w:val="center"/>
        <w:tblInd w:w="91" w:type="dxa"/>
        <w:tblLook w:val="04A0"/>
      </w:tblPr>
      <w:tblGrid>
        <w:gridCol w:w="2740"/>
        <w:gridCol w:w="776"/>
        <w:gridCol w:w="820"/>
        <w:gridCol w:w="776"/>
        <w:gridCol w:w="776"/>
        <w:gridCol w:w="776"/>
        <w:gridCol w:w="780"/>
      </w:tblGrid>
      <w:tr w:rsidR="0052086F" w:rsidRPr="0052086F" w:rsidTr="006F3AA0">
        <w:trPr>
          <w:trHeight w:val="210"/>
          <w:jc w:val="center"/>
        </w:trPr>
        <w:tc>
          <w:tcPr>
            <w:tcW w:w="2740" w:type="dxa"/>
            <w:tcBorders>
              <w:top w:val="nil"/>
              <w:left w:val="nil"/>
              <w:bottom w:val="nil"/>
              <w:right w:val="nil"/>
            </w:tcBorders>
            <w:shd w:val="clear" w:color="auto" w:fill="auto"/>
            <w:noWrap/>
            <w:vAlign w:val="bottom"/>
            <w:hideMark/>
          </w:tcPr>
          <w:p w:rsidR="0052086F" w:rsidRPr="0052086F" w:rsidRDefault="0052086F" w:rsidP="0052086F">
            <w:pPr>
              <w:rPr>
                <w:rFonts w:ascii="Tahoma" w:hAnsi="Tahoma" w:cs="Tahoma"/>
              </w:rPr>
            </w:pPr>
          </w:p>
        </w:tc>
        <w:tc>
          <w:tcPr>
            <w:tcW w:w="156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2086F" w:rsidRPr="0052086F" w:rsidRDefault="0052086F" w:rsidP="0052086F">
            <w:pPr>
              <w:jc w:val="center"/>
              <w:rPr>
                <w:rFonts w:ascii="Tahoma" w:hAnsi="Tahoma" w:cs="Tahoma"/>
                <w:b/>
                <w:bCs/>
                <w:sz w:val="16"/>
                <w:szCs w:val="16"/>
              </w:rPr>
            </w:pPr>
            <w:r w:rsidRPr="0052086F">
              <w:rPr>
                <w:rFonts w:ascii="Tahoma" w:hAnsi="Tahoma" w:cs="Tahoma"/>
                <w:b/>
                <w:bCs/>
                <w:sz w:val="16"/>
                <w:szCs w:val="16"/>
              </w:rPr>
              <w:t>2011</w:t>
            </w:r>
          </w:p>
        </w:tc>
        <w:tc>
          <w:tcPr>
            <w:tcW w:w="3000" w:type="dxa"/>
            <w:gridSpan w:val="4"/>
            <w:tcBorders>
              <w:top w:val="single" w:sz="4" w:space="0" w:color="auto"/>
              <w:left w:val="nil"/>
              <w:bottom w:val="single" w:sz="4" w:space="0" w:color="auto"/>
              <w:right w:val="single" w:sz="4" w:space="0" w:color="000000"/>
            </w:tcBorders>
            <w:shd w:val="clear" w:color="auto" w:fill="auto"/>
            <w:noWrap/>
            <w:vAlign w:val="bottom"/>
            <w:hideMark/>
          </w:tcPr>
          <w:p w:rsidR="0052086F" w:rsidRPr="0052086F" w:rsidRDefault="0052086F" w:rsidP="0052086F">
            <w:pPr>
              <w:jc w:val="center"/>
              <w:rPr>
                <w:rFonts w:ascii="Tahoma" w:hAnsi="Tahoma" w:cs="Tahoma"/>
                <w:b/>
                <w:bCs/>
                <w:sz w:val="16"/>
                <w:szCs w:val="16"/>
              </w:rPr>
            </w:pPr>
            <w:r w:rsidRPr="0052086F">
              <w:rPr>
                <w:rFonts w:ascii="Tahoma" w:hAnsi="Tahoma" w:cs="Tahoma"/>
                <w:b/>
                <w:bCs/>
                <w:sz w:val="16"/>
                <w:szCs w:val="16"/>
              </w:rPr>
              <w:t>2012</w:t>
            </w:r>
          </w:p>
        </w:tc>
      </w:tr>
      <w:tr w:rsidR="0052086F" w:rsidRPr="0052086F" w:rsidTr="006F3AA0">
        <w:trPr>
          <w:trHeight w:val="210"/>
          <w:jc w:val="center"/>
        </w:trPr>
        <w:tc>
          <w:tcPr>
            <w:tcW w:w="2740" w:type="dxa"/>
            <w:tcBorders>
              <w:top w:val="nil"/>
              <w:left w:val="nil"/>
              <w:bottom w:val="nil"/>
              <w:right w:val="nil"/>
            </w:tcBorders>
            <w:shd w:val="clear" w:color="auto" w:fill="auto"/>
            <w:noWrap/>
            <w:vAlign w:val="bottom"/>
            <w:hideMark/>
          </w:tcPr>
          <w:p w:rsidR="0052086F" w:rsidRPr="0052086F" w:rsidRDefault="0052086F" w:rsidP="0052086F">
            <w:pPr>
              <w:rPr>
                <w:rFonts w:ascii="Tahoma" w:hAnsi="Tahoma" w:cs="Tahoma"/>
              </w:rPr>
            </w:pPr>
          </w:p>
        </w:tc>
        <w:tc>
          <w:tcPr>
            <w:tcW w:w="740" w:type="dxa"/>
            <w:vMerge w:val="restart"/>
            <w:tcBorders>
              <w:top w:val="nil"/>
              <w:left w:val="single" w:sz="4" w:space="0" w:color="auto"/>
              <w:bottom w:val="single" w:sz="4" w:space="0" w:color="000000"/>
              <w:right w:val="single" w:sz="4" w:space="0" w:color="auto"/>
            </w:tcBorders>
            <w:shd w:val="clear" w:color="auto" w:fill="auto"/>
            <w:vAlign w:val="center"/>
            <w:hideMark/>
          </w:tcPr>
          <w:p w:rsidR="0052086F" w:rsidRPr="0052086F" w:rsidRDefault="0052086F" w:rsidP="0052086F">
            <w:pPr>
              <w:jc w:val="center"/>
              <w:rPr>
                <w:rFonts w:ascii="Tahoma" w:hAnsi="Tahoma" w:cs="Tahoma"/>
                <w:b/>
                <w:bCs/>
                <w:sz w:val="16"/>
                <w:szCs w:val="16"/>
              </w:rPr>
            </w:pPr>
            <w:r w:rsidRPr="0052086F">
              <w:rPr>
                <w:rFonts w:ascii="Tahoma" w:hAnsi="Tahoma" w:cs="Tahoma"/>
                <w:b/>
                <w:bCs/>
                <w:sz w:val="16"/>
                <w:szCs w:val="16"/>
              </w:rPr>
              <w:t>Π/Υ 12</w:t>
            </w:r>
          </w:p>
        </w:tc>
        <w:tc>
          <w:tcPr>
            <w:tcW w:w="820" w:type="dxa"/>
            <w:vMerge w:val="restart"/>
            <w:tcBorders>
              <w:top w:val="nil"/>
              <w:left w:val="single" w:sz="4" w:space="0" w:color="auto"/>
              <w:bottom w:val="single" w:sz="4" w:space="0" w:color="000000"/>
              <w:right w:val="single" w:sz="4" w:space="0" w:color="auto"/>
            </w:tcBorders>
            <w:shd w:val="clear" w:color="auto" w:fill="auto"/>
            <w:vAlign w:val="center"/>
            <w:hideMark/>
          </w:tcPr>
          <w:p w:rsidR="0052086F" w:rsidRPr="0052086F" w:rsidRDefault="0052086F" w:rsidP="0052086F">
            <w:pPr>
              <w:jc w:val="center"/>
              <w:rPr>
                <w:rFonts w:ascii="Tahoma" w:hAnsi="Tahoma" w:cs="Tahoma"/>
                <w:b/>
                <w:bCs/>
                <w:sz w:val="16"/>
                <w:szCs w:val="16"/>
              </w:rPr>
            </w:pPr>
            <w:r w:rsidRPr="0052086F">
              <w:rPr>
                <w:rFonts w:ascii="Tahoma" w:hAnsi="Tahoma" w:cs="Tahoma"/>
                <w:b/>
                <w:bCs/>
                <w:sz w:val="16"/>
                <w:szCs w:val="16"/>
              </w:rPr>
              <w:t>Αναθ. Π/Υ 12</w:t>
            </w:r>
          </w:p>
        </w:tc>
        <w:tc>
          <w:tcPr>
            <w:tcW w:w="740" w:type="dxa"/>
            <w:vMerge w:val="restart"/>
            <w:tcBorders>
              <w:top w:val="nil"/>
              <w:left w:val="single" w:sz="4" w:space="0" w:color="auto"/>
              <w:bottom w:val="single" w:sz="4" w:space="0" w:color="000000"/>
              <w:right w:val="single" w:sz="4" w:space="0" w:color="auto"/>
            </w:tcBorders>
            <w:shd w:val="clear" w:color="auto" w:fill="auto"/>
            <w:vAlign w:val="center"/>
            <w:hideMark/>
          </w:tcPr>
          <w:p w:rsidR="0052086F" w:rsidRPr="0052086F" w:rsidRDefault="0052086F" w:rsidP="0052086F">
            <w:pPr>
              <w:jc w:val="center"/>
              <w:rPr>
                <w:rFonts w:ascii="Tahoma" w:hAnsi="Tahoma" w:cs="Tahoma"/>
                <w:b/>
                <w:bCs/>
                <w:sz w:val="16"/>
                <w:szCs w:val="16"/>
              </w:rPr>
            </w:pPr>
            <w:r w:rsidRPr="0052086F">
              <w:rPr>
                <w:rFonts w:ascii="Tahoma" w:hAnsi="Tahoma" w:cs="Tahoma"/>
                <w:b/>
                <w:bCs/>
                <w:sz w:val="16"/>
                <w:szCs w:val="16"/>
              </w:rPr>
              <w:t>ΜΠΔΣ</w:t>
            </w:r>
          </w:p>
        </w:tc>
        <w:tc>
          <w:tcPr>
            <w:tcW w:w="740" w:type="dxa"/>
            <w:vMerge w:val="restart"/>
            <w:tcBorders>
              <w:top w:val="nil"/>
              <w:left w:val="single" w:sz="4" w:space="0" w:color="auto"/>
              <w:bottom w:val="single" w:sz="4" w:space="0" w:color="000000"/>
              <w:right w:val="single" w:sz="4" w:space="0" w:color="auto"/>
            </w:tcBorders>
            <w:shd w:val="clear" w:color="auto" w:fill="auto"/>
            <w:vAlign w:val="center"/>
            <w:hideMark/>
          </w:tcPr>
          <w:p w:rsidR="0052086F" w:rsidRPr="0052086F" w:rsidRDefault="0052086F" w:rsidP="0052086F">
            <w:pPr>
              <w:jc w:val="center"/>
              <w:rPr>
                <w:rFonts w:ascii="Tahoma" w:hAnsi="Tahoma" w:cs="Tahoma"/>
                <w:b/>
                <w:bCs/>
                <w:sz w:val="16"/>
                <w:szCs w:val="16"/>
              </w:rPr>
            </w:pPr>
            <w:r w:rsidRPr="0052086F">
              <w:rPr>
                <w:rFonts w:ascii="Tahoma" w:hAnsi="Tahoma" w:cs="Tahoma"/>
                <w:b/>
                <w:bCs/>
                <w:sz w:val="16"/>
                <w:szCs w:val="16"/>
              </w:rPr>
              <w:t>Π/Σ 12</w:t>
            </w:r>
          </w:p>
        </w:tc>
        <w:tc>
          <w:tcPr>
            <w:tcW w:w="740" w:type="dxa"/>
            <w:vMerge w:val="restart"/>
            <w:tcBorders>
              <w:top w:val="nil"/>
              <w:left w:val="single" w:sz="4" w:space="0" w:color="auto"/>
              <w:bottom w:val="single" w:sz="4" w:space="0" w:color="000000"/>
              <w:right w:val="single" w:sz="4" w:space="0" w:color="auto"/>
            </w:tcBorders>
            <w:shd w:val="clear" w:color="auto" w:fill="auto"/>
            <w:vAlign w:val="center"/>
            <w:hideMark/>
          </w:tcPr>
          <w:p w:rsidR="0052086F" w:rsidRPr="0052086F" w:rsidRDefault="0052086F" w:rsidP="0052086F">
            <w:pPr>
              <w:jc w:val="center"/>
              <w:rPr>
                <w:rFonts w:ascii="Tahoma" w:hAnsi="Tahoma" w:cs="Tahoma"/>
                <w:b/>
                <w:bCs/>
                <w:sz w:val="16"/>
                <w:szCs w:val="16"/>
              </w:rPr>
            </w:pPr>
            <w:r w:rsidRPr="0052086F">
              <w:rPr>
                <w:rFonts w:ascii="Tahoma" w:hAnsi="Tahoma" w:cs="Tahoma"/>
                <w:b/>
                <w:bCs/>
                <w:sz w:val="16"/>
                <w:szCs w:val="16"/>
              </w:rPr>
              <w:t>Π/Υ 12</w:t>
            </w:r>
          </w:p>
        </w:tc>
        <w:tc>
          <w:tcPr>
            <w:tcW w:w="780" w:type="dxa"/>
            <w:vMerge w:val="restart"/>
            <w:tcBorders>
              <w:top w:val="nil"/>
              <w:left w:val="single" w:sz="4" w:space="0" w:color="auto"/>
              <w:bottom w:val="single" w:sz="4" w:space="0" w:color="000000"/>
              <w:right w:val="single" w:sz="4" w:space="0" w:color="auto"/>
            </w:tcBorders>
            <w:shd w:val="clear" w:color="auto" w:fill="auto"/>
            <w:vAlign w:val="center"/>
            <w:hideMark/>
          </w:tcPr>
          <w:p w:rsidR="0052086F" w:rsidRPr="0052086F" w:rsidRDefault="0052086F" w:rsidP="0052086F">
            <w:pPr>
              <w:jc w:val="center"/>
              <w:rPr>
                <w:rFonts w:ascii="Tahoma" w:hAnsi="Tahoma" w:cs="Tahoma"/>
                <w:b/>
                <w:bCs/>
                <w:sz w:val="16"/>
                <w:szCs w:val="16"/>
              </w:rPr>
            </w:pPr>
            <w:r w:rsidRPr="0052086F">
              <w:rPr>
                <w:rFonts w:ascii="Tahoma" w:hAnsi="Tahoma" w:cs="Tahoma"/>
                <w:b/>
                <w:bCs/>
                <w:sz w:val="16"/>
                <w:szCs w:val="16"/>
              </w:rPr>
              <w:t>Αναθ. Π/Υ 12</w:t>
            </w:r>
          </w:p>
        </w:tc>
      </w:tr>
      <w:tr w:rsidR="0052086F" w:rsidRPr="0052086F" w:rsidTr="006F3AA0">
        <w:trPr>
          <w:trHeight w:val="210"/>
          <w:jc w:val="center"/>
        </w:trPr>
        <w:tc>
          <w:tcPr>
            <w:tcW w:w="2740" w:type="dxa"/>
            <w:tcBorders>
              <w:top w:val="nil"/>
              <w:left w:val="nil"/>
              <w:bottom w:val="nil"/>
              <w:right w:val="nil"/>
            </w:tcBorders>
            <w:shd w:val="clear" w:color="auto" w:fill="auto"/>
            <w:vAlign w:val="bottom"/>
            <w:hideMark/>
          </w:tcPr>
          <w:p w:rsidR="0052086F" w:rsidRPr="0052086F" w:rsidRDefault="0052086F" w:rsidP="0052086F">
            <w:pPr>
              <w:jc w:val="right"/>
              <w:rPr>
                <w:rFonts w:ascii="Tahoma" w:hAnsi="Tahoma" w:cs="Tahoma"/>
                <w:i/>
                <w:iCs/>
                <w:sz w:val="16"/>
                <w:szCs w:val="16"/>
              </w:rPr>
            </w:pPr>
            <w:r w:rsidRPr="0052086F">
              <w:rPr>
                <w:rFonts w:ascii="Tahoma" w:hAnsi="Tahoma" w:cs="Tahoma"/>
                <w:i/>
                <w:iCs/>
                <w:sz w:val="16"/>
                <w:szCs w:val="16"/>
              </w:rPr>
              <w:t>€ εκατ.</w:t>
            </w:r>
          </w:p>
        </w:tc>
        <w:tc>
          <w:tcPr>
            <w:tcW w:w="740" w:type="dxa"/>
            <w:vMerge/>
            <w:tcBorders>
              <w:top w:val="nil"/>
              <w:left w:val="single" w:sz="4" w:space="0" w:color="auto"/>
              <w:bottom w:val="single" w:sz="4" w:space="0" w:color="000000"/>
              <w:right w:val="single" w:sz="4" w:space="0" w:color="auto"/>
            </w:tcBorders>
            <w:vAlign w:val="center"/>
            <w:hideMark/>
          </w:tcPr>
          <w:p w:rsidR="0052086F" w:rsidRPr="0052086F" w:rsidRDefault="0052086F" w:rsidP="0052086F">
            <w:pPr>
              <w:rPr>
                <w:rFonts w:ascii="Tahoma" w:hAnsi="Tahoma" w:cs="Tahoma"/>
                <w:b/>
                <w:bCs/>
                <w:sz w:val="16"/>
                <w:szCs w:val="16"/>
              </w:rPr>
            </w:pPr>
          </w:p>
        </w:tc>
        <w:tc>
          <w:tcPr>
            <w:tcW w:w="820" w:type="dxa"/>
            <w:vMerge/>
            <w:tcBorders>
              <w:top w:val="nil"/>
              <w:left w:val="single" w:sz="4" w:space="0" w:color="auto"/>
              <w:bottom w:val="single" w:sz="4" w:space="0" w:color="000000"/>
              <w:right w:val="single" w:sz="4" w:space="0" w:color="auto"/>
            </w:tcBorders>
            <w:vAlign w:val="center"/>
            <w:hideMark/>
          </w:tcPr>
          <w:p w:rsidR="0052086F" w:rsidRPr="0052086F" w:rsidRDefault="0052086F" w:rsidP="0052086F">
            <w:pPr>
              <w:rPr>
                <w:rFonts w:ascii="Tahoma" w:hAnsi="Tahoma" w:cs="Tahoma"/>
                <w:b/>
                <w:bCs/>
                <w:sz w:val="16"/>
                <w:szCs w:val="16"/>
              </w:rPr>
            </w:pPr>
          </w:p>
        </w:tc>
        <w:tc>
          <w:tcPr>
            <w:tcW w:w="740" w:type="dxa"/>
            <w:vMerge/>
            <w:tcBorders>
              <w:top w:val="nil"/>
              <w:left w:val="single" w:sz="4" w:space="0" w:color="auto"/>
              <w:bottom w:val="single" w:sz="4" w:space="0" w:color="000000"/>
              <w:right w:val="single" w:sz="4" w:space="0" w:color="auto"/>
            </w:tcBorders>
            <w:vAlign w:val="center"/>
            <w:hideMark/>
          </w:tcPr>
          <w:p w:rsidR="0052086F" w:rsidRPr="0052086F" w:rsidRDefault="0052086F" w:rsidP="0052086F">
            <w:pPr>
              <w:rPr>
                <w:rFonts w:ascii="Tahoma" w:hAnsi="Tahoma" w:cs="Tahoma"/>
                <w:b/>
                <w:bCs/>
                <w:sz w:val="16"/>
                <w:szCs w:val="16"/>
              </w:rPr>
            </w:pPr>
          </w:p>
        </w:tc>
        <w:tc>
          <w:tcPr>
            <w:tcW w:w="740" w:type="dxa"/>
            <w:vMerge/>
            <w:tcBorders>
              <w:top w:val="nil"/>
              <w:left w:val="single" w:sz="4" w:space="0" w:color="auto"/>
              <w:bottom w:val="single" w:sz="4" w:space="0" w:color="000000"/>
              <w:right w:val="single" w:sz="4" w:space="0" w:color="auto"/>
            </w:tcBorders>
            <w:vAlign w:val="center"/>
            <w:hideMark/>
          </w:tcPr>
          <w:p w:rsidR="0052086F" w:rsidRPr="0052086F" w:rsidRDefault="0052086F" w:rsidP="0052086F">
            <w:pPr>
              <w:rPr>
                <w:rFonts w:ascii="Tahoma" w:hAnsi="Tahoma" w:cs="Tahoma"/>
                <w:b/>
                <w:bCs/>
                <w:sz w:val="16"/>
                <w:szCs w:val="16"/>
              </w:rPr>
            </w:pPr>
          </w:p>
        </w:tc>
        <w:tc>
          <w:tcPr>
            <w:tcW w:w="740" w:type="dxa"/>
            <w:vMerge/>
            <w:tcBorders>
              <w:top w:val="nil"/>
              <w:left w:val="single" w:sz="4" w:space="0" w:color="auto"/>
              <w:bottom w:val="single" w:sz="4" w:space="0" w:color="000000"/>
              <w:right w:val="single" w:sz="4" w:space="0" w:color="auto"/>
            </w:tcBorders>
            <w:vAlign w:val="center"/>
            <w:hideMark/>
          </w:tcPr>
          <w:p w:rsidR="0052086F" w:rsidRPr="0052086F" w:rsidRDefault="0052086F" w:rsidP="0052086F">
            <w:pPr>
              <w:rPr>
                <w:rFonts w:ascii="Tahoma" w:hAnsi="Tahoma" w:cs="Tahoma"/>
                <w:b/>
                <w:bCs/>
                <w:sz w:val="16"/>
                <w:szCs w:val="16"/>
              </w:rPr>
            </w:pPr>
          </w:p>
        </w:tc>
        <w:tc>
          <w:tcPr>
            <w:tcW w:w="780" w:type="dxa"/>
            <w:vMerge/>
            <w:tcBorders>
              <w:top w:val="nil"/>
              <w:left w:val="single" w:sz="4" w:space="0" w:color="auto"/>
              <w:bottom w:val="single" w:sz="4" w:space="0" w:color="000000"/>
              <w:right w:val="single" w:sz="4" w:space="0" w:color="auto"/>
            </w:tcBorders>
            <w:vAlign w:val="center"/>
            <w:hideMark/>
          </w:tcPr>
          <w:p w:rsidR="0052086F" w:rsidRPr="0052086F" w:rsidRDefault="0052086F" w:rsidP="0052086F">
            <w:pPr>
              <w:rPr>
                <w:rFonts w:ascii="Tahoma" w:hAnsi="Tahoma" w:cs="Tahoma"/>
                <w:b/>
                <w:bCs/>
                <w:sz w:val="16"/>
                <w:szCs w:val="16"/>
              </w:rPr>
            </w:pPr>
          </w:p>
        </w:tc>
      </w:tr>
      <w:tr w:rsidR="0052086F" w:rsidRPr="0052086F" w:rsidTr="006F3AA0">
        <w:trPr>
          <w:trHeight w:val="210"/>
          <w:jc w:val="center"/>
        </w:trPr>
        <w:tc>
          <w:tcPr>
            <w:tcW w:w="2740" w:type="dxa"/>
            <w:tcBorders>
              <w:top w:val="single" w:sz="4" w:space="0" w:color="auto"/>
              <w:left w:val="single" w:sz="4" w:space="0" w:color="auto"/>
              <w:bottom w:val="nil"/>
              <w:right w:val="single" w:sz="4" w:space="0" w:color="auto"/>
            </w:tcBorders>
            <w:shd w:val="clear" w:color="auto" w:fill="auto"/>
            <w:noWrap/>
            <w:vAlign w:val="center"/>
            <w:hideMark/>
          </w:tcPr>
          <w:p w:rsidR="0052086F" w:rsidRPr="0052086F" w:rsidRDefault="0052086F" w:rsidP="0052086F">
            <w:pPr>
              <w:jc w:val="both"/>
              <w:rPr>
                <w:rFonts w:ascii="Tahoma" w:hAnsi="Tahoma" w:cs="Tahoma"/>
                <w:b/>
                <w:bCs/>
                <w:color w:val="000000"/>
                <w:sz w:val="16"/>
                <w:szCs w:val="16"/>
              </w:rPr>
            </w:pPr>
            <w:r w:rsidRPr="0052086F">
              <w:rPr>
                <w:rFonts w:ascii="Tahoma" w:hAnsi="Tahoma" w:cs="Tahoma"/>
                <w:b/>
                <w:bCs/>
                <w:color w:val="000000"/>
                <w:sz w:val="16"/>
                <w:szCs w:val="16"/>
              </w:rPr>
              <w:t>ΣΥΝΟΛΟ ΕΣΟΔΩΝ ΚΡΑΤ. ΠΡΟΫΠ.</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sz w:val="16"/>
                <w:szCs w:val="16"/>
              </w:rPr>
            </w:pPr>
            <w:r w:rsidRPr="0052086F">
              <w:rPr>
                <w:rFonts w:ascii="Tahoma" w:hAnsi="Tahoma" w:cs="Tahoma"/>
                <w:b/>
                <w:bCs/>
                <w:sz w:val="16"/>
                <w:szCs w:val="16"/>
              </w:rPr>
              <w:t>54.673</w:t>
            </w:r>
          </w:p>
        </w:tc>
        <w:tc>
          <w:tcPr>
            <w:tcW w:w="82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sz w:val="16"/>
                <w:szCs w:val="16"/>
              </w:rPr>
            </w:pPr>
            <w:r w:rsidRPr="0052086F">
              <w:rPr>
                <w:rFonts w:ascii="Tahoma" w:hAnsi="Tahoma" w:cs="Tahoma"/>
                <w:b/>
                <w:bCs/>
                <w:sz w:val="16"/>
                <w:szCs w:val="16"/>
              </w:rPr>
              <w:t>53.861</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sz w:val="16"/>
                <w:szCs w:val="16"/>
              </w:rPr>
            </w:pPr>
            <w:r w:rsidRPr="0052086F">
              <w:rPr>
                <w:rFonts w:ascii="Tahoma" w:hAnsi="Tahoma" w:cs="Tahoma"/>
                <w:b/>
                <w:bCs/>
                <w:sz w:val="16"/>
                <w:szCs w:val="16"/>
              </w:rPr>
              <w:t>60.844</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sz w:val="16"/>
                <w:szCs w:val="16"/>
              </w:rPr>
            </w:pPr>
            <w:r w:rsidRPr="0052086F">
              <w:rPr>
                <w:rFonts w:ascii="Tahoma" w:hAnsi="Tahoma" w:cs="Tahoma"/>
                <w:b/>
                <w:bCs/>
                <w:sz w:val="16"/>
                <w:szCs w:val="16"/>
              </w:rPr>
              <w:t>59.064</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sz w:val="16"/>
                <w:szCs w:val="16"/>
              </w:rPr>
            </w:pPr>
            <w:r w:rsidRPr="0052086F">
              <w:rPr>
                <w:rFonts w:ascii="Tahoma" w:hAnsi="Tahoma" w:cs="Tahoma"/>
                <w:b/>
                <w:bCs/>
                <w:sz w:val="16"/>
                <w:szCs w:val="16"/>
              </w:rPr>
              <w:t>59.185</w:t>
            </w:r>
          </w:p>
        </w:tc>
        <w:tc>
          <w:tcPr>
            <w:tcW w:w="78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sz w:val="16"/>
                <w:szCs w:val="16"/>
              </w:rPr>
            </w:pPr>
            <w:r w:rsidRPr="0052086F">
              <w:rPr>
                <w:rFonts w:ascii="Tahoma" w:hAnsi="Tahoma" w:cs="Tahoma"/>
                <w:b/>
                <w:bCs/>
                <w:sz w:val="16"/>
                <w:szCs w:val="16"/>
              </w:rPr>
              <w:t>56.159</w:t>
            </w:r>
          </w:p>
        </w:tc>
      </w:tr>
      <w:tr w:rsidR="0052086F" w:rsidRPr="0052086F" w:rsidTr="006F3AA0">
        <w:trPr>
          <w:trHeight w:val="210"/>
          <w:jc w:val="center"/>
        </w:trPr>
        <w:tc>
          <w:tcPr>
            <w:tcW w:w="2740" w:type="dxa"/>
            <w:tcBorders>
              <w:top w:val="single" w:sz="4" w:space="0" w:color="auto"/>
              <w:left w:val="single" w:sz="4" w:space="0" w:color="auto"/>
              <w:bottom w:val="nil"/>
              <w:right w:val="single" w:sz="4" w:space="0" w:color="auto"/>
            </w:tcBorders>
            <w:shd w:val="clear" w:color="auto" w:fill="auto"/>
            <w:noWrap/>
            <w:vAlign w:val="center"/>
            <w:hideMark/>
          </w:tcPr>
          <w:p w:rsidR="0052086F" w:rsidRPr="0052086F" w:rsidRDefault="0052086F" w:rsidP="0052086F">
            <w:pPr>
              <w:jc w:val="both"/>
              <w:rPr>
                <w:rFonts w:ascii="Tahoma" w:hAnsi="Tahoma" w:cs="Tahoma"/>
                <w:b/>
                <w:bCs/>
                <w:color w:val="000000"/>
                <w:sz w:val="16"/>
                <w:szCs w:val="16"/>
              </w:rPr>
            </w:pPr>
            <w:r w:rsidRPr="0052086F">
              <w:rPr>
                <w:rFonts w:ascii="Tahoma" w:hAnsi="Tahoma" w:cs="Tahoma"/>
                <w:b/>
                <w:bCs/>
                <w:color w:val="000000"/>
                <w:sz w:val="16"/>
                <w:szCs w:val="16"/>
              </w:rPr>
              <w:t>ΣΥΝΟΛΟ ΚΑΘΑΡΩΝ ΕΣΟΔΩΝ Τ.Π.</w:t>
            </w:r>
          </w:p>
        </w:tc>
        <w:tc>
          <w:tcPr>
            <w:tcW w:w="740" w:type="dxa"/>
            <w:tcBorders>
              <w:top w:val="single" w:sz="4" w:space="0" w:color="auto"/>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sz w:val="16"/>
                <w:szCs w:val="16"/>
              </w:rPr>
            </w:pPr>
            <w:r w:rsidRPr="0052086F">
              <w:rPr>
                <w:rFonts w:ascii="Tahoma" w:hAnsi="Tahoma" w:cs="Tahoma"/>
                <w:b/>
                <w:bCs/>
                <w:sz w:val="16"/>
                <w:szCs w:val="16"/>
              </w:rPr>
              <w:t>51.308</w:t>
            </w:r>
          </w:p>
        </w:tc>
        <w:tc>
          <w:tcPr>
            <w:tcW w:w="820" w:type="dxa"/>
            <w:tcBorders>
              <w:top w:val="single" w:sz="4" w:space="0" w:color="auto"/>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sz w:val="16"/>
                <w:szCs w:val="16"/>
              </w:rPr>
            </w:pPr>
            <w:r w:rsidRPr="0052086F">
              <w:rPr>
                <w:rFonts w:ascii="Tahoma" w:hAnsi="Tahoma" w:cs="Tahoma"/>
                <w:b/>
                <w:bCs/>
                <w:sz w:val="16"/>
                <w:szCs w:val="16"/>
              </w:rPr>
              <w:t>50.091</w:t>
            </w:r>
          </w:p>
        </w:tc>
        <w:tc>
          <w:tcPr>
            <w:tcW w:w="740" w:type="dxa"/>
            <w:tcBorders>
              <w:top w:val="single" w:sz="4" w:space="0" w:color="auto"/>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sz w:val="16"/>
                <w:szCs w:val="16"/>
              </w:rPr>
            </w:pPr>
            <w:r w:rsidRPr="0052086F">
              <w:rPr>
                <w:rFonts w:ascii="Tahoma" w:hAnsi="Tahoma" w:cs="Tahoma"/>
                <w:b/>
                <w:bCs/>
                <w:sz w:val="16"/>
                <w:szCs w:val="16"/>
              </w:rPr>
              <w:t>56.229</w:t>
            </w:r>
          </w:p>
        </w:tc>
        <w:tc>
          <w:tcPr>
            <w:tcW w:w="740" w:type="dxa"/>
            <w:tcBorders>
              <w:top w:val="single" w:sz="4" w:space="0" w:color="auto"/>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sz w:val="16"/>
                <w:szCs w:val="16"/>
              </w:rPr>
            </w:pPr>
            <w:r w:rsidRPr="0052086F">
              <w:rPr>
                <w:rFonts w:ascii="Tahoma" w:hAnsi="Tahoma" w:cs="Tahoma"/>
                <w:b/>
                <w:bCs/>
                <w:sz w:val="16"/>
                <w:szCs w:val="16"/>
              </w:rPr>
              <w:t>54.204</w:t>
            </w:r>
          </w:p>
        </w:tc>
        <w:tc>
          <w:tcPr>
            <w:tcW w:w="740" w:type="dxa"/>
            <w:tcBorders>
              <w:top w:val="single" w:sz="4" w:space="0" w:color="auto"/>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sz w:val="16"/>
                <w:szCs w:val="16"/>
              </w:rPr>
            </w:pPr>
            <w:r w:rsidRPr="0052086F">
              <w:rPr>
                <w:rFonts w:ascii="Tahoma" w:hAnsi="Tahoma" w:cs="Tahoma"/>
                <w:b/>
                <w:bCs/>
                <w:sz w:val="16"/>
                <w:szCs w:val="16"/>
              </w:rPr>
              <w:t>54.435</w:t>
            </w:r>
          </w:p>
        </w:tc>
        <w:tc>
          <w:tcPr>
            <w:tcW w:w="780" w:type="dxa"/>
            <w:tcBorders>
              <w:top w:val="single" w:sz="4" w:space="0" w:color="auto"/>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sz w:val="16"/>
                <w:szCs w:val="16"/>
              </w:rPr>
            </w:pPr>
            <w:r w:rsidRPr="0052086F">
              <w:rPr>
                <w:rFonts w:ascii="Tahoma" w:hAnsi="Tahoma" w:cs="Tahoma"/>
                <w:b/>
                <w:bCs/>
                <w:sz w:val="16"/>
                <w:szCs w:val="16"/>
              </w:rPr>
              <w:t>51.409</w:t>
            </w:r>
          </w:p>
        </w:tc>
      </w:tr>
      <w:tr w:rsidR="0052086F" w:rsidRPr="0052086F" w:rsidTr="006F3AA0">
        <w:trPr>
          <w:trHeight w:val="210"/>
          <w:jc w:val="center"/>
        </w:trPr>
        <w:tc>
          <w:tcPr>
            <w:tcW w:w="2740"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52086F">
            <w:pPr>
              <w:jc w:val="both"/>
              <w:rPr>
                <w:rFonts w:ascii="Tahoma" w:hAnsi="Tahoma" w:cs="Tahoma"/>
                <w:b/>
                <w:bCs/>
                <w:color w:val="000000"/>
                <w:sz w:val="16"/>
                <w:szCs w:val="16"/>
              </w:rPr>
            </w:pPr>
            <w:r w:rsidRPr="0052086F">
              <w:rPr>
                <w:rFonts w:ascii="Tahoma" w:hAnsi="Tahoma" w:cs="Tahoma"/>
                <w:b/>
                <w:bCs/>
                <w:color w:val="000000"/>
                <w:sz w:val="16"/>
                <w:szCs w:val="16"/>
              </w:rPr>
              <w:t>ΕΠΙΣΤΡΟΦΕΣ ΦΟΡΩΝ</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color w:val="000000"/>
                <w:sz w:val="16"/>
                <w:szCs w:val="16"/>
              </w:rPr>
            </w:pPr>
            <w:r w:rsidRPr="0052086F">
              <w:rPr>
                <w:rFonts w:ascii="Tahoma" w:hAnsi="Tahoma" w:cs="Tahoma"/>
                <w:b/>
                <w:bCs/>
                <w:color w:val="000000"/>
                <w:sz w:val="16"/>
                <w:szCs w:val="16"/>
              </w:rPr>
              <w:t>5.000</w:t>
            </w:r>
          </w:p>
        </w:tc>
        <w:tc>
          <w:tcPr>
            <w:tcW w:w="82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color w:val="000000"/>
                <w:sz w:val="16"/>
                <w:szCs w:val="16"/>
              </w:rPr>
            </w:pPr>
            <w:r w:rsidRPr="0052086F">
              <w:rPr>
                <w:rFonts w:ascii="Tahoma" w:hAnsi="Tahoma" w:cs="Tahoma"/>
                <w:b/>
                <w:bCs/>
                <w:color w:val="000000"/>
                <w:sz w:val="16"/>
                <w:szCs w:val="16"/>
              </w:rPr>
              <w:t>5.283</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color w:val="000000"/>
                <w:sz w:val="16"/>
                <w:szCs w:val="16"/>
              </w:rPr>
            </w:pPr>
            <w:r w:rsidRPr="0052086F">
              <w:rPr>
                <w:rFonts w:ascii="Tahoma" w:hAnsi="Tahoma" w:cs="Tahoma"/>
                <w:b/>
                <w:bCs/>
                <w:color w:val="000000"/>
                <w:sz w:val="16"/>
                <w:szCs w:val="16"/>
              </w:rPr>
              <w:t>3.697</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color w:val="000000"/>
                <w:sz w:val="16"/>
                <w:szCs w:val="16"/>
              </w:rPr>
            </w:pPr>
            <w:r w:rsidRPr="0052086F">
              <w:rPr>
                <w:rFonts w:ascii="Tahoma" w:hAnsi="Tahoma" w:cs="Tahoma"/>
                <w:b/>
                <w:bCs/>
                <w:color w:val="000000"/>
                <w:sz w:val="16"/>
                <w:szCs w:val="16"/>
              </w:rPr>
              <w:t>3.800</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color w:val="000000"/>
                <w:sz w:val="16"/>
                <w:szCs w:val="16"/>
              </w:rPr>
            </w:pPr>
            <w:r w:rsidRPr="0052086F">
              <w:rPr>
                <w:rFonts w:ascii="Tahoma" w:hAnsi="Tahoma" w:cs="Tahoma"/>
                <w:b/>
                <w:bCs/>
                <w:color w:val="000000"/>
                <w:sz w:val="16"/>
                <w:szCs w:val="16"/>
              </w:rPr>
              <w:t>3.800</w:t>
            </w:r>
          </w:p>
        </w:tc>
        <w:tc>
          <w:tcPr>
            <w:tcW w:w="78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color w:val="000000"/>
                <w:sz w:val="16"/>
                <w:szCs w:val="16"/>
              </w:rPr>
            </w:pPr>
            <w:r w:rsidRPr="0052086F">
              <w:rPr>
                <w:rFonts w:ascii="Tahoma" w:hAnsi="Tahoma" w:cs="Tahoma"/>
                <w:b/>
                <w:bCs/>
                <w:color w:val="000000"/>
                <w:sz w:val="16"/>
                <w:szCs w:val="16"/>
              </w:rPr>
              <w:t>3.810</w:t>
            </w:r>
          </w:p>
        </w:tc>
      </w:tr>
      <w:tr w:rsidR="0052086F" w:rsidRPr="0052086F" w:rsidTr="006F3AA0">
        <w:trPr>
          <w:trHeight w:val="210"/>
          <w:jc w:val="center"/>
        </w:trPr>
        <w:tc>
          <w:tcPr>
            <w:tcW w:w="2740"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52086F">
            <w:pPr>
              <w:jc w:val="both"/>
              <w:rPr>
                <w:rFonts w:ascii="Tahoma" w:hAnsi="Tahoma" w:cs="Tahoma"/>
                <w:b/>
                <w:bCs/>
                <w:color w:val="000000"/>
                <w:sz w:val="16"/>
                <w:szCs w:val="16"/>
              </w:rPr>
            </w:pPr>
            <w:r w:rsidRPr="0052086F">
              <w:rPr>
                <w:rFonts w:ascii="Tahoma" w:hAnsi="Tahoma" w:cs="Tahoma"/>
                <w:b/>
                <w:bCs/>
                <w:color w:val="000000"/>
                <w:sz w:val="16"/>
                <w:szCs w:val="16"/>
              </w:rPr>
              <w:t>ΣΥΝΟΛΟ ΕΣΟΔΩΝ</w:t>
            </w:r>
          </w:p>
        </w:tc>
        <w:tc>
          <w:tcPr>
            <w:tcW w:w="740" w:type="dxa"/>
            <w:tcBorders>
              <w:top w:val="nil"/>
              <w:left w:val="nil"/>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color w:val="000000"/>
                <w:sz w:val="16"/>
                <w:szCs w:val="16"/>
              </w:rPr>
            </w:pPr>
            <w:r w:rsidRPr="0052086F">
              <w:rPr>
                <w:rFonts w:ascii="Tahoma" w:hAnsi="Tahoma" w:cs="Tahoma"/>
                <w:b/>
                <w:bCs/>
                <w:color w:val="000000"/>
                <w:sz w:val="16"/>
                <w:szCs w:val="16"/>
              </w:rPr>
              <w:t>56.308</w:t>
            </w:r>
          </w:p>
        </w:tc>
        <w:tc>
          <w:tcPr>
            <w:tcW w:w="820" w:type="dxa"/>
            <w:tcBorders>
              <w:top w:val="nil"/>
              <w:left w:val="nil"/>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color w:val="000000"/>
                <w:sz w:val="16"/>
                <w:szCs w:val="16"/>
              </w:rPr>
            </w:pPr>
            <w:r w:rsidRPr="0052086F">
              <w:rPr>
                <w:rFonts w:ascii="Tahoma" w:hAnsi="Tahoma" w:cs="Tahoma"/>
                <w:b/>
                <w:bCs/>
                <w:color w:val="000000"/>
                <w:sz w:val="16"/>
                <w:szCs w:val="16"/>
              </w:rPr>
              <w:t>55.374</w:t>
            </w:r>
          </w:p>
        </w:tc>
        <w:tc>
          <w:tcPr>
            <w:tcW w:w="740" w:type="dxa"/>
            <w:tcBorders>
              <w:top w:val="nil"/>
              <w:left w:val="nil"/>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color w:val="000000"/>
                <w:sz w:val="16"/>
                <w:szCs w:val="16"/>
              </w:rPr>
            </w:pPr>
            <w:r w:rsidRPr="0052086F">
              <w:rPr>
                <w:rFonts w:ascii="Tahoma" w:hAnsi="Tahoma" w:cs="Tahoma"/>
                <w:b/>
                <w:bCs/>
                <w:color w:val="000000"/>
                <w:sz w:val="16"/>
                <w:szCs w:val="16"/>
              </w:rPr>
              <w:t>59.926</w:t>
            </w:r>
          </w:p>
        </w:tc>
        <w:tc>
          <w:tcPr>
            <w:tcW w:w="740" w:type="dxa"/>
            <w:tcBorders>
              <w:top w:val="nil"/>
              <w:left w:val="nil"/>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color w:val="000000"/>
                <w:sz w:val="16"/>
                <w:szCs w:val="16"/>
              </w:rPr>
            </w:pPr>
            <w:r w:rsidRPr="0052086F">
              <w:rPr>
                <w:rFonts w:ascii="Tahoma" w:hAnsi="Tahoma" w:cs="Tahoma"/>
                <w:b/>
                <w:bCs/>
                <w:color w:val="000000"/>
                <w:sz w:val="16"/>
                <w:szCs w:val="16"/>
              </w:rPr>
              <w:t>58.004</w:t>
            </w:r>
          </w:p>
        </w:tc>
        <w:tc>
          <w:tcPr>
            <w:tcW w:w="740" w:type="dxa"/>
            <w:tcBorders>
              <w:top w:val="nil"/>
              <w:left w:val="nil"/>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color w:val="000000"/>
                <w:sz w:val="16"/>
                <w:szCs w:val="16"/>
              </w:rPr>
            </w:pPr>
            <w:r w:rsidRPr="0052086F">
              <w:rPr>
                <w:rFonts w:ascii="Tahoma" w:hAnsi="Tahoma" w:cs="Tahoma"/>
                <w:b/>
                <w:bCs/>
                <w:color w:val="000000"/>
                <w:sz w:val="16"/>
                <w:szCs w:val="16"/>
              </w:rPr>
              <w:t>58.235</w:t>
            </w:r>
          </w:p>
        </w:tc>
        <w:tc>
          <w:tcPr>
            <w:tcW w:w="780" w:type="dxa"/>
            <w:tcBorders>
              <w:top w:val="nil"/>
              <w:left w:val="nil"/>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color w:val="000000"/>
                <w:sz w:val="16"/>
                <w:szCs w:val="16"/>
              </w:rPr>
            </w:pPr>
            <w:r w:rsidRPr="0052086F">
              <w:rPr>
                <w:rFonts w:ascii="Tahoma" w:hAnsi="Tahoma" w:cs="Tahoma"/>
                <w:b/>
                <w:bCs/>
                <w:color w:val="000000"/>
                <w:sz w:val="16"/>
                <w:szCs w:val="16"/>
              </w:rPr>
              <w:t>55.219</w:t>
            </w:r>
          </w:p>
        </w:tc>
      </w:tr>
      <w:tr w:rsidR="0052086F" w:rsidRPr="0052086F" w:rsidTr="006F3AA0">
        <w:trPr>
          <w:trHeight w:val="210"/>
          <w:jc w:val="center"/>
        </w:trPr>
        <w:tc>
          <w:tcPr>
            <w:tcW w:w="2740" w:type="dxa"/>
            <w:tcBorders>
              <w:top w:val="single" w:sz="4" w:space="0" w:color="auto"/>
              <w:left w:val="single" w:sz="4" w:space="0" w:color="auto"/>
              <w:bottom w:val="nil"/>
              <w:right w:val="single" w:sz="4" w:space="0" w:color="auto"/>
            </w:tcBorders>
            <w:shd w:val="clear" w:color="auto" w:fill="auto"/>
            <w:noWrap/>
            <w:vAlign w:val="center"/>
            <w:hideMark/>
          </w:tcPr>
          <w:p w:rsidR="0052086F" w:rsidRPr="0052086F" w:rsidRDefault="0052086F" w:rsidP="0052086F">
            <w:pPr>
              <w:jc w:val="both"/>
              <w:rPr>
                <w:rFonts w:ascii="Tahoma" w:hAnsi="Tahoma" w:cs="Tahoma"/>
                <w:b/>
                <w:bCs/>
                <w:i/>
                <w:iCs/>
                <w:color w:val="000000"/>
                <w:sz w:val="16"/>
                <w:szCs w:val="16"/>
              </w:rPr>
            </w:pPr>
            <w:r w:rsidRPr="0052086F">
              <w:rPr>
                <w:rFonts w:ascii="Tahoma" w:hAnsi="Tahoma" w:cs="Tahoma"/>
                <w:b/>
                <w:bCs/>
                <w:i/>
                <w:iCs/>
                <w:color w:val="000000"/>
                <w:sz w:val="16"/>
                <w:szCs w:val="16"/>
              </w:rPr>
              <w:t>ΦΟΡΟΛΟΓΙΚΑ ΕΣΟΔΑ</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i/>
                <w:iCs/>
                <w:color w:val="000000"/>
                <w:sz w:val="16"/>
                <w:szCs w:val="16"/>
              </w:rPr>
            </w:pPr>
            <w:r w:rsidRPr="0052086F">
              <w:rPr>
                <w:rFonts w:ascii="Tahoma" w:hAnsi="Tahoma" w:cs="Tahoma"/>
                <w:b/>
                <w:bCs/>
                <w:i/>
                <w:iCs/>
                <w:color w:val="000000"/>
                <w:sz w:val="16"/>
                <w:szCs w:val="16"/>
              </w:rPr>
              <w:t>49.703</w:t>
            </w:r>
          </w:p>
        </w:tc>
        <w:tc>
          <w:tcPr>
            <w:tcW w:w="82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i/>
                <w:iCs/>
                <w:color w:val="000000"/>
                <w:sz w:val="16"/>
                <w:szCs w:val="16"/>
              </w:rPr>
            </w:pPr>
            <w:r w:rsidRPr="0052086F">
              <w:rPr>
                <w:rFonts w:ascii="Tahoma" w:hAnsi="Tahoma" w:cs="Tahoma"/>
                <w:b/>
                <w:bCs/>
                <w:i/>
                <w:iCs/>
                <w:color w:val="000000"/>
                <w:sz w:val="16"/>
                <w:szCs w:val="16"/>
              </w:rPr>
              <w:t>48.948</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i/>
                <w:iCs/>
                <w:color w:val="000000"/>
                <w:sz w:val="16"/>
                <w:szCs w:val="16"/>
              </w:rPr>
            </w:pPr>
            <w:r w:rsidRPr="0052086F">
              <w:rPr>
                <w:rFonts w:ascii="Tahoma" w:hAnsi="Tahoma" w:cs="Tahoma"/>
                <w:b/>
                <w:bCs/>
                <w:i/>
                <w:iCs/>
                <w:color w:val="000000"/>
                <w:sz w:val="16"/>
                <w:szCs w:val="16"/>
              </w:rPr>
              <w:t>52.954</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i/>
                <w:iCs/>
                <w:color w:val="000000"/>
                <w:sz w:val="16"/>
                <w:szCs w:val="16"/>
              </w:rPr>
            </w:pPr>
            <w:r w:rsidRPr="0052086F">
              <w:rPr>
                <w:rFonts w:ascii="Tahoma" w:hAnsi="Tahoma" w:cs="Tahoma"/>
                <w:b/>
                <w:bCs/>
                <w:i/>
                <w:iCs/>
                <w:color w:val="000000"/>
                <w:sz w:val="16"/>
                <w:szCs w:val="16"/>
              </w:rPr>
              <w:t>52.725</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i/>
                <w:iCs/>
                <w:color w:val="000000"/>
                <w:sz w:val="16"/>
                <w:szCs w:val="16"/>
              </w:rPr>
            </w:pPr>
            <w:r w:rsidRPr="0052086F">
              <w:rPr>
                <w:rFonts w:ascii="Tahoma" w:hAnsi="Tahoma" w:cs="Tahoma"/>
                <w:b/>
                <w:bCs/>
                <w:i/>
                <w:iCs/>
                <w:color w:val="000000"/>
                <w:sz w:val="16"/>
                <w:szCs w:val="16"/>
              </w:rPr>
              <w:t>53.301</w:t>
            </w:r>
          </w:p>
        </w:tc>
        <w:tc>
          <w:tcPr>
            <w:tcW w:w="78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i/>
                <w:iCs/>
                <w:color w:val="000000"/>
                <w:sz w:val="16"/>
                <w:szCs w:val="16"/>
              </w:rPr>
            </w:pPr>
            <w:r w:rsidRPr="0052086F">
              <w:rPr>
                <w:rFonts w:ascii="Tahoma" w:hAnsi="Tahoma" w:cs="Tahoma"/>
                <w:b/>
                <w:bCs/>
                <w:i/>
                <w:iCs/>
                <w:color w:val="000000"/>
                <w:sz w:val="16"/>
                <w:szCs w:val="16"/>
              </w:rPr>
              <w:t>50.403</w:t>
            </w:r>
          </w:p>
        </w:tc>
      </w:tr>
      <w:tr w:rsidR="0052086F" w:rsidRPr="0052086F" w:rsidTr="006F3AA0">
        <w:trPr>
          <w:trHeight w:val="210"/>
          <w:jc w:val="center"/>
        </w:trPr>
        <w:tc>
          <w:tcPr>
            <w:tcW w:w="2740"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52086F">
            <w:pPr>
              <w:ind w:firstLineChars="200" w:firstLine="320"/>
              <w:rPr>
                <w:rFonts w:ascii="Tahoma" w:hAnsi="Tahoma" w:cs="Tahoma"/>
                <w:color w:val="000000"/>
                <w:sz w:val="16"/>
                <w:szCs w:val="16"/>
              </w:rPr>
            </w:pPr>
            <w:r w:rsidRPr="0052086F">
              <w:rPr>
                <w:rFonts w:ascii="Tahoma" w:hAnsi="Tahoma" w:cs="Tahoma"/>
                <w:color w:val="000000"/>
                <w:sz w:val="16"/>
                <w:szCs w:val="16"/>
              </w:rPr>
              <w:t xml:space="preserve">ΑΜΕΣΟΙ ΦΟΡΟΙ    </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20.619</w:t>
            </w:r>
          </w:p>
        </w:tc>
        <w:tc>
          <w:tcPr>
            <w:tcW w:w="82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20.316</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21.711</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23.637</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24.213</w:t>
            </w:r>
          </w:p>
        </w:tc>
        <w:tc>
          <w:tcPr>
            <w:tcW w:w="78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23.522</w:t>
            </w:r>
          </w:p>
        </w:tc>
      </w:tr>
      <w:tr w:rsidR="0052086F" w:rsidRPr="0052086F" w:rsidTr="006F3AA0">
        <w:trPr>
          <w:trHeight w:val="210"/>
          <w:jc w:val="center"/>
        </w:trPr>
        <w:tc>
          <w:tcPr>
            <w:tcW w:w="2740"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52086F">
            <w:pPr>
              <w:ind w:firstLineChars="400" w:firstLine="640"/>
              <w:rPr>
                <w:rFonts w:ascii="Tahoma" w:hAnsi="Tahoma" w:cs="Tahoma"/>
                <w:i/>
                <w:iCs/>
                <w:color w:val="000000"/>
                <w:sz w:val="16"/>
                <w:szCs w:val="16"/>
              </w:rPr>
            </w:pPr>
            <w:r w:rsidRPr="0052086F">
              <w:rPr>
                <w:rFonts w:ascii="Tahoma" w:hAnsi="Tahoma" w:cs="Tahoma"/>
                <w:i/>
                <w:iCs/>
                <w:color w:val="000000"/>
                <w:sz w:val="16"/>
                <w:szCs w:val="16"/>
              </w:rPr>
              <w:t>Φόροι εισοδήματος</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6"/>
                <w:szCs w:val="16"/>
              </w:rPr>
            </w:pPr>
            <w:r w:rsidRPr="0052086F">
              <w:rPr>
                <w:rFonts w:ascii="Tahoma" w:hAnsi="Tahoma" w:cs="Tahoma"/>
                <w:sz w:val="16"/>
                <w:szCs w:val="16"/>
              </w:rPr>
              <w:t>12.779</w:t>
            </w:r>
          </w:p>
        </w:tc>
        <w:tc>
          <w:tcPr>
            <w:tcW w:w="82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6"/>
                <w:szCs w:val="16"/>
              </w:rPr>
            </w:pPr>
            <w:r w:rsidRPr="0052086F">
              <w:rPr>
                <w:rFonts w:ascii="Tahoma" w:hAnsi="Tahoma" w:cs="Tahoma"/>
                <w:sz w:val="16"/>
                <w:szCs w:val="16"/>
              </w:rPr>
              <w:t>12.932</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14.860</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14.584</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14.382</w:t>
            </w:r>
          </w:p>
        </w:tc>
        <w:tc>
          <w:tcPr>
            <w:tcW w:w="78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15.132</w:t>
            </w:r>
          </w:p>
        </w:tc>
      </w:tr>
      <w:tr w:rsidR="0052086F" w:rsidRPr="0052086F" w:rsidTr="006F3AA0">
        <w:trPr>
          <w:trHeight w:val="210"/>
          <w:jc w:val="center"/>
        </w:trPr>
        <w:tc>
          <w:tcPr>
            <w:tcW w:w="2740"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52086F">
            <w:pPr>
              <w:ind w:firstLineChars="400" w:firstLine="640"/>
              <w:rPr>
                <w:rFonts w:ascii="Tahoma" w:hAnsi="Tahoma" w:cs="Tahoma"/>
                <w:i/>
                <w:iCs/>
                <w:color w:val="000000"/>
                <w:sz w:val="16"/>
                <w:szCs w:val="16"/>
              </w:rPr>
            </w:pPr>
            <w:r w:rsidRPr="0052086F">
              <w:rPr>
                <w:rFonts w:ascii="Tahoma" w:hAnsi="Tahoma" w:cs="Tahoma"/>
                <w:i/>
                <w:iCs/>
                <w:color w:val="000000"/>
                <w:sz w:val="16"/>
                <w:szCs w:val="16"/>
              </w:rPr>
              <w:t>Φόροι στην περιουσία</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6"/>
                <w:szCs w:val="16"/>
              </w:rPr>
            </w:pPr>
            <w:r w:rsidRPr="0052086F">
              <w:rPr>
                <w:rFonts w:ascii="Tahoma" w:hAnsi="Tahoma" w:cs="Tahoma"/>
                <w:sz w:val="16"/>
                <w:szCs w:val="16"/>
              </w:rPr>
              <w:t>1.128</w:t>
            </w:r>
          </w:p>
        </w:tc>
        <w:tc>
          <w:tcPr>
            <w:tcW w:w="82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6"/>
                <w:szCs w:val="16"/>
              </w:rPr>
            </w:pPr>
            <w:r w:rsidRPr="0052086F">
              <w:rPr>
                <w:rFonts w:ascii="Tahoma" w:hAnsi="Tahoma" w:cs="Tahoma"/>
                <w:sz w:val="16"/>
                <w:szCs w:val="16"/>
              </w:rPr>
              <w:t>1.172</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1.182</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3.303</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3.581</w:t>
            </w:r>
          </w:p>
        </w:tc>
        <w:tc>
          <w:tcPr>
            <w:tcW w:w="78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2.907</w:t>
            </w:r>
          </w:p>
        </w:tc>
      </w:tr>
      <w:tr w:rsidR="0052086F" w:rsidRPr="0052086F" w:rsidTr="006F3AA0">
        <w:trPr>
          <w:trHeight w:val="210"/>
          <w:jc w:val="center"/>
        </w:trPr>
        <w:tc>
          <w:tcPr>
            <w:tcW w:w="2740"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52086F">
            <w:pPr>
              <w:ind w:firstLineChars="400" w:firstLine="640"/>
              <w:rPr>
                <w:rFonts w:ascii="Tahoma" w:hAnsi="Tahoma" w:cs="Tahoma"/>
                <w:i/>
                <w:iCs/>
                <w:color w:val="000000"/>
                <w:sz w:val="16"/>
                <w:szCs w:val="16"/>
              </w:rPr>
            </w:pPr>
            <w:r w:rsidRPr="0052086F">
              <w:rPr>
                <w:rFonts w:ascii="Tahoma" w:hAnsi="Tahoma" w:cs="Tahoma"/>
                <w:i/>
                <w:iCs/>
                <w:color w:val="000000"/>
                <w:sz w:val="16"/>
                <w:szCs w:val="16"/>
              </w:rPr>
              <w:t>Αμεσοι φόροι Π.O.Ε</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6"/>
                <w:szCs w:val="16"/>
              </w:rPr>
            </w:pPr>
            <w:r w:rsidRPr="0052086F">
              <w:rPr>
                <w:rFonts w:ascii="Tahoma" w:hAnsi="Tahoma" w:cs="Tahoma"/>
                <w:sz w:val="16"/>
                <w:szCs w:val="16"/>
              </w:rPr>
              <w:t>2.050</w:t>
            </w:r>
          </w:p>
        </w:tc>
        <w:tc>
          <w:tcPr>
            <w:tcW w:w="82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6"/>
                <w:szCs w:val="16"/>
              </w:rPr>
            </w:pPr>
            <w:r w:rsidRPr="0052086F">
              <w:rPr>
                <w:rFonts w:ascii="Tahoma" w:hAnsi="Tahoma" w:cs="Tahoma"/>
                <w:sz w:val="16"/>
                <w:szCs w:val="16"/>
              </w:rPr>
              <w:t>1.911</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2.282</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2.050</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2.050</w:t>
            </w:r>
          </w:p>
        </w:tc>
        <w:tc>
          <w:tcPr>
            <w:tcW w:w="78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2.185</w:t>
            </w:r>
          </w:p>
        </w:tc>
      </w:tr>
      <w:tr w:rsidR="0052086F" w:rsidRPr="0052086F" w:rsidTr="006F3AA0">
        <w:trPr>
          <w:trHeight w:val="210"/>
          <w:jc w:val="center"/>
        </w:trPr>
        <w:tc>
          <w:tcPr>
            <w:tcW w:w="2740"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52086F">
            <w:pPr>
              <w:ind w:firstLineChars="400" w:firstLine="640"/>
              <w:rPr>
                <w:rFonts w:ascii="Tahoma" w:hAnsi="Tahoma" w:cs="Tahoma"/>
                <w:i/>
                <w:iCs/>
                <w:color w:val="000000"/>
                <w:sz w:val="16"/>
                <w:szCs w:val="16"/>
              </w:rPr>
            </w:pPr>
            <w:r w:rsidRPr="0052086F">
              <w:rPr>
                <w:rFonts w:ascii="Tahoma" w:hAnsi="Tahoma" w:cs="Tahoma"/>
                <w:i/>
                <w:iCs/>
                <w:color w:val="000000"/>
                <w:sz w:val="16"/>
                <w:szCs w:val="16"/>
              </w:rPr>
              <w:t>Λοιποί άμεσοι φόροι</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6"/>
                <w:szCs w:val="16"/>
              </w:rPr>
            </w:pPr>
            <w:r w:rsidRPr="0052086F">
              <w:rPr>
                <w:rFonts w:ascii="Tahoma" w:hAnsi="Tahoma" w:cs="Tahoma"/>
                <w:sz w:val="16"/>
                <w:szCs w:val="16"/>
              </w:rPr>
              <w:t>4.662</w:t>
            </w:r>
          </w:p>
        </w:tc>
        <w:tc>
          <w:tcPr>
            <w:tcW w:w="82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6"/>
                <w:szCs w:val="16"/>
              </w:rPr>
            </w:pPr>
            <w:r w:rsidRPr="0052086F">
              <w:rPr>
                <w:rFonts w:ascii="Tahoma" w:hAnsi="Tahoma" w:cs="Tahoma"/>
                <w:sz w:val="16"/>
                <w:szCs w:val="16"/>
              </w:rPr>
              <w:t>4.301</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3.387</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3.700</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4.200</w:t>
            </w:r>
          </w:p>
        </w:tc>
        <w:tc>
          <w:tcPr>
            <w:tcW w:w="78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3.298</w:t>
            </w:r>
          </w:p>
        </w:tc>
      </w:tr>
      <w:tr w:rsidR="0052086F" w:rsidRPr="0052086F" w:rsidTr="006F3AA0">
        <w:trPr>
          <w:trHeight w:val="210"/>
          <w:jc w:val="center"/>
        </w:trPr>
        <w:tc>
          <w:tcPr>
            <w:tcW w:w="2740"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52086F">
            <w:pPr>
              <w:ind w:firstLineChars="200" w:firstLine="320"/>
              <w:rPr>
                <w:rFonts w:ascii="Tahoma" w:hAnsi="Tahoma" w:cs="Tahoma"/>
                <w:color w:val="000000"/>
                <w:sz w:val="16"/>
                <w:szCs w:val="16"/>
              </w:rPr>
            </w:pPr>
            <w:r w:rsidRPr="0052086F">
              <w:rPr>
                <w:rFonts w:ascii="Tahoma" w:hAnsi="Tahoma" w:cs="Tahoma"/>
                <w:color w:val="000000"/>
                <w:sz w:val="16"/>
                <w:szCs w:val="16"/>
              </w:rPr>
              <w:t>ΕΜΜΕΣΟΙ ΦΟΡΟΙ</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29.084</w:t>
            </w:r>
          </w:p>
        </w:tc>
        <w:tc>
          <w:tcPr>
            <w:tcW w:w="82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28.632</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31.243</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29.088</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29.088</w:t>
            </w:r>
          </w:p>
        </w:tc>
        <w:tc>
          <w:tcPr>
            <w:tcW w:w="78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26.881</w:t>
            </w:r>
          </w:p>
        </w:tc>
      </w:tr>
      <w:tr w:rsidR="0052086F" w:rsidRPr="0052086F" w:rsidTr="006F3AA0">
        <w:trPr>
          <w:trHeight w:val="210"/>
          <w:jc w:val="center"/>
        </w:trPr>
        <w:tc>
          <w:tcPr>
            <w:tcW w:w="2740"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52086F">
            <w:pPr>
              <w:ind w:firstLineChars="400" w:firstLine="640"/>
              <w:rPr>
                <w:rFonts w:ascii="Tahoma" w:hAnsi="Tahoma" w:cs="Tahoma"/>
                <w:i/>
                <w:iCs/>
                <w:color w:val="000000"/>
                <w:sz w:val="16"/>
                <w:szCs w:val="16"/>
              </w:rPr>
            </w:pPr>
            <w:r w:rsidRPr="0052086F">
              <w:rPr>
                <w:rFonts w:ascii="Tahoma" w:hAnsi="Tahoma" w:cs="Tahoma"/>
                <w:i/>
                <w:iCs/>
                <w:color w:val="000000"/>
                <w:sz w:val="16"/>
                <w:szCs w:val="16"/>
              </w:rPr>
              <w:t>Φόροι συναλλαγών</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17.855</w:t>
            </w:r>
          </w:p>
        </w:tc>
        <w:tc>
          <w:tcPr>
            <w:tcW w:w="82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17.790</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19.160</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17.608</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17.608</w:t>
            </w:r>
          </w:p>
        </w:tc>
        <w:tc>
          <w:tcPr>
            <w:tcW w:w="78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16.537</w:t>
            </w:r>
          </w:p>
        </w:tc>
      </w:tr>
      <w:tr w:rsidR="0052086F" w:rsidRPr="0052086F" w:rsidTr="006F3AA0">
        <w:trPr>
          <w:trHeight w:val="210"/>
          <w:jc w:val="center"/>
        </w:trPr>
        <w:tc>
          <w:tcPr>
            <w:tcW w:w="2740"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52086F">
            <w:pPr>
              <w:ind w:firstLineChars="400" w:firstLine="640"/>
              <w:rPr>
                <w:rFonts w:ascii="Tahoma" w:hAnsi="Tahoma" w:cs="Tahoma"/>
                <w:i/>
                <w:iCs/>
                <w:color w:val="000000"/>
                <w:sz w:val="16"/>
                <w:szCs w:val="16"/>
              </w:rPr>
            </w:pPr>
            <w:r w:rsidRPr="0052086F">
              <w:rPr>
                <w:rFonts w:ascii="Tahoma" w:hAnsi="Tahoma" w:cs="Tahoma"/>
                <w:i/>
                <w:iCs/>
                <w:color w:val="000000"/>
                <w:sz w:val="16"/>
                <w:szCs w:val="16"/>
              </w:rPr>
              <w:t xml:space="preserve">Φόροι κατανάλωσης </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10.395</w:t>
            </w:r>
          </w:p>
        </w:tc>
        <w:tc>
          <w:tcPr>
            <w:tcW w:w="82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10.131</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11.198</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10.629</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10.629</w:t>
            </w:r>
          </w:p>
        </w:tc>
        <w:tc>
          <w:tcPr>
            <w:tcW w:w="78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9.630</w:t>
            </w:r>
          </w:p>
        </w:tc>
      </w:tr>
      <w:tr w:rsidR="0052086F" w:rsidRPr="0052086F" w:rsidTr="006F3AA0">
        <w:trPr>
          <w:trHeight w:val="210"/>
          <w:jc w:val="center"/>
        </w:trPr>
        <w:tc>
          <w:tcPr>
            <w:tcW w:w="2740"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52086F">
            <w:pPr>
              <w:ind w:firstLineChars="400" w:firstLine="640"/>
              <w:rPr>
                <w:rFonts w:ascii="Tahoma" w:hAnsi="Tahoma" w:cs="Tahoma"/>
                <w:i/>
                <w:iCs/>
                <w:color w:val="000000"/>
                <w:sz w:val="16"/>
                <w:szCs w:val="16"/>
              </w:rPr>
            </w:pPr>
            <w:r w:rsidRPr="0052086F">
              <w:rPr>
                <w:rFonts w:ascii="Tahoma" w:hAnsi="Tahoma" w:cs="Tahoma"/>
                <w:i/>
                <w:iCs/>
                <w:color w:val="000000"/>
                <w:sz w:val="16"/>
                <w:szCs w:val="16"/>
              </w:rPr>
              <w:t>Εμμεσοι φόροι ΠΟΕ</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492</w:t>
            </w:r>
          </w:p>
        </w:tc>
        <w:tc>
          <w:tcPr>
            <w:tcW w:w="82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373</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467</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499</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499</w:t>
            </w:r>
          </w:p>
        </w:tc>
        <w:tc>
          <w:tcPr>
            <w:tcW w:w="78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374</w:t>
            </w:r>
          </w:p>
        </w:tc>
      </w:tr>
      <w:tr w:rsidR="0052086F" w:rsidRPr="0052086F" w:rsidTr="006F3AA0">
        <w:trPr>
          <w:trHeight w:val="21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2086F" w:rsidRPr="0052086F" w:rsidRDefault="0052086F" w:rsidP="0052086F">
            <w:pPr>
              <w:ind w:firstLineChars="400" w:firstLine="640"/>
              <w:rPr>
                <w:rFonts w:ascii="Tahoma" w:hAnsi="Tahoma" w:cs="Tahoma"/>
                <w:i/>
                <w:iCs/>
                <w:color w:val="000000"/>
                <w:sz w:val="16"/>
                <w:szCs w:val="16"/>
              </w:rPr>
            </w:pPr>
            <w:r w:rsidRPr="0052086F">
              <w:rPr>
                <w:rFonts w:ascii="Tahoma" w:hAnsi="Tahoma" w:cs="Tahoma"/>
                <w:i/>
                <w:iCs/>
                <w:color w:val="000000"/>
                <w:sz w:val="16"/>
                <w:szCs w:val="16"/>
              </w:rPr>
              <w:t>Λοιποί έμμεσοι</w:t>
            </w:r>
          </w:p>
        </w:tc>
        <w:tc>
          <w:tcPr>
            <w:tcW w:w="740" w:type="dxa"/>
            <w:tcBorders>
              <w:top w:val="nil"/>
              <w:left w:val="nil"/>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341</w:t>
            </w:r>
          </w:p>
        </w:tc>
        <w:tc>
          <w:tcPr>
            <w:tcW w:w="820" w:type="dxa"/>
            <w:tcBorders>
              <w:top w:val="nil"/>
              <w:left w:val="nil"/>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339</w:t>
            </w:r>
          </w:p>
        </w:tc>
        <w:tc>
          <w:tcPr>
            <w:tcW w:w="740" w:type="dxa"/>
            <w:tcBorders>
              <w:top w:val="nil"/>
              <w:left w:val="nil"/>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418</w:t>
            </w:r>
          </w:p>
        </w:tc>
        <w:tc>
          <w:tcPr>
            <w:tcW w:w="740" w:type="dxa"/>
            <w:tcBorders>
              <w:top w:val="nil"/>
              <w:left w:val="nil"/>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352</w:t>
            </w:r>
          </w:p>
        </w:tc>
        <w:tc>
          <w:tcPr>
            <w:tcW w:w="740" w:type="dxa"/>
            <w:tcBorders>
              <w:top w:val="nil"/>
              <w:left w:val="nil"/>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352</w:t>
            </w:r>
          </w:p>
        </w:tc>
        <w:tc>
          <w:tcPr>
            <w:tcW w:w="780" w:type="dxa"/>
            <w:tcBorders>
              <w:top w:val="nil"/>
              <w:left w:val="nil"/>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340</w:t>
            </w:r>
          </w:p>
        </w:tc>
      </w:tr>
      <w:tr w:rsidR="0052086F" w:rsidRPr="0052086F" w:rsidTr="006F3AA0">
        <w:trPr>
          <w:trHeight w:val="210"/>
          <w:jc w:val="center"/>
        </w:trPr>
        <w:tc>
          <w:tcPr>
            <w:tcW w:w="2740"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52086F">
            <w:pPr>
              <w:jc w:val="both"/>
              <w:rPr>
                <w:rFonts w:ascii="Tahoma" w:hAnsi="Tahoma" w:cs="Tahoma"/>
                <w:b/>
                <w:bCs/>
                <w:i/>
                <w:iCs/>
                <w:color w:val="000000"/>
                <w:sz w:val="16"/>
                <w:szCs w:val="16"/>
              </w:rPr>
            </w:pPr>
            <w:r w:rsidRPr="0052086F">
              <w:rPr>
                <w:rFonts w:ascii="Tahoma" w:hAnsi="Tahoma" w:cs="Tahoma"/>
                <w:b/>
                <w:bCs/>
                <w:i/>
                <w:iCs/>
                <w:color w:val="000000"/>
                <w:sz w:val="16"/>
                <w:szCs w:val="16"/>
              </w:rPr>
              <w:t>ΜΗ ΦΟΡΟΛΟΓΙΚΑ ΕΣΟΔΑ</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i/>
                <w:iCs/>
                <w:color w:val="000000"/>
                <w:sz w:val="16"/>
                <w:szCs w:val="16"/>
              </w:rPr>
            </w:pPr>
            <w:r w:rsidRPr="0052086F">
              <w:rPr>
                <w:rFonts w:ascii="Tahoma" w:hAnsi="Tahoma" w:cs="Tahoma"/>
                <w:b/>
                <w:bCs/>
                <w:i/>
                <w:iCs/>
                <w:color w:val="000000"/>
                <w:sz w:val="16"/>
                <w:szCs w:val="16"/>
              </w:rPr>
              <w:t>6.605</w:t>
            </w:r>
          </w:p>
        </w:tc>
        <w:tc>
          <w:tcPr>
            <w:tcW w:w="82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i/>
                <w:iCs/>
                <w:color w:val="000000"/>
                <w:sz w:val="16"/>
                <w:szCs w:val="16"/>
              </w:rPr>
            </w:pPr>
            <w:r w:rsidRPr="0052086F">
              <w:rPr>
                <w:rFonts w:ascii="Tahoma" w:hAnsi="Tahoma" w:cs="Tahoma"/>
                <w:b/>
                <w:bCs/>
                <w:i/>
                <w:iCs/>
                <w:color w:val="000000"/>
                <w:sz w:val="16"/>
                <w:szCs w:val="16"/>
              </w:rPr>
              <w:t>6.425</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i/>
                <w:iCs/>
                <w:color w:val="000000"/>
                <w:sz w:val="16"/>
                <w:szCs w:val="16"/>
              </w:rPr>
            </w:pPr>
            <w:r w:rsidRPr="0052086F">
              <w:rPr>
                <w:rFonts w:ascii="Tahoma" w:hAnsi="Tahoma" w:cs="Tahoma"/>
                <w:b/>
                <w:bCs/>
                <w:i/>
                <w:iCs/>
                <w:color w:val="000000"/>
                <w:sz w:val="16"/>
                <w:szCs w:val="16"/>
              </w:rPr>
              <w:t>6.972</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i/>
                <w:iCs/>
                <w:color w:val="000000"/>
                <w:sz w:val="16"/>
                <w:szCs w:val="16"/>
              </w:rPr>
            </w:pPr>
            <w:r w:rsidRPr="0052086F">
              <w:rPr>
                <w:rFonts w:ascii="Tahoma" w:hAnsi="Tahoma" w:cs="Tahoma"/>
                <w:b/>
                <w:bCs/>
                <w:i/>
                <w:iCs/>
                <w:color w:val="000000"/>
                <w:sz w:val="16"/>
                <w:szCs w:val="16"/>
              </w:rPr>
              <w:t>5.279</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i/>
                <w:iCs/>
                <w:color w:val="000000"/>
                <w:sz w:val="16"/>
                <w:szCs w:val="16"/>
              </w:rPr>
            </w:pPr>
            <w:r w:rsidRPr="0052086F">
              <w:rPr>
                <w:rFonts w:ascii="Tahoma" w:hAnsi="Tahoma" w:cs="Tahoma"/>
                <w:b/>
                <w:bCs/>
                <w:i/>
                <w:iCs/>
                <w:color w:val="000000"/>
                <w:sz w:val="16"/>
                <w:szCs w:val="16"/>
              </w:rPr>
              <w:t>4.934</w:t>
            </w:r>
          </w:p>
        </w:tc>
        <w:tc>
          <w:tcPr>
            <w:tcW w:w="78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i/>
                <w:iCs/>
                <w:color w:val="000000"/>
                <w:sz w:val="16"/>
                <w:szCs w:val="16"/>
              </w:rPr>
            </w:pPr>
            <w:r w:rsidRPr="0052086F">
              <w:rPr>
                <w:rFonts w:ascii="Tahoma" w:hAnsi="Tahoma" w:cs="Tahoma"/>
                <w:b/>
                <w:bCs/>
                <w:i/>
                <w:iCs/>
                <w:color w:val="000000"/>
                <w:sz w:val="16"/>
                <w:szCs w:val="16"/>
              </w:rPr>
              <w:t>4.816</w:t>
            </w:r>
          </w:p>
        </w:tc>
      </w:tr>
      <w:tr w:rsidR="0052086F" w:rsidRPr="0052086F" w:rsidTr="006F3AA0">
        <w:trPr>
          <w:trHeight w:val="210"/>
          <w:jc w:val="center"/>
        </w:trPr>
        <w:tc>
          <w:tcPr>
            <w:tcW w:w="2740"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52086F">
            <w:pPr>
              <w:ind w:firstLineChars="200" w:firstLine="320"/>
              <w:rPr>
                <w:rFonts w:ascii="Tahoma" w:hAnsi="Tahoma" w:cs="Tahoma"/>
                <w:color w:val="000000"/>
                <w:sz w:val="16"/>
                <w:szCs w:val="16"/>
              </w:rPr>
            </w:pPr>
            <w:r w:rsidRPr="0052086F">
              <w:rPr>
                <w:rFonts w:ascii="Tahoma" w:hAnsi="Tahoma" w:cs="Tahoma"/>
                <w:color w:val="000000"/>
                <w:sz w:val="16"/>
                <w:szCs w:val="16"/>
              </w:rPr>
              <w:t>ΑΠΟΛΗΨΕΙΣ ΑΠΟ Ε.Ε.</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271</w:t>
            </w:r>
          </w:p>
        </w:tc>
        <w:tc>
          <w:tcPr>
            <w:tcW w:w="82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274</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148</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146</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165</w:t>
            </w:r>
          </w:p>
        </w:tc>
        <w:tc>
          <w:tcPr>
            <w:tcW w:w="78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165</w:t>
            </w:r>
          </w:p>
        </w:tc>
      </w:tr>
      <w:tr w:rsidR="0052086F" w:rsidRPr="0052086F" w:rsidTr="006F3AA0">
        <w:trPr>
          <w:trHeight w:val="210"/>
          <w:jc w:val="center"/>
        </w:trPr>
        <w:tc>
          <w:tcPr>
            <w:tcW w:w="2740"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52086F">
            <w:pPr>
              <w:ind w:firstLineChars="200" w:firstLine="320"/>
              <w:rPr>
                <w:rFonts w:ascii="Tahoma" w:hAnsi="Tahoma" w:cs="Tahoma"/>
                <w:color w:val="000000"/>
                <w:sz w:val="16"/>
                <w:szCs w:val="16"/>
              </w:rPr>
            </w:pPr>
            <w:r w:rsidRPr="0052086F">
              <w:rPr>
                <w:rFonts w:ascii="Tahoma" w:hAnsi="Tahoma" w:cs="Tahoma"/>
                <w:color w:val="000000"/>
                <w:sz w:val="16"/>
                <w:szCs w:val="16"/>
              </w:rPr>
              <w:t>ΜΗ ΤΑΚΤΙΚΑ ΕΣΟΔΑ</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1.926</w:t>
            </w:r>
          </w:p>
        </w:tc>
        <w:tc>
          <w:tcPr>
            <w:tcW w:w="82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1.922</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2.258</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2.114</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2.113</w:t>
            </w:r>
          </w:p>
        </w:tc>
        <w:tc>
          <w:tcPr>
            <w:tcW w:w="78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2.081</w:t>
            </w:r>
          </w:p>
        </w:tc>
      </w:tr>
      <w:tr w:rsidR="0052086F" w:rsidRPr="0052086F" w:rsidTr="006F3AA0">
        <w:trPr>
          <w:trHeight w:val="210"/>
          <w:jc w:val="center"/>
        </w:trPr>
        <w:tc>
          <w:tcPr>
            <w:tcW w:w="2740" w:type="dxa"/>
            <w:tcBorders>
              <w:top w:val="nil"/>
              <w:left w:val="single" w:sz="4" w:space="0" w:color="auto"/>
              <w:bottom w:val="nil"/>
              <w:right w:val="single" w:sz="4" w:space="0" w:color="auto"/>
            </w:tcBorders>
            <w:shd w:val="clear" w:color="auto" w:fill="auto"/>
            <w:noWrap/>
            <w:vAlign w:val="center"/>
            <w:hideMark/>
          </w:tcPr>
          <w:p w:rsidR="0052086F" w:rsidRPr="0052086F" w:rsidRDefault="0052086F" w:rsidP="0052086F">
            <w:pPr>
              <w:ind w:firstLineChars="200" w:firstLine="320"/>
              <w:rPr>
                <w:rFonts w:ascii="Tahoma" w:hAnsi="Tahoma" w:cs="Tahoma"/>
                <w:color w:val="000000"/>
                <w:sz w:val="16"/>
                <w:szCs w:val="16"/>
              </w:rPr>
            </w:pPr>
            <w:r w:rsidRPr="0052086F">
              <w:rPr>
                <w:rFonts w:ascii="Tahoma" w:hAnsi="Tahoma" w:cs="Tahoma"/>
                <w:color w:val="000000"/>
                <w:sz w:val="16"/>
                <w:szCs w:val="16"/>
              </w:rPr>
              <w:t>ΑΔΕΙΕΣ ΚΑΙ ΔΙΚΑΙΩΜΑΤΑ</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1.056</w:t>
            </w:r>
          </w:p>
        </w:tc>
        <w:tc>
          <w:tcPr>
            <w:tcW w:w="82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1.157</w:t>
            </w: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sz w:val="16"/>
                <w:szCs w:val="16"/>
              </w:rPr>
            </w:pP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p>
        </w:tc>
        <w:tc>
          <w:tcPr>
            <w:tcW w:w="74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230</w:t>
            </w:r>
          </w:p>
        </w:tc>
        <w:tc>
          <w:tcPr>
            <w:tcW w:w="780" w:type="dxa"/>
            <w:tcBorders>
              <w:top w:val="nil"/>
              <w:left w:val="nil"/>
              <w:bottom w:val="nil"/>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270</w:t>
            </w:r>
          </w:p>
        </w:tc>
      </w:tr>
      <w:tr w:rsidR="0052086F" w:rsidRPr="0052086F" w:rsidTr="006F3AA0">
        <w:trPr>
          <w:trHeight w:val="21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2086F" w:rsidRPr="0052086F" w:rsidRDefault="0052086F" w:rsidP="0052086F">
            <w:pPr>
              <w:ind w:firstLineChars="200" w:firstLine="320"/>
              <w:rPr>
                <w:rFonts w:ascii="Tahoma" w:hAnsi="Tahoma" w:cs="Tahoma"/>
                <w:color w:val="000000"/>
                <w:sz w:val="16"/>
                <w:szCs w:val="16"/>
              </w:rPr>
            </w:pPr>
            <w:r w:rsidRPr="0052086F">
              <w:rPr>
                <w:rFonts w:ascii="Tahoma" w:hAnsi="Tahoma" w:cs="Tahoma"/>
                <w:color w:val="000000"/>
                <w:sz w:val="16"/>
                <w:szCs w:val="16"/>
              </w:rPr>
              <w:t xml:space="preserve">ΛΟΙΠΑ                  </w:t>
            </w:r>
          </w:p>
        </w:tc>
        <w:tc>
          <w:tcPr>
            <w:tcW w:w="740" w:type="dxa"/>
            <w:tcBorders>
              <w:top w:val="nil"/>
              <w:left w:val="nil"/>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3.354</w:t>
            </w:r>
          </w:p>
        </w:tc>
        <w:tc>
          <w:tcPr>
            <w:tcW w:w="820" w:type="dxa"/>
            <w:tcBorders>
              <w:top w:val="nil"/>
              <w:left w:val="nil"/>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3.072</w:t>
            </w:r>
          </w:p>
        </w:tc>
        <w:tc>
          <w:tcPr>
            <w:tcW w:w="740" w:type="dxa"/>
            <w:tcBorders>
              <w:top w:val="nil"/>
              <w:left w:val="nil"/>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4.566</w:t>
            </w:r>
          </w:p>
        </w:tc>
        <w:tc>
          <w:tcPr>
            <w:tcW w:w="740" w:type="dxa"/>
            <w:tcBorders>
              <w:top w:val="nil"/>
              <w:left w:val="nil"/>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3.019</w:t>
            </w:r>
          </w:p>
        </w:tc>
        <w:tc>
          <w:tcPr>
            <w:tcW w:w="740" w:type="dxa"/>
            <w:tcBorders>
              <w:top w:val="nil"/>
              <w:left w:val="nil"/>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2.426</w:t>
            </w:r>
          </w:p>
        </w:tc>
        <w:tc>
          <w:tcPr>
            <w:tcW w:w="780" w:type="dxa"/>
            <w:tcBorders>
              <w:top w:val="nil"/>
              <w:left w:val="nil"/>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color w:val="000000"/>
                <w:sz w:val="16"/>
                <w:szCs w:val="16"/>
              </w:rPr>
            </w:pPr>
            <w:r w:rsidRPr="0052086F">
              <w:rPr>
                <w:rFonts w:ascii="Tahoma" w:hAnsi="Tahoma" w:cs="Tahoma"/>
                <w:color w:val="000000"/>
                <w:sz w:val="16"/>
                <w:szCs w:val="16"/>
              </w:rPr>
              <w:t>2.300</w:t>
            </w:r>
          </w:p>
        </w:tc>
      </w:tr>
      <w:tr w:rsidR="0052086F" w:rsidRPr="0052086F" w:rsidTr="006F3AA0">
        <w:trPr>
          <w:trHeight w:val="255"/>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2086F" w:rsidRPr="0052086F" w:rsidRDefault="0052086F" w:rsidP="0052086F">
            <w:pPr>
              <w:jc w:val="both"/>
              <w:rPr>
                <w:rFonts w:ascii="Tahoma" w:hAnsi="Tahoma" w:cs="Tahoma"/>
                <w:b/>
                <w:bCs/>
                <w:color w:val="000000"/>
                <w:sz w:val="16"/>
                <w:szCs w:val="16"/>
              </w:rPr>
            </w:pPr>
            <w:r w:rsidRPr="0052086F">
              <w:rPr>
                <w:rFonts w:ascii="Tahoma" w:hAnsi="Tahoma" w:cs="Tahoma"/>
                <w:b/>
                <w:bCs/>
                <w:color w:val="000000"/>
                <w:sz w:val="16"/>
                <w:szCs w:val="16"/>
              </w:rPr>
              <w:t>Π.Δ.Ε.</w:t>
            </w:r>
          </w:p>
        </w:tc>
        <w:tc>
          <w:tcPr>
            <w:tcW w:w="740" w:type="dxa"/>
            <w:tcBorders>
              <w:top w:val="nil"/>
              <w:left w:val="nil"/>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color w:val="000000"/>
                <w:sz w:val="16"/>
                <w:szCs w:val="16"/>
              </w:rPr>
            </w:pPr>
            <w:r w:rsidRPr="0052086F">
              <w:rPr>
                <w:rFonts w:ascii="Tahoma" w:hAnsi="Tahoma" w:cs="Tahoma"/>
                <w:b/>
                <w:bCs/>
                <w:color w:val="000000"/>
                <w:sz w:val="16"/>
                <w:szCs w:val="16"/>
              </w:rPr>
              <w:t>3.365</w:t>
            </w:r>
          </w:p>
        </w:tc>
        <w:tc>
          <w:tcPr>
            <w:tcW w:w="820" w:type="dxa"/>
            <w:tcBorders>
              <w:top w:val="nil"/>
              <w:left w:val="nil"/>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color w:val="000000"/>
                <w:sz w:val="16"/>
                <w:szCs w:val="16"/>
              </w:rPr>
            </w:pPr>
            <w:r w:rsidRPr="0052086F">
              <w:rPr>
                <w:rFonts w:ascii="Tahoma" w:hAnsi="Tahoma" w:cs="Tahoma"/>
                <w:b/>
                <w:bCs/>
                <w:color w:val="000000"/>
                <w:sz w:val="16"/>
                <w:szCs w:val="16"/>
              </w:rPr>
              <w:t>3.770</w:t>
            </w:r>
          </w:p>
        </w:tc>
        <w:tc>
          <w:tcPr>
            <w:tcW w:w="740" w:type="dxa"/>
            <w:tcBorders>
              <w:top w:val="nil"/>
              <w:left w:val="nil"/>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color w:val="000000"/>
                <w:sz w:val="16"/>
                <w:szCs w:val="16"/>
              </w:rPr>
            </w:pPr>
            <w:r w:rsidRPr="0052086F">
              <w:rPr>
                <w:rFonts w:ascii="Tahoma" w:hAnsi="Tahoma" w:cs="Tahoma"/>
                <w:b/>
                <w:bCs/>
                <w:color w:val="000000"/>
                <w:sz w:val="16"/>
                <w:szCs w:val="16"/>
              </w:rPr>
              <w:t>4.615</w:t>
            </w:r>
          </w:p>
        </w:tc>
        <w:tc>
          <w:tcPr>
            <w:tcW w:w="740" w:type="dxa"/>
            <w:tcBorders>
              <w:top w:val="nil"/>
              <w:left w:val="nil"/>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color w:val="000000"/>
                <w:sz w:val="16"/>
                <w:szCs w:val="16"/>
              </w:rPr>
            </w:pPr>
            <w:r w:rsidRPr="0052086F">
              <w:rPr>
                <w:rFonts w:ascii="Tahoma" w:hAnsi="Tahoma" w:cs="Tahoma"/>
                <w:b/>
                <w:bCs/>
                <w:color w:val="000000"/>
                <w:sz w:val="16"/>
                <w:szCs w:val="16"/>
              </w:rPr>
              <w:t>4.860</w:t>
            </w:r>
          </w:p>
        </w:tc>
        <w:tc>
          <w:tcPr>
            <w:tcW w:w="740" w:type="dxa"/>
            <w:tcBorders>
              <w:top w:val="nil"/>
              <w:left w:val="nil"/>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color w:val="000000"/>
                <w:sz w:val="16"/>
                <w:szCs w:val="16"/>
              </w:rPr>
            </w:pPr>
            <w:r w:rsidRPr="0052086F">
              <w:rPr>
                <w:rFonts w:ascii="Tahoma" w:hAnsi="Tahoma" w:cs="Tahoma"/>
                <w:b/>
                <w:bCs/>
                <w:color w:val="000000"/>
                <w:sz w:val="16"/>
                <w:szCs w:val="16"/>
              </w:rPr>
              <w:t>4.750</w:t>
            </w:r>
          </w:p>
        </w:tc>
        <w:tc>
          <w:tcPr>
            <w:tcW w:w="780" w:type="dxa"/>
            <w:tcBorders>
              <w:top w:val="nil"/>
              <w:left w:val="nil"/>
              <w:bottom w:val="single" w:sz="4" w:space="0" w:color="auto"/>
              <w:right w:val="single" w:sz="4" w:space="0" w:color="auto"/>
            </w:tcBorders>
            <w:shd w:val="clear" w:color="auto" w:fill="auto"/>
            <w:noWrap/>
            <w:vAlign w:val="center"/>
            <w:hideMark/>
          </w:tcPr>
          <w:p w:rsidR="0052086F" w:rsidRPr="0052086F" w:rsidRDefault="0052086F" w:rsidP="006F3AA0">
            <w:pPr>
              <w:jc w:val="center"/>
              <w:rPr>
                <w:rFonts w:ascii="Tahoma" w:hAnsi="Tahoma" w:cs="Tahoma"/>
                <w:b/>
                <w:bCs/>
                <w:color w:val="000000"/>
                <w:sz w:val="16"/>
                <w:szCs w:val="16"/>
              </w:rPr>
            </w:pPr>
            <w:r w:rsidRPr="0052086F">
              <w:rPr>
                <w:rFonts w:ascii="Tahoma" w:hAnsi="Tahoma" w:cs="Tahoma"/>
                <w:b/>
                <w:bCs/>
                <w:color w:val="000000"/>
                <w:sz w:val="16"/>
                <w:szCs w:val="16"/>
              </w:rPr>
              <w:t>4.750</w:t>
            </w:r>
          </w:p>
        </w:tc>
      </w:tr>
    </w:tbl>
    <w:p w:rsidR="00425199" w:rsidRPr="00477CD6" w:rsidRDefault="00425199" w:rsidP="006F3AA0">
      <w:pPr>
        <w:pStyle w:val="TOC1"/>
      </w:pPr>
      <w:r w:rsidRPr="0066593B">
        <w:rPr>
          <w:b/>
        </w:rPr>
        <w:lastRenderedPageBreak/>
        <w:t>Επεξεργασία στοιχείων</w:t>
      </w:r>
      <w:r w:rsidRPr="00477CD6">
        <w:t xml:space="preserve">: </w:t>
      </w:r>
      <w:r w:rsidRPr="0066593B">
        <w:rPr>
          <w:lang w:val="en-US"/>
        </w:rPr>
        <w:t>IOBE</w:t>
      </w:r>
    </w:p>
    <w:p w:rsidR="00425199" w:rsidRPr="006B17B0" w:rsidRDefault="00425199" w:rsidP="00A72932">
      <w:pPr>
        <w:spacing w:before="120" w:after="120"/>
        <w:jc w:val="center"/>
        <w:rPr>
          <w:rFonts w:ascii="Tahoma" w:hAnsi="Tahoma" w:cs="Tahoma"/>
          <w:b/>
          <w:color w:val="000000" w:themeColor="text1"/>
          <w:szCs w:val="22"/>
        </w:rPr>
      </w:pPr>
      <w:r w:rsidRPr="006B17B0">
        <w:rPr>
          <w:rFonts w:ascii="Tahoma" w:hAnsi="Tahoma" w:cs="Tahoma"/>
          <w:b/>
          <w:color w:val="000000" w:themeColor="text1"/>
          <w:szCs w:val="22"/>
        </w:rPr>
        <w:t>Πίνακας 2.9</w:t>
      </w:r>
    </w:p>
    <w:p w:rsidR="00425199" w:rsidRDefault="00425199" w:rsidP="00425199">
      <w:pPr>
        <w:pStyle w:val="Heading6"/>
        <w:spacing w:before="120" w:after="120"/>
        <w:jc w:val="center"/>
        <w:rPr>
          <w:rFonts w:ascii="Tahoma" w:hAnsi="Tahoma" w:cs="Tahoma"/>
          <w:i w:val="0"/>
          <w:color w:val="000000" w:themeColor="text1"/>
          <w:szCs w:val="22"/>
        </w:rPr>
      </w:pPr>
      <w:r w:rsidRPr="006B17B0">
        <w:rPr>
          <w:rFonts w:ascii="Tahoma" w:hAnsi="Tahoma" w:cs="Tahoma"/>
          <w:i w:val="0"/>
          <w:color w:val="000000" w:themeColor="text1"/>
          <w:szCs w:val="22"/>
        </w:rPr>
        <w:t xml:space="preserve">Αναθεωρημένος Κρατικός Προϋπολογισμός </w:t>
      </w:r>
      <w:r w:rsidR="006F3AA0">
        <w:rPr>
          <w:rFonts w:ascii="Tahoma" w:hAnsi="Tahoma" w:cs="Tahoma"/>
          <w:i w:val="0"/>
          <w:color w:val="000000" w:themeColor="text1"/>
          <w:szCs w:val="22"/>
        </w:rPr>
        <w:t>–</w:t>
      </w:r>
      <w:r w:rsidRPr="006B17B0">
        <w:rPr>
          <w:rFonts w:ascii="Tahoma" w:hAnsi="Tahoma" w:cs="Tahoma"/>
          <w:i w:val="0"/>
          <w:color w:val="000000" w:themeColor="text1"/>
          <w:szCs w:val="22"/>
        </w:rPr>
        <w:t xml:space="preserve"> Δαπάνες</w:t>
      </w:r>
    </w:p>
    <w:tbl>
      <w:tblPr>
        <w:tblW w:w="7847" w:type="dxa"/>
        <w:jc w:val="center"/>
        <w:tblInd w:w="93" w:type="dxa"/>
        <w:tblLook w:val="04A0"/>
      </w:tblPr>
      <w:tblGrid>
        <w:gridCol w:w="4039"/>
        <w:gridCol w:w="754"/>
        <w:gridCol w:w="754"/>
        <w:gridCol w:w="754"/>
        <w:gridCol w:w="754"/>
        <w:gridCol w:w="792"/>
      </w:tblGrid>
      <w:tr w:rsidR="006F3AA0" w:rsidRPr="006F3AA0" w:rsidTr="006F3AA0">
        <w:trPr>
          <w:trHeight w:val="259"/>
          <w:jc w:val="center"/>
        </w:trPr>
        <w:tc>
          <w:tcPr>
            <w:tcW w:w="4039" w:type="dxa"/>
            <w:tcBorders>
              <w:top w:val="nil"/>
              <w:left w:val="nil"/>
              <w:bottom w:val="nil"/>
              <w:right w:val="nil"/>
            </w:tcBorders>
            <w:shd w:val="clear" w:color="auto" w:fill="auto"/>
            <w:noWrap/>
            <w:vAlign w:val="bottom"/>
            <w:hideMark/>
          </w:tcPr>
          <w:p w:rsidR="006F3AA0" w:rsidRPr="006F3AA0" w:rsidRDefault="006F3AA0" w:rsidP="006F3AA0">
            <w:pPr>
              <w:rPr>
                <w:rFonts w:ascii="Tahoma" w:hAnsi="Tahoma" w:cs="Tahoma"/>
                <w:sz w:val="16"/>
                <w:szCs w:val="16"/>
              </w:rPr>
            </w:pPr>
          </w:p>
        </w:tc>
        <w:tc>
          <w:tcPr>
            <w:tcW w:w="75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2011</w:t>
            </w:r>
          </w:p>
        </w:tc>
        <w:tc>
          <w:tcPr>
            <w:tcW w:w="3054"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2012</w:t>
            </w:r>
          </w:p>
        </w:tc>
      </w:tr>
      <w:tr w:rsidR="006F3AA0" w:rsidRPr="006F3AA0" w:rsidTr="006F3AA0">
        <w:trPr>
          <w:trHeight w:val="259"/>
          <w:jc w:val="center"/>
        </w:trPr>
        <w:tc>
          <w:tcPr>
            <w:tcW w:w="4039" w:type="dxa"/>
            <w:tcBorders>
              <w:top w:val="nil"/>
              <w:left w:val="nil"/>
              <w:bottom w:val="nil"/>
              <w:right w:val="nil"/>
            </w:tcBorders>
            <w:shd w:val="clear" w:color="auto" w:fill="auto"/>
            <w:noWrap/>
            <w:vAlign w:val="bottom"/>
            <w:hideMark/>
          </w:tcPr>
          <w:p w:rsidR="006F3AA0" w:rsidRPr="006F3AA0" w:rsidRDefault="006F3AA0" w:rsidP="006F3AA0">
            <w:pPr>
              <w:rPr>
                <w:rFonts w:ascii="Tahoma" w:hAnsi="Tahoma" w:cs="Tahoma"/>
                <w:sz w:val="16"/>
                <w:szCs w:val="16"/>
              </w:rPr>
            </w:pPr>
          </w:p>
        </w:tc>
        <w:tc>
          <w:tcPr>
            <w:tcW w:w="754" w:type="dxa"/>
            <w:vMerge/>
            <w:tcBorders>
              <w:top w:val="single" w:sz="4" w:space="0" w:color="auto"/>
              <w:left w:val="single" w:sz="4" w:space="0" w:color="auto"/>
              <w:bottom w:val="single" w:sz="4" w:space="0" w:color="000000"/>
              <w:right w:val="single" w:sz="4" w:space="0" w:color="auto"/>
            </w:tcBorders>
            <w:vAlign w:val="center"/>
            <w:hideMark/>
          </w:tcPr>
          <w:p w:rsidR="006F3AA0" w:rsidRPr="006F3AA0" w:rsidRDefault="006F3AA0" w:rsidP="006F3AA0">
            <w:pPr>
              <w:rPr>
                <w:rFonts w:ascii="Tahoma" w:hAnsi="Tahoma" w:cs="Tahoma"/>
                <w:b/>
                <w:bCs/>
                <w:sz w:val="16"/>
                <w:szCs w:val="16"/>
              </w:rPr>
            </w:pPr>
          </w:p>
        </w:tc>
        <w:tc>
          <w:tcPr>
            <w:tcW w:w="754" w:type="dxa"/>
            <w:vMerge w:val="restart"/>
            <w:tcBorders>
              <w:top w:val="nil"/>
              <w:left w:val="single" w:sz="4" w:space="0" w:color="auto"/>
              <w:bottom w:val="single" w:sz="4" w:space="0" w:color="000000"/>
              <w:right w:val="single" w:sz="4" w:space="0" w:color="auto"/>
            </w:tcBorders>
            <w:shd w:val="clear" w:color="auto" w:fill="auto"/>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ΜΠΔΣ</w:t>
            </w:r>
          </w:p>
        </w:tc>
        <w:tc>
          <w:tcPr>
            <w:tcW w:w="754" w:type="dxa"/>
            <w:vMerge w:val="restart"/>
            <w:tcBorders>
              <w:top w:val="nil"/>
              <w:left w:val="single" w:sz="4" w:space="0" w:color="auto"/>
              <w:bottom w:val="single" w:sz="4" w:space="0" w:color="000000"/>
              <w:right w:val="single" w:sz="4" w:space="0" w:color="auto"/>
            </w:tcBorders>
            <w:shd w:val="clear" w:color="auto" w:fill="auto"/>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Π/Σ 12</w:t>
            </w:r>
          </w:p>
        </w:tc>
        <w:tc>
          <w:tcPr>
            <w:tcW w:w="754" w:type="dxa"/>
            <w:vMerge w:val="restart"/>
            <w:tcBorders>
              <w:top w:val="nil"/>
              <w:left w:val="single" w:sz="4" w:space="0" w:color="auto"/>
              <w:bottom w:val="single" w:sz="4" w:space="0" w:color="000000"/>
              <w:right w:val="single" w:sz="4" w:space="0" w:color="auto"/>
            </w:tcBorders>
            <w:shd w:val="clear" w:color="auto" w:fill="auto"/>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Π/Υ 12</w:t>
            </w:r>
          </w:p>
        </w:tc>
        <w:tc>
          <w:tcPr>
            <w:tcW w:w="792" w:type="dxa"/>
            <w:vMerge w:val="restart"/>
            <w:tcBorders>
              <w:top w:val="nil"/>
              <w:left w:val="single" w:sz="4" w:space="0" w:color="auto"/>
              <w:bottom w:val="single" w:sz="4" w:space="0" w:color="000000"/>
              <w:right w:val="single" w:sz="4" w:space="0" w:color="auto"/>
            </w:tcBorders>
            <w:shd w:val="clear" w:color="auto" w:fill="auto"/>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Αναθ. Π/Υ 12</w:t>
            </w:r>
          </w:p>
        </w:tc>
      </w:tr>
      <w:tr w:rsidR="006F3AA0" w:rsidRPr="006F3AA0" w:rsidTr="006F3AA0">
        <w:trPr>
          <w:trHeight w:val="259"/>
          <w:jc w:val="center"/>
        </w:trPr>
        <w:tc>
          <w:tcPr>
            <w:tcW w:w="4039" w:type="dxa"/>
            <w:tcBorders>
              <w:top w:val="nil"/>
              <w:left w:val="nil"/>
              <w:bottom w:val="nil"/>
              <w:right w:val="nil"/>
            </w:tcBorders>
            <w:shd w:val="clear" w:color="auto" w:fill="auto"/>
            <w:noWrap/>
            <w:vAlign w:val="bottom"/>
            <w:hideMark/>
          </w:tcPr>
          <w:p w:rsidR="006F3AA0" w:rsidRPr="006F3AA0" w:rsidRDefault="006F3AA0" w:rsidP="006F3AA0">
            <w:pPr>
              <w:jc w:val="right"/>
              <w:rPr>
                <w:rFonts w:ascii="Tahoma" w:hAnsi="Tahoma" w:cs="Tahoma"/>
                <w:i/>
                <w:iCs/>
                <w:sz w:val="16"/>
                <w:szCs w:val="16"/>
              </w:rPr>
            </w:pPr>
            <w:r w:rsidRPr="006F3AA0">
              <w:rPr>
                <w:rFonts w:ascii="Tahoma" w:hAnsi="Tahoma" w:cs="Tahoma"/>
                <w:i/>
                <w:iCs/>
                <w:sz w:val="16"/>
                <w:szCs w:val="16"/>
              </w:rPr>
              <w:t>€ εκατ.</w:t>
            </w:r>
          </w:p>
        </w:tc>
        <w:tc>
          <w:tcPr>
            <w:tcW w:w="754" w:type="dxa"/>
            <w:vMerge/>
            <w:tcBorders>
              <w:top w:val="single" w:sz="4" w:space="0" w:color="auto"/>
              <w:left w:val="single" w:sz="4" w:space="0" w:color="auto"/>
              <w:bottom w:val="single" w:sz="4" w:space="0" w:color="000000"/>
              <w:right w:val="single" w:sz="4" w:space="0" w:color="auto"/>
            </w:tcBorders>
            <w:vAlign w:val="center"/>
            <w:hideMark/>
          </w:tcPr>
          <w:p w:rsidR="006F3AA0" w:rsidRPr="006F3AA0" w:rsidRDefault="006F3AA0" w:rsidP="006F3AA0">
            <w:pPr>
              <w:rPr>
                <w:rFonts w:ascii="Tahoma" w:hAnsi="Tahoma" w:cs="Tahoma"/>
                <w:b/>
                <w:bCs/>
                <w:sz w:val="16"/>
                <w:szCs w:val="16"/>
              </w:rPr>
            </w:pPr>
          </w:p>
        </w:tc>
        <w:tc>
          <w:tcPr>
            <w:tcW w:w="754" w:type="dxa"/>
            <w:vMerge/>
            <w:tcBorders>
              <w:top w:val="nil"/>
              <w:left w:val="single" w:sz="4" w:space="0" w:color="auto"/>
              <w:bottom w:val="single" w:sz="4" w:space="0" w:color="000000"/>
              <w:right w:val="single" w:sz="4" w:space="0" w:color="auto"/>
            </w:tcBorders>
            <w:vAlign w:val="center"/>
            <w:hideMark/>
          </w:tcPr>
          <w:p w:rsidR="006F3AA0" w:rsidRPr="006F3AA0" w:rsidRDefault="006F3AA0" w:rsidP="006F3AA0">
            <w:pPr>
              <w:rPr>
                <w:rFonts w:ascii="Tahoma" w:hAnsi="Tahoma" w:cs="Tahoma"/>
                <w:b/>
                <w:bCs/>
                <w:sz w:val="16"/>
                <w:szCs w:val="16"/>
              </w:rPr>
            </w:pPr>
          </w:p>
        </w:tc>
        <w:tc>
          <w:tcPr>
            <w:tcW w:w="754" w:type="dxa"/>
            <w:vMerge/>
            <w:tcBorders>
              <w:top w:val="nil"/>
              <w:left w:val="single" w:sz="4" w:space="0" w:color="auto"/>
              <w:bottom w:val="single" w:sz="4" w:space="0" w:color="000000"/>
              <w:right w:val="single" w:sz="4" w:space="0" w:color="auto"/>
            </w:tcBorders>
            <w:vAlign w:val="center"/>
            <w:hideMark/>
          </w:tcPr>
          <w:p w:rsidR="006F3AA0" w:rsidRPr="006F3AA0" w:rsidRDefault="006F3AA0" w:rsidP="006F3AA0">
            <w:pPr>
              <w:rPr>
                <w:rFonts w:ascii="Tahoma" w:hAnsi="Tahoma" w:cs="Tahoma"/>
                <w:b/>
                <w:bCs/>
                <w:sz w:val="16"/>
                <w:szCs w:val="16"/>
              </w:rPr>
            </w:pPr>
          </w:p>
        </w:tc>
        <w:tc>
          <w:tcPr>
            <w:tcW w:w="754" w:type="dxa"/>
            <w:vMerge/>
            <w:tcBorders>
              <w:top w:val="nil"/>
              <w:left w:val="single" w:sz="4" w:space="0" w:color="auto"/>
              <w:bottom w:val="single" w:sz="4" w:space="0" w:color="000000"/>
              <w:right w:val="single" w:sz="4" w:space="0" w:color="auto"/>
            </w:tcBorders>
            <w:vAlign w:val="center"/>
            <w:hideMark/>
          </w:tcPr>
          <w:p w:rsidR="006F3AA0" w:rsidRPr="006F3AA0" w:rsidRDefault="006F3AA0" w:rsidP="006F3AA0">
            <w:pPr>
              <w:rPr>
                <w:rFonts w:ascii="Tahoma" w:hAnsi="Tahoma" w:cs="Tahoma"/>
                <w:b/>
                <w:bCs/>
                <w:sz w:val="16"/>
                <w:szCs w:val="16"/>
              </w:rPr>
            </w:pPr>
          </w:p>
        </w:tc>
        <w:tc>
          <w:tcPr>
            <w:tcW w:w="792" w:type="dxa"/>
            <w:vMerge/>
            <w:tcBorders>
              <w:top w:val="nil"/>
              <w:left w:val="single" w:sz="4" w:space="0" w:color="auto"/>
              <w:bottom w:val="single" w:sz="4" w:space="0" w:color="000000"/>
              <w:right w:val="single" w:sz="4" w:space="0" w:color="auto"/>
            </w:tcBorders>
            <w:vAlign w:val="center"/>
            <w:hideMark/>
          </w:tcPr>
          <w:p w:rsidR="006F3AA0" w:rsidRPr="006F3AA0" w:rsidRDefault="006F3AA0" w:rsidP="006F3AA0">
            <w:pPr>
              <w:rPr>
                <w:rFonts w:ascii="Tahoma" w:hAnsi="Tahoma" w:cs="Tahoma"/>
                <w:b/>
                <w:bCs/>
                <w:sz w:val="16"/>
                <w:szCs w:val="16"/>
              </w:rPr>
            </w:pPr>
          </w:p>
        </w:tc>
      </w:tr>
      <w:tr w:rsidR="006F3AA0" w:rsidRPr="006F3AA0" w:rsidTr="006F3AA0">
        <w:trPr>
          <w:trHeight w:val="259"/>
          <w:jc w:val="center"/>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3AA0" w:rsidRPr="006F3AA0" w:rsidRDefault="006F3AA0" w:rsidP="006F3AA0">
            <w:pPr>
              <w:jc w:val="both"/>
              <w:rPr>
                <w:rFonts w:ascii="Tahoma" w:hAnsi="Tahoma" w:cs="Tahoma"/>
                <w:b/>
                <w:bCs/>
                <w:color w:val="000000"/>
                <w:sz w:val="16"/>
                <w:szCs w:val="16"/>
              </w:rPr>
            </w:pPr>
            <w:r w:rsidRPr="006F3AA0">
              <w:rPr>
                <w:rFonts w:ascii="Tahoma" w:hAnsi="Tahoma" w:cs="Tahoma"/>
                <w:b/>
                <w:bCs/>
                <w:color w:val="000000"/>
                <w:sz w:val="16"/>
                <w:szCs w:val="16"/>
              </w:rPr>
              <w:t>ΣΥΝΟΛΟ ΔΑΠΑΝΩΝ ΚΡΑΤ. ΠΡΟΫΠ.</w:t>
            </w:r>
          </w:p>
        </w:tc>
        <w:tc>
          <w:tcPr>
            <w:tcW w:w="754"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77.632</w:t>
            </w:r>
          </w:p>
        </w:tc>
        <w:tc>
          <w:tcPr>
            <w:tcW w:w="754"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78.771</w:t>
            </w:r>
          </w:p>
        </w:tc>
        <w:tc>
          <w:tcPr>
            <w:tcW w:w="754"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78.105</w:t>
            </w:r>
          </w:p>
        </w:tc>
        <w:tc>
          <w:tcPr>
            <w:tcW w:w="754"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72.557</w:t>
            </w:r>
          </w:p>
        </w:tc>
        <w:tc>
          <w:tcPr>
            <w:tcW w:w="792"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70.299</w:t>
            </w:r>
          </w:p>
        </w:tc>
      </w:tr>
      <w:tr w:rsidR="006F3AA0" w:rsidRPr="006F3AA0" w:rsidTr="006F3AA0">
        <w:trPr>
          <w:trHeight w:val="259"/>
          <w:jc w:val="center"/>
        </w:trPr>
        <w:tc>
          <w:tcPr>
            <w:tcW w:w="4039" w:type="dxa"/>
            <w:tcBorders>
              <w:top w:val="nil"/>
              <w:left w:val="single" w:sz="4" w:space="0" w:color="auto"/>
              <w:bottom w:val="single" w:sz="4" w:space="0" w:color="auto"/>
              <w:right w:val="nil"/>
            </w:tcBorders>
            <w:shd w:val="clear" w:color="auto" w:fill="auto"/>
            <w:vAlign w:val="center"/>
            <w:hideMark/>
          </w:tcPr>
          <w:p w:rsidR="006F3AA0" w:rsidRPr="006F3AA0" w:rsidRDefault="006F3AA0" w:rsidP="006F3AA0">
            <w:pPr>
              <w:rPr>
                <w:rFonts w:ascii="Tahoma" w:hAnsi="Tahoma" w:cs="Tahoma"/>
                <w:b/>
                <w:bCs/>
                <w:sz w:val="16"/>
                <w:szCs w:val="16"/>
              </w:rPr>
            </w:pPr>
            <w:r w:rsidRPr="006F3AA0">
              <w:rPr>
                <w:rFonts w:ascii="Tahoma" w:hAnsi="Tahoma" w:cs="Tahoma"/>
                <w:b/>
                <w:bCs/>
                <w:sz w:val="16"/>
                <w:szCs w:val="16"/>
              </w:rPr>
              <w:t>ΣΥΝΟΛΟ ΔΑΠΑΝΩΝ Τ.Π.</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70.742</w:t>
            </w:r>
          </w:p>
        </w:tc>
        <w:tc>
          <w:tcPr>
            <w:tcW w:w="754"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71.071</w:t>
            </w:r>
          </w:p>
        </w:tc>
        <w:tc>
          <w:tcPr>
            <w:tcW w:w="754"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70.405</w:t>
            </w:r>
          </w:p>
        </w:tc>
        <w:tc>
          <w:tcPr>
            <w:tcW w:w="754"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64.857</w:t>
            </w:r>
          </w:p>
        </w:tc>
        <w:tc>
          <w:tcPr>
            <w:tcW w:w="792"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62.999</w:t>
            </w:r>
          </w:p>
        </w:tc>
      </w:tr>
      <w:tr w:rsidR="006F3AA0" w:rsidRPr="006F3AA0" w:rsidTr="006F3AA0">
        <w:trPr>
          <w:trHeight w:val="259"/>
          <w:jc w:val="center"/>
        </w:trPr>
        <w:tc>
          <w:tcPr>
            <w:tcW w:w="4039" w:type="dxa"/>
            <w:tcBorders>
              <w:top w:val="nil"/>
              <w:left w:val="single" w:sz="4" w:space="0" w:color="auto"/>
              <w:bottom w:val="nil"/>
              <w:right w:val="nil"/>
            </w:tcBorders>
            <w:shd w:val="clear" w:color="auto" w:fill="auto"/>
            <w:vAlign w:val="center"/>
            <w:hideMark/>
          </w:tcPr>
          <w:p w:rsidR="006F3AA0" w:rsidRPr="006F3AA0" w:rsidRDefault="006F3AA0" w:rsidP="006F3AA0">
            <w:pPr>
              <w:rPr>
                <w:rFonts w:ascii="Tahoma" w:hAnsi="Tahoma" w:cs="Tahoma"/>
                <w:b/>
                <w:bCs/>
                <w:i/>
                <w:iCs/>
                <w:sz w:val="16"/>
                <w:szCs w:val="16"/>
              </w:rPr>
            </w:pPr>
            <w:r w:rsidRPr="006F3AA0">
              <w:rPr>
                <w:rFonts w:ascii="Tahoma" w:hAnsi="Tahoma" w:cs="Tahoma"/>
                <w:b/>
                <w:bCs/>
                <w:i/>
                <w:iCs/>
                <w:sz w:val="16"/>
                <w:szCs w:val="16"/>
              </w:rPr>
              <w:t>ΤΟΚΟΙ</w:t>
            </w:r>
          </w:p>
        </w:tc>
        <w:tc>
          <w:tcPr>
            <w:tcW w:w="754"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i/>
                <w:iCs/>
                <w:sz w:val="16"/>
                <w:szCs w:val="16"/>
              </w:rPr>
            </w:pPr>
            <w:r w:rsidRPr="006F3AA0">
              <w:rPr>
                <w:rFonts w:ascii="Arial" w:hAnsi="Arial" w:cs="Arial"/>
                <w:b/>
                <w:bCs/>
                <w:i/>
                <w:iCs/>
                <w:sz w:val="16"/>
                <w:szCs w:val="16"/>
              </w:rPr>
              <w:t>16.380</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i/>
                <w:iCs/>
                <w:sz w:val="16"/>
                <w:szCs w:val="16"/>
              </w:rPr>
            </w:pPr>
            <w:r w:rsidRPr="006F3AA0">
              <w:rPr>
                <w:rFonts w:ascii="Arial" w:hAnsi="Arial" w:cs="Arial"/>
                <w:b/>
                <w:bCs/>
                <w:i/>
                <w:iCs/>
                <w:sz w:val="16"/>
                <w:szCs w:val="16"/>
              </w:rPr>
              <w:t>16.900</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i/>
                <w:iCs/>
                <w:sz w:val="16"/>
                <w:szCs w:val="16"/>
              </w:rPr>
            </w:pPr>
            <w:r w:rsidRPr="006F3AA0">
              <w:rPr>
                <w:rFonts w:ascii="Arial" w:hAnsi="Arial" w:cs="Arial"/>
                <w:b/>
                <w:bCs/>
                <w:i/>
                <w:iCs/>
                <w:sz w:val="16"/>
                <w:szCs w:val="16"/>
              </w:rPr>
              <w:t>17.900</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i/>
                <w:iCs/>
                <w:sz w:val="16"/>
                <w:szCs w:val="16"/>
              </w:rPr>
            </w:pPr>
            <w:r w:rsidRPr="006F3AA0">
              <w:rPr>
                <w:rFonts w:ascii="Arial" w:hAnsi="Arial" w:cs="Arial"/>
                <w:b/>
                <w:bCs/>
                <w:i/>
                <w:iCs/>
                <w:sz w:val="16"/>
                <w:szCs w:val="16"/>
              </w:rPr>
              <w:t>12.750</w:t>
            </w:r>
          </w:p>
        </w:tc>
        <w:tc>
          <w:tcPr>
            <w:tcW w:w="792"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i/>
                <w:iCs/>
                <w:sz w:val="16"/>
                <w:szCs w:val="16"/>
              </w:rPr>
            </w:pPr>
            <w:r w:rsidRPr="006F3AA0">
              <w:rPr>
                <w:rFonts w:ascii="Arial" w:hAnsi="Arial" w:cs="Arial"/>
                <w:b/>
                <w:bCs/>
                <w:i/>
                <w:iCs/>
                <w:sz w:val="16"/>
                <w:szCs w:val="16"/>
              </w:rPr>
              <w:t>13.050</w:t>
            </w:r>
          </w:p>
        </w:tc>
      </w:tr>
      <w:tr w:rsidR="006F3AA0" w:rsidRPr="006F3AA0" w:rsidTr="006F3AA0">
        <w:trPr>
          <w:trHeight w:val="259"/>
          <w:jc w:val="center"/>
        </w:trPr>
        <w:tc>
          <w:tcPr>
            <w:tcW w:w="4039" w:type="dxa"/>
            <w:tcBorders>
              <w:top w:val="nil"/>
              <w:left w:val="single" w:sz="4" w:space="0" w:color="auto"/>
              <w:bottom w:val="nil"/>
              <w:right w:val="nil"/>
            </w:tcBorders>
            <w:shd w:val="clear" w:color="auto" w:fill="auto"/>
            <w:vAlign w:val="center"/>
            <w:hideMark/>
          </w:tcPr>
          <w:p w:rsidR="006F3AA0" w:rsidRPr="006F3AA0" w:rsidRDefault="006F3AA0" w:rsidP="006F3AA0">
            <w:pPr>
              <w:rPr>
                <w:rFonts w:ascii="Tahoma" w:hAnsi="Tahoma" w:cs="Tahoma"/>
                <w:b/>
                <w:bCs/>
                <w:i/>
                <w:iCs/>
                <w:sz w:val="16"/>
                <w:szCs w:val="16"/>
              </w:rPr>
            </w:pPr>
            <w:r w:rsidRPr="006F3AA0">
              <w:rPr>
                <w:rFonts w:ascii="Tahoma" w:hAnsi="Tahoma" w:cs="Tahoma"/>
                <w:b/>
                <w:bCs/>
                <w:i/>
                <w:iCs/>
                <w:sz w:val="16"/>
                <w:szCs w:val="16"/>
              </w:rPr>
              <w:t>ΣΥΝΟΛΟ ΠΡΩΤΟΓΕΝΩΝ ΔΑΠΑΝΩΝ</w:t>
            </w:r>
          </w:p>
        </w:tc>
        <w:tc>
          <w:tcPr>
            <w:tcW w:w="754"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i/>
                <w:iCs/>
                <w:sz w:val="16"/>
                <w:szCs w:val="16"/>
              </w:rPr>
            </w:pPr>
            <w:r w:rsidRPr="006F3AA0">
              <w:rPr>
                <w:rFonts w:ascii="Arial" w:hAnsi="Arial" w:cs="Arial"/>
                <w:b/>
                <w:bCs/>
                <w:i/>
                <w:iCs/>
                <w:sz w:val="16"/>
                <w:szCs w:val="16"/>
              </w:rPr>
              <w:t>54.362</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i/>
                <w:iCs/>
                <w:sz w:val="16"/>
                <w:szCs w:val="16"/>
              </w:rPr>
            </w:pPr>
            <w:r w:rsidRPr="006F3AA0">
              <w:rPr>
                <w:rFonts w:ascii="Arial" w:hAnsi="Arial" w:cs="Arial"/>
                <w:b/>
                <w:bCs/>
                <w:i/>
                <w:iCs/>
                <w:sz w:val="16"/>
                <w:szCs w:val="16"/>
              </w:rPr>
              <w:t>54.170</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i/>
                <w:iCs/>
                <w:sz w:val="16"/>
                <w:szCs w:val="16"/>
              </w:rPr>
            </w:pPr>
            <w:r w:rsidRPr="006F3AA0">
              <w:rPr>
                <w:rFonts w:ascii="Arial" w:hAnsi="Arial" w:cs="Arial"/>
                <w:b/>
                <w:bCs/>
                <w:i/>
                <w:iCs/>
                <w:sz w:val="16"/>
                <w:szCs w:val="16"/>
              </w:rPr>
              <w:t>52.505</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i/>
                <w:iCs/>
                <w:sz w:val="16"/>
                <w:szCs w:val="16"/>
              </w:rPr>
            </w:pPr>
            <w:r w:rsidRPr="006F3AA0">
              <w:rPr>
                <w:rFonts w:ascii="Arial" w:hAnsi="Arial" w:cs="Arial"/>
                <w:b/>
                <w:bCs/>
                <w:i/>
                <w:iCs/>
                <w:sz w:val="16"/>
                <w:szCs w:val="16"/>
              </w:rPr>
              <w:t>52.107</w:t>
            </w:r>
          </w:p>
        </w:tc>
        <w:tc>
          <w:tcPr>
            <w:tcW w:w="792"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i/>
                <w:iCs/>
                <w:sz w:val="16"/>
                <w:szCs w:val="16"/>
              </w:rPr>
            </w:pPr>
            <w:r w:rsidRPr="006F3AA0">
              <w:rPr>
                <w:rFonts w:ascii="Arial" w:hAnsi="Arial" w:cs="Arial"/>
                <w:b/>
                <w:bCs/>
                <w:i/>
                <w:iCs/>
                <w:sz w:val="16"/>
                <w:szCs w:val="16"/>
              </w:rPr>
              <w:t>49.949</w:t>
            </w:r>
          </w:p>
        </w:tc>
      </w:tr>
      <w:tr w:rsidR="006F3AA0" w:rsidRPr="006F3AA0" w:rsidTr="006F3AA0">
        <w:trPr>
          <w:trHeight w:val="259"/>
          <w:jc w:val="center"/>
        </w:trPr>
        <w:tc>
          <w:tcPr>
            <w:tcW w:w="4039" w:type="dxa"/>
            <w:tcBorders>
              <w:top w:val="nil"/>
              <w:left w:val="single" w:sz="4" w:space="0" w:color="auto"/>
              <w:bottom w:val="nil"/>
              <w:right w:val="nil"/>
            </w:tcBorders>
            <w:shd w:val="clear" w:color="auto" w:fill="auto"/>
            <w:vAlign w:val="center"/>
            <w:hideMark/>
          </w:tcPr>
          <w:p w:rsidR="006F3AA0" w:rsidRPr="006F3AA0" w:rsidRDefault="006F3AA0" w:rsidP="006F3AA0">
            <w:pPr>
              <w:ind w:firstLineChars="200" w:firstLine="321"/>
              <w:rPr>
                <w:rFonts w:ascii="Tahoma" w:hAnsi="Tahoma" w:cs="Tahoma"/>
                <w:b/>
                <w:bCs/>
                <w:sz w:val="16"/>
                <w:szCs w:val="16"/>
              </w:rPr>
            </w:pPr>
            <w:r w:rsidRPr="006F3AA0">
              <w:rPr>
                <w:rFonts w:ascii="Tahoma" w:hAnsi="Tahoma" w:cs="Tahoma"/>
                <w:b/>
                <w:bCs/>
                <w:sz w:val="16"/>
                <w:szCs w:val="16"/>
              </w:rPr>
              <w:t>ΑΠΟΔΟΧΕΣ ΚΑΙ ΣΥΝΤΑΞΕΙΣ</w:t>
            </w:r>
          </w:p>
        </w:tc>
        <w:tc>
          <w:tcPr>
            <w:tcW w:w="754"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21.731</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20.846</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20.472</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20.521</w:t>
            </w:r>
          </w:p>
        </w:tc>
        <w:tc>
          <w:tcPr>
            <w:tcW w:w="792"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20.508</w:t>
            </w:r>
          </w:p>
        </w:tc>
      </w:tr>
      <w:tr w:rsidR="006F3AA0" w:rsidRPr="006F3AA0" w:rsidTr="006F3AA0">
        <w:trPr>
          <w:trHeight w:val="259"/>
          <w:jc w:val="center"/>
        </w:trPr>
        <w:tc>
          <w:tcPr>
            <w:tcW w:w="4039" w:type="dxa"/>
            <w:tcBorders>
              <w:top w:val="nil"/>
              <w:left w:val="single" w:sz="4" w:space="0" w:color="auto"/>
              <w:bottom w:val="nil"/>
              <w:right w:val="nil"/>
            </w:tcBorders>
            <w:shd w:val="clear" w:color="auto" w:fill="auto"/>
            <w:vAlign w:val="center"/>
            <w:hideMark/>
          </w:tcPr>
          <w:p w:rsidR="006F3AA0" w:rsidRPr="006F3AA0" w:rsidRDefault="006F3AA0" w:rsidP="006F3AA0">
            <w:pPr>
              <w:ind w:firstLineChars="400" w:firstLine="640"/>
              <w:rPr>
                <w:rFonts w:ascii="Tahoma" w:hAnsi="Tahoma" w:cs="Tahoma"/>
                <w:sz w:val="16"/>
                <w:szCs w:val="16"/>
              </w:rPr>
            </w:pPr>
            <w:r w:rsidRPr="006F3AA0">
              <w:rPr>
                <w:rFonts w:ascii="Tahoma" w:hAnsi="Tahoma" w:cs="Tahoma"/>
                <w:sz w:val="16"/>
                <w:szCs w:val="16"/>
              </w:rPr>
              <w:t>Μισθοί</w:t>
            </w:r>
          </w:p>
        </w:tc>
        <w:tc>
          <w:tcPr>
            <w:tcW w:w="754"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14.270</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13.594</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13.521</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13.539</w:t>
            </w:r>
          </w:p>
        </w:tc>
        <w:tc>
          <w:tcPr>
            <w:tcW w:w="792"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13.566</w:t>
            </w:r>
          </w:p>
        </w:tc>
      </w:tr>
      <w:tr w:rsidR="006F3AA0" w:rsidRPr="006F3AA0" w:rsidTr="006F3AA0">
        <w:trPr>
          <w:trHeight w:val="259"/>
          <w:jc w:val="center"/>
        </w:trPr>
        <w:tc>
          <w:tcPr>
            <w:tcW w:w="4039" w:type="dxa"/>
            <w:tcBorders>
              <w:top w:val="nil"/>
              <w:left w:val="single" w:sz="4" w:space="0" w:color="auto"/>
              <w:bottom w:val="nil"/>
              <w:right w:val="nil"/>
            </w:tcBorders>
            <w:shd w:val="clear" w:color="auto" w:fill="auto"/>
            <w:vAlign w:val="center"/>
            <w:hideMark/>
          </w:tcPr>
          <w:p w:rsidR="006F3AA0" w:rsidRPr="006F3AA0" w:rsidRDefault="006F3AA0" w:rsidP="006F3AA0">
            <w:pPr>
              <w:ind w:firstLineChars="400" w:firstLine="640"/>
              <w:rPr>
                <w:rFonts w:ascii="Tahoma" w:hAnsi="Tahoma" w:cs="Tahoma"/>
                <w:sz w:val="16"/>
                <w:szCs w:val="16"/>
              </w:rPr>
            </w:pPr>
            <w:r w:rsidRPr="006F3AA0">
              <w:rPr>
                <w:rFonts w:ascii="Tahoma" w:hAnsi="Tahoma" w:cs="Tahoma"/>
                <w:sz w:val="16"/>
                <w:szCs w:val="16"/>
              </w:rPr>
              <w:t>Λοιπές παροχές</w:t>
            </w:r>
          </w:p>
        </w:tc>
        <w:tc>
          <w:tcPr>
            <w:tcW w:w="754"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961</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780</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375</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405</w:t>
            </w:r>
          </w:p>
        </w:tc>
        <w:tc>
          <w:tcPr>
            <w:tcW w:w="792"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431</w:t>
            </w:r>
          </w:p>
        </w:tc>
      </w:tr>
      <w:tr w:rsidR="006F3AA0" w:rsidRPr="006F3AA0" w:rsidTr="006F3AA0">
        <w:trPr>
          <w:trHeight w:val="259"/>
          <w:jc w:val="center"/>
        </w:trPr>
        <w:tc>
          <w:tcPr>
            <w:tcW w:w="4039" w:type="dxa"/>
            <w:tcBorders>
              <w:top w:val="nil"/>
              <w:left w:val="single" w:sz="4" w:space="0" w:color="auto"/>
              <w:bottom w:val="nil"/>
              <w:right w:val="nil"/>
            </w:tcBorders>
            <w:shd w:val="clear" w:color="auto" w:fill="auto"/>
            <w:vAlign w:val="center"/>
            <w:hideMark/>
          </w:tcPr>
          <w:p w:rsidR="006F3AA0" w:rsidRPr="006F3AA0" w:rsidRDefault="006F3AA0" w:rsidP="006F3AA0">
            <w:pPr>
              <w:ind w:firstLineChars="400" w:firstLine="640"/>
              <w:rPr>
                <w:rFonts w:ascii="Tahoma" w:hAnsi="Tahoma" w:cs="Tahoma"/>
                <w:sz w:val="16"/>
                <w:szCs w:val="16"/>
              </w:rPr>
            </w:pPr>
            <w:r w:rsidRPr="006F3AA0">
              <w:rPr>
                <w:rFonts w:ascii="Tahoma" w:hAnsi="Tahoma" w:cs="Tahoma"/>
                <w:sz w:val="16"/>
                <w:szCs w:val="16"/>
              </w:rPr>
              <w:t>Συντάξεις</w:t>
            </w:r>
          </w:p>
        </w:tc>
        <w:tc>
          <w:tcPr>
            <w:tcW w:w="754"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6.500</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6.471</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6.577</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6.577</w:t>
            </w:r>
          </w:p>
        </w:tc>
        <w:tc>
          <w:tcPr>
            <w:tcW w:w="792"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6.511</w:t>
            </w:r>
          </w:p>
        </w:tc>
      </w:tr>
      <w:tr w:rsidR="006F3AA0" w:rsidRPr="006F3AA0" w:rsidTr="006F3AA0">
        <w:trPr>
          <w:trHeight w:val="259"/>
          <w:jc w:val="center"/>
        </w:trPr>
        <w:tc>
          <w:tcPr>
            <w:tcW w:w="4039" w:type="dxa"/>
            <w:tcBorders>
              <w:top w:val="nil"/>
              <w:left w:val="single" w:sz="4" w:space="0" w:color="auto"/>
              <w:bottom w:val="nil"/>
              <w:right w:val="nil"/>
            </w:tcBorders>
            <w:shd w:val="clear" w:color="auto" w:fill="auto"/>
            <w:vAlign w:val="center"/>
            <w:hideMark/>
          </w:tcPr>
          <w:p w:rsidR="006F3AA0" w:rsidRPr="006F3AA0" w:rsidRDefault="006F3AA0" w:rsidP="006F3AA0">
            <w:pPr>
              <w:ind w:firstLineChars="200" w:firstLine="321"/>
              <w:rPr>
                <w:rFonts w:ascii="Tahoma" w:hAnsi="Tahoma" w:cs="Tahoma"/>
                <w:b/>
                <w:bCs/>
                <w:sz w:val="16"/>
                <w:szCs w:val="16"/>
              </w:rPr>
            </w:pPr>
            <w:r w:rsidRPr="006F3AA0">
              <w:rPr>
                <w:rFonts w:ascii="Tahoma" w:hAnsi="Tahoma" w:cs="Tahoma"/>
                <w:b/>
                <w:bCs/>
                <w:sz w:val="16"/>
                <w:szCs w:val="16"/>
              </w:rPr>
              <w:t>ΑΣΦΑΛΙΣΗ,  ΠΕΡΙΘ., ΚΟΙΝ. ΠΡΟΣΤΑΣΙΑ</w:t>
            </w:r>
          </w:p>
        </w:tc>
        <w:tc>
          <w:tcPr>
            <w:tcW w:w="754"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17.487</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15.172</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15.910</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15.908</w:t>
            </w:r>
          </w:p>
        </w:tc>
        <w:tc>
          <w:tcPr>
            <w:tcW w:w="792"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15.581</w:t>
            </w:r>
          </w:p>
        </w:tc>
      </w:tr>
      <w:tr w:rsidR="006F3AA0" w:rsidRPr="006F3AA0" w:rsidTr="006F3AA0">
        <w:trPr>
          <w:trHeight w:val="259"/>
          <w:jc w:val="center"/>
        </w:trPr>
        <w:tc>
          <w:tcPr>
            <w:tcW w:w="4039" w:type="dxa"/>
            <w:tcBorders>
              <w:top w:val="nil"/>
              <w:left w:val="single" w:sz="4" w:space="0" w:color="auto"/>
              <w:bottom w:val="nil"/>
              <w:right w:val="nil"/>
            </w:tcBorders>
            <w:shd w:val="clear" w:color="auto" w:fill="auto"/>
            <w:vAlign w:val="center"/>
            <w:hideMark/>
          </w:tcPr>
          <w:p w:rsidR="006F3AA0" w:rsidRPr="006F3AA0" w:rsidRDefault="006F3AA0" w:rsidP="006F3AA0">
            <w:pPr>
              <w:ind w:firstLineChars="400" w:firstLine="640"/>
              <w:rPr>
                <w:rFonts w:ascii="Tahoma" w:hAnsi="Tahoma" w:cs="Tahoma"/>
                <w:sz w:val="16"/>
                <w:szCs w:val="16"/>
              </w:rPr>
            </w:pPr>
            <w:r w:rsidRPr="006F3AA0">
              <w:rPr>
                <w:rFonts w:ascii="Tahoma" w:hAnsi="Tahoma" w:cs="Tahoma"/>
                <w:sz w:val="16"/>
                <w:szCs w:val="16"/>
              </w:rPr>
              <w:t xml:space="preserve">Επιχορηγήσεις ασφαλιστικών ταμείων </w:t>
            </w:r>
          </w:p>
        </w:tc>
        <w:tc>
          <w:tcPr>
            <w:tcW w:w="754"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14.094</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12.051</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12.905</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12.902</w:t>
            </w:r>
          </w:p>
        </w:tc>
        <w:tc>
          <w:tcPr>
            <w:tcW w:w="792"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12.621</w:t>
            </w:r>
          </w:p>
        </w:tc>
      </w:tr>
      <w:tr w:rsidR="006F3AA0" w:rsidRPr="006F3AA0" w:rsidTr="006F3AA0">
        <w:trPr>
          <w:trHeight w:val="259"/>
          <w:jc w:val="center"/>
        </w:trPr>
        <w:tc>
          <w:tcPr>
            <w:tcW w:w="4039" w:type="dxa"/>
            <w:tcBorders>
              <w:top w:val="nil"/>
              <w:left w:val="single" w:sz="4" w:space="0" w:color="auto"/>
              <w:bottom w:val="nil"/>
              <w:right w:val="nil"/>
            </w:tcBorders>
            <w:shd w:val="clear" w:color="auto" w:fill="auto"/>
            <w:vAlign w:val="center"/>
            <w:hideMark/>
          </w:tcPr>
          <w:p w:rsidR="006F3AA0" w:rsidRPr="006F3AA0" w:rsidRDefault="006F3AA0" w:rsidP="006F3AA0">
            <w:pPr>
              <w:ind w:firstLineChars="400" w:firstLine="640"/>
              <w:rPr>
                <w:rFonts w:ascii="Tahoma" w:hAnsi="Tahoma" w:cs="Tahoma"/>
                <w:sz w:val="16"/>
                <w:szCs w:val="16"/>
              </w:rPr>
            </w:pPr>
            <w:r w:rsidRPr="006F3AA0">
              <w:rPr>
                <w:rFonts w:ascii="Tahoma" w:hAnsi="Tahoma" w:cs="Tahoma"/>
                <w:sz w:val="16"/>
                <w:szCs w:val="16"/>
              </w:rPr>
              <w:t>Koινωνική προστασία</w:t>
            </w:r>
          </w:p>
        </w:tc>
        <w:tc>
          <w:tcPr>
            <w:tcW w:w="754"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1.387</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1.410</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1.394</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1.394</w:t>
            </w:r>
          </w:p>
        </w:tc>
        <w:tc>
          <w:tcPr>
            <w:tcW w:w="792"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1.351</w:t>
            </w:r>
          </w:p>
        </w:tc>
      </w:tr>
      <w:tr w:rsidR="006F3AA0" w:rsidRPr="006F3AA0" w:rsidTr="006F3AA0">
        <w:trPr>
          <w:trHeight w:val="259"/>
          <w:jc w:val="center"/>
        </w:trPr>
        <w:tc>
          <w:tcPr>
            <w:tcW w:w="4039" w:type="dxa"/>
            <w:tcBorders>
              <w:top w:val="nil"/>
              <w:left w:val="single" w:sz="4" w:space="0" w:color="auto"/>
              <w:bottom w:val="nil"/>
              <w:right w:val="nil"/>
            </w:tcBorders>
            <w:shd w:val="clear" w:color="auto" w:fill="auto"/>
            <w:vAlign w:val="center"/>
            <w:hideMark/>
          </w:tcPr>
          <w:p w:rsidR="006F3AA0" w:rsidRPr="006F3AA0" w:rsidRDefault="006F3AA0" w:rsidP="006F3AA0">
            <w:pPr>
              <w:ind w:firstLineChars="400" w:firstLine="640"/>
              <w:rPr>
                <w:rFonts w:ascii="Tahoma" w:hAnsi="Tahoma" w:cs="Tahoma"/>
                <w:sz w:val="16"/>
                <w:szCs w:val="16"/>
              </w:rPr>
            </w:pPr>
            <w:r w:rsidRPr="006F3AA0">
              <w:rPr>
                <w:rFonts w:ascii="Tahoma" w:hAnsi="Tahoma" w:cs="Tahoma"/>
                <w:sz w:val="16"/>
                <w:szCs w:val="16"/>
              </w:rPr>
              <w:t>Eπιχορήγηση στον ΟΑΕΔ</w:t>
            </w:r>
          </w:p>
        </w:tc>
        <w:tc>
          <w:tcPr>
            <w:tcW w:w="754"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764</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500</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500</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500</w:t>
            </w:r>
          </w:p>
        </w:tc>
        <w:tc>
          <w:tcPr>
            <w:tcW w:w="792"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498</w:t>
            </w:r>
          </w:p>
        </w:tc>
      </w:tr>
      <w:tr w:rsidR="006F3AA0" w:rsidRPr="006F3AA0" w:rsidTr="006F3AA0">
        <w:trPr>
          <w:trHeight w:val="259"/>
          <w:jc w:val="center"/>
        </w:trPr>
        <w:tc>
          <w:tcPr>
            <w:tcW w:w="4039" w:type="dxa"/>
            <w:tcBorders>
              <w:top w:val="nil"/>
              <w:left w:val="single" w:sz="4" w:space="0" w:color="auto"/>
              <w:bottom w:val="nil"/>
              <w:right w:val="nil"/>
            </w:tcBorders>
            <w:shd w:val="clear" w:color="auto" w:fill="auto"/>
            <w:vAlign w:val="center"/>
            <w:hideMark/>
          </w:tcPr>
          <w:p w:rsidR="006F3AA0" w:rsidRPr="006F3AA0" w:rsidRDefault="006F3AA0" w:rsidP="006F3AA0">
            <w:pPr>
              <w:ind w:firstLineChars="400" w:firstLine="640"/>
              <w:rPr>
                <w:rFonts w:ascii="Tahoma" w:hAnsi="Tahoma" w:cs="Tahoma"/>
                <w:sz w:val="16"/>
                <w:szCs w:val="16"/>
              </w:rPr>
            </w:pPr>
            <w:r w:rsidRPr="006F3AA0">
              <w:rPr>
                <w:rFonts w:ascii="Tahoma" w:hAnsi="Tahoma" w:cs="Tahoma"/>
                <w:sz w:val="16"/>
                <w:szCs w:val="16"/>
              </w:rPr>
              <w:t>Λοιπές δαπάνες περίθαλψης, ασφάλισης</w:t>
            </w:r>
          </w:p>
        </w:tc>
        <w:tc>
          <w:tcPr>
            <w:tcW w:w="754"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1.242</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1.211</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1.112</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1.112</w:t>
            </w:r>
          </w:p>
        </w:tc>
        <w:tc>
          <w:tcPr>
            <w:tcW w:w="792"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1.111</w:t>
            </w:r>
          </w:p>
        </w:tc>
      </w:tr>
      <w:tr w:rsidR="006F3AA0" w:rsidRPr="006F3AA0" w:rsidTr="006F3AA0">
        <w:trPr>
          <w:trHeight w:val="259"/>
          <w:jc w:val="center"/>
        </w:trPr>
        <w:tc>
          <w:tcPr>
            <w:tcW w:w="4039" w:type="dxa"/>
            <w:tcBorders>
              <w:top w:val="nil"/>
              <w:left w:val="single" w:sz="4" w:space="0" w:color="auto"/>
              <w:bottom w:val="nil"/>
              <w:right w:val="nil"/>
            </w:tcBorders>
            <w:shd w:val="clear" w:color="auto" w:fill="auto"/>
            <w:vAlign w:val="center"/>
            <w:hideMark/>
          </w:tcPr>
          <w:p w:rsidR="006F3AA0" w:rsidRPr="006F3AA0" w:rsidRDefault="006F3AA0" w:rsidP="006F3AA0">
            <w:pPr>
              <w:ind w:firstLineChars="200" w:firstLine="321"/>
              <w:rPr>
                <w:rFonts w:ascii="Tahoma" w:hAnsi="Tahoma" w:cs="Tahoma"/>
                <w:b/>
                <w:bCs/>
                <w:sz w:val="16"/>
                <w:szCs w:val="16"/>
              </w:rPr>
            </w:pPr>
            <w:r w:rsidRPr="006F3AA0">
              <w:rPr>
                <w:rFonts w:ascii="Tahoma" w:hAnsi="Tahoma" w:cs="Tahoma"/>
                <w:b/>
                <w:bCs/>
                <w:sz w:val="16"/>
                <w:szCs w:val="16"/>
              </w:rPr>
              <w:t>ΛΕΙΤΟΥΡΓΙΚΕΣ ΚΑΙ ΛΟΙΠΕΣ ΔΑΠΑΝΕΣ</w:t>
            </w:r>
          </w:p>
        </w:tc>
        <w:tc>
          <w:tcPr>
            <w:tcW w:w="754"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9.814</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11.011</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10.664</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10.237</w:t>
            </w:r>
          </w:p>
        </w:tc>
        <w:tc>
          <w:tcPr>
            <w:tcW w:w="792"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8.848</w:t>
            </w:r>
          </w:p>
        </w:tc>
      </w:tr>
      <w:tr w:rsidR="006F3AA0" w:rsidRPr="006F3AA0" w:rsidTr="006F3AA0">
        <w:trPr>
          <w:trHeight w:val="259"/>
          <w:jc w:val="center"/>
        </w:trPr>
        <w:tc>
          <w:tcPr>
            <w:tcW w:w="4039" w:type="dxa"/>
            <w:tcBorders>
              <w:top w:val="nil"/>
              <w:left w:val="single" w:sz="4" w:space="0" w:color="auto"/>
              <w:bottom w:val="nil"/>
              <w:right w:val="nil"/>
            </w:tcBorders>
            <w:shd w:val="clear" w:color="auto" w:fill="auto"/>
            <w:vAlign w:val="center"/>
            <w:hideMark/>
          </w:tcPr>
          <w:p w:rsidR="006F3AA0" w:rsidRPr="006F3AA0" w:rsidRDefault="006F3AA0" w:rsidP="006F3AA0">
            <w:pPr>
              <w:ind w:firstLineChars="400" w:firstLine="640"/>
              <w:rPr>
                <w:rFonts w:ascii="Tahoma" w:hAnsi="Tahoma" w:cs="Tahoma"/>
                <w:sz w:val="16"/>
                <w:szCs w:val="16"/>
              </w:rPr>
            </w:pPr>
            <w:r w:rsidRPr="006F3AA0">
              <w:rPr>
                <w:rFonts w:ascii="Tahoma" w:hAnsi="Tahoma" w:cs="Tahoma"/>
                <w:sz w:val="16"/>
                <w:szCs w:val="16"/>
              </w:rPr>
              <w:t>Επιχορηγήσεις</w:t>
            </w:r>
          </w:p>
        </w:tc>
        <w:tc>
          <w:tcPr>
            <w:tcW w:w="754"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1.873</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1.863</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1.855</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1.825</w:t>
            </w:r>
          </w:p>
        </w:tc>
        <w:tc>
          <w:tcPr>
            <w:tcW w:w="792"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1.684</w:t>
            </w:r>
          </w:p>
        </w:tc>
      </w:tr>
      <w:tr w:rsidR="006F3AA0" w:rsidRPr="006F3AA0" w:rsidTr="006F3AA0">
        <w:trPr>
          <w:trHeight w:val="259"/>
          <w:jc w:val="center"/>
        </w:trPr>
        <w:tc>
          <w:tcPr>
            <w:tcW w:w="4039" w:type="dxa"/>
            <w:tcBorders>
              <w:top w:val="nil"/>
              <w:left w:val="single" w:sz="4" w:space="0" w:color="auto"/>
              <w:bottom w:val="nil"/>
              <w:right w:val="nil"/>
            </w:tcBorders>
            <w:shd w:val="clear" w:color="auto" w:fill="auto"/>
            <w:vAlign w:val="center"/>
            <w:hideMark/>
          </w:tcPr>
          <w:p w:rsidR="006F3AA0" w:rsidRPr="006F3AA0" w:rsidRDefault="006F3AA0" w:rsidP="006F3AA0">
            <w:pPr>
              <w:ind w:firstLineChars="400" w:firstLine="640"/>
              <w:rPr>
                <w:rFonts w:ascii="Tahoma" w:hAnsi="Tahoma" w:cs="Tahoma"/>
                <w:sz w:val="16"/>
                <w:szCs w:val="16"/>
              </w:rPr>
            </w:pPr>
            <w:r w:rsidRPr="006F3AA0">
              <w:rPr>
                <w:rFonts w:ascii="Tahoma" w:hAnsi="Tahoma" w:cs="Tahoma"/>
                <w:sz w:val="16"/>
                <w:szCs w:val="16"/>
              </w:rPr>
              <w:t>Καταναλωτικές δαπάνες</w:t>
            </w:r>
          </w:p>
        </w:tc>
        <w:tc>
          <w:tcPr>
            <w:tcW w:w="754"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2.242</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2.148</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2.151</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2.146</w:t>
            </w:r>
          </w:p>
        </w:tc>
        <w:tc>
          <w:tcPr>
            <w:tcW w:w="792"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1.967</w:t>
            </w:r>
          </w:p>
        </w:tc>
      </w:tr>
      <w:tr w:rsidR="006F3AA0" w:rsidRPr="006F3AA0" w:rsidTr="006F3AA0">
        <w:trPr>
          <w:trHeight w:val="259"/>
          <w:jc w:val="center"/>
        </w:trPr>
        <w:tc>
          <w:tcPr>
            <w:tcW w:w="4039" w:type="dxa"/>
            <w:tcBorders>
              <w:top w:val="nil"/>
              <w:left w:val="single" w:sz="4" w:space="0" w:color="auto"/>
              <w:bottom w:val="nil"/>
              <w:right w:val="nil"/>
            </w:tcBorders>
            <w:shd w:val="clear" w:color="auto" w:fill="auto"/>
            <w:vAlign w:val="center"/>
            <w:hideMark/>
          </w:tcPr>
          <w:p w:rsidR="006F3AA0" w:rsidRPr="006F3AA0" w:rsidRDefault="006F3AA0" w:rsidP="006F3AA0">
            <w:pPr>
              <w:ind w:firstLineChars="400" w:firstLine="640"/>
              <w:rPr>
                <w:rFonts w:ascii="Tahoma" w:hAnsi="Tahoma" w:cs="Tahoma"/>
                <w:sz w:val="16"/>
                <w:szCs w:val="16"/>
              </w:rPr>
            </w:pPr>
            <w:r w:rsidRPr="006F3AA0">
              <w:rPr>
                <w:rFonts w:ascii="Tahoma" w:hAnsi="Tahoma" w:cs="Tahoma"/>
                <w:sz w:val="16"/>
                <w:szCs w:val="16"/>
              </w:rPr>
              <w:t>Αντικριζόμενες δαπάνες</w:t>
            </w:r>
          </w:p>
        </w:tc>
        <w:tc>
          <w:tcPr>
            <w:tcW w:w="754"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3.062</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3.333</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3.225</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3.116</w:t>
            </w:r>
          </w:p>
        </w:tc>
        <w:tc>
          <w:tcPr>
            <w:tcW w:w="792"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2.827</w:t>
            </w:r>
          </w:p>
        </w:tc>
      </w:tr>
      <w:tr w:rsidR="006F3AA0" w:rsidRPr="006F3AA0" w:rsidTr="006F3AA0">
        <w:trPr>
          <w:trHeight w:val="259"/>
          <w:jc w:val="center"/>
        </w:trPr>
        <w:tc>
          <w:tcPr>
            <w:tcW w:w="4039" w:type="dxa"/>
            <w:tcBorders>
              <w:top w:val="nil"/>
              <w:left w:val="single" w:sz="4" w:space="0" w:color="auto"/>
              <w:bottom w:val="nil"/>
              <w:right w:val="nil"/>
            </w:tcBorders>
            <w:shd w:val="clear" w:color="auto" w:fill="auto"/>
            <w:vAlign w:val="center"/>
            <w:hideMark/>
          </w:tcPr>
          <w:p w:rsidR="006F3AA0" w:rsidRPr="006F3AA0" w:rsidRDefault="006F3AA0" w:rsidP="006F3AA0">
            <w:pPr>
              <w:ind w:firstLineChars="400" w:firstLine="640"/>
              <w:rPr>
                <w:rFonts w:ascii="Tahoma" w:hAnsi="Tahoma" w:cs="Tahoma"/>
                <w:sz w:val="16"/>
                <w:szCs w:val="16"/>
              </w:rPr>
            </w:pPr>
            <w:r w:rsidRPr="006F3AA0">
              <w:rPr>
                <w:rFonts w:ascii="Tahoma" w:hAnsi="Tahoma" w:cs="Tahoma"/>
                <w:sz w:val="16"/>
                <w:szCs w:val="16"/>
              </w:rPr>
              <w:t>Λοιπές δαπάνες *</w:t>
            </w:r>
          </w:p>
        </w:tc>
        <w:tc>
          <w:tcPr>
            <w:tcW w:w="754"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3.895</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5.185</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4.913</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4.634</w:t>
            </w:r>
          </w:p>
        </w:tc>
        <w:tc>
          <w:tcPr>
            <w:tcW w:w="792"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sz w:val="16"/>
                <w:szCs w:val="16"/>
              </w:rPr>
            </w:pPr>
            <w:r w:rsidRPr="006F3AA0">
              <w:rPr>
                <w:rFonts w:ascii="Arial" w:hAnsi="Arial" w:cs="Arial"/>
                <w:sz w:val="16"/>
                <w:szCs w:val="16"/>
              </w:rPr>
              <w:t>2.370</w:t>
            </w:r>
          </w:p>
        </w:tc>
      </w:tr>
      <w:tr w:rsidR="006F3AA0" w:rsidRPr="006F3AA0" w:rsidTr="006F3AA0">
        <w:trPr>
          <w:trHeight w:val="259"/>
          <w:jc w:val="center"/>
        </w:trPr>
        <w:tc>
          <w:tcPr>
            <w:tcW w:w="4039" w:type="dxa"/>
            <w:tcBorders>
              <w:top w:val="nil"/>
              <w:left w:val="single" w:sz="4" w:space="0" w:color="auto"/>
              <w:bottom w:val="nil"/>
              <w:right w:val="nil"/>
            </w:tcBorders>
            <w:shd w:val="clear" w:color="auto" w:fill="auto"/>
            <w:vAlign w:val="center"/>
            <w:hideMark/>
          </w:tcPr>
          <w:p w:rsidR="006F3AA0" w:rsidRPr="006F3AA0" w:rsidRDefault="006F3AA0" w:rsidP="006F3AA0">
            <w:pPr>
              <w:ind w:firstLineChars="200" w:firstLine="321"/>
              <w:rPr>
                <w:rFonts w:ascii="Tahoma" w:hAnsi="Tahoma" w:cs="Tahoma"/>
                <w:b/>
                <w:bCs/>
                <w:sz w:val="16"/>
                <w:szCs w:val="16"/>
              </w:rPr>
            </w:pPr>
            <w:r w:rsidRPr="006F3AA0">
              <w:rPr>
                <w:rFonts w:ascii="Tahoma" w:hAnsi="Tahoma" w:cs="Tahoma"/>
                <w:b/>
                <w:bCs/>
                <w:sz w:val="16"/>
                <w:szCs w:val="16"/>
              </w:rPr>
              <w:t>ΑΠΟΔΙΔΟΜΕΝΟΙ ΠΟΡΟΙ</w:t>
            </w:r>
          </w:p>
        </w:tc>
        <w:tc>
          <w:tcPr>
            <w:tcW w:w="754"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5.060</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5.622</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4.459</w:t>
            </w:r>
          </w:p>
        </w:tc>
        <w:tc>
          <w:tcPr>
            <w:tcW w:w="754"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4.441</w:t>
            </w:r>
          </w:p>
        </w:tc>
        <w:tc>
          <w:tcPr>
            <w:tcW w:w="792"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4.012</w:t>
            </w:r>
          </w:p>
        </w:tc>
      </w:tr>
      <w:tr w:rsidR="006F3AA0" w:rsidRPr="006F3AA0" w:rsidTr="006F3AA0">
        <w:trPr>
          <w:trHeight w:val="259"/>
          <w:jc w:val="center"/>
        </w:trPr>
        <w:tc>
          <w:tcPr>
            <w:tcW w:w="4039" w:type="dxa"/>
            <w:tcBorders>
              <w:top w:val="nil"/>
              <w:left w:val="single" w:sz="4" w:space="0" w:color="auto"/>
              <w:bottom w:val="single" w:sz="4" w:space="0" w:color="auto"/>
              <w:right w:val="nil"/>
            </w:tcBorders>
            <w:shd w:val="clear" w:color="auto" w:fill="auto"/>
            <w:vAlign w:val="center"/>
            <w:hideMark/>
          </w:tcPr>
          <w:p w:rsidR="006F3AA0" w:rsidRPr="006F3AA0" w:rsidRDefault="006F3AA0" w:rsidP="006F3AA0">
            <w:pPr>
              <w:ind w:firstLineChars="200" w:firstLine="321"/>
              <w:rPr>
                <w:rFonts w:ascii="Tahoma" w:hAnsi="Tahoma" w:cs="Tahoma"/>
                <w:b/>
                <w:bCs/>
                <w:sz w:val="16"/>
                <w:szCs w:val="16"/>
              </w:rPr>
            </w:pPr>
            <w:r w:rsidRPr="006F3AA0">
              <w:rPr>
                <w:rFonts w:ascii="Tahoma" w:hAnsi="Tahoma" w:cs="Tahoma"/>
                <w:b/>
                <w:bCs/>
                <w:sz w:val="16"/>
                <w:szCs w:val="16"/>
              </w:rPr>
              <w:t>ΑΠΟΘΕΜΑΤΙΚΟ</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270</w:t>
            </w:r>
          </w:p>
        </w:tc>
        <w:tc>
          <w:tcPr>
            <w:tcW w:w="754"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1.520</w:t>
            </w:r>
          </w:p>
        </w:tc>
        <w:tc>
          <w:tcPr>
            <w:tcW w:w="754"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1.000</w:t>
            </w:r>
          </w:p>
        </w:tc>
        <w:tc>
          <w:tcPr>
            <w:tcW w:w="754"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1.000</w:t>
            </w:r>
          </w:p>
        </w:tc>
        <w:tc>
          <w:tcPr>
            <w:tcW w:w="792"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1.000</w:t>
            </w:r>
          </w:p>
        </w:tc>
      </w:tr>
      <w:tr w:rsidR="006F3AA0" w:rsidRPr="006F3AA0" w:rsidTr="006F3AA0">
        <w:trPr>
          <w:trHeight w:val="314"/>
          <w:jc w:val="center"/>
        </w:trPr>
        <w:tc>
          <w:tcPr>
            <w:tcW w:w="4039" w:type="dxa"/>
            <w:tcBorders>
              <w:top w:val="nil"/>
              <w:left w:val="single" w:sz="4" w:space="0" w:color="auto"/>
              <w:bottom w:val="single" w:sz="4" w:space="0" w:color="auto"/>
              <w:right w:val="nil"/>
            </w:tcBorders>
            <w:shd w:val="clear" w:color="auto" w:fill="auto"/>
            <w:vAlign w:val="center"/>
            <w:hideMark/>
          </w:tcPr>
          <w:p w:rsidR="006F3AA0" w:rsidRPr="006F3AA0" w:rsidRDefault="006F3AA0" w:rsidP="006F3AA0">
            <w:pPr>
              <w:rPr>
                <w:rFonts w:ascii="Tahoma" w:hAnsi="Tahoma" w:cs="Tahoma"/>
                <w:b/>
                <w:bCs/>
                <w:sz w:val="16"/>
                <w:szCs w:val="16"/>
              </w:rPr>
            </w:pPr>
            <w:r w:rsidRPr="006F3AA0">
              <w:rPr>
                <w:rFonts w:ascii="Tahoma" w:hAnsi="Tahoma" w:cs="Tahoma"/>
                <w:b/>
                <w:bCs/>
                <w:sz w:val="16"/>
                <w:szCs w:val="16"/>
              </w:rPr>
              <w:t>Π.Δ.Ε.</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6.890</w:t>
            </w:r>
          </w:p>
        </w:tc>
        <w:tc>
          <w:tcPr>
            <w:tcW w:w="754"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7.700</w:t>
            </w:r>
          </w:p>
        </w:tc>
        <w:tc>
          <w:tcPr>
            <w:tcW w:w="754"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7.700</w:t>
            </w:r>
          </w:p>
        </w:tc>
        <w:tc>
          <w:tcPr>
            <w:tcW w:w="754"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7.700</w:t>
            </w:r>
          </w:p>
        </w:tc>
        <w:tc>
          <w:tcPr>
            <w:tcW w:w="792"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Arial" w:hAnsi="Arial" w:cs="Arial"/>
                <w:b/>
                <w:bCs/>
                <w:sz w:val="16"/>
                <w:szCs w:val="16"/>
              </w:rPr>
            </w:pPr>
            <w:r w:rsidRPr="006F3AA0">
              <w:rPr>
                <w:rFonts w:ascii="Arial" w:hAnsi="Arial" w:cs="Arial"/>
                <w:b/>
                <w:bCs/>
                <w:sz w:val="16"/>
                <w:szCs w:val="16"/>
              </w:rPr>
              <w:t>7.300</w:t>
            </w:r>
          </w:p>
        </w:tc>
      </w:tr>
    </w:tbl>
    <w:p w:rsidR="006F3AA0" w:rsidRDefault="006F3AA0" w:rsidP="006F3AA0">
      <w:pPr>
        <w:rPr>
          <w:rFonts w:ascii="Tahoma" w:hAnsi="Tahoma" w:cs="Tahoma"/>
          <w:iCs/>
          <w:sz w:val="16"/>
          <w:szCs w:val="16"/>
        </w:rPr>
      </w:pPr>
      <w:r w:rsidRPr="006F3AA0">
        <w:rPr>
          <w:rFonts w:ascii="Tahoma" w:hAnsi="Tahoma" w:cs="Tahoma"/>
          <w:iCs/>
          <w:sz w:val="16"/>
          <w:szCs w:val="16"/>
        </w:rPr>
        <w:t>* Περιλαμβάνουν μη κατανεμημένες δαπάνες, εξόφληση χρεών νοσοκομείων, εξοπλιστικές δαπάνες και πληρωμές εγγυήσεων</w:t>
      </w:r>
    </w:p>
    <w:p w:rsidR="00425199" w:rsidRPr="006F3AA0" w:rsidRDefault="00425199" w:rsidP="006F3AA0">
      <w:pPr>
        <w:rPr>
          <w:rFonts w:ascii="Tahoma" w:hAnsi="Tahoma" w:cs="Tahoma"/>
          <w:iCs/>
          <w:sz w:val="16"/>
          <w:szCs w:val="16"/>
        </w:rPr>
      </w:pPr>
      <w:r w:rsidRPr="00A72932">
        <w:rPr>
          <w:rFonts w:ascii="Tahoma" w:hAnsi="Tahoma" w:cs="Tahoma"/>
          <w:b/>
          <w:color w:val="000000" w:themeColor="text1"/>
          <w:sz w:val="16"/>
          <w:szCs w:val="22"/>
        </w:rPr>
        <w:t>Επεξεργασία στοιχείων</w:t>
      </w:r>
      <w:r w:rsidRPr="00425199">
        <w:rPr>
          <w:rFonts w:ascii="Tahoma" w:hAnsi="Tahoma" w:cs="Tahoma"/>
          <w:sz w:val="16"/>
          <w:szCs w:val="22"/>
        </w:rPr>
        <w:t>:</w:t>
      </w:r>
      <w:r w:rsidRPr="00A72932">
        <w:rPr>
          <w:rFonts w:ascii="Tahoma" w:hAnsi="Tahoma" w:cs="Tahoma"/>
          <w:sz w:val="16"/>
          <w:szCs w:val="22"/>
        </w:rPr>
        <w:t xml:space="preserve"> </w:t>
      </w:r>
      <w:r w:rsidRPr="00A72932">
        <w:rPr>
          <w:rFonts w:ascii="Tahoma" w:hAnsi="Tahoma" w:cs="Tahoma"/>
          <w:sz w:val="16"/>
          <w:szCs w:val="22"/>
          <w:lang w:val="en-US"/>
        </w:rPr>
        <w:t>IOBE</w:t>
      </w:r>
    </w:p>
    <w:p w:rsidR="006B17B0" w:rsidRDefault="006B17B0" w:rsidP="00425199">
      <w:pPr>
        <w:spacing w:before="240" w:after="240" w:line="312" w:lineRule="auto"/>
        <w:rPr>
          <w:rFonts w:ascii="Tahoma" w:hAnsi="Tahoma" w:cs="Tahoma"/>
          <w:sz w:val="16"/>
          <w:szCs w:val="22"/>
        </w:rPr>
        <w:sectPr w:rsidR="006B17B0" w:rsidSect="006B17B0">
          <w:type w:val="continuous"/>
          <w:pgSz w:w="11906" w:h="16838"/>
          <w:pgMar w:top="1440" w:right="849" w:bottom="1440" w:left="1560" w:header="708" w:footer="708" w:gutter="0"/>
          <w:cols w:space="720"/>
          <w:docGrid w:linePitch="360"/>
        </w:sectPr>
      </w:pPr>
    </w:p>
    <w:p w:rsidR="00425199" w:rsidRPr="00425199" w:rsidRDefault="00BD0EAA" w:rsidP="006F3AA0">
      <w:pPr>
        <w:spacing w:before="320" w:after="240" w:line="312" w:lineRule="auto"/>
        <w:jc w:val="both"/>
        <w:rPr>
          <w:rFonts w:ascii="Tahoma" w:hAnsi="Tahoma" w:cs="Tahoma"/>
          <w:color w:val="000000"/>
          <w:sz w:val="22"/>
          <w:szCs w:val="22"/>
        </w:rPr>
      </w:pPr>
      <w:r w:rsidRPr="00425199">
        <w:rPr>
          <w:rFonts w:ascii="Tahoma" w:hAnsi="Tahoma" w:cs="Tahoma"/>
          <w:color w:val="000000"/>
          <w:sz w:val="22"/>
          <w:szCs w:val="22"/>
        </w:rPr>
        <w:lastRenderedPageBreak/>
        <w:t xml:space="preserve">Κατόπιν </w:t>
      </w:r>
      <w:r w:rsidRPr="00BD0EAA">
        <w:rPr>
          <w:rFonts w:ascii="Tahoma" w:hAnsi="Tahoma" w:cs="Tahoma"/>
          <w:color w:val="000000"/>
          <w:sz w:val="22"/>
          <w:szCs w:val="22"/>
        </w:rPr>
        <w:t>τούτων, ο Κρατικός Προϋπολογισμός αναθεωρήθηκε και εμφανίζεται στον Πίνακα 2.9. Στη συνέχεια, ό</w:t>
      </w:r>
      <w:r w:rsidR="00425199" w:rsidRPr="00BD0EAA">
        <w:rPr>
          <w:rFonts w:ascii="Tahoma" w:hAnsi="Tahoma" w:cs="Tahoma"/>
          <w:color w:val="000000"/>
          <w:sz w:val="22"/>
          <w:szCs w:val="22"/>
        </w:rPr>
        <w:t>πως παρατηρούμε στον Πίνακα 2.7, οι νεότερες εκτιμήσεις</w:t>
      </w:r>
      <w:r w:rsidR="00425199" w:rsidRPr="00425199">
        <w:rPr>
          <w:rFonts w:ascii="Tahoma" w:hAnsi="Tahoma" w:cs="Tahoma"/>
          <w:color w:val="000000"/>
          <w:sz w:val="22"/>
          <w:szCs w:val="22"/>
        </w:rPr>
        <w:t xml:space="preserve"> για το 2012 περιλαμβάνουν και μία σημαντική επιδείνωση των ισοζυγίων των ΔΕΚΟ και των ΟΚΑ, η οποία συνολικά αναμένεται να επιβαρύνει το έλλειμμα με €1,9 δισ. (βλέπε τις σχετικές επισημάνσεις του ΙΟΒΕ στην προηγούμενη τριμηνιαία </w:t>
      </w:r>
      <w:r w:rsidR="00617B6C">
        <w:rPr>
          <w:rFonts w:ascii="Tahoma" w:hAnsi="Tahoma" w:cs="Tahoma"/>
          <w:color w:val="000000"/>
          <w:sz w:val="22"/>
          <w:szCs w:val="22"/>
        </w:rPr>
        <w:t>έκθεση</w:t>
      </w:r>
      <w:r w:rsidR="00425199" w:rsidRPr="00425199">
        <w:rPr>
          <w:rFonts w:ascii="Tahoma" w:hAnsi="Tahoma" w:cs="Tahoma"/>
          <w:color w:val="000000"/>
          <w:sz w:val="22"/>
          <w:szCs w:val="22"/>
        </w:rPr>
        <w:t xml:space="preserve">). Σε συνδυασμό με τα μέτρα που σχεδιάστηκαν, η αναθεώρηση του προϋπολογισμού κατέληξε στην αναδιαμόρφωση του στόχου του καθαρού ελλείμματος από €11,4 δισ. (5,4% του ΑΕΠ) σε €13,7 δισ. (6,7% του ΑΕΠ). Συγχρόνως, το πρωτογενές πλεόνασμα €2,4 δισ. που </w:t>
      </w:r>
      <w:r w:rsidR="00425199" w:rsidRPr="00425199">
        <w:rPr>
          <w:rFonts w:ascii="Tahoma" w:hAnsi="Tahoma" w:cs="Tahoma"/>
          <w:color w:val="000000"/>
          <w:sz w:val="22"/>
          <w:szCs w:val="22"/>
        </w:rPr>
        <w:lastRenderedPageBreak/>
        <w:t>προβλεπόταν αρχικά μετατράπηκε σε έλλειμμα €0,5 δισ..</w:t>
      </w:r>
    </w:p>
    <w:p w:rsidR="00425199" w:rsidRPr="00425199" w:rsidRDefault="00425199" w:rsidP="00BD0EAA">
      <w:pPr>
        <w:spacing w:before="240" w:after="240" w:line="312" w:lineRule="auto"/>
        <w:jc w:val="both"/>
        <w:rPr>
          <w:rFonts w:ascii="Tahoma" w:hAnsi="Tahoma" w:cs="Tahoma"/>
          <w:color w:val="000000"/>
          <w:sz w:val="22"/>
          <w:szCs w:val="22"/>
        </w:rPr>
      </w:pPr>
      <w:r w:rsidRPr="00425199">
        <w:rPr>
          <w:rFonts w:ascii="Tahoma" w:hAnsi="Tahoma" w:cs="Tahoma"/>
          <w:color w:val="000000"/>
          <w:sz w:val="22"/>
          <w:szCs w:val="22"/>
        </w:rPr>
        <w:t>Η αναθεώρηση του Προϋπολογισμού θεωρεί</w:t>
      </w:r>
      <w:r w:rsidR="00442549">
        <w:rPr>
          <w:rFonts w:ascii="Tahoma" w:hAnsi="Tahoma" w:cs="Tahoma"/>
          <w:color w:val="000000"/>
          <w:sz w:val="22"/>
          <w:szCs w:val="22"/>
        </w:rPr>
        <w:softHyphen/>
      </w:r>
      <w:r w:rsidRPr="00425199">
        <w:rPr>
          <w:rFonts w:ascii="Tahoma" w:hAnsi="Tahoma" w:cs="Tahoma"/>
          <w:color w:val="000000"/>
          <w:sz w:val="22"/>
          <w:szCs w:val="22"/>
        </w:rPr>
        <w:t>ται επιβεβλημένη, δεδομένου του βάθους της ύφεσης και της δυστοκίας που παρατηρείται στη συλλογή εσόδων. Από την άλλη πλευρά, θα πρέπει να αποδειχτεί ότι τα μέτρα που ελήφθησαν θα αρκέσουν για την επίτευξη των νέων στόχων. Σε γενικές γραμμές οι νέοι στόχοι κρίνεται ότι θα μπορούσαν να επιτευχθούν, εφ’ όσον αποδώσου</w:t>
      </w:r>
      <w:r w:rsidR="00617B6C">
        <w:rPr>
          <w:rFonts w:ascii="Tahoma" w:hAnsi="Tahoma" w:cs="Tahoma"/>
          <w:color w:val="000000"/>
          <w:sz w:val="22"/>
          <w:szCs w:val="22"/>
        </w:rPr>
        <w:t>ν πλήρως τα ληφθέντα μέτρα. Επι</w:t>
      </w:r>
      <w:r w:rsidRPr="00425199">
        <w:rPr>
          <w:rFonts w:ascii="Tahoma" w:hAnsi="Tahoma" w:cs="Tahoma"/>
          <w:color w:val="000000"/>
          <w:sz w:val="22"/>
          <w:szCs w:val="22"/>
        </w:rPr>
        <w:t xml:space="preserve">πλέον, θα πρέπει να επαληθευτούν και οι προβλέψεις για κάποια μεγέθη που έχουν πιο ευμετάβλητο χαρακτήρα, όπως το έλλειμμα των ΟΚΑ ή οι εθνικολογιστικές προσαρμογές. Ως εκ τούτου, ασφαλέστερα συμπεράσματα </w:t>
      </w:r>
      <w:r w:rsidRPr="00425199">
        <w:rPr>
          <w:rFonts w:ascii="Tahoma" w:hAnsi="Tahoma" w:cs="Tahoma"/>
          <w:color w:val="000000"/>
          <w:sz w:val="22"/>
          <w:szCs w:val="22"/>
        </w:rPr>
        <w:lastRenderedPageBreak/>
        <w:t>θα μπορούν να εξαχθούν ίσως από τις νεότερες εκτιμήσεις του φετινού Απριλίου για το 2011 και το α’ τρίμηνο του 2012.</w:t>
      </w:r>
    </w:p>
    <w:p w:rsidR="00BD0EAA" w:rsidRPr="00BD0EAA" w:rsidRDefault="006B17B0" w:rsidP="00BD0EAA">
      <w:pPr>
        <w:spacing w:before="240" w:after="240" w:line="312" w:lineRule="auto"/>
        <w:jc w:val="both"/>
        <w:rPr>
          <w:rFonts w:ascii="Tahoma" w:hAnsi="Tahoma" w:cs="Tahoma"/>
          <w:sz w:val="22"/>
          <w:szCs w:val="22"/>
        </w:rPr>
      </w:pPr>
      <w:r w:rsidRPr="006B17B0">
        <w:rPr>
          <w:rFonts w:ascii="Tahoma" w:hAnsi="Tahoma" w:cs="Tahoma"/>
          <w:sz w:val="22"/>
          <w:szCs w:val="22"/>
        </w:rPr>
        <w:t xml:space="preserve">Σε κάθε περίπτωση, πάντως, μία πρώτη ιδέα μπορούμε να έχουμε από τα αποτελέσματα του πρώτου διμήνου του έτους. Αν και τα στοιχεία δεν είναι ακόμη αρκετά για την εξαγωγή συμπερασμάτων, μπορούμε να διακρίνουμε ότι για </w:t>
      </w:r>
      <w:r w:rsidRPr="00BD0EAA">
        <w:rPr>
          <w:rFonts w:ascii="Tahoma" w:hAnsi="Tahoma" w:cs="Tahoma"/>
          <w:sz w:val="22"/>
          <w:szCs w:val="22"/>
        </w:rPr>
        <w:t>τα έσοδα (Πίνακας 2.10) οι κυριότεροι κίνδυνοι απόκλισης διαγράφονται στους φόρους εισοδήματος και τον ΦΠΑ, όπου οι ρυθμοί μεταβολής υπολείπονται σημαντικά από τους προϋπολογισθέντες.</w:t>
      </w:r>
    </w:p>
    <w:p w:rsidR="00BD0EAA" w:rsidRDefault="00BD0EAA" w:rsidP="00A72932">
      <w:pPr>
        <w:tabs>
          <w:tab w:val="left" w:pos="-8789"/>
        </w:tabs>
        <w:spacing w:before="240" w:after="240" w:line="312" w:lineRule="auto"/>
        <w:jc w:val="both"/>
        <w:rPr>
          <w:rFonts w:ascii="Tahoma" w:hAnsi="Tahoma" w:cs="Tahoma"/>
          <w:sz w:val="22"/>
          <w:szCs w:val="22"/>
        </w:rPr>
      </w:pPr>
      <w:r w:rsidRPr="00BD0EAA">
        <w:rPr>
          <w:rFonts w:ascii="Tahoma" w:hAnsi="Tahoma" w:cs="Tahoma"/>
          <w:sz w:val="22"/>
          <w:szCs w:val="22"/>
        </w:rPr>
        <w:t>Όσον αφορά στις δαπάνες (Πίνακας 2.11),</w:t>
      </w:r>
      <w:r w:rsidRPr="006B17B0">
        <w:rPr>
          <w:rFonts w:ascii="Tahoma" w:hAnsi="Tahoma" w:cs="Tahoma"/>
          <w:sz w:val="22"/>
          <w:szCs w:val="22"/>
        </w:rPr>
        <w:t xml:space="preserve"> φαίνεται ότι τα Ταμεία (και ο ΟΑΕΔ) </w:t>
      </w:r>
      <w:r w:rsidRPr="006B17B0">
        <w:rPr>
          <w:rFonts w:ascii="Tahoma" w:hAnsi="Tahoma" w:cs="Tahoma"/>
          <w:sz w:val="22"/>
          <w:szCs w:val="22"/>
        </w:rPr>
        <w:lastRenderedPageBreak/>
        <w:t xml:space="preserve">απορροφούν πόρους πολύ ταχύτερα απ’ ό,τι προβλεπόταν, παρουσιάζοντας σημαντική αύξηση των επιχορηγήσεών τους (29%), έναντι μείωσης 10% που προβλέπεται στον Προϋπολογισμό, έχοντας απορροφήσει έτσι ήδη το 28% των προβλεπομένων πιστώσεων. Περίπου την ίδια εικόνα παρουσιάζουν και οι καταναλωτικές δαπάνες και </w:t>
      </w:r>
      <w:r w:rsidR="00442549">
        <w:rPr>
          <w:rFonts w:ascii="Tahoma" w:hAnsi="Tahoma" w:cs="Tahoma"/>
          <w:sz w:val="22"/>
          <w:szCs w:val="22"/>
        </w:rPr>
        <w:t>-</w:t>
      </w:r>
      <w:r w:rsidRPr="006B17B0">
        <w:rPr>
          <w:rFonts w:ascii="Tahoma" w:hAnsi="Tahoma" w:cs="Tahoma"/>
          <w:sz w:val="22"/>
          <w:szCs w:val="22"/>
        </w:rPr>
        <w:t>δεδομένου ότι επέρχονται εκλογές- είναι αμφίβολο αν θα προλάβουν μέχρι το τέλος του έτους να σημειώσουν μείωση 12,3%, αφού ήδη αυξάνονται με ρυθμό 32,2% (κυρίως λόγω των προμηθειών). Τέλος, στο πρώτο δίμηνο του έτους το αποθεματικό ήδη εξαντλήθηκε κατά 27%</w:t>
      </w:r>
      <w:r>
        <w:rPr>
          <w:rFonts w:ascii="Tahoma" w:hAnsi="Tahoma" w:cs="Tahoma"/>
          <w:sz w:val="22"/>
          <w:szCs w:val="22"/>
        </w:rPr>
        <w:t>.</w:t>
      </w:r>
    </w:p>
    <w:p w:rsidR="00BD0EAA" w:rsidRPr="00A43DFA" w:rsidRDefault="00BD0EAA" w:rsidP="00BD0EAA">
      <w:pPr>
        <w:spacing w:before="240" w:after="240" w:line="312" w:lineRule="auto"/>
        <w:jc w:val="both"/>
        <w:rPr>
          <w:rFonts w:ascii="Tahoma" w:hAnsi="Tahoma" w:cs="Tahoma"/>
          <w:sz w:val="22"/>
          <w:szCs w:val="22"/>
        </w:rPr>
        <w:sectPr w:rsidR="00BD0EAA" w:rsidRPr="00A43DFA" w:rsidSect="00BD0EAA">
          <w:type w:val="continuous"/>
          <w:pgSz w:w="11906" w:h="16838"/>
          <w:pgMar w:top="1440" w:right="849" w:bottom="1440" w:left="1560" w:header="708" w:footer="708" w:gutter="0"/>
          <w:cols w:num="2" w:space="720"/>
          <w:docGrid w:linePitch="360"/>
        </w:sectPr>
      </w:pPr>
    </w:p>
    <w:p w:rsidR="006B17B0" w:rsidRPr="006B17B0" w:rsidRDefault="006B17B0" w:rsidP="006B17B0">
      <w:pPr>
        <w:pStyle w:val="Heading5"/>
        <w:spacing w:before="120" w:after="120"/>
        <w:jc w:val="center"/>
        <w:rPr>
          <w:rFonts w:ascii="Tahoma" w:hAnsi="Tahoma" w:cs="Tahoma"/>
          <w:b/>
          <w:color w:val="000000" w:themeColor="text1"/>
          <w:szCs w:val="22"/>
        </w:rPr>
      </w:pPr>
      <w:r w:rsidRPr="006B17B0">
        <w:rPr>
          <w:rFonts w:ascii="Tahoma" w:hAnsi="Tahoma" w:cs="Tahoma"/>
          <w:b/>
          <w:color w:val="000000" w:themeColor="text1"/>
          <w:szCs w:val="22"/>
        </w:rPr>
        <w:lastRenderedPageBreak/>
        <w:t>Πίνακας 2.10</w:t>
      </w:r>
    </w:p>
    <w:tbl>
      <w:tblPr>
        <w:tblpPr w:leftFromText="180" w:rightFromText="180" w:vertAnchor="text" w:horzAnchor="margin" w:tblpY="651"/>
        <w:tblW w:w="9699" w:type="dxa"/>
        <w:tblLook w:val="04A0"/>
      </w:tblPr>
      <w:tblGrid>
        <w:gridCol w:w="1968"/>
        <w:gridCol w:w="733"/>
        <w:gridCol w:w="733"/>
        <w:gridCol w:w="978"/>
        <w:gridCol w:w="733"/>
        <w:gridCol w:w="733"/>
        <w:gridCol w:w="978"/>
        <w:gridCol w:w="933"/>
        <w:gridCol w:w="933"/>
        <w:gridCol w:w="978"/>
      </w:tblGrid>
      <w:tr w:rsidR="006F3AA0" w:rsidRPr="006F3AA0" w:rsidTr="006F3AA0">
        <w:trPr>
          <w:trHeight w:val="218"/>
        </w:trPr>
        <w:tc>
          <w:tcPr>
            <w:tcW w:w="1968" w:type="dxa"/>
            <w:tcBorders>
              <w:top w:val="nil"/>
              <w:left w:val="nil"/>
              <w:bottom w:val="nil"/>
              <w:right w:val="nil"/>
            </w:tcBorders>
            <w:shd w:val="clear" w:color="auto" w:fill="auto"/>
            <w:noWrap/>
            <w:vAlign w:val="bottom"/>
            <w:hideMark/>
          </w:tcPr>
          <w:p w:rsidR="006F3AA0" w:rsidRPr="006F3AA0" w:rsidRDefault="006F3AA0" w:rsidP="006F3AA0">
            <w:pPr>
              <w:rPr>
                <w:rFonts w:ascii="Tahoma" w:hAnsi="Tahoma" w:cs="Tahoma"/>
                <w:sz w:val="16"/>
                <w:szCs w:val="16"/>
              </w:rPr>
            </w:pPr>
          </w:p>
        </w:tc>
        <w:tc>
          <w:tcPr>
            <w:tcW w:w="2443"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2011</w:t>
            </w:r>
          </w:p>
        </w:tc>
        <w:tc>
          <w:tcPr>
            <w:tcW w:w="2443" w:type="dxa"/>
            <w:gridSpan w:val="3"/>
            <w:tcBorders>
              <w:top w:val="single" w:sz="4" w:space="0" w:color="auto"/>
              <w:left w:val="nil"/>
              <w:bottom w:val="single" w:sz="4" w:space="0" w:color="auto"/>
              <w:right w:val="single" w:sz="4" w:space="0" w:color="000000"/>
            </w:tcBorders>
            <w:shd w:val="clear" w:color="auto" w:fill="auto"/>
            <w:noWrap/>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2012</w:t>
            </w:r>
          </w:p>
        </w:tc>
        <w:tc>
          <w:tcPr>
            <w:tcW w:w="284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ΜΕΤΑΒΟΛΕΣ 2012/11</w:t>
            </w:r>
          </w:p>
        </w:tc>
      </w:tr>
      <w:tr w:rsidR="006F3AA0" w:rsidRPr="006F3AA0" w:rsidTr="006F3AA0">
        <w:trPr>
          <w:trHeight w:val="218"/>
        </w:trPr>
        <w:tc>
          <w:tcPr>
            <w:tcW w:w="1968" w:type="dxa"/>
            <w:tcBorders>
              <w:top w:val="nil"/>
              <w:left w:val="nil"/>
              <w:bottom w:val="nil"/>
              <w:right w:val="nil"/>
            </w:tcBorders>
            <w:shd w:val="clear" w:color="auto" w:fill="auto"/>
            <w:noWrap/>
            <w:vAlign w:val="bottom"/>
            <w:hideMark/>
          </w:tcPr>
          <w:p w:rsidR="006F3AA0" w:rsidRPr="006F3AA0" w:rsidRDefault="006F3AA0" w:rsidP="006F3AA0">
            <w:pPr>
              <w:rPr>
                <w:rFonts w:ascii="Tahoma" w:hAnsi="Tahoma" w:cs="Tahoma"/>
                <w:sz w:val="16"/>
                <w:szCs w:val="16"/>
              </w:rPr>
            </w:pPr>
          </w:p>
        </w:tc>
        <w:tc>
          <w:tcPr>
            <w:tcW w:w="733" w:type="dxa"/>
            <w:tcBorders>
              <w:top w:val="nil"/>
              <w:left w:val="single" w:sz="4" w:space="0" w:color="auto"/>
              <w:bottom w:val="single" w:sz="4" w:space="0" w:color="auto"/>
              <w:right w:val="single" w:sz="4" w:space="0" w:color="auto"/>
            </w:tcBorders>
            <w:shd w:val="clear" w:color="auto" w:fill="auto"/>
            <w:noWrap/>
            <w:vAlign w:val="bottom"/>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ΙΑΝ</w:t>
            </w:r>
          </w:p>
        </w:tc>
        <w:tc>
          <w:tcPr>
            <w:tcW w:w="733"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ΦΕΒ</w:t>
            </w:r>
          </w:p>
        </w:tc>
        <w:tc>
          <w:tcPr>
            <w:tcW w:w="978" w:type="dxa"/>
            <w:tcBorders>
              <w:top w:val="nil"/>
              <w:left w:val="nil"/>
              <w:bottom w:val="single" w:sz="4" w:space="0" w:color="auto"/>
              <w:right w:val="single" w:sz="4" w:space="0" w:color="auto"/>
            </w:tcBorders>
            <w:shd w:val="clear" w:color="000000" w:fill="C0C0C0"/>
            <w:noWrap/>
            <w:vAlign w:val="bottom"/>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ΣΥΝΟΛΟ</w:t>
            </w:r>
          </w:p>
        </w:tc>
        <w:tc>
          <w:tcPr>
            <w:tcW w:w="733" w:type="dxa"/>
            <w:tcBorders>
              <w:top w:val="nil"/>
              <w:left w:val="nil"/>
              <w:bottom w:val="single" w:sz="4" w:space="0" w:color="auto"/>
              <w:right w:val="single" w:sz="4" w:space="0" w:color="auto"/>
            </w:tcBorders>
            <w:shd w:val="clear" w:color="auto" w:fill="auto"/>
            <w:noWrap/>
            <w:vAlign w:val="bottom"/>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ΙΑΝ</w:t>
            </w:r>
          </w:p>
        </w:tc>
        <w:tc>
          <w:tcPr>
            <w:tcW w:w="733"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ΦΕΒ</w:t>
            </w:r>
          </w:p>
        </w:tc>
        <w:tc>
          <w:tcPr>
            <w:tcW w:w="978" w:type="dxa"/>
            <w:tcBorders>
              <w:top w:val="nil"/>
              <w:left w:val="nil"/>
              <w:bottom w:val="single" w:sz="4" w:space="0" w:color="auto"/>
              <w:right w:val="single" w:sz="4" w:space="0" w:color="auto"/>
            </w:tcBorders>
            <w:shd w:val="clear" w:color="000000" w:fill="C0C0C0"/>
            <w:noWrap/>
            <w:vAlign w:val="bottom"/>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ΣΥΝΟΛΟ</w:t>
            </w:r>
          </w:p>
        </w:tc>
        <w:tc>
          <w:tcPr>
            <w:tcW w:w="933" w:type="dxa"/>
            <w:tcBorders>
              <w:top w:val="nil"/>
              <w:left w:val="nil"/>
              <w:bottom w:val="single" w:sz="4" w:space="0" w:color="auto"/>
              <w:right w:val="single" w:sz="4" w:space="0" w:color="auto"/>
            </w:tcBorders>
            <w:shd w:val="clear" w:color="auto" w:fill="auto"/>
            <w:noWrap/>
            <w:vAlign w:val="bottom"/>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ΙΑΝ</w:t>
            </w:r>
          </w:p>
        </w:tc>
        <w:tc>
          <w:tcPr>
            <w:tcW w:w="933" w:type="dxa"/>
            <w:tcBorders>
              <w:top w:val="nil"/>
              <w:left w:val="nil"/>
              <w:bottom w:val="single" w:sz="4" w:space="0" w:color="auto"/>
              <w:right w:val="single" w:sz="4" w:space="0" w:color="auto"/>
            </w:tcBorders>
            <w:shd w:val="clear" w:color="auto" w:fill="auto"/>
            <w:noWrap/>
            <w:vAlign w:val="bottom"/>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ΦΕΒ</w:t>
            </w:r>
          </w:p>
        </w:tc>
        <w:tc>
          <w:tcPr>
            <w:tcW w:w="977" w:type="dxa"/>
            <w:tcBorders>
              <w:top w:val="nil"/>
              <w:left w:val="nil"/>
              <w:bottom w:val="single" w:sz="4" w:space="0" w:color="auto"/>
              <w:right w:val="single" w:sz="4" w:space="0" w:color="auto"/>
            </w:tcBorders>
            <w:shd w:val="clear" w:color="000000" w:fill="C0C0C0"/>
            <w:noWrap/>
            <w:vAlign w:val="bottom"/>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ΣΥΝΟΛΟ</w:t>
            </w:r>
          </w:p>
        </w:tc>
      </w:tr>
      <w:tr w:rsidR="006F3AA0" w:rsidRPr="006F3AA0" w:rsidTr="006F3AA0">
        <w:trPr>
          <w:trHeight w:val="218"/>
        </w:trPr>
        <w:tc>
          <w:tcPr>
            <w:tcW w:w="19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3AA0" w:rsidRPr="006F3AA0" w:rsidRDefault="006F3AA0" w:rsidP="006F3AA0">
            <w:pPr>
              <w:rPr>
                <w:rFonts w:ascii="Tahoma" w:hAnsi="Tahoma" w:cs="Tahoma"/>
                <w:b/>
                <w:bCs/>
                <w:sz w:val="16"/>
                <w:szCs w:val="16"/>
              </w:rPr>
            </w:pPr>
            <w:r w:rsidRPr="006F3AA0">
              <w:rPr>
                <w:rFonts w:ascii="Tahoma" w:hAnsi="Tahoma" w:cs="Tahoma"/>
                <w:b/>
                <w:bCs/>
                <w:sz w:val="16"/>
                <w:szCs w:val="16"/>
              </w:rPr>
              <w:t>ΣΥΝΟΛΟ ΕΣΟΔΩΝ ΚΡΑΤ. Π/Υ</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5.123</w:t>
            </w:r>
          </w:p>
        </w:tc>
        <w:tc>
          <w:tcPr>
            <w:tcW w:w="733" w:type="dxa"/>
            <w:tcBorders>
              <w:top w:val="single" w:sz="4" w:space="0" w:color="auto"/>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3.430</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8.553</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4.872</w:t>
            </w:r>
          </w:p>
        </w:tc>
        <w:tc>
          <w:tcPr>
            <w:tcW w:w="733" w:type="dxa"/>
            <w:tcBorders>
              <w:top w:val="single" w:sz="4" w:space="0" w:color="auto"/>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4.384</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9.256</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-4,9%</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27,8%</w:t>
            </w:r>
          </w:p>
        </w:tc>
        <w:tc>
          <w:tcPr>
            <w:tcW w:w="977"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8,2%</w:t>
            </w:r>
          </w:p>
        </w:tc>
      </w:tr>
      <w:tr w:rsidR="006F3AA0" w:rsidRPr="006F3AA0" w:rsidTr="006F3AA0">
        <w:trPr>
          <w:trHeight w:val="218"/>
        </w:trPr>
        <w:tc>
          <w:tcPr>
            <w:tcW w:w="1968"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jc w:val="both"/>
              <w:rPr>
                <w:rFonts w:ascii="Tahoma" w:hAnsi="Tahoma" w:cs="Tahoma"/>
                <w:b/>
                <w:bCs/>
                <w:color w:val="000000"/>
                <w:sz w:val="16"/>
                <w:szCs w:val="16"/>
              </w:rPr>
            </w:pPr>
            <w:r w:rsidRPr="006F3AA0">
              <w:rPr>
                <w:rFonts w:ascii="Tahoma" w:hAnsi="Tahoma" w:cs="Tahoma"/>
                <w:b/>
                <w:bCs/>
                <w:color w:val="000000"/>
                <w:sz w:val="16"/>
                <w:szCs w:val="16"/>
              </w:rPr>
              <w:t>ΣΥΝΟΛΟ ΚΑΘΑΡΩΝ ΕΣΟΔΩΝ</w:t>
            </w:r>
          </w:p>
        </w:tc>
        <w:tc>
          <w:tcPr>
            <w:tcW w:w="733" w:type="dxa"/>
            <w:tcBorders>
              <w:top w:val="single" w:sz="4" w:space="0" w:color="auto"/>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5.091</w:t>
            </w:r>
          </w:p>
        </w:tc>
        <w:tc>
          <w:tcPr>
            <w:tcW w:w="733" w:type="dxa"/>
            <w:tcBorders>
              <w:top w:val="single" w:sz="4" w:space="0" w:color="auto"/>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2.858</w:t>
            </w:r>
          </w:p>
        </w:tc>
        <w:tc>
          <w:tcPr>
            <w:tcW w:w="978" w:type="dxa"/>
            <w:tcBorders>
              <w:top w:val="single" w:sz="4" w:space="0" w:color="auto"/>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7.949</w:t>
            </w:r>
          </w:p>
        </w:tc>
        <w:tc>
          <w:tcPr>
            <w:tcW w:w="733" w:type="dxa"/>
            <w:tcBorders>
              <w:top w:val="single" w:sz="4" w:space="0" w:color="auto"/>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4.827</w:t>
            </w:r>
          </w:p>
        </w:tc>
        <w:tc>
          <w:tcPr>
            <w:tcW w:w="733" w:type="dxa"/>
            <w:tcBorders>
              <w:top w:val="single" w:sz="4" w:space="0" w:color="auto"/>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3.238</w:t>
            </w:r>
          </w:p>
        </w:tc>
        <w:tc>
          <w:tcPr>
            <w:tcW w:w="978" w:type="dxa"/>
            <w:tcBorders>
              <w:top w:val="single" w:sz="4" w:space="0" w:color="auto"/>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8.065</w:t>
            </w:r>
          </w:p>
        </w:tc>
        <w:tc>
          <w:tcPr>
            <w:tcW w:w="933" w:type="dxa"/>
            <w:tcBorders>
              <w:top w:val="single" w:sz="4" w:space="0" w:color="auto"/>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-5,2%</w:t>
            </w:r>
          </w:p>
        </w:tc>
        <w:tc>
          <w:tcPr>
            <w:tcW w:w="933" w:type="dxa"/>
            <w:tcBorders>
              <w:top w:val="single" w:sz="4" w:space="0" w:color="auto"/>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13,3%</w:t>
            </w:r>
          </w:p>
        </w:tc>
        <w:tc>
          <w:tcPr>
            <w:tcW w:w="977" w:type="dxa"/>
            <w:tcBorders>
              <w:top w:val="single" w:sz="4" w:space="0" w:color="auto"/>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1,5%</w:t>
            </w:r>
          </w:p>
        </w:tc>
      </w:tr>
      <w:tr w:rsidR="006F3AA0" w:rsidRPr="006F3AA0" w:rsidTr="006F3AA0">
        <w:trPr>
          <w:trHeight w:val="218"/>
        </w:trPr>
        <w:tc>
          <w:tcPr>
            <w:tcW w:w="1968"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jc w:val="both"/>
              <w:rPr>
                <w:rFonts w:ascii="Tahoma" w:hAnsi="Tahoma" w:cs="Tahoma"/>
                <w:b/>
                <w:bCs/>
                <w:color w:val="000000"/>
                <w:sz w:val="16"/>
                <w:szCs w:val="16"/>
              </w:rPr>
            </w:pPr>
            <w:r w:rsidRPr="006F3AA0">
              <w:rPr>
                <w:rFonts w:ascii="Tahoma" w:hAnsi="Tahoma" w:cs="Tahoma"/>
                <w:b/>
                <w:bCs/>
                <w:color w:val="000000"/>
                <w:sz w:val="16"/>
                <w:szCs w:val="16"/>
              </w:rPr>
              <w:t>ΕΠΙΣΤΡΟΦΕΣ ΦΟΡΩΝ</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color w:val="000000"/>
                <w:sz w:val="16"/>
                <w:szCs w:val="16"/>
              </w:rPr>
            </w:pPr>
            <w:r w:rsidRPr="006F3AA0">
              <w:rPr>
                <w:rFonts w:ascii="Tahoma" w:hAnsi="Tahoma" w:cs="Tahoma"/>
                <w:b/>
                <w:bCs/>
                <w:color w:val="000000"/>
                <w:sz w:val="16"/>
                <w:szCs w:val="16"/>
              </w:rPr>
              <w:t>404</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172</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b/>
                <w:bCs/>
                <w:color w:val="000000"/>
                <w:sz w:val="16"/>
                <w:szCs w:val="16"/>
              </w:rPr>
            </w:pPr>
            <w:r w:rsidRPr="006F3AA0">
              <w:rPr>
                <w:rFonts w:ascii="Tahoma" w:hAnsi="Tahoma" w:cs="Tahoma"/>
                <w:b/>
                <w:bCs/>
                <w:color w:val="000000"/>
                <w:sz w:val="16"/>
                <w:szCs w:val="16"/>
              </w:rPr>
              <w:t>576</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color w:val="000000"/>
                <w:sz w:val="16"/>
                <w:szCs w:val="16"/>
              </w:rPr>
            </w:pPr>
            <w:r w:rsidRPr="006F3AA0">
              <w:rPr>
                <w:rFonts w:ascii="Tahoma" w:hAnsi="Tahoma" w:cs="Tahoma"/>
                <w:b/>
                <w:bCs/>
                <w:color w:val="000000"/>
                <w:sz w:val="16"/>
                <w:szCs w:val="16"/>
              </w:rPr>
              <w:t>163</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180</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b/>
                <w:bCs/>
                <w:color w:val="000000"/>
                <w:sz w:val="16"/>
                <w:szCs w:val="16"/>
              </w:rPr>
            </w:pPr>
            <w:r w:rsidRPr="006F3AA0">
              <w:rPr>
                <w:rFonts w:ascii="Tahoma" w:hAnsi="Tahoma" w:cs="Tahoma"/>
                <w:b/>
                <w:bCs/>
                <w:color w:val="000000"/>
                <w:sz w:val="16"/>
                <w:szCs w:val="16"/>
              </w:rPr>
              <w:t>343</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color w:val="000000"/>
                <w:sz w:val="16"/>
                <w:szCs w:val="16"/>
              </w:rPr>
            </w:pPr>
            <w:r w:rsidRPr="006F3AA0">
              <w:rPr>
                <w:rFonts w:ascii="Tahoma" w:hAnsi="Tahoma" w:cs="Tahoma"/>
                <w:b/>
                <w:bCs/>
                <w:color w:val="000000"/>
                <w:sz w:val="16"/>
                <w:szCs w:val="16"/>
              </w:rPr>
              <w:t>-59,7%</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color w:val="000000"/>
                <w:sz w:val="16"/>
                <w:szCs w:val="16"/>
              </w:rPr>
            </w:pPr>
            <w:r w:rsidRPr="006F3AA0">
              <w:rPr>
                <w:rFonts w:ascii="Tahoma" w:hAnsi="Tahoma" w:cs="Tahoma"/>
                <w:b/>
                <w:bCs/>
                <w:color w:val="000000"/>
                <w:sz w:val="16"/>
                <w:szCs w:val="16"/>
              </w:rPr>
              <w:t>4,7%</w:t>
            </w:r>
          </w:p>
        </w:tc>
        <w:tc>
          <w:tcPr>
            <w:tcW w:w="977"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b/>
                <w:bCs/>
                <w:color w:val="000000"/>
                <w:sz w:val="16"/>
                <w:szCs w:val="16"/>
              </w:rPr>
            </w:pPr>
            <w:r w:rsidRPr="006F3AA0">
              <w:rPr>
                <w:rFonts w:ascii="Tahoma" w:hAnsi="Tahoma" w:cs="Tahoma"/>
                <w:b/>
                <w:bCs/>
                <w:color w:val="000000"/>
                <w:sz w:val="16"/>
                <w:szCs w:val="16"/>
              </w:rPr>
              <w:t>-40,5%</w:t>
            </w:r>
          </w:p>
        </w:tc>
      </w:tr>
      <w:tr w:rsidR="006F3AA0" w:rsidRPr="006F3AA0" w:rsidTr="006F3AA0">
        <w:trPr>
          <w:trHeight w:val="218"/>
        </w:trPr>
        <w:tc>
          <w:tcPr>
            <w:tcW w:w="1968"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jc w:val="both"/>
              <w:rPr>
                <w:rFonts w:ascii="Tahoma" w:hAnsi="Tahoma" w:cs="Tahoma"/>
                <w:b/>
                <w:bCs/>
                <w:color w:val="000000"/>
                <w:sz w:val="16"/>
                <w:szCs w:val="16"/>
              </w:rPr>
            </w:pPr>
            <w:r w:rsidRPr="006F3AA0">
              <w:rPr>
                <w:rFonts w:ascii="Tahoma" w:hAnsi="Tahoma" w:cs="Tahoma"/>
                <w:b/>
                <w:bCs/>
                <w:color w:val="000000"/>
                <w:sz w:val="16"/>
                <w:szCs w:val="16"/>
              </w:rPr>
              <w:t>ΣΥΝΟΛΟ ΕΣΟΔΩΝ</w:t>
            </w:r>
          </w:p>
        </w:tc>
        <w:tc>
          <w:tcPr>
            <w:tcW w:w="733"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color w:val="000000"/>
                <w:sz w:val="16"/>
                <w:szCs w:val="16"/>
              </w:rPr>
            </w:pPr>
            <w:r w:rsidRPr="006F3AA0">
              <w:rPr>
                <w:rFonts w:ascii="Tahoma" w:hAnsi="Tahoma" w:cs="Tahoma"/>
                <w:b/>
                <w:bCs/>
                <w:color w:val="000000"/>
                <w:sz w:val="16"/>
                <w:szCs w:val="16"/>
              </w:rPr>
              <w:t>5.495</w:t>
            </w:r>
          </w:p>
        </w:tc>
        <w:tc>
          <w:tcPr>
            <w:tcW w:w="733"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color w:val="000000"/>
                <w:sz w:val="16"/>
                <w:szCs w:val="16"/>
              </w:rPr>
            </w:pPr>
            <w:r w:rsidRPr="006F3AA0">
              <w:rPr>
                <w:rFonts w:ascii="Tahoma" w:hAnsi="Tahoma" w:cs="Tahoma"/>
                <w:b/>
                <w:bCs/>
                <w:color w:val="000000"/>
                <w:sz w:val="16"/>
                <w:szCs w:val="16"/>
              </w:rPr>
              <w:t>3.030</w:t>
            </w:r>
          </w:p>
        </w:tc>
        <w:tc>
          <w:tcPr>
            <w:tcW w:w="978" w:type="dxa"/>
            <w:tcBorders>
              <w:top w:val="nil"/>
              <w:left w:val="nil"/>
              <w:bottom w:val="single" w:sz="4" w:space="0" w:color="auto"/>
              <w:right w:val="single" w:sz="4" w:space="0" w:color="auto"/>
            </w:tcBorders>
            <w:shd w:val="clear" w:color="000000" w:fill="C0C0C0"/>
            <w:noWrap/>
            <w:vAlign w:val="center"/>
            <w:hideMark/>
          </w:tcPr>
          <w:p w:rsidR="006F3AA0" w:rsidRPr="006F3AA0" w:rsidRDefault="006F3AA0" w:rsidP="006F3AA0">
            <w:pPr>
              <w:jc w:val="center"/>
              <w:rPr>
                <w:rFonts w:ascii="Tahoma" w:hAnsi="Tahoma" w:cs="Tahoma"/>
                <w:b/>
                <w:bCs/>
                <w:color w:val="000000"/>
                <w:sz w:val="16"/>
                <w:szCs w:val="16"/>
              </w:rPr>
            </w:pPr>
            <w:r w:rsidRPr="006F3AA0">
              <w:rPr>
                <w:rFonts w:ascii="Tahoma" w:hAnsi="Tahoma" w:cs="Tahoma"/>
                <w:b/>
                <w:bCs/>
                <w:color w:val="000000"/>
                <w:sz w:val="16"/>
                <w:szCs w:val="16"/>
              </w:rPr>
              <w:t>8.525</w:t>
            </w:r>
          </w:p>
        </w:tc>
        <w:tc>
          <w:tcPr>
            <w:tcW w:w="733"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color w:val="000000"/>
                <w:sz w:val="16"/>
                <w:szCs w:val="16"/>
              </w:rPr>
            </w:pPr>
            <w:r w:rsidRPr="006F3AA0">
              <w:rPr>
                <w:rFonts w:ascii="Tahoma" w:hAnsi="Tahoma" w:cs="Tahoma"/>
                <w:b/>
                <w:bCs/>
                <w:color w:val="000000"/>
                <w:sz w:val="16"/>
                <w:szCs w:val="16"/>
              </w:rPr>
              <w:t>4.990</w:t>
            </w:r>
          </w:p>
        </w:tc>
        <w:tc>
          <w:tcPr>
            <w:tcW w:w="733"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color w:val="000000"/>
                <w:sz w:val="16"/>
                <w:szCs w:val="16"/>
              </w:rPr>
            </w:pPr>
            <w:r w:rsidRPr="006F3AA0">
              <w:rPr>
                <w:rFonts w:ascii="Tahoma" w:hAnsi="Tahoma" w:cs="Tahoma"/>
                <w:b/>
                <w:bCs/>
                <w:color w:val="000000"/>
                <w:sz w:val="16"/>
                <w:szCs w:val="16"/>
              </w:rPr>
              <w:t>3.418</w:t>
            </w:r>
          </w:p>
        </w:tc>
        <w:tc>
          <w:tcPr>
            <w:tcW w:w="978" w:type="dxa"/>
            <w:tcBorders>
              <w:top w:val="nil"/>
              <w:left w:val="nil"/>
              <w:bottom w:val="single" w:sz="4" w:space="0" w:color="auto"/>
              <w:right w:val="single" w:sz="4" w:space="0" w:color="auto"/>
            </w:tcBorders>
            <w:shd w:val="clear" w:color="000000" w:fill="C0C0C0"/>
            <w:noWrap/>
            <w:vAlign w:val="center"/>
            <w:hideMark/>
          </w:tcPr>
          <w:p w:rsidR="006F3AA0" w:rsidRPr="006F3AA0" w:rsidRDefault="006F3AA0" w:rsidP="006F3AA0">
            <w:pPr>
              <w:jc w:val="center"/>
              <w:rPr>
                <w:rFonts w:ascii="Tahoma" w:hAnsi="Tahoma" w:cs="Tahoma"/>
                <w:b/>
                <w:bCs/>
                <w:color w:val="000000"/>
                <w:sz w:val="16"/>
                <w:szCs w:val="16"/>
              </w:rPr>
            </w:pPr>
            <w:r w:rsidRPr="006F3AA0">
              <w:rPr>
                <w:rFonts w:ascii="Tahoma" w:hAnsi="Tahoma" w:cs="Tahoma"/>
                <w:b/>
                <w:bCs/>
                <w:color w:val="000000"/>
                <w:sz w:val="16"/>
                <w:szCs w:val="16"/>
              </w:rPr>
              <w:t>8.408</w:t>
            </w:r>
          </w:p>
        </w:tc>
        <w:tc>
          <w:tcPr>
            <w:tcW w:w="933"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color w:val="000000"/>
                <w:sz w:val="16"/>
                <w:szCs w:val="16"/>
              </w:rPr>
            </w:pPr>
            <w:r w:rsidRPr="006F3AA0">
              <w:rPr>
                <w:rFonts w:ascii="Tahoma" w:hAnsi="Tahoma" w:cs="Tahoma"/>
                <w:b/>
                <w:bCs/>
                <w:color w:val="000000"/>
                <w:sz w:val="16"/>
                <w:szCs w:val="16"/>
              </w:rPr>
              <w:t>-9,2%</w:t>
            </w:r>
          </w:p>
        </w:tc>
        <w:tc>
          <w:tcPr>
            <w:tcW w:w="933"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color w:val="000000"/>
                <w:sz w:val="16"/>
                <w:szCs w:val="16"/>
              </w:rPr>
            </w:pPr>
            <w:r w:rsidRPr="006F3AA0">
              <w:rPr>
                <w:rFonts w:ascii="Tahoma" w:hAnsi="Tahoma" w:cs="Tahoma"/>
                <w:b/>
                <w:bCs/>
                <w:color w:val="000000"/>
                <w:sz w:val="16"/>
                <w:szCs w:val="16"/>
              </w:rPr>
              <w:t>12,8%</w:t>
            </w:r>
          </w:p>
        </w:tc>
        <w:tc>
          <w:tcPr>
            <w:tcW w:w="977" w:type="dxa"/>
            <w:tcBorders>
              <w:top w:val="nil"/>
              <w:left w:val="nil"/>
              <w:bottom w:val="single" w:sz="4" w:space="0" w:color="auto"/>
              <w:right w:val="single" w:sz="4" w:space="0" w:color="auto"/>
            </w:tcBorders>
            <w:shd w:val="clear" w:color="000000" w:fill="C0C0C0"/>
            <w:noWrap/>
            <w:vAlign w:val="center"/>
            <w:hideMark/>
          </w:tcPr>
          <w:p w:rsidR="006F3AA0" w:rsidRPr="006F3AA0" w:rsidRDefault="006F3AA0" w:rsidP="006F3AA0">
            <w:pPr>
              <w:jc w:val="center"/>
              <w:rPr>
                <w:rFonts w:ascii="Tahoma" w:hAnsi="Tahoma" w:cs="Tahoma"/>
                <w:b/>
                <w:bCs/>
                <w:color w:val="000000"/>
                <w:sz w:val="16"/>
                <w:szCs w:val="16"/>
              </w:rPr>
            </w:pPr>
            <w:r w:rsidRPr="006F3AA0">
              <w:rPr>
                <w:rFonts w:ascii="Tahoma" w:hAnsi="Tahoma" w:cs="Tahoma"/>
                <w:b/>
                <w:bCs/>
                <w:color w:val="000000"/>
                <w:sz w:val="16"/>
                <w:szCs w:val="16"/>
              </w:rPr>
              <w:t>-1,4%</w:t>
            </w:r>
          </w:p>
        </w:tc>
      </w:tr>
      <w:tr w:rsidR="006F3AA0" w:rsidRPr="006F3AA0" w:rsidTr="006F3AA0">
        <w:trPr>
          <w:trHeight w:val="218"/>
        </w:trPr>
        <w:tc>
          <w:tcPr>
            <w:tcW w:w="1968" w:type="dxa"/>
            <w:tcBorders>
              <w:top w:val="single" w:sz="4" w:space="0" w:color="auto"/>
              <w:left w:val="single" w:sz="4" w:space="0" w:color="auto"/>
              <w:bottom w:val="nil"/>
              <w:right w:val="single" w:sz="4" w:space="0" w:color="auto"/>
            </w:tcBorders>
            <w:shd w:val="clear" w:color="auto" w:fill="auto"/>
            <w:noWrap/>
            <w:vAlign w:val="center"/>
            <w:hideMark/>
          </w:tcPr>
          <w:p w:rsidR="006F3AA0" w:rsidRPr="006F3AA0" w:rsidRDefault="006F3AA0" w:rsidP="006F3AA0">
            <w:pPr>
              <w:rPr>
                <w:rFonts w:ascii="Tahoma" w:hAnsi="Tahoma" w:cs="Tahoma"/>
                <w:b/>
                <w:bCs/>
                <w:i/>
                <w:iCs/>
                <w:color w:val="000000"/>
                <w:sz w:val="16"/>
                <w:szCs w:val="16"/>
              </w:rPr>
            </w:pPr>
            <w:r w:rsidRPr="006F3AA0">
              <w:rPr>
                <w:rFonts w:ascii="Tahoma" w:hAnsi="Tahoma" w:cs="Tahoma"/>
                <w:b/>
                <w:bCs/>
                <w:i/>
                <w:iCs/>
                <w:color w:val="000000"/>
                <w:sz w:val="16"/>
                <w:szCs w:val="16"/>
              </w:rPr>
              <w:t>ΦΟΡΟΛΟΓΙΚΑ ΕΣΟΔΑ</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i/>
                <w:iCs/>
                <w:color w:val="000000"/>
                <w:sz w:val="16"/>
                <w:szCs w:val="16"/>
              </w:rPr>
            </w:pPr>
            <w:r w:rsidRPr="006F3AA0">
              <w:rPr>
                <w:rFonts w:ascii="Tahoma" w:hAnsi="Tahoma" w:cs="Tahoma"/>
                <w:b/>
                <w:bCs/>
                <w:i/>
                <w:iCs/>
                <w:color w:val="000000"/>
                <w:sz w:val="16"/>
                <w:szCs w:val="16"/>
              </w:rPr>
              <w:t>5.164</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i/>
                <w:iCs/>
                <w:color w:val="000000"/>
                <w:sz w:val="16"/>
                <w:szCs w:val="16"/>
              </w:rPr>
            </w:pPr>
            <w:r w:rsidRPr="006F3AA0">
              <w:rPr>
                <w:rFonts w:ascii="Tahoma" w:hAnsi="Tahoma" w:cs="Tahoma"/>
                <w:b/>
                <w:bCs/>
                <w:i/>
                <w:iCs/>
                <w:color w:val="000000"/>
                <w:sz w:val="16"/>
                <w:szCs w:val="16"/>
              </w:rPr>
              <w:t>2.704</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b/>
                <w:bCs/>
                <w:i/>
                <w:iCs/>
                <w:color w:val="000000"/>
                <w:sz w:val="16"/>
                <w:szCs w:val="16"/>
              </w:rPr>
            </w:pPr>
            <w:r w:rsidRPr="006F3AA0">
              <w:rPr>
                <w:rFonts w:ascii="Tahoma" w:hAnsi="Tahoma" w:cs="Tahoma"/>
                <w:b/>
                <w:bCs/>
                <w:i/>
                <w:iCs/>
                <w:color w:val="000000"/>
                <w:sz w:val="16"/>
                <w:szCs w:val="16"/>
              </w:rPr>
              <w:t>7.868</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i/>
                <w:iCs/>
                <w:color w:val="000000"/>
                <w:sz w:val="16"/>
                <w:szCs w:val="16"/>
              </w:rPr>
            </w:pPr>
            <w:r w:rsidRPr="006F3AA0">
              <w:rPr>
                <w:rFonts w:ascii="Tahoma" w:hAnsi="Tahoma" w:cs="Tahoma"/>
                <w:b/>
                <w:bCs/>
                <w:i/>
                <w:iCs/>
                <w:color w:val="000000"/>
                <w:sz w:val="16"/>
                <w:szCs w:val="16"/>
              </w:rPr>
              <w:t>4.739</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i/>
                <w:iCs/>
                <w:color w:val="000000"/>
                <w:sz w:val="16"/>
                <w:szCs w:val="16"/>
              </w:rPr>
            </w:pPr>
            <w:r w:rsidRPr="006F3AA0">
              <w:rPr>
                <w:rFonts w:ascii="Tahoma" w:hAnsi="Tahoma" w:cs="Tahoma"/>
                <w:b/>
                <w:bCs/>
                <w:i/>
                <w:iCs/>
                <w:color w:val="000000"/>
                <w:sz w:val="16"/>
                <w:szCs w:val="16"/>
              </w:rPr>
              <w:t>3.183</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b/>
                <w:bCs/>
                <w:i/>
                <w:iCs/>
                <w:color w:val="000000"/>
                <w:sz w:val="16"/>
                <w:szCs w:val="16"/>
              </w:rPr>
            </w:pPr>
            <w:r w:rsidRPr="006F3AA0">
              <w:rPr>
                <w:rFonts w:ascii="Tahoma" w:hAnsi="Tahoma" w:cs="Tahoma"/>
                <w:b/>
                <w:bCs/>
                <w:i/>
                <w:iCs/>
                <w:color w:val="000000"/>
                <w:sz w:val="16"/>
                <w:szCs w:val="16"/>
              </w:rPr>
              <w:t>7.922</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i/>
                <w:iCs/>
                <w:color w:val="000000"/>
                <w:sz w:val="16"/>
                <w:szCs w:val="16"/>
              </w:rPr>
            </w:pPr>
            <w:r w:rsidRPr="006F3AA0">
              <w:rPr>
                <w:rFonts w:ascii="Tahoma" w:hAnsi="Tahoma" w:cs="Tahoma"/>
                <w:b/>
                <w:bCs/>
                <w:i/>
                <w:iCs/>
                <w:color w:val="000000"/>
                <w:sz w:val="16"/>
                <w:szCs w:val="16"/>
              </w:rPr>
              <w:t>-8,2%</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i/>
                <w:iCs/>
                <w:color w:val="000000"/>
                <w:sz w:val="16"/>
                <w:szCs w:val="16"/>
              </w:rPr>
            </w:pPr>
            <w:r w:rsidRPr="006F3AA0">
              <w:rPr>
                <w:rFonts w:ascii="Tahoma" w:hAnsi="Tahoma" w:cs="Tahoma"/>
                <w:b/>
                <w:bCs/>
                <w:i/>
                <w:iCs/>
                <w:color w:val="000000"/>
                <w:sz w:val="16"/>
                <w:szCs w:val="16"/>
              </w:rPr>
              <w:t>17,7%</w:t>
            </w:r>
          </w:p>
        </w:tc>
        <w:tc>
          <w:tcPr>
            <w:tcW w:w="977"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b/>
                <w:bCs/>
                <w:i/>
                <w:iCs/>
                <w:color w:val="000000"/>
                <w:sz w:val="16"/>
                <w:szCs w:val="16"/>
              </w:rPr>
            </w:pPr>
            <w:r w:rsidRPr="006F3AA0">
              <w:rPr>
                <w:rFonts w:ascii="Tahoma" w:hAnsi="Tahoma" w:cs="Tahoma"/>
                <w:b/>
                <w:bCs/>
                <w:i/>
                <w:iCs/>
                <w:color w:val="000000"/>
                <w:sz w:val="16"/>
                <w:szCs w:val="16"/>
              </w:rPr>
              <w:t>0,7%</w:t>
            </w:r>
          </w:p>
        </w:tc>
      </w:tr>
      <w:tr w:rsidR="006F3AA0" w:rsidRPr="006F3AA0" w:rsidTr="006F3AA0">
        <w:trPr>
          <w:trHeight w:val="218"/>
        </w:trPr>
        <w:tc>
          <w:tcPr>
            <w:tcW w:w="1968"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rPr>
                <w:rFonts w:ascii="Tahoma" w:hAnsi="Tahoma" w:cs="Tahoma"/>
                <w:color w:val="000000"/>
                <w:sz w:val="16"/>
                <w:szCs w:val="16"/>
                <w:u w:val="single"/>
              </w:rPr>
            </w:pPr>
            <w:r w:rsidRPr="006F3AA0">
              <w:rPr>
                <w:rFonts w:ascii="Tahoma" w:hAnsi="Tahoma" w:cs="Tahoma"/>
                <w:color w:val="000000"/>
                <w:sz w:val="16"/>
                <w:szCs w:val="16"/>
                <w:u w:val="single"/>
              </w:rPr>
              <w:t>ΑΜΕΣΟΙ ΦΟΡΟΙ</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1.926</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915</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2.841</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1.622</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1.434</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3.056</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-15,8%</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56,7%</w:t>
            </w:r>
          </w:p>
        </w:tc>
        <w:tc>
          <w:tcPr>
            <w:tcW w:w="977"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7,6%</w:t>
            </w:r>
          </w:p>
        </w:tc>
      </w:tr>
      <w:tr w:rsidR="006F3AA0" w:rsidRPr="006F3AA0" w:rsidTr="006F3AA0">
        <w:trPr>
          <w:trHeight w:val="218"/>
        </w:trPr>
        <w:tc>
          <w:tcPr>
            <w:tcW w:w="1968"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rPr>
                <w:rFonts w:ascii="Tahoma" w:hAnsi="Tahoma" w:cs="Tahoma"/>
                <w:i/>
                <w:iCs/>
                <w:color w:val="000000"/>
                <w:sz w:val="16"/>
                <w:szCs w:val="16"/>
              </w:rPr>
            </w:pPr>
            <w:r w:rsidRPr="006F3AA0">
              <w:rPr>
                <w:rFonts w:ascii="Tahoma" w:hAnsi="Tahoma" w:cs="Tahoma"/>
                <w:i/>
                <w:iCs/>
                <w:color w:val="000000"/>
                <w:sz w:val="16"/>
                <w:szCs w:val="16"/>
              </w:rPr>
              <w:t>Φόροι εισοδήματος</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1.000</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504</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1.504</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895</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587</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1.483</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-10,4%</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16,5%</w:t>
            </w:r>
          </w:p>
        </w:tc>
        <w:tc>
          <w:tcPr>
            <w:tcW w:w="977"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-1,4%</w:t>
            </w:r>
          </w:p>
        </w:tc>
      </w:tr>
      <w:tr w:rsidR="006F3AA0" w:rsidRPr="006F3AA0" w:rsidTr="006F3AA0">
        <w:trPr>
          <w:trHeight w:val="218"/>
        </w:trPr>
        <w:tc>
          <w:tcPr>
            <w:tcW w:w="1968"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rPr>
                <w:rFonts w:ascii="Tahoma" w:hAnsi="Tahoma" w:cs="Tahoma"/>
                <w:i/>
                <w:iCs/>
                <w:color w:val="000000"/>
                <w:sz w:val="16"/>
                <w:szCs w:val="16"/>
              </w:rPr>
            </w:pPr>
            <w:r w:rsidRPr="006F3AA0">
              <w:rPr>
                <w:rFonts w:ascii="Tahoma" w:hAnsi="Tahoma" w:cs="Tahoma"/>
                <w:i/>
                <w:iCs/>
                <w:color w:val="000000"/>
                <w:sz w:val="16"/>
                <w:szCs w:val="16"/>
              </w:rPr>
              <w:t>Φόροι στην περιουσία</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6</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10</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16</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287</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504</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790</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4675,0%</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4939,8%</w:t>
            </w:r>
          </w:p>
        </w:tc>
        <w:tc>
          <w:tcPr>
            <w:tcW w:w="977"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4840,5%</w:t>
            </w:r>
          </w:p>
        </w:tc>
      </w:tr>
      <w:tr w:rsidR="006F3AA0" w:rsidRPr="006F3AA0" w:rsidTr="006F3AA0">
        <w:trPr>
          <w:trHeight w:val="218"/>
        </w:trPr>
        <w:tc>
          <w:tcPr>
            <w:tcW w:w="1968"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rPr>
                <w:rFonts w:ascii="Tahoma" w:hAnsi="Tahoma" w:cs="Tahoma"/>
                <w:i/>
                <w:iCs/>
                <w:color w:val="000000"/>
                <w:sz w:val="16"/>
                <w:szCs w:val="16"/>
              </w:rPr>
            </w:pPr>
            <w:r w:rsidRPr="006F3AA0">
              <w:rPr>
                <w:rFonts w:ascii="Tahoma" w:hAnsi="Tahoma" w:cs="Tahoma"/>
                <w:i/>
                <w:iCs/>
                <w:color w:val="000000"/>
                <w:sz w:val="16"/>
                <w:szCs w:val="16"/>
              </w:rPr>
              <w:t>Αμεσοι φόροι Π.O.Ε</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250</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222</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472</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305</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151</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456</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22,1%</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-31,9%</w:t>
            </w:r>
          </w:p>
        </w:tc>
        <w:tc>
          <w:tcPr>
            <w:tcW w:w="977"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-3,3%</w:t>
            </w:r>
          </w:p>
        </w:tc>
      </w:tr>
      <w:tr w:rsidR="006F3AA0" w:rsidRPr="006F3AA0" w:rsidTr="006F3AA0">
        <w:trPr>
          <w:trHeight w:val="218"/>
        </w:trPr>
        <w:tc>
          <w:tcPr>
            <w:tcW w:w="1968"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rPr>
                <w:rFonts w:ascii="Tahoma" w:hAnsi="Tahoma" w:cs="Tahoma"/>
                <w:i/>
                <w:iCs/>
                <w:color w:val="000000"/>
                <w:sz w:val="16"/>
                <w:szCs w:val="16"/>
              </w:rPr>
            </w:pPr>
            <w:r w:rsidRPr="006F3AA0">
              <w:rPr>
                <w:rFonts w:ascii="Tahoma" w:hAnsi="Tahoma" w:cs="Tahoma"/>
                <w:i/>
                <w:iCs/>
                <w:color w:val="000000"/>
                <w:sz w:val="16"/>
                <w:szCs w:val="16"/>
              </w:rPr>
              <w:t>Λοιποί άμεσοι φόροι</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670</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179</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849</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135</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191</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326</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-79,9%</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6,9%</w:t>
            </w:r>
          </w:p>
        </w:tc>
        <w:tc>
          <w:tcPr>
            <w:tcW w:w="977"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-61,6%</w:t>
            </w:r>
          </w:p>
        </w:tc>
      </w:tr>
      <w:tr w:rsidR="006F3AA0" w:rsidRPr="006F3AA0" w:rsidTr="006F3AA0">
        <w:trPr>
          <w:trHeight w:val="218"/>
        </w:trPr>
        <w:tc>
          <w:tcPr>
            <w:tcW w:w="1968"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rPr>
                <w:rFonts w:ascii="Tahoma" w:hAnsi="Tahoma" w:cs="Tahoma"/>
                <w:color w:val="000000"/>
                <w:sz w:val="16"/>
                <w:szCs w:val="16"/>
                <w:u w:val="single"/>
              </w:rPr>
            </w:pPr>
            <w:r w:rsidRPr="006F3AA0">
              <w:rPr>
                <w:rFonts w:ascii="Tahoma" w:hAnsi="Tahoma" w:cs="Tahoma"/>
                <w:color w:val="000000"/>
                <w:sz w:val="16"/>
                <w:szCs w:val="16"/>
                <w:u w:val="single"/>
              </w:rPr>
              <w:t>ΕΜΜΕΣΟΙ ΦΟΡΟΙ</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3.238</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1.789</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5.027</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3.117</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1.749</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4.866</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-3,7%</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-2,3%</w:t>
            </w:r>
          </w:p>
        </w:tc>
        <w:tc>
          <w:tcPr>
            <w:tcW w:w="977"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-3,2%</w:t>
            </w:r>
          </w:p>
        </w:tc>
      </w:tr>
      <w:tr w:rsidR="006F3AA0" w:rsidRPr="006F3AA0" w:rsidTr="006F3AA0">
        <w:trPr>
          <w:trHeight w:val="218"/>
        </w:trPr>
        <w:tc>
          <w:tcPr>
            <w:tcW w:w="1968"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rPr>
                <w:rFonts w:ascii="Tahoma" w:hAnsi="Tahoma" w:cs="Tahoma"/>
                <w:i/>
                <w:iCs/>
                <w:color w:val="000000"/>
                <w:sz w:val="16"/>
                <w:szCs w:val="16"/>
              </w:rPr>
            </w:pPr>
            <w:r w:rsidRPr="006F3AA0">
              <w:rPr>
                <w:rFonts w:ascii="Tahoma" w:hAnsi="Tahoma" w:cs="Tahoma"/>
                <w:i/>
                <w:iCs/>
                <w:color w:val="000000"/>
                <w:sz w:val="16"/>
                <w:szCs w:val="16"/>
              </w:rPr>
              <w:t>Φόροι συναλλαγών</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2.358</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1.150</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3.508</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1.930</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1.087</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3.017</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-18,2%</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-5,4%</w:t>
            </w:r>
          </w:p>
        </w:tc>
        <w:tc>
          <w:tcPr>
            <w:tcW w:w="977"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-14,0%</w:t>
            </w:r>
          </w:p>
        </w:tc>
      </w:tr>
      <w:tr w:rsidR="006F3AA0" w:rsidRPr="006F3AA0" w:rsidTr="006F3AA0">
        <w:trPr>
          <w:trHeight w:val="218"/>
        </w:trPr>
        <w:tc>
          <w:tcPr>
            <w:tcW w:w="1968"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rPr>
                <w:rFonts w:ascii="Tahoma" w:hAnsi="Tahoma" w:cs="Tahoma"/>
                <w:i/>
                <w:iCs/>
                <w:color w:val="000000"/>
                <w:sz w:val="16"/>
                <w:szCs w:val="16"/>
              </w:rPr>
            </w:pPr>
            <w:r w:rsidRPr="006F3AA0">
              <w:rPr>
                <w:rFonts w:ascii="Tahoma" w:hAnsi="Tahoma" w:cs="Tahoma"/>
                <w:i/>
                <w:iCs/>
                <w:color w:val="000000"/>
                <w:sz w:val="16"/>
                <w:szCs w:val="16"/>
              </w:rPr>
              <w:t>Φόροι κατανάλωσης</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827</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585</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1.412</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1.087</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567</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1.654</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31,4%</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-3,0%</w:t>
            </w:r>
          </w:p>
        </w:tc>
        <w:tc>
          <w:tcPr>
            <w:tcW w:w="977"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17,2%</w:t>
            </w:r>
          </w:p>
        </w:tc>
      </w:tr>
      <w:tr w:rsidR="006F3AA0" w:rsidRPr="006F3AA0" w:rsidTr="006F3AA0">
        <w:trPr>
          <w:trHeight w:val="218"/>
        </w:trPr>
        <w:tc>
          <w:tcPr>
            <w:tcW w:w="1968"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rPr>
                <w:rFonts w:ascii="Tahoma" w:hAnsi="Tahoma" w:cs="Tahoma"/>
                <w:i/>
                <w:iCs/>
                <w:color w:val="000000"/>
                <w:sz w:val="16"/>
                <w:szCs w:val="16"/>
              </w:rPr>
            </w:pPr>
            <w:r w:rsidRPr="006F3AA0">
              <w:rPr>
                <w:rFonts w:ascii="Tahoma" w:hAnsi="Tahoma" w:cs="Tahoma"/>
                <w:i/>
                <w:iCs/>
                <w:color w:val="000000"/>
                <w:sz w:val="16"/>
                <w:szCs w:val="16"/>
              </w:rPr>
              <w:t>Εμμεσοι φόροι ΠΟΕ</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28</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26</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54</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79</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62</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141</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182,9%</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138,5%</w:t>
            </w:r>
          </w:p>
        </w:tc>
        <w:tc>
          <w:tcPr>
            <w:tcW w:w="977"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161,6%</w:t>
            </w:r>
          </w:p>
        </w:tc>
      </w:tr>
      <w:tr w:rsidR="006F3AA0" w:rsidRPr="006F3AA0" w:rsidTr="006F3AA0">
        <w:trPr>
          <w:trHeight w:val="218"/>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rsidR="006F3AA0" w:rsidRPr="006F3AA0" w:rsidRDefault="006F3AA0" w:rsidP="006F3AA0">
            <w:pPr>
              <w:rPr>
                <w:rFonts w:ascii="Tahoma" w:hAnsi="Tahoma" w:cs="Tahoma"/>
                <w:i/>
                <w:iCs/>
                <w:color w:val="000000"/>
                <w:sz w:val="16"/>
                <w:szCs w:val="16"/>
              </w:rPr>
            </w:pPr>
            <w:r w:rsidRPr="006F3AA0">
              <w:rPr>
                <w:rFonts w:ascii="Tahoma" w:hAnsi="Tahoma" w:cs="Tahoma"/>
                <w:i/>
                <w:iCs/>
                <w:color w:val="000000"/>
                <w:sz w:val="16"/>
                <w:szCs w:val="16"/>
              </w:rPr>
              <w:t>Λοιποί έμμεσοι</w:t>
            </w:r>
          </w:p>
        </w:tc>
        <w:tc>
          <w:tcPr>
            <w:tcW w:w="733"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24</w:t>
            </w:r>
          </w:p>
        </w:tc>
        <w:tc>
          <w:tcPr>
            <w:tcW w:w="733"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29</w:t>
            </w:r>
          </w:p>
        </w:tc>
        <w:tc>
          <w:tcPr>
            <w:tcW w:w="978" w:type="dxa"/>
            <w:tcBorders>
              <w:top w:val="nil"/>
              <w:left w:val="nil"/>
              <w:bottom w:val="single" w:sz="4" w:space="0" w:color="auto"/>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53</w:t>
            </w:r>
          </w:p>
        </w:tc>
        <w:tc>
          <w:tcPr>
            <w:tcW w:w="733"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21</w:t>
            </w:r>
          </w:p>
        </w:tc>
        <w:tc>
          <w:tcPr>
            <w:tcW w:w="733"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32</w:t>
            </w:r>
          </w:p>
        </w:tc>
        <w:tc>
          <w:tcPr>
            <w:tcW w:w="978" w:type="dxa"/>
            <w:tcBorders>
              <w:top w:val="nil"/>
              <w:left w:val="nil"/>
              <w:bottom w:val="single" w:sz="4" w:space="0" w:color="auto"/>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53</w:t>
            </w:r>
          </w:p>
        </w:tc>
        <w:tc>
          <w:tcPr>
            <w:tcW w:w="933"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-12,0%</w:t>
            </w:r>
          </w:p>
        </w:tc>
        <w:tc>
          <w:tcPr>
            <w:tcW w:w="933"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11,4%</w:t>
            </w:r>
          </w:p>
        </w:tc>
        <w:tc>
          <w:tcPr>
            <w:tcW w:w="977" w:type="dxa"/>
            <w:tcBorders>
              <w:top w:val="nil"/>
              <w:left w:val="nil"/>
              <w:bottom w:val="single" w:sz="4" w:space="0" w:color="auto"/>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0,8%</w:t>
            </w:r>
          </w:p>
        </w:tc>
      </w:tr>
      <w:tr w:rsidR="006F3AA0" w:rsidRPr="006F3AA0" w:rsidTr="006F3AA0">
        <w:trPr>
          <w:trHeight w:val="218"/>
        </w:trPr>
        <w:tc>
          <w:tcPr>
            <w:tcW w:w="1968"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rPr>
                <w:rFonts w:ascii="Tahoma" w:hAnsi="Tahoma" w:cs="Tahoma"/>
                <w:b/>
                <w:bCs/>
                <w:i/>
                <w:iCs/>
                <w:color w:val="000000"/>
                <w:sz w:val="16"/>
                <w:szCs w:val="16"/>
              </w:rPr>
            </w:pPr>
            <w:r w:rsidRPr="006F3AA0">
              <w:rPr>
                <w:rFonts w:ascii="Tahoma" w:hAnsi="Tahoma" w:cs="Tahoma"/>
                <w:b/>
                <w:bCs/>
                <w:i/>
                <w:iCs/>
                <w:color w:val="000000"/>
                <w:sz w:val="16"/>
                <w:szCs w:val="16"/>
              </w:rPr>
              <w:t>ΜΗ ΦΟΡΟΛΟΓΙΚΑ ΕΣΟΔΑ</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i/>
                <w:iCs/>
                <w:color w:val="000000"/>
                <w:sz w:val="16"/>
                <w:szCs w:val="16"/>
              </w:rPr>
            </w:pPr>
            <w:r w:rsidRPr="006F3AA0">
              <w:rPr>
                <w:rFonts w:ascii="Tahoma" w:hAnsi="Tahoma" w:cs="Tahoma"/>
                <w:b/>
                <w:bCs/>
                <w:i/>
                <w:iCs/>
                <w:color w:val="000000"/>
                <w:sz w:val="16"/>
                <w:szCs w:val="16"/>
              </w:rPr>
              <w:t>331</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i/>
                <w:iCs/>
                <w:color w:val="000000"/>
                <w:sz w:val="16"/>
                <w:szCs w:val="16"/>
              </w:rPr>
            </w:pPr>
            <w:r w:rsidRPr="006F3AA0">
              <w:rPr>
                <w:rFonts w:ascii="Tahoma" w:hAnsi="Tahoma" w:cs="Tahoma"/>
                <w:b/>
                <w:bCs/>
                <w:i/>
                <w:iCs/>
                <w:color w:val="000000"/>
                <w:sz w:val="16"/>
                <w:szCs w:val="16"/>
              </w:rPr>
              <w:t>326</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b/>
                <w:bCs/>
                <w:i/>
                <w:iCs/>
                <w:color w:val="000000"/>
                <w:sz w:val="16"/>
                <w:szCs w:val="16"/>
              </w:rPr>
            </w:pPr>
            <w:r w:rsidRPr="006F3AA0">
              <w:rPr>
                <w:rFonts w:ascii="Tahoma" w:hAnsi="Tahoma" w:cs="Tahoma"/>
                <w:b/>
                <w:bCs/>
                <w:i/>
                <w:iCs/>
                <w:color w:val="000000"/>
                <w:sz w:val="16"/>
                <w:szCs w:val="16"/>
              </w:rPr>
              <w:t>657</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i/>
                <w:iCs/>
                <w:color w:val="000000"/>
                <w:sz w:val="16"/>
                <w:szCs w:val="16"/>
              </w:rPr>
            </w:pPr>
            <w:r w:rsidRPr="006F3AA0">
              <w:rPr>
                <w:rFonts w:ascii="Tahoma" w:hAnsi="Tahoma" w:cs="Tahoma"/>
                <w:b/>
                <w:bCs/>
                <w:i/>
                <w:iCs/>
                <w:color w:val="000000"/>
                <w:sz w:val="16"/>
                <w:szCs w:val="16"/>
              </w:rPr>
              <w:t>251</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i/>
                <w:iCs/>
                <w:color w:val="000000"/>
                <w:sz w:val="16"/>
                <w:szCs w:val="16"/>
              </w:rPr>
            </w:pPr>
            <w:r w:rsidRPr="006F3AA0">
              <w:rPr>
                <w:rFonts w:ascii="Tahoma" w:hAnsi="Tahoma" w:cs="Tahoma"/>
                <w:b/>
                <w:bCs/>
                <w:i/>
                <w:iCs/>
                <w:color w:val="000000"/>
                <w:sz w:val="16"/>
                <w:szCs w:val="16"/>
              </w:rPr>
              <w:t>235</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b/>
                <w:bCs/>
                <w:i/>
                <w:iCs/>
                <w:color w:val="000000"/>
                <w:sz w:val="16"/>
                <w:szCs w:val="16"/>
              </w:rPr>
            </w:pPr>
            <w:r w:rsidRPr="006F3AA0">
              <w:rPr>
                <w:rFonts w:ascii="Tahoma" w:hAnsi="Tahoma" w:cs="Tahoma"/>
                <w:b/>
                <w:bCs/>
                <w:i/>
                <w:iCs/>
                <w:color w:val="000000"/>
                <w:sz w:val="16"/>
                <w:szCs w:val="16"/>
              </w:rPr>
              <w:t>486</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i/>
                <w:iCs/>
                <w:color w:val="000000"/>
                <w:sz w:val="16"/>
                <w:szCs w:val="16"/>
              </w:rPr>
            </w:pPr>
            <w:r w:rsidRPr="006F3AA0">
              <w:rPr>
                <w:rFonts w:ascii="Tahoma" w:hAnsi="Tahoma" w:cs="Tahoma"/>
                <w:b/>
                <w:bCs/>
                <w:i/>
                <w:iCs/>
                <w:color w:val="000000"/>
                <w:sz w:val="16"/>
                <w:szCs w:val="16"/>
              </w:rPr>
              <w:t>-24,3%</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b/>
                <w:bCs/>
                <w:i/>
                <w:iCs/>
                <w:color w:val="000000"/>
                <w:sz w:val="16"/>
                <w:szCs w:val="16"/>
              </w:rPr>
            </w:pPr>
            <w:r w:rsidRPr="006F3AA0">
              <w:rPr>
                <w:rFonts w:ascii="Tahoma" w:hAnsi="Tahoma" w:cs="Tahoma"/>
                <w:b/>
                <w:bCs/>
                <w:i/>
                <w:iCs/>
                <w:color w:val="000000"/>
                <w:sz w:val="16"/>
                <w:szCs w:val="16"/>
              </w:rPr>
              <w:t>-27,8%</w:t>
            </w:r>
          </w:p>
        </w:tc>
        <w:tc>
          <w:tcPr>
            <w:tcW w:w="977"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b/>
                <w:bCs/>
                <w:i/>
                <w:iCs/>
                <w:color w:val="000000"/>
                <w:sz w:val="16"/>
                <w:szCs w:val="16"/>
              </w:rPr>
            </w:pPr>
            <w:r w:rsidRPr="006F3AA0">
              <w:rPr>
                <w:rFonts w:ascii="Tahoma" w:hAnsi="Tahoma" w:cs="Tahoma"/>
                <w:b/>
                <w:bCs/>
                <w:i/>
                <w:iCs/>
                <w:color w:val="000000"/>
                <w:sz w:val="16"/>
                <w:szCs w:val="16"/>
              </w:rPr>
              <w:t>-26,1%</w:t>
            </w:r>
          </w:p>
        </w:tc>
      </w:tr>
      <w:tr w:rsidR="006F3AA0" w:rsidRPr="006F3AA0" w:rsidTr="006F3AA0">
        <w:trPr>
          <w:trHeight w:val="218"/>
        </w:trPr>
        <w:tc>
          <w:tcPr>
            <w:tcW w:w="1968"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rPr>
                <w:rFonts w:ascii="Tahoma" w:hAnsi="Tahoma" w:cs="Tahoma"/>
                <w:color w:val="000000"/>
                <w:sz w:val="16"/>
                <w:szCs w:val="16"/>
              </w:rPr>
            </w:pPr>
            <w:r w:rsidRPr="006F3AA0">
              <w:rPr>
                <w:rFonts w:ascii="Tahoma" w:hAnsi="Tahoma" w:cs="Tahoma"/>
                <w:color w:val="000000"/>
                <w:sz w:val="16"/>
                <w:szCs w:val="16"/>
              </w:rPr>
              <w:t>ΑΠΟΛΗΨΕΙΣ ΑΠΟ Ε.Ε.</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4</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4</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8</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4</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5</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9</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3,1%</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23,1%</w:t>
            </w:r>
          </w:p>
        </w:tc>
        <w:tc>
          <w:tcPr>
            <w:tcW w:w="977"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13,1%</w:t>
            </w:r>
          </w:p>
        </w:tc>
      </w:tr>
      <w:tr w:rsidR="006F3AA0" w:rsidRPr="006F3AA0" w:rsidTr="006F3AA0">
        <w:trPr>
          <w:trHeight w:val="218"/>
        </w:trPr>
        <w:tc>
          <w:tcPr>
            <w:tcW w:w="1968"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rPr>
                <w:rFonts w:ascii="Tahoma" w:hAnsi="Tahoma" w:cs="Tahoma"/>
                <w:color w:val="000000"/>
                <w:sz w:val="16"/>
                <w:szCs w:val="16"/>
              </w:rPr>
            </w:pPr>
            <w:r w:rsidRPr="006F3AA0">
              <w:rPr>
                <w:rFonts w:ascii="Tahoma" w:hAnsi="Tahoma" w:cs="Tahoma"/>
                <w:color w:val="000000"/>
                <w:sz w:val="16"/>
                <w:szCs w:val="16"/>
              </w:rPr>
              <w:t>ΜΗ ΤΑΚΤΙΚΑ ΕΣΟΔΑ</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152</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78</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230</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94</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61</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155</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-38,0%</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-22,4%</w:t>
            </w:r>
          </w:p>
        </w:tc>
        <w:tc>
          <w:tcPr>
            <w:tcW w:w="977"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-32,7%</w:t>
            </w:r>
          </w:p>
        </w:tc>
      </w:tr>
      <w:tr w:rsidR="006F3AA0" w:rsidRPr="006F3AA0" w:rsidTr="006F3AA0">
        <w:trPr>
          <w:trHeight w:val="218"/>
        </w:trPr>
        <w:tc>
          <w:tcPr>
            <w:tcW w:w="1968" w:type="dxa"/>
            <w:tcBorders>
              <w:top w:val="nil"/>
              <w:left w:val="single" w:sz="4" w:space="0" w:color="auto"/>
              <w:bottom w:val="nil"/>
              <w:right w:val="single" w:sz="4" w:space="0" w:color="auto"/>
            </w:tcBorders>
            <w:shd w:val="clear" w:color="auto" w:fill="auto"/>
            <w:noWrap/>
            <w:vAlign w:val="center"/>
            <w:hideMark/>
          </w:tcPr>
          <w:p w:rsidR="006F3AA0" w:rsidRPr="006F3AA0" w:rsidRDefault="006F3AA0" w:rsidP="006F3AA0">
            <w:pPr>
              <w:rPr>
                <w:rFonts w:ascii="Tahoma" w:hAnsi="Tahoma" w:cs="Tahoma"/>
                <w:color w:val="000000"/>
                <w:sz w:val="16"/>
                <w:szCs w:val="16"/>
              </w:rPr>
            </w:pPr>
            <w:r w:rsidRPr="006F3AA0">
              <w:rPr>
                <w:rFonts w:ascii="Tahoma" w:hAnsi="Tahoma" w:cs="Tahoma"/>
                <w:color w:val="000000"/>
                <w:sz w:val="16"/>
                <w:szCs w:val="16"/>
              </w:rPr>
              <w:t>ΑΔΕΙΕΣ ΚΑΙ ΔΙΚΑΙΩΜΑΤΑ</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0</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0</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0</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0</w:t>
            </w:r>
          </w:p>
        </w:tc>
        <w:tc>
          <w:tcPr>
            <w:tcW w:w="7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0</w:t>
            </w:r>
          </w:p>
        </w:tc>
        <w:tc>
          <w:tcPr>
            <w:tcW w:w="978"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0</w:t>
            </w: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p>
        </w:tc>
        <w:tc>
          <w:tcPr>
            <w:tcW w:w="933" w:type="dxa"/>
            <w:tcBorders>
              <w:top w:val="nil"/>
              <w:left w:val="nil"/>
              <w:bottom w:val="nil"/>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p>
        </w:tc>
        <w:tc>
          <w:tcPr>
            <w:tcW w:w="977" w:type="dxa"/>
            <w:tcBorders>
              <w:top w:val="nil"/>
              <w:left w:val="nil"/>
              <w:bottom w:val="nil"/>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p>
        </w:tc>
      </w:tr>
      <w:tr w:rsidR="006F3AA0" w:rsidRPr="006F3AA0" w:rsidTr="006F3AA0">
        <w:trPr>
          <w:trHeight w:val="218"/>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rsidR="006F3AA0" w:rsidRPr="006F3AA0" w:rsidRDefault="006F3AA0" w:rsidP="006F3AA0">
            <w:pPr>
              <w:rPr>
                <w:rFonts w:ascii="Tahoma" w:hAnsi="Tahoma" w:cs="Tahoma"/>
                <w:color w:val="000000"/>
                <w:sz w:val="16"/>
                <w:szCs w:val="16"/>
              </w:rPr>
            </w:pPr>
            <w:r w:rsidRPr="006F3AA0">
              <w:rPr>
                <w:rFonts w:ascii="Tahoma" w:hAnsi="Tahoma" w:cs="Tahoma"/>
                <w:color w:val="000000"/>
                <w:sz w:val="16"/>
                <w:szCs w:val="16"/>
              </w:rPr>
              <w:t>ΛΟΙΠΑ</w:t>
            </w:r>
          </w:p>
        </w:tc>
        <w:tc>
          <w:tcPr>
            <w:tcW w:w="733"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175</w:t>
            </w:r>
          </w:p>
        </w:tc>
        <w:tc>
          <w:tcPr>
            <w:tcW w:w="733"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244</w:t>
            </w:r>
          </w:p>
        </w:tc>
        <w:tc>
          <w:tcPr>
            <w:tcW w:w="978" w:type="dxa"/>
            <w:tcBorders>
              <w:top w:val="nil"/>
              <w:left w:val="nil"/>
              <w:bottom w:val="single" w:sz="4" w:space="0" w:color="auto"/>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419</w:t>
            </w:r>
          </w:p>
        </w:tc>
        <w:tc>
          <w:tcPr>
            <w:tcW w:w="733"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152</w:t>
            </w:r>
          </w:p>
        </w:tc>
        <w:tc>
          <w:tcPr>
            <w:tcW w:w="733"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170</w:t>
            </w:r>
          </w:p>
        </w:tc>
        <w:tc>
          <w:tcPr>
            <w:tcW w:w="978" w:type="dxa"/>
            <w:tcBorders>
              <w:top w:val="nil"/>
              <w:left w:val="nil"/>
              <w:bottom w:val="single" w:sz="4" w:space="0" w:color="auto"/>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322</w:t>
            </w:r>
          </w:p>
        </w:tc>
        <w:tc>
          <w:tcPr>
            <w:tcW w:w="933"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-13,0%</w:t>
            </w:r>
          </w:p>
        </w:tc>
        <w:tc>
          <w:tcPr>
            <w:tcW w:w="933"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-30,4%</w:t>
            </w:r>
          </w:p>
        </w:tc>
        <w:tc>
          <w:tcPr>
            <w:tcW w:w="977" w:type="dxa"/>
            <w:tcBorders>
              <w:top w:val="nil"/>
              <w:left w:val="nil"/>
              <w:bottom w:val="single" w:sz="4" w:space="0" w:color="auto"/>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-23,1%</w:t>
            </w:r>
          </w:p>
        </w:tc>
      </w:tr>
      <w:tr w:rsidR="006F3AA0" w:rsidRPr="006F3AA0" w:rsidTr="006F3AA0">
        <w:trPr>
          <w:trHeight w:val="218"/>
        </w:trPr>
        <w:tc>
          <w:tcPr>
            <w:tcW w:w="1968" w:type="dxa"/>
            <w:tcBorders>
              <w:top w:val="nil"/>
              <w:left w:val="single" w:sz="4" w:space="0" w:color="auto"/>
              <w:bottom w:val="single" w:sz="4" w:space="0" w:color="auto"/>
              <w:right w:val="nil"/>
            </w:tcBorders>
            <w:shd w:val="clear" w:color="auto" w:fill="auto"/>
            <w:vAlign w:val="center"/>
            <w:hideMark/>
          </w:tcPr>
          <w:p w:rsidR="006F3AA0" w:rsidRPr="006F3AA0" w:rsidRDefault="006F3AA0" w:rsidP="006F3AA0">
            <w:pPr>
              <w:rPr>
                <w:rFonts w:ascii="Tahoma" w:hAnsi="Tahoma" w:cs="Tahoma"/>
                <w:b/>
                <w:bCs/>
                <w:sz w:val="16"/>
                <w:szCs w:val="16"/>
              </w:rPr>
            </w:pPr>
            <w:r w:rsidRPr="006F3AA0">
              <w:rPr>
                <w:rFonts w:ascii="Tahoma" w:hAnsi="Tahoma" w:cs="Tahoma"/>
                <w:b/>
                <w:bCs/>
                <w:sz w:val="16"/>
                <w:szCs w:val="16"/>
              </w:rPr>
              <w:t>Π.Δ.Ε.</w:t>
            </w:r>
          </w:p>
        </w:tc>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32</w:t>
            </w:r>
          </w:p>
        </w:tc>
        <w:tc>
          <w:tcPr>
            <w:tcW w:w="733"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572</w:t>
            </w:r>
          </w:p>
        </w:tc>
        <w:tc>
          <w:tcPr>
            <w:tcW w:w="978" w:type="dxa"/>
            <w:tcBorders>
              <w:top w:val="nil"/>
              <w:left w:val="nil"/>
              <w:bottom w:val="single" w:sz="4" w:space="0" w:color="auto"/>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604</w:t>
            </w:r>
          </w:p>
        </w:tc>
        <w:tc>
          <w:tcPr>
            <w:tcW w:w="733"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45</w:t>
            </w:r>
          </w:p>
        </w:tc>
        <w:tc>
          <w:tcPr>
            <w:tcW w:w="733"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Tahoma" w:hAnsi="Tahoma" w:cs="Tahoma"/>
                <w:sz w:val="16"/>
                <w:szCs w:val="16"/>
              </w:rPr>
            </w:pPr>
            <w:r w:rsidRPr="006F3AA0">
              <w:rPr>
                <w:rFonts w:ascii="Tahoma" w:hAnsi="Tahoma" w:cs="Tahoma"/>
                <w:sz w:val="16"/>
                <w:szCs w:val="16"/>
              </w:rPr>
              <w:t>1.146</w:t>
            </w:r>
          </w:p>
        </w:tc>
        <w:tc>
          <w:tcPr>
            <w:tcW w:w="978" w:type="dxa"/>
            <w:tcBorders>
              <w:top w:val="nil"/>
              <w:left w:val="nil"/>
              <w:bottom w:val="single" w:sz="4" w:space="0" w:color="auto"/>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1.191</w:t>
            </w:r>
          </w:p>
        </w:tc>
        <w:tc>
          <w:tcPr>
            <w:tcW w:w="933"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40,6%</w:t>
            </w:r>
          </w:p>
        </w:tc>
        <w:tc>
          <w:tcPr>
            <w:tcW w:w="933" w:type="dxa"/>
            <w:tcBorders>
              <w:top w:val="nil"/>
              <w:left w:val="nil"/>
              <w:bottom w:val="single" w:sz="4" w:space="0" w:color="auto"/>
              <w:right w:val="single" w:sz="4" w:space="0" w:color="auto"/>
            </w:tcBorders>
            <w:shd w:val="clear" w:color="auto" w:fill="auto"/>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100,3%</w:t>
            </w:r>
          </w:p>
        </w:tc>
        <w:tc>
          <w:tcPr>
            <w:tcW w:w="977" w:type="dxa"/>
            <w:tcBorders>
              <w:top w:val="nil"/>
              <w:left w:val="nil"/>
              <w:bottom w:val="single" w:sz="4" w:space="0" w:color="auto"/>
              <w:right w:val="single" w:sz="4" w:space="0" w:color="auto"/>
            </w:tcBorders>
            <w:shd w:val="clear" w:color="000000" w:fill="C0C0C0"/>
            <w:noWrap/>
            <w:vAlign w:val="center"/>
            <w:hideMark/>
          </w:tcPr>
          <w:p w:rsidR="006F3AA0" w:rsidRPr="006F3AA0" w:rsidRDefault="006F3AA0" w:rsidP="006F3AA0">
            <w:pPr>
              <w:jc w:val="center"/>
              <w:rPr>
                <w:rFonts w:ascii="Tahoma" w:hAnsi="Tahoma" w:cs="Tahoma"/>
                <w:color w:val="000000"/>
                <w:sz w:val="16"/>
                <w:szCs w:val="16"/>
              </w:rPr>
            </w:pPr>
            <w:r w:rsidRPr="006F3AA0">
              <w:rPr>
                <w:rFonts w:ascii="Tahoma" w:hAnsi="Tahoma" w:cs="Tahoma"/>
                <w:color w:val="000000"/>
                <w:sz w:val="16"/>
                <w:szCs w:val="16"/>
              </w:rPr>
              <w:t>97,2%</w:t>
            </w:r>
          </w:p>
        </w:tc>
      </w:tr>
    </w:tbl>
    <w:p w:rsidR="006B17B0" w:rsidRDefault="006B17B0" w:rsidP="006F3AA0">
      <w:pPr>
        <w:pStyle w:val="Heading6"/>
        <w:spacing w:before="120" w:after="120"/>
        <w:jc w:val="center"/>
        <w:rPr>
          <w:rFonts w:ascii="Tahoma" w:hAnsi="Tahoma" w:cs="Tahoma"/>
          <w:i w:val="0"/>
          <w:color w:val="000000" w:themeColor="text1"/>
          <w:szCs w:val="22"/>
        </w:rPr>
      </w:pPr>
      <w:r w:rsidRPr="006B17B0">
        <w:rPr>
          <w:rFonts w:ascii="Tahoma" w:hAnsi="Tahoma" w:cs="Tahoma"/>
          <w:i w:val="0"/>
          <w:color w:val="000000" w:themeColor="text1"/>
          <w:szCs w:val="22"/>
        </w:rPr>
        <w:t>Πραγματοποιήσεις Κρατικού Προϋπολογισμού – Έσοδα</w:t>
      </w:r>
    </w:p>
    <w:p w:rsidR="006B17B0" w:rsidRPr="006F3AA0" w:rsidRDefault="006B17B0" w:rsidP="006F3AA0">
      <w:pPr>
        <w:pStyle w:val="TOC1"/>
      </w:pPr>
      <w:r w:rsidRPr="006F3AA0">
        <w:rPr>
          <w:b/>
        </w:rPr>
        <w:t>Πηγή</w:t>
      </w:r>
      <w:r w:rsidRPr="006B17B0">
        <w:t xml:space="preserve">: </w:t>
      </w:r>
      <w:r w:rsidRPr="006F3AA0">
        <w:t xml:space="preserve">Δελτίο Εκτέλεσης Κρατικού Προϋπολογισμού, </w:t>
      </w:r>
      <w:r w:rsidR="00012E33">
        <w:t>Ιανουάριος-</w:t>
      </w:r>
      <w:r w:rsidRPr="006F3AA0">
        <w:t xml:space="preserve">Φεβρουάριος 2012 </w:t>
      </w:r>
    </w:p>
    <w:p w:rsidR="0078142C" w:rsidRPr="00012E33" w:rsidRDefault="0078142C" w:rsidP="00A72932">
      <w:pPr>
        <w:jc w:val="center"/>
        <w:rPr>
          <w:rFonts w:ascii="Tahoma" w:hAnsi="Tahoma" w:cs="Tahoma"/>
          <w:b/>
          <w:color w:val="000000" w:themeColor="text1"/>
          <w:szCs w:val="22"/>
        </w:rPr>
        <w:sectPr w:rsidR="0078142C" w:rsidRPr="00012E33" w:rsidSect="006B17B0">
          <w:type w:val="continuous"/>
          <w:pgSz w:w="11906" w:h="16838"/>
          <w:pgMar w:top="1440" w:right="849" w:bottom="1440" w:left="1560" w:header="708" w:footer="708" w:gutter="0"/>
          <w:cols w:space="720"/>
          <w:docGrid w:linePitch="360"/>
        </w:sectPr>
      </w:pPr>
    </w:p>
    <w:p w:rsidR="00084C8E" w:rsidRPr="00012E33" w:rsidRDefault="00084C8E" w:rsidP="00A72932">
      <w:pPr>
        <w:jc w:val="center"/>
        <w:rPr>
          <w:rFonts w:ascii="Tahoma" w:hAnsi="Tahoma" w:cs="Tahoma"/>
          <w:b/>
          <w:color w:val="000000" w:themeColor="text1"/>
          <w:szCs w:val="22"/>
        </w:rPr>
      </w:pPr>
    </w:p>
    <w:p w:rsidR="006B17B0" w:rsidRDefault="006B17B0" w:rsidP="00A72932">
      <w:pPr>
        <w:jc w:val="center"/>
        <w:rPr>
          <w:rFonts w:ascii="Tahoma" w:hAnsi="Tahoma" w:cs="Tahoma"/>
          <w:b/>
          <w:color w:val="000000" w:themeColor="text1"/>
          <w:szCs w:val="22"/>
        </w:rPr>
      </w:pPr>
      <w:r w:rsidRPr="006B17B0">
        <w:rPr>
          <w:rFonts w:ascii="Tahoma" w:hAnsi="Tahoma" w:cs="Tahoma"/>
          <w:b/>
          <w:color w:val="000000" w:themeColor="text1"/>
          <w:szCs w:val="22"/>
        </w:rPr>
        <w:t>Πίνακας 2.11</w:t>
      </w:r>
    </w:p>
    <w:p w:rsidR="006B17B0" w:rsidRDefault="006B17B0" w:rsidP="006B17B0">
      <w:pPr>
        <w:pStyle w:val="Heading5"/>
        <w:spacing w:before="120" w:after="120"/>
        <w:jc w:val="center"/>
        <w:rPr>
          <w:rFonts w:ascii="Tahoma" w:hAnsi="Tahoma" w:cs="Tahoma"/>
          <w:color w:val="000000" w:themeColor="text1"/>
          <w:szCs w:val="22"/>
        </w:rPr>
      </w:pPr>
      <w:r w:rsidRPr="006B17B0">
        <w:rPr>
          <w:rFonts w:ascii="Tahoma" w:hAnsi="Tahoma" w:cs="Tahoma"/>
          <w:color w:val="000000" w:themeColor="text1"/>
          <w:szCs w:val="22"/>
        </w:rPr>
        <w:t xml:space="preserve">Πραγματοποιήσεις Προϋπολογισμού </w:t>
      </w:r>
      <w:r w:rsidR="006F3AA0">
        <w:rPr>
          <w:rFonts w:ascii="Tahoma" w:hAnsi="Tahoma" w:cs="Tahoma"/>
          <w:color w:val="000000" w:themeColor="text1"/>
          <w:szCs w:val="22"/>
        </w:rPr>
        <w:t>–</w:t>
      </w:r>
      <w:r w:rsidRPr="006B17B0">
        <w:rPr>
          <w:rFonts w:ascii="Tahoma" w:hAnsi="Tahoma" w:cs="Tahoma"/>
          <w:color w:val="000000" w:themeColor="text1"/>
          <w:szCs w:val="22"/>
        </w:rPr>
        <w:t xml:space="preserve"> Δαπάνες</w:t>
      </w:r>
    </w:p>
    <w:tbl>
      <w:tblPr>
        <w:tblW w:w="9909" w:type="dxa"/>
        <w:tblInd w:w="93" w:type="dxa"/>
        <w:tblLook w:val="04A0"/>
      </w:tblPr>
      <w:tblGrid>
        <w:gridCol w:w="2995"/>
        <w:gridCol w:w="706"/>
        <w:gridCol w:w="617"/>
        <w:gridCol w:w="899"/>
        <w:gridCol w:w="617"/>
        <w:gridCol w:w="617"/>
        <w:gridCol w:w="899"/>
        <w:gridCol w:w="848"/>
        <w:gridCol w:w="812"/>
        <w:gridCol w:w="899"/>
      </w:tblGrid>
      <w:tr w:rsidR="006F3AA0" w:rsidRPr="006F3AA0" w:rsidTr="006F3AA0">
        <w:trPr>
          <w:trHeight w:val="223"/>
        </w:trPr>
        <w:tc>
          <w:tcPr>
            <w:tcW w:w="2995" w:type="dxa"/>
            <w:tcBorders>
              <w:top w:val="nil"/>
              <w:left w:val="nil"/>
              <w:bottom w:val="nil"/>
              <w:right w:val="nil"/>
            </w:tcBorders>
            <w:shd w:val="clear" w:color="auto" w:fill="auto"/>
            <w:noWrap/>
            <w:vAlign w:val="bottom"/>
            <w:hideMark/>
          </w:tcPr>
          <w:p w:rsidR="006F3AA0" w:rsidRPr="006F3AA0" w:rsidRDefault="006F3AA0" w:rsidP="006F3AA0">
            <w:pPr>
              <w:rPr>
                <w:rFonts w:ascii="Tahoma" w:hAnsi="Tahoma" w:cs="Tahoma"/>
              </w:rPr>
            </w:pPr>
          </w:p>
        </w:tc>
        <w:tc>
          <w:tcPr>
            <w:tcW w:w="2222"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2011</w:t>
            </w:r>
          </w:p>
        </w:tc>
        <w:tc>
          <w:tcPr>
            <w:tcW w:w="2133" w:type="dxa"/>
            <w:gridSpan w:val="3"/>
            <w:tcBorders>
              <w:top w:val="single" w:sz="4" w:space="0" w:color="auto"/>
              <w:left w:val="nil"/>
              <w:bottom w:val="single" w:sz="4" w:space="0" w:color="auto"/>
              <w:right w:val="single" w:sz="4" w:space="0" w:color="000000"/>
            </w:tcBorders>
            <w:shd w:val="clear" w:color="auto" w:fill="auto"/>
            <w:noWrap/>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2012</w:t>
            </w:r>
          </w:p>
        </w:tc>
        <w:tc>
          <w:tcPr>
            <w:tcW w:w="2559" w:type="dxa"/>
            <w:gridSpan w:val="3"/>
            <w:tcBorders>
              <w:top w:val="single" w:sz="4" w:space="0" w:color="auto"/>
              <w:left w:val="nil"/>
              <w:bottom w:val="single" w:sz="4" w:space="0" w:color="auto"/>
              <w:right w:val="single" w:sz="4" w:space="0" w:color="000000"/>
            </w:tcBorders>
            <w:shd w:val="clear" w:color="auto" w:fill="auto"/>
            <w:noWrap/>
            <w:vAlign w:val="center"/>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ΜΕΤΑΒΟΛΕΣ 2012/11</w:t>
            </w:r>
          </w:p>
        </w:tc>
      </w:tr>
      <w:tr w:rsidR="006F3AA0" w:rsidRPr="006F3AA0" w:rsidTr="006F3AA0">
        <w:trPr>
          <w:trHeight w:val="223"/>
        </w:trPr>
        <w:tc>
          <w:tcPr>
            <w:tcW w:w="2995" w:type="dxa"/>
            <w:tcBorders>
              <w:top w:val="nil"/>
              <w:left w:val="nil"/>
              <w:bottom w:val="nil"/>
              <w:right w:val="nil"/>
            </w:tcBorders>
            <w:shd w:val="clear" w:color="auto" w:fill="auto"/>
            <w:noWrap/>
            <w:vAlign w:val="bottom"/>
            <w:hideMark/>
          </w:tcPr>
          <w:p w:rsidR="006F3AA0" w:rsidRPr="006F3AA0" w:rsidRDefault="006F3AA0" w:rsidP="006F3AA0">
            <w:pPr>
              <w:rPr>
                <w:rFonts w:ascii="Tahoma" w:hAnsi="Tahoma" w:cs="Tahoma"/>
              </w:rPr>
            </w:pPr>
          </w:p>
        </w:tc>
        <w:tc>
          <w:tcPr>
            <w:tcW w:w="706" w:type="dxa"/>
            <w:tcBorders>
              <w:top w:val="nil"/>
              <w:left w:val="single" w:sz="4" w:space="0" w:color="auto"/>
              <w:bottom w:val="single" w:sz="4" w:space="0" w:color="auto"/>
              <w:right w:val="single" w:sz="4" w:space="0" w:color="auto"/>
            </w:tcBorders>
            <w:shd w:val="clear" w:color="auto" w:fill="auto"/>
            <w:noWrap/>
            <w:vAlign w:val="bottom"/>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ΙΑΝ</w:t>
            </w:r>
          </w:p>
        </w:tc>
        <w:tc>
          <w:tcPr>
            <w:tcW w:w="617" w:type="dxa"/>
            <w:tcBorders>
              <w:top w:val="nil"/>
              <w:left w:val="nil"/>
              <w:bottom w:val="single" w:sz="4" w:space="0" w:color="auto"/>
              <w:right w:val="single" w:sz="4" w:space="0" w:color="auto"/>
            </w:tcBorders>
            <w:shd w:val="clear" w:color="auto" w:fill="auto"/>
            <w:noWrap/>
            <w:vAlign w:val="bottom"/>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ΦΕΒ</w:t>
            </w:r>
          </w:p>
        </w:tc>
        <w:tc>
          <w:tcPr>
            <w:tcW w:w="899" w:type="dxa"/>
            <w:tcBorders>
              <w:top w:val="nil"/>
              <w:left w:val="nil"/>
              <w:bottom w:val="single" w:sz="4" w:space="0" w:color="auto"/>
              <w:right w:val="single" w:sz="4" w:space="0" w:color="auto"/>
            </w:tcBorders>
            <w:shd w:val="clear" w:color="000000" w:fill="C0C0C0"/>
            <w:noWrap/>
            <w:vAlign w:val="bottom"/>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ΣΥΝΟΛΟ</w:t>
            </w:r>
          </w:p>
        </w:tc>
        <w:tc>
          <w:tcPr>
            <w:tcW w:w="617" w:type="dxa"/>
            <w:tcBorders>
              <w:top w:val="nil"/>
              <w:left w:val="nil"/>
              <w:bottom w:val="single" w:sz="4" w:space="0" w:color="auto"/>
              <w:right w:val="single" w:sz="4" w:space="0" w:color="auto"/>
            </w:tcBorders>
            <w:shd w:val="clear" w:color="auto" w:fill="auto"/>
            <w:noWrap/>
            <w:vAlign w:val="bottom"/>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ΙΑΝ</w:t>
            </w:r>
          </w:p>
        </w:tc>
        <w:tc>
          <w:tcPr>
            <w:tcW w:w="617" w:type="dxa"/>
            <w:tcBorders>
              <w:top w:val="nil"/>
              <w:left w:val="nil"/>
              <w:bottom w:val="single" w:sz="4" w:space="0" w:color="auto"/>
              <w:right w:val="single" w:sz="4" w:space="0" w:color="auto"/>
            </w:tcBorders>
            <w:shd w:val="clear" w:color="auto" w:fill="auto"/>
            <w:noWrap/>
            <w:vAlign w:val="bottom"/>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ΦΕΒ</w:t>
            </w:r>
          </w:p>
        </w:tc>
        <w:tc>
          <w:tcPr>
            <w:tcW w:w="899" w:type="dxa"/>
            <w:tcBorders>
              <w:top w:val="nil"/>
              <w:left w:val="nil"/>
              <w:bottom w:val="single" w:sz="4" w:space="0" w:color="auto"/>
              <w:right w:val="single" w:sz="4" w:space="0" w:color="auto"/>
            </w:tcBorders>
            <w:shd w:val="clear" w:color="000000" w:fill="C0C0C0"/>
            <w:noWrap/>
            <w:vAlign w:val="bottom"/>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ΣΥΝΟΛΟ</w:t>
            </w:r>
          </w:p>
        </w:tc>
        <w:tc>
          <w:tcPr>
            <w:tcW w:w="848" w:type="dxa"/>
            <w:tcBorders>
              <w:top w:val="nil"/>
              <w:left w:val="nil"/>
              <w:bottom w:val="single" w:sz="4" w:space="0" w:color="auto"/>
              <w:right w:val="single" w:sz="4" w:space="0" w:color="auto"/>
            </w:tcBorders>
            <w:shd w:val="clear" w:color="auto" w:fill="auto"/>
            <w:noWrap/>
            <w:vAlign w:val="bottom"/>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ΙΑΝ</w:t>
            </w:r>
          </w:p>
        </w:tc>
        <w:tc>
          <w:tcPr>
            <w:tcW w:w="812" w:type="dxa"/>
            <w:tcBorders>
              <w:top w:val="nil"/>
              <w:left w:val="nil"/>
              <w:bottom w:val="single" w:sz="4" w:space="0" w:color="auto"/>
              <w:right w:val="single" w:sz="4" w:space="0" w:color="auto"/>
            </w:tcBorders>
            <w:shd w:val="clear" w:color="auto" w:fill="auto"/>
            <w:noWrap/>
            <w:vAlign w:val="bottom"/>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ΦΕΒ</w:t>
            </w:r>
          </w:p>
        </w:tc>
        <w:tc>
          <w:tcPr>
            <w:tcW w:w="899" w:type="dxa"/>
            <w:tcBorders>
              <w:top w:val="nil"/>
              <w:left w:val="nil"/>
              <w:bottom w:val="single" w:sz="4" w:space="0" w:color="auto"/>
              <w:right w:val="single" w:sz="4" w:space="0" w:color="auto"/>
            </w:tcBorders>
            <w:shd w:val="clear" w:color="000000" w:fill="C0C0C0"/>
            <w:noWrap/>
            <w:vAlign w:val="bottom"/>
            <w:hideMark/>
          </w:tcPr>
          <w:p w:rsidR="006F3AA0" w:rsidRPr="006F3AA0" w:rsidRDefault="006F3AA0" w:rsidP="006F3AA0">
            <w:pPr>
              <w:jc w:val="center"/>
              <w:rPr>
                <w:rFonts w:ascii="Tahoma" w:hAnsi="Tahoma" w:cs="Tahoma"/>
                <w:b/>
                <w:bCs/>
                <w:sz w:val="16"/>
                <w:szCs w:val="16"/>
              </w:rPr>
            </w:pPr>
            <w:r w:rsidRPr="006F3AA0">
              <w:rPr>
                <w:rFonts w:ascii="Tahoma" w:hAnsi="Tahoma" w:cs="Tahoma"/>
                <w:b/>
                <w:bCs/>
                <w:sz w:val="16"/>
                <w:szCs w:val="16"/>
              </w:rPr>
              <w:t>ΣΥΝΟΛΟ</w:t>
            </w:r>
          </w:p>
        </w:tc>
      </w:tr>
      <w:tr w:rsidR="006F3AA0" w:rsidRPr="006F3AA0" w:rsidTr="006F3AA0">
        <w:trPr>
          <w:trHeight w:val="223"/>
        </w:trPr>
        <w:tc>
          <w:tcPr>
            <w:tcW w:w="2995" w:type="dxa"/>
            <w:tcBorders>
              <w:top w:val="single" w:sz="4" w:space="0" w:color="auto"/>
              <w:left w:val="single" w:sz="4" w:space="0" w:color="auto"/>
              <w:bottom w:val="nil"/>
              <w:right w:val="nil"/>
            </w:tcBorders>
            <w:shd w:val="clear" w:color="auto" w:fill="auto"/>
            <w:vAlign w:val="center"/>
            <w:hideMark/>
          </w:tcPr>
          <w:p w:rsidR="006F3AA0" w:rsidRPr="006F3AA0" w:rsidRDefault="006F3AA0" w:rsidP="006F3AA0">
            <w:pPr>
              <w:rPr>
                <w:rFonts w:ascii="Tahoma" w:hAnsi="Tahoma" w:cs="Tahoma"/>
                <w:b/>
                <w:bCs/>
                <w:sz w:val="16"/>
                <w:szCs w:val="16"/>
              </w:rPr>
            </w:pPr>
            <w:r w:rsidRPr="006F3AA0">
              <w:rPr>
                <w:rFonts w:ascii="Tahoma" w:hAnsi="Tahoma" w:cs="Tahoma"/>
                <w:b/>
                <w:bCs/>
                <w:sz w:val="16"/>
                <w:szCs w:val="16"/>
              </w:rPr>
              <w:t>ΣΥΝΟΛΟ ΔΑΠΑΝΩΝ</w:t>
            </w:r>
          </w:p>
        </w:tc>
        <w:tc>
          <w:tcPr>
            <w:tcW w:w="706" w:type="dxa"/>
            <w:tcBorders>
              <w:top w:val="nil"/>
              <w:left w:val="single" w:sz="4" w:space="0" w:color="auto"/>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4.983</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4.624</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9.607</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5.376</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4.377</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9.753</w:t>
            </w:r>
          </w:p>
        </w:tc>
        <w:tc>
          <w:tcPr>
            <w:tcW w:w="848"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7,9%</w:t>
            </w:r>
          </w:p>
        </w:tc>
        <w:tc>
          <w:tcPr>
            <w:tcW w:w="812"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-5,4%</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1,5%</w:t>
            </w:r>
          </w:p>
        </w:tc>
      </w:tr>
      <w:tr w:rsidR="006F3AA0" w:rsidRPr="006F3AA0" w:rsidTr="006F3AA0">
        <w:trPr>
          <w:trHeight w:val="223"/>
        </w:trPr>
        <w:tc>
          <w:tcPr>
            <w:tcW w:w="2995" w:type="dxa"/>
            <w:tcBorders>
              <w:top w:val="single" w:sz="4" w:space="0" w:color="auto"/>
              <w:left w:val="single" w:sz="4" w:space="0" w:color="auto"/>
              <w:bottom w:val="nil"/>
              <w:right w:val="nil"/>
            </w:tcBorders>
            <w:shd w:val="clear" w:color="auto" w:fill="auto"/>
            <w:vAlign w:val="center"/>
            <w:hideMark/>
          </w:tcPr>
          <w:p w:rsidR="006F3AA0" w:rsidRPr="006F3AA0" w:rsidRDefault="006F3AA0" w:rsidP="006F3AA0">
            <w:pPr>
              <w:rPr>
                <w:rFonts w:ascii="Tahoma" w:hAnsi="Tahoma" w:cs="Tahoma"/>
                <w:b/>
                <w:bCs/>
                <w:i/>
                <w:iCs/>
                <w:sz w:val="16"/>
                <w:szCs w:val="16"/>
              </w:rPr>
            </w:pPr>
            <w:r w:rsidRPr="006F3AA0">
              <w:rPr>
                <w:rFonts w:ascii="Tahoma" w:hAnsi="Tahoma" w:cs="Tahoma"/>
                <w:b/>
                <w:bCs/>
                <w:i/>
                <w:iCs/>
                <w:sz w:val="16"/>
                <w:szCs w:val="16"/>
              </w:rPr>
              <w:t>ΤΟΚΟΙ</w:t>
            </w:r>
          </w:p>
        </w:tc>
        <w:tc>
          <w:tcPr>
            <w:tcW w:w="706" w:type="dxa"/>
            <w:tcBorders>
              <w:top w:val="single" w:sz="4" w:space="0" w:color="auto"/>
              <w:left w:val="single" w:sz="4" w:space="0" w:color="auto"/>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i/>
                <w:iCs/>
                <w:sz w:val="16"/>
                <w:szCs w:val="16"/>
              </w:rPr>
            </w:pPr>
            <w:r w:rsidRPr="006F3AA0">
              <w:rPr>
                <w:rFonts w:ascii="Arial" w:hAnsi="Arial" w:cs="Arial"/>
                <w:b/>
                <w:bCs/>
                <w:i/>
                <w:iCs/>
                <w:sz w:val="16"/>
                <w:szCs w:val="16"/>
              </w:rPr>
              <w:t>593</w:t>
            </w:r>
          </w:p>
        </w:tc>
        <w:tc>
          <w:tcPr>
            <w:tcW w:w="617" w:type="dxa"/>
            <w:tcBorders>
              <w:top w:val="single" w:sz="4" w:space="0" w:color="auto"/>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i/>
                <w:iCs/>
                <w:sz w:val="16"/>
                <w:szCs w:val="16"/>
              </w:rPr>
            </w:pPr>
            <w:r w:rsidRPr="006F3AA0">
              <w:rPr>
                <w:rFonts w:ascii="Arial" w:hAnsi="Arial" w:cs="Arial"/>
                <w:b/>
                <w:bCs/>
                <w:i/>
                <w:iCs/>
                <w:sz w:val="16"/>
                <w:szCs w:val="16"/>
              </w:rPr>
              <w:t>266</w:t>
            </w:r>
          </w:p>
        </w:tc>
        <w:tc>
          <w:tcPr>
            <w:tcW w:w="899" w:type="dxa"/>
            <w:tcBorders>
              <w:top w:val="single" w:sz="4" w:space="0" w:color="auto"/>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b/>
                <w:bCs/>
                <w:i/>
                <w:iCs/>
                <w:sz w:val="16"/>
                <w:szCs w:val="16"/>
              </w:rPr>
            </w:pPr>
            <w:r w:rsidRPr="006F3AA0">
              <w:rPr>
                <w:rFonts w:ascii="Arial" w:hAnsi="Arial" w:cs="Arial"/>
                <w:b/>
                <w:bCs/>
                <w:i/>
                <w:iCs/>
                <w:sz w:val="16"/>
                <w:szCs w:val="16"/>
              </w:rPr>
              <w:t>859</w:t>
            </w:r>
          </w:p>
        </w:tc>
        <w:tc>
          <w:tcPr>
            <w:tcW w:w="617" w:type="dxa"/>
            <w:tcBorders>
              <w:top w:val="single" w:sz="4" w:space="0" w:color="auto"/>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i/>
                <w:iCs/>
                <w:sz w:val="16"/>
                <w:szCs w:val="16"/>
              </w:rPr>
            </w:pPr>
            <w:r w:rsidRPr="006F3AA0">
              <w:rPr>
                <w:rFonts w:ascii="Arial" w:hAnsi="Arial" w:cs="Arial"/>
                <w:b/>
                <w:bCs/>
                <w:i/>
                <w:iCs/>
                <w:sz w:val="16"/>
                <w:szCs w:val="16"/>
              </w:rPr>
              <w:t>457</w:t>
            </w:r>
          </w:p>
        </w:tc>
        <w:tc>
          <w:tcPr>
            <w:tcW w:w="617" w:type="dxa"/>
            <w:tcBorders>
              <w:top w:val="single" w:sz="4" w:space="0" w:color="auto"/>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i/>
                <w:iCs/>
                <w:sz w:val="16"/>
                <w:szCs w:val="16"/>
              </w:rPr>
            </w:pPr>
            <w:r w:rsidRPr="006F3AA0">
              <w:rPr>
                <w:rFonts w:ascii="Arial" w:hAnsi="Arial" w:cs="Arial"/>
                <w:b/>
                <w:bCs/>
                <w:i/>
                <w:iCs/>
                <w:sz w:val="16"/>
                <w:szCs w:val="16"/>
              </w:rPr>
              <w:t>405</w:t>
            </w:r>
          </w:p>
        </w:tc>
        <w:tc>
          <w:tcPr>
            <w:tcW w:w="899" w:type="dxa"/>
            <w:tcBorders>
              <w:top w:val="single" w:sz="4" w:space="0" w:color="auto"/>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b/>
                <w:bCs/>
                <w:i/>
                <w:iCs/>
                <w:sz w:val="16"/>
                <w:szCs w:val="16"/>
              </w:rPr>
            </w:pPr>
            <w:r w:rsidRPr="006F3AA0">
              <w:rPr>
                <w:rFonts w:ascii="Arial" w:hAnsi="Arial" w:cs="Arial"/>
                <w:b/>
                <w:bCs/>
                <w:i/>
                <w:iCs/>
                <w:sz w:val="16"/>
                <w:szCs w:val="16"/>
              </w:rPr>
              <w:t>862</w:t>
            </w:r>
          </w:p>
        </w:tc>
        <w:tc>
          <w:tcPr>
            <w:tcW w:w="848" w:type="dxa"/>
            <w:tcBorders>
              <w:top w:val="single" w:sz="4" w:space="0" w:color="auto"/>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i/>
                <w:iCs/>
                <w:sz w:val="16"/>
                <w:szCs w:val="16"/>
              </w:rPr>
            </w:pPr>
            <w:r w:rsidRPr="006F3AA0">
              <w:rPr>
                <w:rFonts w:ascii="Arial" w:hAnsi="Arial" w:cs="Arial"/>
                <w:b/>
                <w:bCs/>
                <w:i/>
                <w:iCs/>
                <w:sz w:val="16"/>
                <w:szCs w:val="16"/>
              </w:rPr>
              <w:t>-22,9%</w:t>
            </w:r>
          </w:p>
        </w:tc>
        <w:tc>
          <w:tcPr>
            <w:tcW w:w="812" w:type="dxa"/>
            <w:tcBorders>
              <w:top w:val="single" w:sz="4" w:space="0" w:color="auto"/>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i/>
                <w:iCs/>
                <w:sz w:val="16"/>
                <w:szCs w:val="16"/>
              </w:rPr>
            </w:pPr>
            <w:r w:rsidRPr="006F3AA0">
              <w:rPr>
                <w:rFonts w:ascii="Arial" w:hAnsi="Arial" w:cs="Arial"/>
                <w:b/>
                <w:bCs/>
                <w:i/>
                <w:iCs/>
                <w:sz w:val="16"/>
                <w:szCs w:val="16"/>
              </w:rPr>
              <w:t>52,3%</w:t>
            </w:r>
          </w:p>
        </w:tc>
        <w:tc>
          <w:tcPr>
            <w:tcW w:w="899" w:type="dxa"/>
            <w:tcBorders>
              <w:top w:val="single" w:sz="4" w:space="0" w:color="auto"/>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b/>
                <w:bCs/>
                <w:i/>
                <w:iCs/>
                <w:sz w:val="16"/>
                <w:szCs w:val="16"/>
              </w:rPr>
            </w:pPr>
            <w:r w:rsidRPr="006F3AA0">
              <w:rPr>
                <w:rFonts w:ascii="Arial" w:hAnsi="Arial" w:cs="Arial"/>
                <w:b/>
                <w:bCs/>
                <w:i/>
                <w:iCs/>
                <w:sz w:val="16"/>
                <w:szCs w:val="16"/>
              </w:rPr>
              <w:t>0,3%</w:t>
            </w:r>
          </w:p>
        </w:tc>
      </w:tr>
      <w:tr w:rsidR="006F3AA0" w:rsidRPr="006F3AA0" w:rsidTr="006F3AA0">
        <w:trPr>
          <w:trHeight w:val="223"/>
        </w:trPr>
        <w:tc>
          <w:tcPr>
            <w:tcW w:w="2995" w:type="dxa"/>
            <w:tcBorders>
              <w:top w:val="single" w:sz="4" w:space="0" w:color="auto"/>
              <w:left w:val="single" w:sz="4" w:space="0" w:color="auto"/>
              <w:bottom w:val="nil"/>
              <w:right w:val="nil"/>
            </w:tcBorders>
            <w:shd w:val="clear" w:color="auto" w:fill="auto"/>
            <w:vAlign w:val="center"/>
            <w:hideMark/>
          </w:tcPr>
          <w:p w:rsidR="006F3AA0" w:rsidRPr="006F3AA0" w:rsidRDefault="006F3AA0" w:rsidP="006F3AA0">
            <w:pPr>
              <w:rPr>
                <w:rFonts w:ascii="Tahoma" w:hAnsi="Tahoma" w:cs="Tahoma"/>
                <w:b/>
                <w:bCs/>
                <w:i/>
                <w:iCs/>
                <w:sz w:val="16"/>
                <w:szCs w:val="16"/>
              </w:rPr>
            </w:pPr>
            <w:r w:rsidRPr="006F3AA0">
              <w:rPr>
                <w:rFonts w:ascii="Tahoma" w:hAnsi="Tahoma" w:cs="Tahoma"/>
                <w:b/>
                <w:bCs/>
                <w:i/>
                <w:iCs/>
                <w:sz w:val="16"/>
                <w:szCs w:val="16"/>
              </w:rPr>
              <w:t>ΠΡΩΤΟΓΕΝΕΙΣ ΔΑΠΑΝΕΣ Τ.Π.</w:t>
            </w:r>
          </w:p>
        </w:tc>
        <w:tc>
          <w:tcPr>
            <w:tcW w:w="706" w:type="dxa"/>
            <w:tcBorders>
              <w:top w:val="single" w:sz="4" w:space="0" w:color="auto"/>
              <w:left w:val="single" w:sz="4" w:space="0" w:color="auto"/>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i/>
                <w:iCs/>
                <w:sz w:val="16"/>
                <w:szCs w:val="16"/>
              </w:rPr>
            </w:pPr>
            <w:r w:rsidRPr="006F3AA0">
              <w:rPr>
                <w:rFonts w:ascii="Arial" w:hAnsi="Arial" w:cs="Arial"/>
                <w:b/>
                <w:bCs/>
                <w:i/>
                <w:iCs/>
                <w:sz w:val="16"/>
                <w:szCs w:val="16"/>
              </w:rPr>
              <w:t>4.279</w:t>
            </w:r>
          </w:p>
        </w:tc>
        <w:tc>
          <w:tcPr>
            <w:tcW w:w="617" w:type="dxa"/>
            <w:tcBorders>
              <w:top w:val="single" w:sz="4" w:space="0" w:color="auto"/>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i/>
                <w:iCs/>
                <w:sz w:val="16"/>
                <w:szCs w:val="16"/>
              </w:rPr>
            </w:pPr>
            <w:r w:rsidRPr="006F3AA0">
              <w:rPr>
                <w:rFonts w:ascii="Arial" w:hAnsi="Arial" w:cs="Arial"/>
                <w:b/>
                <w:bCs/>
                <w:i/>
                <w:iCs/>
                <w:sz w:val="16"/>
                <w:szCs w:val="16"/>
              </w:rPr>
              <w:t>4.214</w:t>
            </w:r>
          </w:p>
        </w:tc>
        <w:tc>
          <w:tcPr>
            <w:tcW w:w="899" w:type="dxa"/>
            <w:tcBorders>
              <w:top w:val="single" w:sz="4" w:space="0" w:color="auto"/>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b/>
                <w:bCs/>
                <w:i/>
                <w:iCs/>
                <w:sz w:val="16"/>
                <w:szCs w:val="16"/>
              </w:rPr>
            </w:pPr>
            <w:r w:rsidRPr="006F3AA0">
              <w:rPr>
                <w:rFonts w:ascii="Arial" w:hAnsi="Arial" w:cs="Arial"/>
                <w:b/>
                <w:bCs/>
                <w:i/>
                <w:iCs/>
                <w:sz w:val="16"/>
                <w:szCs w:val="16"/>
              </w:rPr>
              <w:t>8.493</w:t>
            </w:r>
          </w:p>
        </w:tc>
        <w:tc>
          <w:tcPr>
            <w:tcW w:w="617" w:type="dxa"/>
            <w:tcBorders>
              <w:top w:val="single" w:sz="4" w:space="0" w:color="auto"/>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i/>
                <w:iCs/>
                <w:sz w:val="16"/>
                <w:szCs w:val="16"/>
              </w:rPr>
            </w:pPr>
            <w:r w:rsidRPr="006F3AA0">
              <w:rPr>
                <w:rFonts w:ascii="Arial" w:hAnsi="Arial" w:cs="Arial"/>
                <w:b/>
                <w:bCs/>
                <w:i/>
                <w:iCs/>
                <w:sz w:val="16"/>
                <w:szCs w:val="16"/>
              </w:rPr>
              <w:t>4.870</w:t>
            </w:r>
          </w:p>
        </w:tc>
        <w:tc>
          <w:tcPr>
            <w:tcW w:w="617" w:type="dxa"/>
            <w:tcBorders>
              <w:top w:val="single" w:sz="4" w:space="0" w:color="auto"/>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i/>
                <w:iCs/>
                <w:sz w:val="16"/>
                <w:szCs w:val="16"/>
              </w:rPr>
            </w:pPr>
            <w:r w:rsidRPr="006F3AA0">
              <w:rPr>
                <w:rFonts w:ascii="Arial" w:hAnsi="Arial" w:cs="Arial"/>
                <w:b/>
                <w:bCs/>
                <w:i/>
                <w:iCs/>
                <w:sz w:val="16"/>
                <w:szCs w:val="16"/>
              </w:rPr>
              <w:t>3.829</w:t>
            </w:r>
          </w:p>
        </w:tc>
        <w:tc>
          <w:tcPr>
            <w:tcW w:w="899" w:type="dxa"/>
            <w:tcBorders>
              <w:top w:val="single" w:sz="4" w:space="0" w:color="auto"/>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b/>
                <w:bCs/>
                <w:i/>
                <w:iCs/>
                <w:sz w:val="16"/>
                <w:szCs w:val="16"/>
              </w:rPr>
            </w:pPr>
            <w:r w:rsidRPr="006F3AA0">
              <w:rPr>
                <w:rFonts w:ascii="Arial" w:hAnsi="Arial" w:cs="Arial"/>
                <w:b/>
                <w:bCs/>
                <w:i/>
                <w:iCs/>
                <w:sz w:val="16"/>
                <w:szCs w:val="16"/>
              </w:rPr>
              <w:t>8.700</w:t>
            </w:r>
          </w:p>
        </w:tc>
        <w:tc>
          <w:tcPr>
            <w:tcW w:w="848" w:type="dxa"/>
            <w:tcBorders>
              <w:top w:val="single" w:sz="4" w:space="0" w:color="auto"/>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i/>
                <w:iCs/>
                <w:sz w:val="16"/>
                <w:szCs w:val="16"/>
              </w:rPr>
            </w:pPr>
            <w:r w:rsidRPr="006F3AA0">
              <w:rPr>
                <w:rFonts w:ascii="Arial" w:hAnsi="Arial" w:cs="Arial"/>
                <w:b/>
                <w:bCs/>
                <w:i/>
                <w:iCs/>
                <w:sz w:val="16"/>
                <w:szCs w:val="16"/>
              </w:rPr>
              <w:t>13,8%</w:t>
            </w:r>
          </w:p>
        </w:tc>
        <w:tc>
          <w:tcPr>
            <w:tcW w:w="812" w:type="dxa"/>
            <w:tcBorders>
              <w:top w:val="single" w:sz="4" w:space="0" w:color="auto"/>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i/>
                <w:iCs/>
                <w:sz w:val="16"/>
                <w:szCs w:val="16"/>
              </w:rPr>
            </w:pPr>
            <w:r w:rsidRPr="006F3AA0">
              <w:rPr>
                <w:rFonts w:ascii="Arial" w:hAnsi="Arial" w:cs="Arial"/>
                <w:b/>
                <w:bCs/>
                <w:i/>
                <w:iCs/>
                <w:sz w:val="16"/>
                <w:szCs w:val="16"/>
              </w:rPr>
              <w:t>-9,1%</w:t>
            </w:r>
          </w:p>
        </w:tc>
        <w:tc>
          <w:tcPr>
            <w:tcW w:w="899" w:type="dxa"/>
            <w:tcBorders>
              <w:top w:val="single" w:sz="4" w:space="0" w:color="auto"/>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b/>
                <w:bCs/>
                <w:i/>
                <w:iCs/>
                <w:sz w:val="16"/>
                <w:szCs w:val="16"/>
              </w:rPr>
            </w:pPr>
            <w:r w:rsidRPr="006F3AA0">
              <w:rPr>
                <w:rFonts w:ascii="Arial" w:hAnsi="Arial" w:cs="Arial"/>
                <w:b/>
                <w:bCs/>
                <w:i/>
                <w:iCs/>
                <w:sz w:val="16"/>
                <w:szCs w:val="16"/>
              </w:rPr>
              <w:t>2,4%</w:t>
            </w:r>
          </w:p>
        </w:tc>
      </w:tr>
      <w:tr w:rsidR="006F3AA0" w:rsidRPr="006F3AA0" w:rsidTr="006F3AA0">
        <w:trPr>
          <w:trHeight w:val="223"/>
        </w:trPr>
        <w:tc>
          <w:tcPr>
            <w:tcW w:w="2995" w:type="dxa"/>
            <w:tcBorders>
              <w:top w:val="nil"/>
              <w:left w:val="single" w:sz="4" w:space="0" w:color="auto"/>
              <w:bottom w:val="nil"/>
              <w:right w:val="nil"/>
            </w:tcBorders>
            <w:shd w:val="clear" w:color="auto" w:fill="auto"/>
            <w:vAlign w:val="center"/>
            <w:hideMark/>
          </w:tcPr>
          <w:p w:rsidR="006F3AA0" w:rsidRPr="006F3AA0" w:rsidRDefault="006F3AA0" w:rsidP="006F3AA0">
            <w:pPr>
              <w:ind w:firstLineChars="200" w:firstLine="321"/>
              <w:rPr>
                <w:rFonts w:ascii="Tahoma" w:hAnsi="Tahoma" w:cs="Tahoma"/>
                <w:b/>
                <w:bCs/>
                <w:sz w:val="16"/>
                <w:szCs w:val="16"/>
              </w:rPr>
            </w:pPr>
            <w:r w:rsidRPr="006F3AA0">
              <w:rPr>
                <w:rFonts w:ascii="Tahoma" w:hAnsi="Tahoma" w:cs="Tahoma"/>
                <w:b/>
                <w:bCs/>
                <w:sz w:val="16"/>
                <w:szCs w:val="16"/>
              </w:rPr>
              <w:t>ΑΠΟΔΟΧΕΣ ΚΑΙ ΣΥΝΤΑΞΕΙΣ</w:t>
            </w:r>
          </w:p>
        </w:tc>
        <w:tc>
          <w:tcPr>
            <w:tcW w:w="706" w:type="dxa"/>
            <w:tcBorders>
              <w:top w:val="nil"/>
              <w:left w:val="single" w:sz="4" w:space="0" w:color="auto"/>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1.674</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1.721</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3.394</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1.611</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1.618</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3.229</w:t>
            </w:r>
          </w:p>
        </w:tc>
        <w:tc>
          <w:tcPr>
            <w:tcW w:w="848"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-3,7%</w:t>
            </w:r>
          </w:p>
        </w:tc>
        <w:tc>
          <w:tcPr>
            <w:tcW w:w="812"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-6,0%</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-4,9%</w:t>
            </w:r>
          </w:p>
        </w:tc>
      </w:tr>
      <w:tr w:rsidR="006F3AA0" w:rsidRPr="006F3AA0" w:rsidTr="006F3AA0">
        <w:trPr>
          <w:trHeight w:val="223"/>
        </w:trPr>
        <w:tc>
          <w:tcPr>
            <w:tcW w:w="2995" w:type="dxa"/>
            <w:tcBorders>
              <w:top w:val="nil"/>
              <w:left w:val="single" w:sz="4" w:space="0" w:color="auto"/>
              <w:bottom w:val="nil"/>
              <w:right w:val="nil"/>
            </w:tcBorders>
            <w:shd w:val="clear" w:color="auto" w:fill="auto"/>
            <w:vAlign w:val="center"/>
            <w:hideMark/>
          </w:tcPr>
          <w:p w:rsidR="006F3AA0" w:rsidRPr="006F3AA0" w:rsidRDefault="006F3AA0" w:rsidP="00BA1B31">
            <w:pPr>
              <w:ind w:firstLineChars="208" w:firstLine="333"/>
              <w:rPr>
                <w:rFonts w:ascii="Tahoma" w:hAnsi="Tahoma" w:cs="Tahoma"/>
                <w:sz w:val="16"/>
                <w:szCs w:val="16"/>
              </w:rPr>
            </w:pPr>
            <w:r w:rsidRPr="006F3AA0">
              <w:rPr>
                <w:rFonts w:ascii="Tahoma" w:hAnsi="Tahoma" w:cs="Tahoma"/>
                <w:sz w:val="16"/>
                <w:szCs w:val="16"/>
              </w:rPr>
              <w:t>Μισθοί</w:t>
            </w:r>
          </w:p>
        </w:tc>
        <w:tc>
          <w:tcPr>
            <w:tcW w:w="706" w:type="dxa"/>
            <w:tcBorders>
              <w:top w:val="nil"/>
              <w:left w:val="single" w:sz="4" w:space="0" w:color="auto"/>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1.070</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1.146</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2.216</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1.058</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1.086</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2.144</w:t>
            </w:r>
          </w:p>
        </w:tc>
        <w:tc>
          <w:tcPr>
            <w:tcW w:w="848"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-1,1%</w:t>
            </w:r>
          </w:p>
        </w:tc>
        <w:tc>
          <w:tcPr>
            <w:tcW w:w="812"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-5,2%</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-3,2%</w:t>
            </w:r>
          </w:p>
        </w:tc>
      </w:tr>
      <w:tr w:rsidR="006F3AA0" w:rsidRPr="006F3AA0" w:rsidTr="006F3AA0">
        <w:trPr>
          <w:trHeight w:val="223"/>
        </w:trPr>
        <w:tc>
          <w:tcPr>
            <w:tcW w:w="2995" w:type="dxa"/>
            <w:tcBorders>
              <w:top w:val="nil"/>
              <w:left w:val="single" w:sz="4" w:space="0" w:color="auto"/>
              <w:bottom w:val="nil"/>
              <w:right w:val="nil"/>
            </w:tcBorders>
            <w:shd w:val="clear" w:color="auto" w:fill="auto"/>
            <w:vAlign w:val="center"/>
            <w:hideMark/>
          </w:tcPr>
          <w:p w:rsidR="006F3AA0" w:rsidRPr="006F3AA0" w:rsidRDefault="006F3AA0" w:rsidP="00BA1B31">
            <w:pPr>
              <w:ind w:firstLineChars="208" w:firstLine="333"/>
              <w:rPr>
                <w:rFonts w:ascii="Tahoma" w:hAnsi="Tahoma" w:cs="Tahoma"/>
                <w:sz w:val="16"/>
                <w:szCs w:val="16"/>
              </w:rPr>
            </w:pPr>
            <w:r w:rsidRPr="006F3AA0">
              <w:rPr>
                <w:rFonts w:ascii="Tahoma" w:hAnsi="Tahoma" w:cs="Tahoma"/>
                <w:sz w:val="16"/>
                <w:szCs w:val="16"/>
              </w:rPr>
              <w:t>Λοιπές παροχές</w:t>
            </w:r>
          </w:p>
        </w:tc>
        <w:tc>
          <w:tcPr>
            <w:tcW w:w="706" w:type="dxa"/>
            <w:tcBorders>
              <w:top w:val="nil"/>
              <w:left w:val="single" w:sz="4" w:space="0" w:color="auto"/>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96</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63</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160</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28</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13</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41</w:t>
            </w:r>
          </w:p>
        </w:tc>
        <w:tc>
          <w:tcPr>
            <w:tcW w:w="848"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-70,8%</w:t>
            </w:r>
          </w:p>
        </w:tc>
        <w:tc>
          <w:tcPr>
            <w:tcW w:w="812"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-79,4%</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-74,2%</w:t>
            </w:r>
          </w:p>
        </w:tc>
      </w:tr>
      <w:tr w:rsidR="006F3AA0" w:rsidRPr="006F3AA0" w:rsidTr="006F3AA0">
        <w:trPr>
          <w:trHeight w:val="223"/>
        </w:trPr>
        <w:tc>
          <w:tcPr>
            <w:tcW w:w="2995" w:type="dxa"/>
            <w:tcBorders>
              <w:top w:val="nil"/>
              <w:left w:val="single" w:sz="4" w:space="0" w:color="auto"/>
              <w:bottom w:val="nil"/>
              <w:right w:val="nil"/>
            </w:tcBorders>
            <w:shd w:val="clear" w:color="auto" w:fill="auto"/>
            <w:vAlign w:val="center"/>
            <w:hideMark/>
          </w:tcPr>
          <w:p w:rsidR="006F3AA0" w:rsidRPr="006F3AA0" w:rsidRDefault="006F3AA0" w:rsidP="00BA1B31">
            <w:pPr>
              <w:ind w:firstLineChars="208" w:firstLine="333"/>
              <w:rPr>
                <w:rFonts w:ascii="Tahoma" w:hAnsi="Tahoma" w:cs="Tahoma"/>
                <w:sz w:val="16"/>
                <w:szCs w:val="16"/>
              </w:rPr>
            </w:pPr>
            <w:r w:rsidRPr="006F3AA0">
              <w:rPr>
                <w:rFonts w:ascii="Tahoma" w:hAnsi="Tahoma" w:cs="Tahoma"/>
                <w:sz w:val="16"/>
                <w:szCs w:val="16"/>
              </w:rPr>
              <w:t>Συντάξεις</w:t>
            </w:r>
          </w:p>
        </w:tc>
        <w:tc>
          <w:tcPr>
            <w:tcW w:w="706" w:type="dxa"/>
            <w:tcBorders>
              <w:top w:val="nil"/>
              <w:left w:val="single" w:sz="4" w:space="0" w:color="auto"/>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507</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512</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1.019</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525</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519</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1.044</w:t>
            </w:r>
          </w:p>
        </w:tc>
        <w:tc>
          <w:tcPr>
            <w:tcW w:w="848"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3,6%</w:t>
            </w:r>
          </w:p>
        </w:tc>
        <w:tc>
          <w:tcPr>
            <w:tcW w:w="812"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1,4%</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2,5%</w:t>
            </w:r>
          </w:p>
        </w:tc>
      </w:tr>
      <w:tr w:rsidR="006F3AA0" w:rsidRPr="006F3AA0" w:rsidTr="006F3AA0">
        <w:trPr>
          <w:trHeight w:val="223"/>
        </w:trPr>
        <w:tc>
          <w:tcPr>
            <w:tcW w:w="2995" w:type="dxa"/>
            <w:tcBorders>
              <w:top w:val="nil"/>
              <w:left w:val="single" w:sz="4" w:space="0" w:color="auto"/>
              <w:bottom w:val="nil"/>
              <w:right w:val="nil"/>
            </w:tcBorders>
            <w:shd w:val="clear" w:color="auto" w:fill="auto"/>
            <w:vAlign w:val="center"/>
            <w:hideMark/>
          </w:tcPr>
          <w:p w:rsidR="006F3AA0" w:rsidRPr="006F3AA0" w:rsidRDefault="006F3AA0" w:rsidP="006F3AA0">
            <w:pPr>
              <w:ind w:firstLineChars="200" w:firstLine="321"/>
              <w:rPr>
                <w:rFonts w:ascii="Tahoma" w:hAnsi="Tahoma" w:cs="Tahoma"/>
                <w:b/>
                <w:bCs/>
                <w:sz w:val="16"/>
                <w:szCs w:val="16"/>
              </w:rPr>
            </w:pPr>
            <w:r w:rsidRPr="006F3AA0">
              <w:rPr>
                <w:rFonts w:ascii="Tahoma" w:hAnsi="Tahoma" w:cs="Tahoma"/>
                <w:b/>
                <w:bCs/>
                <w:sz w:val="16"/>
                <w:szCs w:val="16"/>
              </w:rPr>
              <w:t>ΑΣΦΑΛΙΣΗ,  ΠΕΡΙΘ., ΚΟΙΝ. ΠΡΟΣΤ.</w:t>
            </w:r>
          </w:p>
        </w:tc>
        <w:tc>
          <w:tcPr>
            <w:tcW w:w="706" w:type="dxa"/>
            <w:tcBorders>
              <w:top w:val="nil"/>
              <w:left w:val="single" w:sz="4" w:space="0" w:color="auto"/>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1.860</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1.120</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2.979</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2.532</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1.221</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3.753</w:t>
            </w:r>
          </w:p>
        </w:tc>
        <w:tc>
          <w:tcPr>
            <w:tcW w:w="848"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36,1%</w:t>
            </w:r>
          </w:p>
        </w:tc>
        <w:tc>
          <w:tcPr>
            <w:tcW w:w="812"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9,1%</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26,0%</w:t>
            </w:r>
          </w:p>
        </w:tc>
      </w:tr>
      <w:tr w:rsidR="006F3AA0" w:rsidRPr="006F3AA0" w:rsidTr="006F3AA0">
        <w:trPr>
          <w:trHeight w:val="223"/>
        </w:trPr>
        <w:tc>
          <w:tcPr>
            <w:tcW w:w="2995" w:type="dxa"/>
            <w:tcBorders>
              <w:top w:val="nil"/>
              <w:left w:val="single" w:sz="4" w:space="0" w:color="auto"/>
              <w:bottom w:val="nil"/>
              <w:right w:val="nil"/>
            </w:tcBorders>
            <w:shd w:val="clear" w:color="auto" w:fill="auto"/>
            <w:vAlign w:val="center"/>
            <w:hideMark/>
          </w:tcPr>
          <w:p w:rsidR="006F3AA0" w:rsidRPr="006F3AA0" w:rsidRDefault="006F3AA0" w:rsidP="00BA1B31">
            <w:pPr>
              <w:ind w:firstLineChars="208" w:firstLine="333"/>
              <w:rPr>
                <w:rFonts w:ascii="Tahoma" w:hAnsi="Tahoma" w:cs="Tahoma"/>
                <w:sz w:val="16"/>
                <w:szCs w:val="16"/>
              </w:rPr>
            </w:pPr>
            <w:r w:rsidRPr="006F3AA0">
              <w:rPr>
                <w:rFonts w:ascii="Tahoma" w:hAnsi="Tahoma" w:cs="Tahoma"/>
                <w:sz w:val="16"/>
                <w:szCs w:val="16"/>
              </w:rPr>
              <w:t xml:space="preserve">Επιχορηγήσεις ασφαλιστικών ταμείων </w:t>
            </w:r>
          </w:p>
        </w:tc>
        <w:tc>
          <w:tcPr>
            <w:tcW w:w="706" w:type="dxa"/>
            <w:tcBorders>
              <w:top w:val="nil"/>
              <w:left w:val="single" w:sz="4" w:space="0" w:color="auto"/>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1.857</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881</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2.738</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2.491</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1.043</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3.534</w:t>
            </w:r>
          </w:p>
        </w:tc>
        <w:tc>
          <w:tcPr>
            <w:tcW w:w="848"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34,1%</w:t>
            </w:r>
          </w:p>
        </w:tc>
        <w:tc>
          <w:tcPr>
            <w:tcW w:w="812"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18,4%</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29,1%</w:t>
            </w:r>
          </w:p>
        </w:tc>
      </w:tr>
      <w:tr w:rsidR="006F3AA0" w:rsidRPr="006F3AA0" w:rsidTr="006F3AA0">
        <w:trPr>
          <w:trHeight w:val="223"/>
        </w:trPr>
        <w:tc>
          <w:tcPr>
            <w:tcW w:w="2995" w:type="dxa"/>
            <w:tcBorders>
              <w:top w:val="nil"/>
              <w:left w:val="single" w:sz="4" w:space="0" w:color="auto"/>
              <w:bottom w:val="nil"/>
              <w:right w:val="nil"/>
            </w:tcBorders>
            <w:shd w:val="clear" w:color="auto" w:fill="auto"/>
            <w:vAlign w:val="center"/>
            <w:hideMark/>
          </w:tcPr>
          <w:p w:rsidR="006F3AA0" w:rsidRPr="006F3AA0" w:rsidRDefault="006F3AA0" w:rsidP="00BA1B31">
            <w:pPr>
              <w:ind w:firstLineChars="208" w:firstLine="333"/>
              <w:rPr>
                <w:rFonts w:ascii="Tahoma" w:hAnsi="Tahoma" w:cs="Tahoma"/>
                <w:sz w:val="16"/>
                <w:szCs w:val="16"/>
              </w:rPr>
            </w:pPr>
            <w:r w:rsidRPr="006F3AA0">
              <w:rPr>
                <w:rFonts w:ascii="Tahoma" w:hAnsi="Tahoma" w:cs="Tahoma"/>
                <w:sz w:val="16"/>
                <w:szCs w:val="16"/>
              </w:rPr>
              <w:t>Koινωνική προστασία</w:t>
            </w:r>
          </w:p>
        </w:tc>
        <w:tc>
          <w:tcPr>
            <w:tcW w:w="706" w:type="dxa"/>
            <w:tcBorders>
              <w:top w:val="nil"/>
              <w:left w:val="single" w:sz="4" w:space="0" w:color="auto"/>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2</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154</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156</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1</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139</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139</w:t>
            </w:r>
          </w:p>
        </w:tc>
        <w:tc>
          <w:tcPr>
            <w:tcW w:w="848"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-73,5%</w:t>
            </w:r>
          </w:p>
        </w:tc>
        <w:tc>
          <w:tcPr>
            <w:tcW w:w="812"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-10,0%</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-10,8%</w:t>
            </w:r>
          </w:p>
        </w:tc>
      </w:tr>
      <w:tr w:rsidR="006F3AA0" w:rsidRPr="006F3AA0" w:rsidTr="006F3AA0">
        <w:trPr>
          <w:trHeight w:val="223"/>
        </w:trPr>
        <w:tc>
          <w:tcPr>
            <w:tcW w:w="2995" w:type="dxa"/>
            <w:tcBorders>
              <w:top w:val="nil"/>
              <w:left w:val="single" w:sz="4" w:space="0" w:color="auto"/>
              <w:bottom w:val="nil"/>
              <w:right w:val="nil"/>
            </w:tcBorders>
            <w:shd w:val="clear" w:color="auto" w:fill="auto"/>
            <w:vAlign w:val="center"/>
            <w:hideMark/>
          </w:tcPr>
          <w:p w:rsidR="006F3AA0" w:rsidRPr="006F3AA0" w:rsidRDefault="006F3AA0" w:rsidP="00BA1B31">
            <w:pPr>
              <w:ind w:firstLineChars="208" w:firstLine="333"/>
              <w:rPr>
                <w:rFonts w:ascii="Tahoma" w:hAnsi="Tahoma" w:cs="Tahoma"/>
                <w:sz w:val="16"/>
                <w:szCs w:val="16"/>
              </w:rPr>
            </w:pPr>
            <w:r w:rsidRPr="006F3AA0">
              <w:rPr>
                <w:rFonts w:ascii="Tahoma" w:hAnsi="Tahoma" w:cs="Tahoma"/>
                <w:sz w:val="16"/>
                <w:szCs w:val="16"/>
              </w:rPr>
              <w:t>Eπιχορήγηση στον ΟΑΕΔ</w:t>
            </w:r>
          </w:p>
        </w:tc>
        <w:tc>
          <w:tcPr>
            <w:tcW w:w="706" w:type="dxa"/>
            <w:tcBorders>
              <w:top w:val="nil"/>
              <w:left w:val="single" w:sz="4" w:space="0" w:color="auto"/>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0</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85</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85</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40</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40</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80</w:t>
            </w:r>
          </w:p>
        </w:tc>
        <w:tc>
          <w:tcPr>
            <w:tcW w:w="848" w:type="dxa"/>
            <w:tcBorders>
              <w:top w:val="nil"/>
              <w:left w:val="nil"/>
              <w:bottom w:val="nil"/>
              <w:right w:val="single" w:sz="4" w:space="0" w:color="auto"/>
            </w:tcBorders>
            <w:shd w:val="clear" w:color="auto" w:fill="auto"/>
            <w:noWrap/>
            <w:vAlign w:val="bottom"/>
            <w:hideMark/>
          </w:tcPr>
          <w:p w:rsidR="006F3AA0" w:rsidRPr="006F3AA0" w:rsidRDefault="006F3AA0" w:rsidP="006F3AA0">
            <w:pPr>
              <w:rPr>
                <w:rFonts w:ascii="Arial" w:hAnsi="Arial" w:cs="Arial"/>
                <w:sz w:val="16"/>
                <w:szCs w:val="16"/>
              </w:rPr>
            </w:pPr>
            <w:r w:rsidRPr="006F3AA0">
              <w:rPr>
                <w:rFonts w:ascii="Arial" w:hAnsi="Arial" w:cs="Arial"/>
                <w:sz w:val="16"/>
                <w:szCs w:val="16"/>
              </w:rPr>
              <w:t> </w:t>
            </w:r>
          </w:p>
        </w:tc>
        <w:tc>
          <w:tcPr>
            <w:tcW w:w="812"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-53,1%</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-6,3%</w:t>
            </w:r>
          </w:p>
        </w:tc>
      </w:tr>
      <w:tr w:rsidR="006F3AA0" w:rsidRPr="006F3AA0" w:rsidTr="006F3AA0">
        <w:trPr>
          <w:trHeight w:val="223"/>
        </w:trPr>
        <w:tc>
          <w:tcPr>
            <w:tcW w:w="2995" w:type="dxa"/>
            <w:tcBorders>
              <w:top w:val="nil"/>
              <w:left w:val="single" w:sz="4" w:space="0" w:color="auto"/>
              <w:bottom w:val="nil"/>
              <w:right w:val="nil"/>
            </w:tcBorders>
            <w:shd w:val="clear" w:color="auto" w:fill="auto"/>
            <w:vAlign w:val="center"/>
            <w:hideMark/>
          </w:tcPr>
          <w:p w:rsidR="006F3AA0" w:rsidRPr="006F3AA0" w:rsidRDefault="006F3AA0" w:rsidP="00BA1B31">
            <w:pPr>
              <w:ind w:firstLineChars="208" w:firstLine="333"/>
              <w:rPr>
                <w:rFonts w:ascii="Tahoma" w:hAnsi="Tahoma" w:cs="Tahoma"/>
                <w:sz w:val="16"/>
                <w:szCs w:val="16"/>
              </w:rPr>
            </w:pPr>
            <w:r w:rsidRPr="006F3AA0">
              <w:rPr>
                <w:rFonts w:ascii="Tahoma" w:hAnsi="Tahoma" w:cs="Tahoma"/>
                <w:sz w:val="16"/>
                <w:szCs w:val="16"/>
              </w:rPr>
              <w:t>Λοιπές δαπάνες περίθ., ασφάλισης</w:t>
            </w:r>
          </w:p>
        </w:tc>
        <w:tc>
          <w:tcPr>
            <w:tcW w:w="706" w:type="dxa"/>
            <w:tcBorders>
              <w:top w:val="nil"/>
              <w:left w:val="single" w:sz="4" w:space="0" w:color="auto"/>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0</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0</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0</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0</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0</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0</w:t>
            </w:r>
          </w:p>
        </w:tc>
        <w:tc>
          <w:tcPr>
            <w:tcW w:w="848" w:type="dxa"/>
            <w:tcBorders>
              <w:top w:val="nil"/>
              <w:left w:val="nil"/>
              <w:bottom w:val="nil"/>
              <w:right w:val="single" w:sz="4" w:space="0" w:color="auto"/>
            </w:tcBorders>
            <w:shd w:val="clear" w:color="auto" w:fill="auto"/>
            <w:noWrap/>
            <w:vAlign w:val="bottom"/>
            <w:hideMark/>
          </w:tcPr>
          <w:p w:rsidR="006F3AA0" w:rsidRPr="006F3AA0" w:rsidRDefault="006F3AA0" w:rsidP="006F3AA0">
            <w:pPr>
              <w:rPr>
                <w:rFonts w:ascii="Arial" w:hAnsi="Arial" w:cs="Arial"/>
                <w:sz w:val="16"/>
                <w:szCs w:val="16"/>
              </w:rPr>
            </w:pPr>
            <w:r w:rsidRPr="006F3AA0">
              <w:rPr>
                <w:rFonts w:ascii="Arial" w:hAnsi="Arial" w:cs="Arial"/>
                <w:sz w:val="16"/>
                <w:szCs w:val="16"/>
              </w:rPr>
              <w:t> </w:t>
            </w:r>
          </w:p>
        </w:tc>
        <w:tc>
          <w:tcPr>
            <w:tcW w:w="812" w:type="dxa"/>
            <w:tcBorders>
              <w:top w:val="nil"/>
              <w:left w:val="nil"/>
              <w:bottom w:val="nil"/>
              <w:right w:val="single" w:sz="4" w:space="0" w:color="auto"/>
            </w:tcBorders>
            <w:shd w:val="clear" w:color="auto" w:fill="auto"/>
            <w:noWrap/>
            <w:vAlign w:val="bottom"/>
            <w:hideMark/>
          </w:tcPr>
          <w:p w:rsidR="006F3AA0" w:rsidRPr="006F3AA0" w:rsidRDefault="006F3AA0" w:rsidP="006F3AA0">
            <w:pPr>
              <w:rPr>
                <w:rFonts w:ascii="Arial" w:hAnsi="Arial" w:cs="Arial"/>
                <w:sz w:val="16"/>
                <w:szCs w:val="16"/>
              </w:rPr>
            </w:pPr>
            <w:r w:rsidRPr="006F3AA0">
              <w:rPr>
                <w:rFonts w:ascii="Arial" w:hAnsi="Arial" w:cs="Arial"/>
                <w:sz w:val="16"/>
                <w:szCs w:val="16"/>
              </w:rPr>
              <w:t> </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rPr>
                <w:rFonts w:ascii="Arial" w:hAnsi="Arial" w:cs="Arial"/>
                <w:sz w:val="16"/>
                <w:szCs w:val="16"/>
              </w:rPr>
            </w:pPr>
            <w:r w:rsidRPr="006F3AA0">
              <w:rPr>
                <w:rFonts w:ascii="Arial" w:hAnsi="Arial" w:cs="Arial"/>
                <w:sz w:val="16"/>
                <w:szCs w:val="16"/>
              </w:rPr>
              <w:t> </w:t>
            </w:r>
          </w:p>
        </w:tc>
      </w:tr>
      <w:tr w:rsidR="006F3AA0" w:rsidRPr="006F3AA0" w:rsidTr="006F3AA0">
        <w:trPr>
          <w:trHeight w:val="223"/>
        </w:trPr>
        <w:tc>
          <w:tcPr>
            <w:tcW w:w="2995" w:type="dxa"/>
            <w:tcBorders>
              <w:top w:val="nil"/>
              <w:left w:val="single" w:sz="4" w:space="0" w:color="auto"/>
              <w:bottom w:val="nil"/>
              <w:right w:val="nil"/>
            </w:tcBorders>
            <w:shd w:val="clear" w:color="auto" w:fill="auto"/>
            <w:vAlign w:val="center"/>
            <w:hideMark/>
          </w:tcPr>
          <w:p w:rsidR="006F3AA0" w:rsidRPr="006F3AA0" w:rsidRDefault="006F3AA0" w:rsidP="006F3AA0">
            <w:pPr>
              <w:ind w:firstLineChars="200" w:firstLine="321"/>
              <w:rPr>
                <w:rFonts w:ascii="Tahoma" w:hAnsi="Tahoma" w:cs="Tahoma"/>
                <w:b/>
                <w:bCs/>
                <w:sz w:val="16"/>
                <w:szCs w:val="16"/>
              </w:rPr>
            </w:pPr>
            <w:r w:rsidRPr="006F3AA0">
              <w:rPr>
                <w:rFonts w:ascii="Tahoma" w:hAnsi="Tahoma" w:cs="Tahoma"/>
                <w:b/>
                <w:bCs/>
                <w:sz w:val="16"/>
                <w:szCs w:val="16"/>
              </w:rPr>
              <w:t>ΛΕΙΤΟΥΡΓΙΚΕΣ ΚΑΙ ΛΟΙΠΕΣ ΔΑΠΑΝΕΣ</w:t>
            </w:r>
          </w:p>
        </w:tc>
        <w:tc>
          <w:tcPr>
            <w:tcW w:w="706" w:type="dxa"/>
            <w:tcBorders>
              <w:top w:val="nil"/>
              <w:left w:val="single" w:sz="4" w:space="0" w:color="auto"/>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267</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958</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1.225</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425</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696</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1.121</w:t>
            </w:r>
          </w:p>
        </w:tc>
        <w:tc>
          <w:tcPr>
            <w:tcW w:w="848"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59,2%</w:t>
            </w:r>
          </w:p>
        </w:tc>
        <w:tc>
          <w:tcPr>
            <w:tcW w:w="812"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-27,3%</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-8,5%</w:t>
            </w:r>
          </w:p>
        </w:tc>
      </w:tr>
      <w:tr w:rsidR="006F3AA0" w:rsidRPr="006F3AA0" w:rsidTr="006F3AA0">
        <w:trPr>
          <w:trHeight w:val="223"/>
        </w:trPr>
        <w:tc>
          <w:tcPr>
            <w:tcW w:w="2995" w:type="dxa"/>
            <w:tcBorders>
              <w:top w:val="nil"/>
              <w:left w:val="single" w:sz="4" w:space="0" w:color="auto"/>
              <w:bottom w:val="nil"/>
              <w:right w:val="nil"/>
            </w:tcBorders>
            <w:shd w:val="clear" w:color="auto" w:fill="auto"/>
            <w:vAlign w:val="center"/>
            <w:hideMark/>
          </w:tcPr>
          <w:p w:rsidR="006F3AA0" w:rsidRPr="006F3AA0" w:rsidRDefault="006F3AA0" w:rsidP="00BA1B31">
            <w:pPr>
              <w:ind w:firstLineChars="208" w:firstLine="333"/>
              <w:rPr>
                <w:rFonts w:ascii="Tahoma" w:hAnsi="Tahoma" w:cs="Tahoma"/>
                <w:sz w:val="16"/>
                <w:szCs w:val="16"/>
              </w:rPr>
            </w:pPr>
            <w:r w:rsidRPr="006F3AA0">
              <w:rPr>
                <w:rFonts w:ascii="Tahoma" w:hAnsi="Tahoma" w:cs="Tahoma"/>
                <w:sz w:val="16"/>
                <w:szCs w:val="16"/>
              </w:rPr>
              <w:t>Επιχορηγήσεις</w:t>
            </w:r>
          </w:p>
        </w:tc>
        <w:tc>
          <w:tcPr>
            <w:tcW w:w="706" w:type="dxa"/>
            <w:tcBorders>
              <w:top w:val="nil"/>
              <w:left w:val="single" w:sz="4" w:space="0" w:color="auto"/>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24</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59</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83</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27</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55</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82</w:t>
            </w:r>
          </w:p>
        </w:tc>
        <w:tc>
          <w:tcPr>
            <w:tcW w:w="848"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11,3%</w:t>
            </w:r>
          </w:p>
        </w:tc>
        <w:tc>
          <w:tcPr>
            <w:tcW w:w="812"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-7,0%</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-1,7%</w:t>
            </w:r>
          </w:p>
        </w:tc>
      </w:tr>
      <w:tr w:rsidR="006F3AA0" w:rsidRPr="006F3AA0" w:rsidTr="006F3AA0">
        <w:trPr>
          <w:trHeight w:val="223"/>
        </w:trPr>
        <w:tc>
          <w:tcPr>
            <w:tcW w:w="2995" w:type="dxa"/>
            <w:tcBorders>
              <w:top w:val="nil"/>
              <w:left w:val="single" w:sz="4" w:space="0" w:color="auto"/>
              <w:bottom w:val="nil"/>
              <w:right w:val="nil"/>
            </w:tcBorders>
            <w:shd w:val="clear" w:color="auto" w:fill="auto"/>
            <w:vAlign w:val="center"/>
            <w:hideMark/>
          </w:tcPr>
          <w:p w:rsidR="006F3AA0" w:rsidRPr="006F3AA0" w:rsidRDefault="006F3AA0" w:rsidP="00BA1B31">
            <w:pPr>
              <w:ind w:firstLineChars="208" w:firstLine="333"/>
              <w:rPr>
                <w:rFonts w:ascii="Tahoma" w:hAnsi="Tahoma" w:cs="Tahoma"/>
                <w:sz w:val="16"/>
                <w:szCs w:val="16"/>
              </w:rPr>
            </w:pPr>
            <w:r w:rsidRPr="006F3AA0">
              <w:rPr>
                <w:rFonts w:ascii="Tahoma" w:hAnsi="Tahoma" w:cs="Tahoma"/>
                <w:sz w:val="16"/>
                <w:szCs w:val="16"/>
              </w:rPr>
              <w:t>Καταναλωτικές δαπάνες</w:t>
            </w:r>
          </w:p>
        </w:tc>
        <w:tc>
          <w:tcPr>
            <w:tcW w:w="706" w:type="dxa"/>
            <w:tcBorders>
              <w:top w:val="nil"/>
              <w:left w:val="single" w:sz="4" w:space="0" w:color="auto"/>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7</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22</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28</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6</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31</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37</w:t>
            </w:r>
          </w:p>
        </w:tc>
        <w:tc>
          <w:tcPr>
            <w:tcW w:w="848"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-5,1%</w:t>
            </w:r>
          </w:p>
        </w:tc>
        <w:tc>
          <w:tcPr>
            <w:tcW w:w="812"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43,6%</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32,2%</w:t>
            </w:r>
          </w:p>
        </w:tc>
      </w:tr>
      <w:tr w:rsidR="006F3AA0" w:rsidRPr="006F3AA0" w:rsidTr="006F3AA0">
        <w:trPr>
          <w:trHeight w:val="223"/>
        </w:trPr>
        <w:tc>
          <w:tcPr>
            <w:tcW w:w="2995" w:type="dxa"/>
            <w:tcBorders>
              <w:top w:val="nil"/>
              <w:left w:val="single" w:sz="4" w:space="0" w:color="auto"/>
              <w:bottom w:val="nil"/>
              <w:right w:val="nil"/>
            </w:tcBorders>
            <w:shd w:val="clear" w:color="auto" w:fill="auto"/>
            <w:vAlign w:val="center"/>
            <w:hideMark/>
          </w:tcPr>
          <w:p w:rsidR="006F3AA0" w:rsidRPr="006F3AA0" w:rsidRDefault="006F3AA0" w:rsidP="00BA1B31">
            <w:pPr>
              <w:ind w:firstLineChars="208" w:firstLine="333"/>
              <w:rPr>
                <w:rFonts w:ascii="Tahoma" w:hAnsi="Tahoma" w:cs="Tahoma"/>
                <w:sz w:val="16"/>
                <w:szCs w:val="16"/>
              </w:rPr>
            </w:pPr>
            <w:r w:rsidRPr="006F3AA0">
              <w:rPr>
                <w:rFonts w:ascii="Tahoma" w:hAnsi="Tahoma" w:cs="Tahoma"/>
                <w:sz w:val="16"/>
                <w:szCs w:val="16"/>
              </w:rPr>
              <w:t>Αντικριζόμενες δαπάνες</w:t>
            </w:r>
          </w:p>
        </w:tc>
        <w:tc>
          <w:tcPr>
            <w:tcW w:w="706" w:type="dxa"/>
            <w:tcBorders>
              <w:top w:val="nil"/>
              <w:left w:val="single" w:sz="4" w:space="0" w:color="auto"/>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226</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504</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729</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199</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512</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711</w:t>
            </w:r>
          </w:p>
        </w:tc>
        <w:tc>
          <w:tcPr>
            <w:tcW w:w="848"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-11,8%</w:t>
            </w:r>
          </w:p>
        </w:tc>
        <w:tc>
          <w:tcPr>
            <w:tcW w:w="812"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1,6%</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-2,5%</w:t>
            </w:r>
          </w:p>
        </w:tc>
      </w:tr>
      <w:tr w:rsidR="006F3AA0" w:rsidRPr="006F3AA0" w:rsidTr="006F3AA0">
        <w:trPr>
          <w:trHeight w:val="223"/>
        </w:trPr>
        <w:tc>
          <w:tcPr>
            <w:tcW w:w="2995" w:type="dxa"/>
            <w:tcBorders>
              <w:top w:val="nil"/>
              <w:left w:val="single" w:sz="4" w:space="0" w:color="auto"/>
              <w:bottom w:val="nil"/>
              <w:right w:val="nil"/>
            </w:tcBorders>
            <w:shd w:val="clear" w:color="auto" w:fill="auto"/>
            <w:vAlign w:val="center"/>
            <w:hideMark/>
          </w:tcPr>
          <w:p w:rsidR="006F3AA0" w:rsidRPr="006F3AA0" w:rsidRDefault="006F3AA0" w:rsidP="00BA1B31">
            <w:pPr>
              <w:ind w:firstLineChars="208" w:firstLine="333"/>
              <w:rPr>
                <w:rFonts w:ascii="Tahoma" w:hAnsi="Tahoma" w:cs="Tahoma"/>
                <w:sz w:val="16"/>
                <w:szCs w:val="16"/>
              </w:rPr>
            </w:pPr>
            <w:r w:rsidRPr="006F3AA0">
              <w:rPr>
                <w:rFonts w:ascii="Tahoma" w:hAnsi="Tahoma" w:cs="Tahoma"/>
                <w:sz w:val="16"/>
                <w:szCs w:val="16"/>
              </w:rPr>
              <w:t>Λοιπές δαπάνες *</w:t>
            </w:r>
          </w:p>
        </w:tc>
        <w:tc>
          <w:tcPr>
            <w:tcW w:w="706" w:type="dxa"/>
            <w:tcBorders>
              <w:top w:val="nil"/>
              <w:left w:val="single" w:sz="4" w:space="0" w:color="auto"/>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11</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374</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385</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193</w:t>
            </w:r>
          </w:p>
        </w:tc>
        <w:tc>
          <w:tcPr>
            <w:tcW w:w="617"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99</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291</w:t>
            </w:r>
          </w:p>
        </w:tc>
        <w:tc>
          <w:tcPr>
            <w:tcW w:w="848"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1684,7%</w:t>
            </w:r>
          </w:p>
        </w:tc>
        <w:tc>
          <w:tcPr>
            <w:tcW w:w="812" w:type="dxa"/>
            <w:tcBorders>
              <w:top w:val="nil"/>
              <w:left w:val="nil"/>
              <w:bottom w:val="nil"/>
              <w:right w:val="single" w:sz="4" w:space="0" w:color="auto"/>
            </w:tcBorders>
            <w:shd w:val="clear" w:color="auto" w:fill="auto"/>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-73,6%</w:t>
            </w:r>
          </w:p>
        </w:tc>
        <w:tc>
          <w:tcPr>
            <w:tcW w:w="899" w:type="dxa"/>
            <w:tcBorders>
              <w:top w:val="nil"/>
              <w:left w:val="nil"/>
              <w:bottom w:val="nil"/>
              <w:right w:val="single" w:sz="4" w:space="0" w:color="auto"/>
            </w:tcBorders>
            <w:shd w:val="clear" w:color="000000" w:fill="C0C0C0"/>
            <w:noWrap/>
            <w:vAlign w:val="bottom"/>
            <w:hideMark/>
          </w:tcPr>
          <w:p w:rsidR="006F3AA0" w:rsidRPr="006F3AA0" w:rsidRDefault="006F3AA0" w:rsidP="006F3AA0">
            <w:pPr>
              <w:jc w:val="right"/>
              <w:rPr>
                <w:rFonts w:ascii="Arial" w:hAnsi="Arial" w:cs="Arial"/>
                <w:sz w:val="16"/>
                <w:szCs w:val="16"/>
              </w:rPr>
            </w:pPr>
            <w:r w:rsidRPr="006F3AA0">
              <w:rPr>
                <w:rFonts w:ascii="Arial" w:hAnsi="Arial" w:cs="Arial"/>
                <w:sz w:val="16"/>
                <w:szCs w:val="16"/>
              </w:rPr>
              <w:t>-24,2%</w:t>
            </w:r>
          </w:p>
        </w:tc>
      </w:tr>
      <w:tr w:rsidR="006F3AA0" w:rsidRPr="006F3AA0" w:rsidTr="006F3AA0">
        <w:trPr>
          <w:trHeight w:val="223"/>
        </w:trPr>
        <w:tc>
          <w:tcPr>
            <w:tcW w:w="2995" w:type="dxa"/>
            <w:tcBorders>
              <w:top w:val="nil"/>
              <w:left w:val="single" w:sz="4" w:space="0" w:color="auto"/>
              <w:bottom w:val="single" w:sz="4" w:space="0" w:color="auto"/>
              <w:right w:val="nil"/>
            </w:tcBorders>
            <w:shd w:val="clear" w:color="auto" w:fill="auto"/>
            <w:vAlign w:val="center"/>
            <w:hideMark/>
          </w:tcPr>
          <w:p w:rsidR="006F3AA0" w:rsidRPr="006F3AA0" w:rsidRDefault="006F3AA0" w:rsidP="006F3AA0">
            <w:pPr>
              <w:ind w:firstLineChars="200" w:firstLine="321"/>
              <w:rPr>
                <w:rFonts w:ascii="Tahoma" w:hAnsi="Tahoma" w:cs="Tahoma"/>
                <w:b/>
                <w:bCs/>
                <w:sz w:val="16"/>
                <w:szCs w:val="16"/>
              </w:rPr>
            </w:pPr>
            <w:r w:rsidRPr="006F3AA0">
              <w:rPr>
                <w:rFonts w:ascii="Tahoma" w:hAnsi="Tahoma" w:cs="Tahoma"/>
                <w:b/>
                <w:bCs/>
                <w:sz w:val="16"/>
                <w:szCs w:val="16"/>
              </w:rPr>
              <w:t>ΑΠΟΔΙΔΟΜΕΝΟΙ ΠΟΡΟΙ</w:t>
            </w:r>
          </w:p>
        </w:tc>
        <w:tc>
          <w:tcPr>
            <w:tcW w:w="706" w:type="dxa"/>
            <w:tcBorders>
              <w:top w:val="nil"/>
              <w:left w:val="single" w:sz="4" w:space="0" w:color="auto"/>
              <w:bottom w:val="single" w:sz="4" w:space="0" w:color="auto"/>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479</w:t>
            </w:r>
          </w:p>
        </w:tc>
        <w:tc>
          <w:tcPr>
            <w:tcW w:w="617" w:type="dxa"/>
            <w:tcBorders>
              <w:top w:val="nil"/>
              <w:left w:val="nil"/>
              <w:bottom w:val="single" w:sz="4" w:space="0" w:color="auto"/>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416</w:t>
            </w:r>
          </w:p>
        </w:tc>
        <w:tc>
          <w:tcPr>
            <w:tcW w:w="899" w:type="dxa"/>
            <w:tcBorders>
              <w:top w:val="nil"/>
              <w:left w:val="nil"/>
              <w:bottom w:val="single" w:sz="4" w:space="0" w:color="auto"/>
              <w:right w:val="single" w:sz="4" w:space="0" w:color="auto"/>
            </w:tcBorders>
            <w:shd w:val="clear" w:color="000000" w:fill="C0C0C0"/>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895</w:t>
            </w:r>
          </w:p>
        </w:tc>
        <w:tc>
          <w:tcPr>
            <w:tcW w:w="617" w:type="dxa"/>
            <w:tcBorders>
              <w:top w:val="nil"/>
              <w:left w:val="nil"/>
              <w:bottom w:val="single" w:sz="4" w:space="0" w:color="auto"/>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302</w:t>
            </w:r>
          </w:p>
        </w:tc>
        <w:tc>
          <w:tcPr>
            <w:tcW w:w="617" w:type="dxa"/>
            <w:tcBorders>
              <w:top w:val="nil"/>
              <w:left w:val="nil"/>
              <w:bottom w:val="single" w:sz="4" w:space="0" w:color="auto"/>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294</w:t>
            </w:r>
          </w:p>
        </w:tc>
        <w:tc>
          <w:tcPr>
            <w:tcW w:w="899" w:type="dxa"/>
            <w:tcBorders>
              <w:top w:val="nil"/>
              <w:left w:val="nil"/>
              <w:bottom w:val="single" w:sz="4" w:space="0" w:color="auto"/>
              <w:right w:val="single" w:sz="4" w:space="0" w:color="auto"/>
            </w:tcBorders>
            <w:shd w:val="clear" w:color="000000" w:fill="C0C0C0"/>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596</w:t>
            </w:r>
          </w:p>
        </w:tc>
        <w:tc>
          <w:tcPr>
            <w:tcW w:w="848" w:type="dxa"/>
            <w:tcBorders>
              <w:top w:val="nil"/>
              <w:left w:val="nil"/>
              <w:bottom w:val="single" w:sz="4" w:space="0" w:color="auto"/>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-36,9%</w:t>
            </w:r>
          </w:p>
        </w:tc>
        <w:tc>
          <w:tcPr>
            <w:tcW w:w="812" w:type="dxa"/>
            <w:tcBorders>
              <w:top w:val="nil"/>
              <w:left w:val="nil"/>
              <w:bottom w:val="single" w:sz="4" w:space="0" w:color="auto"/>
              <w:right w:val="single" w:sz="4" w:space="0" w:color="auto"/>
            </w:tcBorders>
            <w:shd w:val="clear" w:color="auto" w:fill="auto"/>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-29,3%</w:t>
            </w:r>
          </w:p>
        </w:tc>
        <w:tc>
          <w:tcPr>
            <w:tcW w:w="899" w:type="dxa"/>
            <w:tcBorders>
              <w:top w:val="nil"/>
              <w:left w:val="nil"/>
              <w:bottom w:val="single" w:sz="4" w:space="0" w:color="auto"/>
              <w:right w:val="single" w:sz="4" w:space="0" w:color="auto"/>
            </w:tcBorders>
            <w:shd w:val="clear" w:color="000000" w:fill="C0C0C0"/>
            <w:noWrap/>
            <w:vAlign w:val="bottom"/>
            <w:hideMark/>
          </w:tcPr>
          <w:p w:rsidR="006F3AA0" w:rsidRPr="006F3AA0" w:rsidRDefault="006F3AA0" w:rsidP="006F3AA0">
            <w:pPr>
              <w:jc w:val="right"/>
              <w:rPr>
                <w:rFonts w:ascii="Arial" w:hAnsi="Arial" w:cs="Arial"/>
                <w:b/>
                <w:bCs/>
                <w:sz w:val="16"/>
                <w:szCs w:val="16"/>
              </w:rPr>
            </w:pPr>
            <w:r w:rsidRPr="006F3AA0">
              <w:rPr>
                <w:rFonts w:ascii="Arial" w:hAnsi="Arial" w:cs="Arial"/>
                <w:b/>
                <w:bCs/>
                <w:sz w:val="16"/>
                <w:szCs w:val="16"/>
              </w:rPr>
              <w:t>-33,3%</w:t>
            </w:r>
          </w:p>
        </w:tc>
      </w:tr>
      <w:tr w:rsidR="006F3AA0" w:rsidRPr="006F3AA0" w:rsidTr="006F3AA0">
        <w:trPr>
          <w:trHeight w:val="77"/>
        </w:trPr>
        <w:tc>
          <w:tcPr>
            <w:tcW w:w="2995" w:type="dxa"/>
            <w:tcBorders>
              <w:top w:val="nil"/>
              <w:left w:val="single" w:sz="4" w:space="0" w:color="auto"/>
              <w:bottom w:val="single" w:sz="4" w:space="0" w:color="auto"/>
              <w:right w:val="nil"/>
            </w:tcBorders>
            <w:shd w:val="clear" w:color="auto" w:fill="auto"/>
            <w:vAlign w:val="center"/>
            <w:hideMark/>
          </w:tcPr>
          <w:p w:rsidR="006F3AA0" w:rsidRPr="006F3AA0" w:rsidRDefault="006F3AA0" w:rsidP="006F3AA0">
            <w:pPr>
              <w:rPr>
                <w:rFonts w:ascii="Tahoma" w:hAnsi="Tahoma" w:cs="Tahoma"/>
                <w:b/>
                <w:bCs/>
                <w:i/>
                <w:iCs/>
                <w:sz w:val="16"/>
                <w:szCs w:val="16"/>
              </w:rPr>
            </w:pPr>
            <w:r w:rsidRPr="006F3AA0">
              <w:rPr>
                <w:rFonts w:ascii="Tahoma" w:hAnsi="Tahoma" w:cs="Tahoma"/>
                <w:b/>
                <w:bCs/>
                <w:i/>
                <w:iCs/>
                <w:sz w:val="16"/>
                <w:szCs w:val="16"/>
              </w:rPr>
              <w:t>Π.Δ.Ε.</w:t>
            </w:r>
          </w:p>
        </w:tc>
        <w:tc>
          <w:tcPr>
            <w:tcW w:w="706" w:type="dxa"/>
            <w:tcBorders>
              <w:top w:val="nil"/>
              <w:left w:val="single" w:sz="4" w:space="0" w:color="auto"/>
              <w:bottom w:val="single" w:sz="4" w:space="0" w:color="auto"/>
              <w:right w:val="single" w:sz="4" w:space="0" w:color="auto"/>
            </w:tcBorders>
            <w:shd w:val="clear" w:color="auto" w:fill="auto"/>
            <w:noWrap/>
            <w:vAlign w:val="bottom"/>
            <w:hideMark/>
          </w:tcPr>
          <w:p w:rsidR="006F3AA0" w:rsidRPr="006F3AA0" w:rsidRDefault="006F3AA0" w:rsidP="006F3AA0">
            <w:pPr>
              <w:jc w:val="right"/>
              <w:rPr>
                <w:rFonts w:ascii="Arial" w:hAnsi="Arial" w:cs="Arial"/>
                <w:b/>
                <w:bCs/>
                <w:i/>
                <w:iCs/>
                <w:sz w:val="16"/>
                <w:szCs w:val="16"/>
              </w:rPr>
            </w:pPr>
            <w:r w:rsidRPr="006F3AA0">
              <w:rPr>
                <w:rFonts w:ascii="Arial" w:hAnsi="Arial" w:cs="Arial"/>
                <w:b/>
                <w:bCs/>
                <w:i/>
                <w:iCs/>
                <w:sz w:val="16"/>
                <w:szCs w:val="16"/>
              </w:rPr>
              <w:t>111</w:t>
            </w:r>
          </w:p>
        </w:tc>
        <w:tc>
          <w:tcPr>
            <w:tcW w:w="617" w:type="dxa"/>
            <w:tcBorders>
              <w:top w:val="nil"/>
              <w:left w:val="nil"/>
              <w:bottom w:val="single" w:sz="4" w:space="0" w:color="auto"/>
              <w:right w:val="nil"/>
            </w:tcBorders>
            <w:shd w:val="clear" w:color="auto" w:fill="auto"/>
            <w:noWrap/>
            <w:vAlign w:val="bottom"/>
            <w:hideMark/>
          </w:tcPr>
          <w:p w:rsidR="006F3AA0" w:rsidRPr="006F3AA0" w:rsidRDefault="006F3AA0" w:rsidP="006F3AA0">
            <w:pPr>
              <w:jc w:val="right"/>
              <w:rPr>
                <w:rFonts w:ascii="Arial" w:hAnsi="Arial" w:cs="Arial"/>
                <w:b/>
                <w:bCs/>
                <w:i/>
                <w:iCs/>
                <w:sz w:val="16"/>
                <w:szCs w:val="16"/>
              </w:rPr>
            </w:pPr>
            <w:r w:rsidRPr="006F3AA0">
              <w:rPr>
                <w:rFonts w:ascii="Arial" w:hAnsi="Arial" w:cs="Arial"/>
                <w:b/>
                <w:bCs/>
                <w:i/>
                <w:iCs/>
                <w:sz w:val="16"/>
                <w:szCs w:val="16"/>
              </w:rPr>
              <w:t>144</w:t>
            </w:r>
          </w:p>
        </w:tc>
        <w:tc>
          <w:tcPr>
            <w:tcW w:w="899" w:type="dxa"/>
            <w:tcBorders>
              <w:top w:val="nil"/>
              <w:left w:val="single" w:sz="4" w:space="0" w:color="auto"/>
              <w:bottom w:val="single" w:sz="4" w:space="0" w:color="auto"/>
              <w:right w:val="single" w:sz="4" w:space="0" w:color="auto"/>
            </w:tcBorders>
            <w:shd w:val="clear" w:color="000000" w:fill="C0C0C0"/>
            <w:noWrap/>
            <w:vAlign w:val="bottom"/>
            <w:hideMark/>
          </w:tcPr>
          <w:p w:rsidR="006F3AA0" w:rsidRPr="006F3AA0" w:rsidRDefault="006F3AA0" w:rsidP="006F3AA0">
            <w:pPr>
              <w:jc w:val="right"/>
              <w:rPr>
                <w:rFonts w:ascii="Arial" w:hAnsi="Arial" w:cs="Arial"/>
                <w:b/>
                <w:bCs/>
                <w:i/>
                <w:iCs/>
                <w:sz w:val="16"/>
                <w:szCs w:val="16"/>
              </w:rPr>
            </w:pPr>
            <w:r w:rsidRPr="006F3AA0">
              <w:rPr>
                <w:rFonts w:ascii="Arial" w:hAnsi="Arial" w:cs="Arial"/>
                <w:b/>
                <w:bCs/>
                <w:i/>
                <w:iCs/>
                <w:sz w:val="16"/>
                <w:szCs w:val="16"/>
              </w:rPr>
              <w:t>255</w:t>
            </w:r>
          </w:p>
        </w:tc>
        <w:tc>
          <w:tcPr>
            <w:tcW w:w="617" w:type="dxa"/>
            <w:tcBorders>
              <w:top w:val="nil"/>
              <w:left w:val="nil"/>
              <w:bottom w:val="single" w:sz="4" w:space="0" w:color="auto"/>
              <w:right w:val="nil"/>
            </w:tcBorders>
            <w:shd w:val="clear" w:color="auto" w:fill="auto"/>
            <w:noWrap/>
            <w:vAlign w:val="bottom"/>
            <w:hideMark/>
          </w:tcPr>
          <w:p w:rsidR="006F3AA0" w:rsidRPr="006F3AA0" w:rsidRDefault="006F3AA0" w:rsidP="006F3AA0">
            <w:pPr>
              <w:jc w:val="right"/>
              <w:rPr>
                <w:rFonts w:ascii="Arial" w:hAnsi="Arial" w:cs="Arial"/>
                <w:b/>
                <w:bCs/>
                <w:i/>
                <w:iCs/>
                <w:sz w:val="16"/>
                <w:szCs w:val="16"/>
              </w:rPr>
            </w:pPr>
            <w:r w:rsidRPr="006F3AA0">
              <w:rPr>
                <w:rFonts w:ascii="Arial" w:hAnsi="Arial" w:cs="Arial"/>
                <w:b/>
                <w:bCs/>
                <w:i/>
                <w:iCs/>
                <w:sz w:val="16"/>
                <w:szCs w:val="16"/>
              </w:rPr>
              <w:t>49</w:t>
            </w:r>
          </w:p>
        </w:tc>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6F3AA0" w:rsidRPr="006F3AA0" w:rsidRDefault="006F3AA0" w:rsidP="006F3AA0">
            <w:pPr>
              <w:jc w:val="right"/>
              <w:rPr>
                <w:rFonts w:ascii="Arial" w:hAnsi="Arial" w:cs="Arial"/>
                <w:b/>
                <w:bCs/>
                <w:i/>
                <w:iCs/>
                <w:sz w:val="16"/>
                <w:szCs w:val="16"/>
              </w:rPr>
            </w:pPr>
            <w:r w:rsidRPr="006F3AA0">
              <w:rPr>
                <w:rFonts w:ascii="Arial" w:hAnsi="Arial" w:cs="Arial"/>
                <w:b/>
                <w:bCs/>
                <w:i/>
                <w:iCs/>
                <w:sz w:val="16"/>
                <w:szCs w:val="16"/>
              </w:rPr>
              <w:t>142</w:t>
            </w:r>
          </w:p>
        </w:tc>
        <w:tc>
          <w:tcPr>
            <w:tcW w:w="899" w:type="dxa"/>
            <w:tcBorders>
              <w:top w:val="nil"/>
              <w:left w:val="nil"/>
              <w:bottom w:val="single" w:sz="4" w:space="0" w:color="auto"/>
              <w:right w:val="nil"/>
            </w:tcBorders>
            <w:shd w:val="clear" w:color="000000" w:fill="C0C0C0"/>
            <w:noWrap/>
            <w:vAlign w:val="bottom"/>
            <w:hideMark/>
          </w:tcPr>
          <w:p w:rsidR="006F3AA0" w:rsidRPr="006F3AA0" w:rsidRDefault="006F3AA0" w:rsidP="006F3AA0">
            <w:pPr>
              <w:jc w:val="right"/>
              <w:rPr>
                <w:rFonts w:ascii="Arial" w:hAnsi="Arial" w:cs="Arial"/>
                <w:b/>
                <w:bCs/>
                <w:i/>
                <w:iCs/>
                <w:sz w:val="16"/>
                <w:szCs w:val="16"/>
              </w:rPr>
            </w:pPr>
            <w:r w:rsidRPr="006F3AA0">
              <w:rPr>
                <w:rFonts w:ascii="Arial" w:hAnsi="Arial" w:cs="Arial"/>
                <w:b/>
                <w:bCs/>
                <w:i/>
                <w:iCs/>
                <w:sz w:val="16"/>
                <w:szCs w:val="16"/>
              </w:rPr>
              <w:t>191</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F3AA0" w:rsidRPr="006F3AA0" w:rsidRDefault="006F3AA0" w:rsidP="006F3AA0">
            <w:pPr>
              <w:jc w:val="right"/>
              <w:rPr>
                <w:rFonts w:ascii="Arial" w:hAnsi="Arial" w:cs="Arial"/>
                <w:b/>
                <w:bCs/>
                <w:i/>
                <w:iCs/>
                <w:sz w:val="16"/>
                <w:szCs w:val="16"/>
              </w:rPr>
            </w:pPr>
            <w:r w:rsidRPr="006F3AA0">
              <w:rPr>
                <w:rFonts w:ascii="Arial" w:hAnsi="Arial" w:cs="Arial"/>
                <w:b/>
                <w:bCs/>
                <w:i/>
                <w:iCs/>
                <w:sz w:val="16"/>
                <w:szCs w:val="16"/>
              </w:rPr>
              <w:t>-55,9%</w:t>
            </w:r>
          </w:p>
        </w:tc>
        <w:tc>
          <w:tcPr>
            <w:tcW w:w="812" w:type="dxa"/>
            <w:tcBorders>
              <w:top w:val="nil"/>
              <w:left w:val="nil"/>
              <w:bottom w:val="single" w:sz="4" w:space="0" w:color="auto"/>
              <w:right w:val="nil"/>
            </w:tcBorders>
            <w:shd w:val="clear" w:color="auto" w:fill="auto"/>
            <w:noWrap/>
            <w:vAlign w:val="bottom"/>
            <w:hideMark/>
          </w:tcPr>
          <w:p w:rsidR="006F3AA0" w:rsidRPr="006F3AA0" w:rsidRDefault="006F3AA0" w:rsidP="006F3AA0">
            <w:pPr>
              <w:jc w:val="right"/>
              <w:rPr>
                <w:rFonts w:ascii="Arial" w:hAnsi="Arial" w:cs="Arial"/>
                <w:b/>
                <w:bCs/>
                <w:i/>
                <w:iCs/>
                <w:sz w:val="16"/>
                <w:szCs w:val="16"/>
              </w:rPr>
            </w:pPr>
            <w:r w:rsidRPr="006F3AA0">
              <w:rPr>
                <w:rFonts w:ascii="Arial" w:hAnsi="Arial" w:cs="Arial"/>
                <w:b/>
                <w:bCs/>
                <w:i/>
                <w:iCs/>
                <w:sz w:val="16"/>
                <w:szCs w:val="16"/>
              </w:rPr>
              <w:t>-1,1%</w:t>
            </w:r>
          </w:p>
        </w:tc>
        <w:tc>
          <w:tcPr>
            <w:tcW w:w="899" w:type="dxa"/>
            <w:tcBorders>
              <w:top w:val="nil"/>
              <w:left w:val="single" w:sz="4" w:space="0" w:color="auto"/>
              <w:bottom w:val="single" w:sz="4" w:space="0" w:color="auto"/>
              <w:right w:val="single" w:sz="4" w:space="0" w:color="auto"/>
            </w:tcBorders>
            <w:shd w:val="clear" w:color="000000" w:fill="C0C0C0"/>
            <w:noWrap/>
            <w:vAlign w:val="bottom"/>
            <w:hideMark/>
          </w:tcPr>
          <w:p w:rsidR="006F3AA0" w:rsidRPr="006F3AA0" w:rsidRDefault="006F3AA0" w:rsidP="006F3AA0">
            <w:pPr>
              <w:jc w:val="right"/>
              <w:rPr>
                <w:rFonts w:ascii="Arial" w:hAnsi="Arial" w:cs="Arial"/>
                <w:b/>
                <w:bCs/>
                <w:i/>
                <w:iCs/>
                <w:sz w:val="16"/>
                <w:szCs w:val="16"/>
              </w:rPr>
            </w:pPr>
            <w:r w:rsidRPr="006F3AA0">
              <w:rPr>
                <w:rFonts w:ascii="Arial" w:hAnsi="Arial" w:cs="Arial"/>
                <w:b/>
                <w:bCs/>
                <w:i/>
                <w:iCs/>
                <w:sz w:val="16"/>
                <w:szCs w:val="16"/>
              </w:rPr>
              <w:t>-24,9%</w:t>
            </w:r>
          </w:p>
        </w:tc>
      </w:tr>
    </w:tbl>
    <w:p w:rsidR="006F3AA0" w:rsidRPr="006F3AA0" w:rsidRDefault="006F3AA0" w:rsidP="006F3AA0">
      <w:pPr>
        <w:pStyle w:val="TOC1"/>
        <w:spacing w:before="0" w:after="0" w:line="240" w:lineRule="auto"/>
      </w:pPr>
      <w:r w:rsidRPr="006F3AA0">
        <w:t>* Περιλαμβάνουν μη κατανεμημένες δαπάνες, εξόφληση χρεών νοσοκομείων, εξοπλιστικές δαπάνες και πληρωμές εγγυήσεων.</w:t>
      </w:r>
    </w:p>
    <w:p w:rsidR="006B17B0" w:rsidRPr="005F0AB5" w:rsidRDefault="006B17B0" w:rsidP="006F3AA0">
      <w:pPr>
        <w:pStyle w:val="TOC1"/>
        <w:spacing w:before="0" w:after="0" w:line="240" w:lineRule="auto"/>
      </w:pPr>
      <w:r w:rsidRPr="006F3AA0">
        <w:rPr>
          <w:b/>
        </w:rPr>
        <w:t>Πηγή</w:t>
      </w:r>
      <w:r w:rsidRPr="005F0AB5">
        <w:t xml:space="preserve">: Δελτίο Εκτέλεσης Κρατικού Προϋπολογισμού, </w:t>
      </w:r>
      <w:r w:rsidR="00012E33">
        <w:t>Ιανουάριος-</w:t>
      </w:r>
      <w:r w:rsidRPr="005F0AB5">
        <w:t xml:space="preserve">Φεβρουάριος 2012 </w:t>
      </w:r>
    </w:p>
    <w:p w:rsidR="006B17B0" w:rsidRPr="00F578C5" w:rsidRDefault="006B17B0" w:rsidP="006B17B0">
      <w:pPr>
        <w:spacing w:before="240" w:after="240" w:line="312" w:lineRule="auto"/>
        <w:ind w:firstLine="720"/>
        <w:rPr>
          <w:sz w:val="22"/>
          <w:szCs w:val="22"/>
        </w:rPr>
      </w:pPr>
    </w:p>
    <w:p w:rsidR="006B17B0" w:rsidRDefault="006B17B0" w:rsidP="008D3430">
      <w:pPr>
        <w:spacing w:after="200" w:line="276" w:lineRule="auto"/>
        <w:rPr>
          <w:rFonts w:ascii="Tahoma" w:hAnsi="Tahoma" w:cs="Tahoma"/>
          <w:sz w:val="16"/>
          <w:szCs w:val="16"/>
        </w:rPr>
        <w:sectPr w:rsidR="006B17B0" w:rsidSect="0078142C">
          <w:pgSz w:w="11906" w:h="16838"/>
          <w:pgMar w:top="1440" w:right="849" w:bottom="1440" w:left="1560" w:header="708" w:footer="708" w:gutter="0"/>
          <w:cols w:space="720"/>
          <w:docGrid w:linePitch="360"/>
        </w:sectPr>
      </w:pPr>
    </w:p>
    <w:p w:rsidR="00B26F5F" w:rsidRDefault="00EB16F7" w:rsidP="0050168E">
      <w:pPr>
        <w:pStyle w:val="new3"/>
        <w:numPr>
          <w:ilvl w:val="0"/>
          <w:numId w:val="5"/>
        </w:numPr>
      </w:pPr>
      <w:bookmarkStart w:id="164" w:name="_Toc320872880"/>
      <w:r>
        <w:lastRenderedPageBreak/>
        <w:t>ΕΠΙΔΟΣΕΙΣ ΚΑΙ ΠΡΟΟΠΤΙΚΕΣ</w:t>
      </w:r>
      <w:bookmarkEnd w:id="164"/>
    </w:p>
    <w:p w:rsidR="008D4A55" w:rsidRPr="008D4A55" w:rsidRDefault="008D4A55" w:rsidP="008D4A55">
      <w:pPr>
        <w:pStyle w:val="ListParagraph"/>
        <w:tabs>
          <w:tab w:val="left" w:pos="4140"/>
        </w:tabs>
        <w:autoSpaceDE w:val="0"/>
        <w:autoSpaceDN w:val="0"/>
        <w:adjustRightInd w:val="0"/>
        <w:jc w:val="both"/>
        <w:rPr>
          <w:rFonts w:ascii="Tahoma" w:hAnsi="Tahoma" w:cs="Tahoma"/>
          <w:b/>
          <w:bCs/>
          <w:i/>
          <w:iCs/>
          <w:sz w:val="4"/>
          <w:szCs w:val="4"/>
          <w:lang w:val="en-US"/>
        </w:rPr>
      </w:pPr>
    </w:p>
    <w:p w:rsidR="00295EC3" w:rsidRDefault="00295EC3" w:rsidP="0050168E">
      <w:pPr>
        <w:pStyle w:val="new3"/>
        <w:numPr>
          <w:ilvl w:val="1"/>
          <w:numId w:val="5"/>
        </w:numPr>
        <w:sectPr w:rsidR="00295EC3" w:rsidSect="006B17B0">
          <w:type w:val="oddPage"/>
          <w:pgSz w:w="11906" w:h="16838"/>
          <w:pgMar w:top="1440" w:right="849" w:bottom="1440" w:left="1560" w:header="708" w:footer="708" w:gutter="0"/>
          <w:cols w:space="720"/>
          <w:docGrid w:linePitch="360"/>
        </w:sectPr>
      </w:pPr>
    </w:p>
    <w:p w:rsidR="00D30E57" w:rsidRPr="008D4A55" w:rsidRDefault="00305859" w:rsidP="0050168E">
      <w:pPr>
        <w:pStyle w:val="new3"/>
        <w:numPr>
          <w:ilvl w:val="1"/>
          <w:numId w:val="5"/>
        </w:numPr>
      </w:pPr>
      <w:bookmarkStart w:id="165" w:name="_Toc320872881"/>
      <w:r>
        <w:lastRenderedPageBreak/>
        <w:t>Μακροοικονομικές Εξελίξεις</w:t>
      </w:r>
      <w:bookmarkEnd w:id="165"/>
      <w:r w:rsidR="00D30E57" w:rsidRPr="008D4A55">
        <w:t xml:space="preserve"> </w:t>
      </w:r>
    </w:p>
    <w:p w:rsidR="00D30E57" w:rsidRPr="00CE7E88" w:rsidRDefault="00D30E57" w:rsidP="00CE7E88">
      <w:pPr>
        <w:pStyle w:val="new2"/>
        <w:spacing w:before="240" w:line="312" w:lineRule="auto"/>
      </w:pPr>
      <w:bookmarkStart w:id="166" w:name="_Toc320872882"/>
      <w:r w:rsidRPr="00CE7E88">
        <w:t>Εξελίξεις το 2011</w:t>
      </w:r>
      <w:bookmarkEnd w:id="166"/>
    </w:p>
    <w:p w:rsidR="00D30E57" w:rsidRDefault="00D30E57" w:rsidP="00D30E57">
      <w:pPr>
        <w:autoSpaceDE w:val="0"/>
        <w:autoSpaceDN w:val="0"/>
        <w:adjustRightInd w:val="0"/>
        <w:spacing w:before="240" w:after="240" w:line="312" w:lineRule="auto"/>
        <w:jc w:val="both"/>
        <w:rPr>
          <w:rFonts w:ascii="Tahoma" w:hAnsi="Tahoma" w:cs="Tahoma"/>
          <w:sz w:val="22"/>
          <w:szCs w:val="22"/>
        </w:rPr>
      </w:pPr>
      <w:r>
        <w:rPr>
          <w:rFonts w:ascii="Tahoma" w:hAnsi="Tahoma" w:cs="Tahoma"/>
          <w:sz w:val="22"/>
          <w:szCs w:val="22"/>
        </w:rPr>
        <w:t>Η ύφεση της ελληνικής οικονομίας έγινε εντονότερη στο τελευταίο τρίμηνο του 2011, φθάνοντας το 7,5% , από 5,0% το αμέσως προηγούμενο τρίμηνο, παρότι το επίπεδο του ΑΕΠ στο τέταρτο τρίμηνο του 2010, που αποτελούσε τη βάση σύγκρισης, ήταν σχετικά χαμηλό. Αυτή η δυσμενής εξέλιξη προήλθε και από την πλήρη εφαρμογή, στα τέλη του περασμένου έτους, των δημοσιονομικών μέτρων του Μεσοπρόθεσμου Πλαισίου Δημοσιονομικής Στρατηγικής (ΜΠΔΣ) και όσων λήφθηκαν πριν τη Σύνοδο Κορυφής της 26</w:t>
      </w:r>
      <w:r w:rsidRPr="000C1B9F">
        <w:rPr>
          <w:rFonts w:ascii="Tahoma" w:hAnsi="Tahoma" w:cs="Tahoma"/>
          <w:sz w:val="22"/>
          <w:szCs w:val="22"/>
          <w:vertAlign w:val="superscript"/>
        </w:rPr>
        <w:t>ης</w:t>
      </w:r>
      <w:r>
        <w:rPr>
          <w:rFonts w:ascii="Tahoma" w:hAnsi="Tahoma" w:cs="Tahoma"/>
          <w:sz w:val="22"/>
          <w:szCs w:val="22"/>
        </w:rPr>
        <w:t xml:space="preserve"> Οκτωβρίου,</w:t>
      </w:r>
      <w:r w:rsidRPr="002574F8">
        <w:rPr>
          <w:rFonts w:ascii="Tahoma" w:hAnsi="Tahoma" w:cs="Tahoma"/>
          <w:sz w:val="22"/>
          <w:szCs w:val="22"/>
        </w:rPr>
        <w:t xml:space="preserve"> </w:t>
      </w:r>
      <w:r>
        <w:rPr>
          <w:rFonts w:ascii="Tahoma" w:hAnsi="Tahoma" w:cs="Tahoma"/>
          <w:sz w:val="22"/>
          <w:szCs w:val="22"/>
        </w:rPr>
        <w:t>αλλά και από την έντονη αβεβαιότητα για την πορεία της χώρας που προκάλεσαν</w:t>
      </w:r>
      <w:r w:rsidRPr="002574F8">
        <w:rPr>
          <w:rFonts w:ascii="Tahoma" w:hAnsi="Tahoma" w:cs="Tahoma"/>
          <w:sz w:val="22"/>
          <w:szCs w:val="22"/>
        </w:rPr>
        <w:t xml:space="preserve"> </w:t>
      </w:r>
      <w:r>
        <w:rPr>
          <w:rFonts w:ascii="Tahoma" w:hAnsi="Tahoma" w:cs="Tahoma"/>
          <w:sz w:val="22"/>
          <w:szCs w:val="22"/>
        </w:rPr>
        <w:t>αμέσως μετά τη Σύνοδο οι κλυδωνισμοί σε κυβερνητικό επίπεδο και οι επακόλουθες πολιτικές εξελίξεις μέχρι το σχηματισμό πολυκομματικής κυβέρνησης. Σημαντικές πιέσεις στο εγχώριο κοινωνικοοικονομικό περιβάλλον ασκήθηκαν βεβαίως και από διεθνείς εξελίξεις γύρω από το πρόβλημα του ελληνικού χρέους,</w:t>
      </w:r>
      <w:r w:rsidRPr="00F453FF">
        <w:rPr>
          <w:rFonts w:ascii="Tahoma" w:hAnsi="Tahoma" w:cs="Tahoma"/>
          <w:sz w:val="22"/>
          <w:szCs w:val="22"/>
        </w:rPr>
        <w:t xml:space="preserve"> </w:t>
      </w:r>
      <w:r>
        <w:rPr>
          <w:rFonts w:ascii="Tahoma" w:hAnsi="Tahoma" w:cs="Tahoma"/>
          <w:sz w:val="22"/>
          <w:szCs w:val="22"/>
        </w:rPr>
        <w:t xml:space="preserve">όπως η σημαντική αναβολή στην εκταμίευση της έκτης δόσης του πρώτου δανείου από την τρόικα και οι παρατεταμένες διαπραγματεύσεις για τη συμμετοχή του ιδιωτικού τομέα στην απομείωση της ονομαστικής αξίας των ελληνικών ομολόγων. </w:t>
      </w:r>
    </w:p>
    <w:p w:rsidR="00D30E57" w:rsidRPr="00C101C2" w:rsidRDefault="00D30E57" w:rsidP="00D30E57">
      <w:pPr>
        <w:autoSpaceDE w:val="0"/>
        <w:autoSpaceDN w:val="0"/>
        <w:adjustRightInd w:val="0"/>
        <w:spacing w:before="240" w:after="240" w:line="312" w:lineRule="auto"/>
        <w:jc w:val="both"/>
        <w:rPr>
          <w:rFonts w:ascii="Tahoma" w:hAnsi="Tahoma" w:cs="Tahoma"/>
          <w:sz w:val="22"/>
          <w:szCs w:val="22"/>
        </w:rPr>
      </w:pPr>
      <w:r w:rsidRPr="00E218A0">
        <w:rPr>
          <w:rFonts w:ascii="Tahoma" w:hAnsi="Tahoma" w:cs="Tahoma"/>
          <w:b/>
          <w:sz w:val="22"/>
          <w:szCs w:val="22"/>
        </w:rPr>
        <w:t>Η ευρύτερη πτώση του ΑΕΠ στο τέταρτο τρίμηνο του 2011 διαμόρφωσε τη</w:t>
      </w:r>
      <w:r w:rsidRPr="00283F8E">
        <w:rPr>
          <w:rFonts w:ascii="Tahoma" w:hAnsi="Tahoma" w:cs="Tahoma"/>
          <w:b/>
          <w:sz w:val="22"/>
          <w:szCs w:val="22"/>
        </w:rPr>
        <w:t xml:space="preserve"> συνολική μείωσ</w:t>
      </w:r>
      <w:r>
        <w:rPr>
          <w:rFonts w:ascii="Tahoma" w:hAnsi="Tahoma" w:cs="Tahoma"/>
          <w:b/>
          <w:sz w:val="22"/>
          <w:szCs w:val="22"/>
        </w:rPr>
        <w:t>ή του πέρυσι</w:t>
      </w:r>
      <w:r w:rsidRPr="00283F8E">
        <w:rPr>
          <w:rFonts w:ascii="Tahoma" w:hAnsi="Tahoma" w:cs="Tahoma"/>
          <w:b/>
          <w:sz w:val="22"/>
          <w:szCs w:val="22"/>
        </w:rPr>
        <w:t xml:space="preserve"> στο</w:t>
      </w:r>
      <w:r w:rsidRPr="00AC069B">
        <w:rPr>
          <w:rFonts w:ascii="Tahoma" w:hAnsi="Tahoma" w:cs="Tahoma"/>
          <w:b/>
          <w:sz w:val="22"/>
          <w:szCs w:val="22"/>
        </w:rPr>
        <w:t xml:space="preserve"> 6,9%</w:t>
      </w:r>
      <w:r>
        <w:rPr>
          <w:rFonts w:ascii="Tahoma" w:hAnsi="Tahoma" w:cs="Tahoma"/>
          <w:sz w:val="22"/>
          <w:szCs w:val="22"/>
        </w:rPr>
        <w:t xml:space="preserve">, σε συνέχεια της </w:t>
      </w:r>
      <w:r>
        <w:rPr>
          <w:rFonts w:ascii="Tahoma" w:hAnsi="Tahoma" w:cs="Tahoma"/>
          <w:sz w:val="22"/>
          <w:szCs w:val="22"/>
        </w:rPr>
        <w:lastRenderedPageBreak/>
        <w:t>υποχώρησής του κατά 3,5% το 2010 και κατά 3,3% το 2009</w:t>
      </w:r>
      <w:r>
        <w:rPr>
          <w:rStyle w:val="FootnoteReference"/>
          <w:rFonts w:cs="Tahoma"/>
          <w:sz w:val="22"/>
          <w:szCs w:val="22"/>
        </w:rPr>
        <w:footnoteReference w:id="6"/>
      </w:r>
      <w:r>
        <w:rPr>
          <w:rFonts w:ascii="Tahoma" w:hAnsi="Tahoma" w:cs="Tahoma"/>
          <w:sz w:val="22"/>
          <w:szCs w:val="22"/>
        </w:rPr>
        <w:t>. Η ένταση της ύφεσης της ελληνικής οικονομίας το 2011 είναι μεγαλύτερη αυτής που αναμενόταν από διεθνείς οργανισμούς και φορείς σε εκθέσεις τους που είχαν δημοσιευτεί στα τέλη του περασμένου έτους (Ευρ. Επιτροπή</w:t>
      </w:r>
      <w:r w:rsidRPr="00C101C2">
        <w:rPr>
          <w:rFonts w:ascii="Tahoma" w:hAnsi="Tahoma" w:cs="Tahoma"/>
          <w:sz w:val="22"/>
          <w:szCs w:val="22"/>
        </w:rPr>
        <w:t xml:space="preserve">: -5,5%, </w:t>
      </w:r>
      <w:r>
        <w:rPr>
          <w:rFonts w:ascii="Tahoma" w:hAnsi="Tahoma" w:cs="Tahoma"/>
          <w:sz w:val="22"/>
          <w:szCs w:val="22"/>
        </w:rPr>
        <w:t>ΔΝΤ</w:t>
      </w:r>
      <w:r w:rsidRPr="00C101C2">
        <w:rPr>
          <w:rFonts w:ascii="Tahoma" w:hAnsi="Tahoma" w:cs="Tahoma"/>
          <w:sz w:val="22"/>
          <w:szCs w:val="22"/>
        </w:rPr>
        <w:t xml:space="preserve">: -6,0%, </w:t>
      </w:r>
      <w:r>
        <w:rPr>
          <w:rFonts w:ascii="Tahoma" w:hAnsi="Tahoma" w:cs="Tahoma"/>
          <w:sz w:val="22"/>
          <w:szCs w:val="22"/>
        </w:rPr>
        <w:t>ΟΟΣΑ</w:t>
      </w:r>
      <w:r w:rsidRPr="00C101C2">
        <w:rPr>
          <w:rFonts w:ascii="Tahoma" w:hAnsi="Tahoma" w:cs="Tahoma"/>
          <w:sz w:val="22"/>
          <w:szCs w:val="22"/>
        </w:rPr>
        <w:t>: -6,1%)</w:t>
      </w:r>
      <w:r>
        <w:rPr>
          <w:rFonts w:ascii="Tahoma" w:hAnsi="Tahoma" w:cs="Tahoma"/>
          <w:sz w:val="22"/>
          <w:szCs w:val="22"/>
        </w:rPr>
        <w:t>.</w:t>
      </w:r>
      <w:r w:rsidRPr="00C101C2">
        <w:rPr>
          <w:rFonts w:ascii="Tahoma" w:hAnsi="Tahoma" w:cs="Tahoma"/>
          <w:sz w:val="22"/>
          <w:szCs w:val="22"/>
        </w:rPr>
        <w:t xml:space="preserve"> </w:t>
      </w:r>
      <w:r w:rsidRPr="00AC069B">
        <w:rPr>
          <w:rFonts w:ascii="Tahoma" w:hAnsi="Tahoma" w:cs="Tahoma"/>
          <w:b/>
          <w:sz w:val="22"/>
          <w:szCs w:val="22"/>
        </w:rPr>
        <w:t>Ως αποτέλεσμα της συνεχούς ύφεσης ουσιαστικά από το 2009, το ΑΕΠ της Ελλάδας διαμορφώθηκε το 2011 σε επίπεδα χαμηλότερα του 2004,</w:t>
      </w:r>
      <w:r>
        <w:rPr>
          <w:rFonts w:ascii="Tahoma" w:hAnsi="Tahoma" w:cs="Tahoma"/>
          <w:sz w:val="22"/>
          <w:szCs w:val="22"/>
        </w:rPr>
        <w:t xml:space="preserve"> παρουσιάζοντας </w:t>
      </w:r>
      <w:r w:rsidRPr="00AC069B">
        <w:rPr>
          <w:rFonts w:ascii="Tahoma" w:hAnsi="Tahoma" w:cs="Tahoma"/>
          <w:b/>
          <w:sz w:val="22"/>
          <w:szCs w:val="22"/>
        </w:rPr>
        <w:t xml:space="preserve">σωρευτική συρρίκνωση </w:t>
      </w:r>
      <w:r>
        <w:rPr>
          <w:rFonts w:ascii="Tahoma" w:hAnsi="Tahoma" w:cs="Tahoma"/>
          <w:b/>
          <w:sz w:val="22"/>
          <w:szCs w:val="22"/>
        </w:rPr>
        <w:t>σ</w:t>
      </w:r>
      <w:r w:rsidRPr="00AC069B">
        <w:rPr>
          <w:rFonts w:ascii="Tahoma" w:hAnsi="Tahoma" w:cs="Tahoma"/>
          <w:b/>
          <w:sz w:val="22"/>
          <w:szCs w:val="22"/>
        </w:rPr>
        <w:t xml:space="preserve">την τριετία 2009-2011 της τάξης του </w:t>
      </w:r>
      <w:r>
        <w:rPr>
          <w:rFonts w:ascii="Tahoma" w:hAnsi="Tahoma" w:cs="Tahoma"/>
          <w:b/>
          <w:sz w:val="22"/>
          <w:szCs w:val="22"/>
        </w:rPr>
        <w:t>1</w:t>
      </w:r>
      <w:r w:rsidRPr="00AC069B">
        <w:rPr>
          <w:rFonts w:ascii="Tahoma" w:hAnsi="Tahoma" w:cs="Tahoma"/>
          <w:b/>
          <w:sz w:val="22"/>
          <w:szCs w:val="22"/>
        </w:rPr>
        <w:t>3,1%</w:t>
      </w:r>
      <w:r>
        <w:rPr>
          <w:rFonts w:ascii="Tahoma" w:hAnsi="Tahoma" w:cs="Tahoma"/>
          <w:sz w:val="22"/>
          <w:szCs w:val="22"/>
        </w:rPr>
        <w:t xml:space="preserve">.  </w:t>
      </w:r>
    </w:p>
    <w:p w:rsidR="00D30E57" w:rsidRDefault="00D30E57" w:rsidP="00A72932">
      <w:pPr>
        <w:autoSpaceDE w:val="0"/>
        <w:autoSpaceDN w:val="0"/>
        <w:adjustRightInd w:val="0"/>
        <w:spacing w:before="240" w:after="240" w:line="312" w:lineRule="auto"/>
        <w:ind w:right="-180"/>
        <w:jc w:val="both"/>
        <w:rPr>
          <w:rFonts w:ascii="Tahoma" w:hAnsi="Tahoma" w:cs="Tahoma"/>
          <w:sz w:val="22"/>
          <w:szCs w:val="22"/>
        </w:rPr>
      </w:pPr>
      <w:r>
        <w:rPr>
          <w:rFonts w:ascii="Tahoma" w:hAnsi="Tahoma" w:cs="Tahoma"/>
          <w:sz w:val="22"/>
          <w:szCs w:val="22"/>
        </w:rPr>
        <w:t xml:space="preserve">Εξετάζοντας τις </w:t>
      </w:r>
      <w:r w:rsidRPr="00DE430A">
        <w:rPr>
          <w:rFonts w:ascii="Tahoma" w:hAnsi="Tahoma" w:cs="Tahoma"/>
          <w:b/>
          <w:sz w:val="22"/>
          <w:szCs w:val="22"/>
        </w:rPr>
        <w:t>βασικ</w:t>
      </w:r>
      <w:r>
        <w:rPr>
          <w:rFonts w:ascii="Tahoma" w:hAnsi="Tahoma" w:cs="Tahoma"/>
          <w:b/>
          <w:sz w:val="22"/>
          <w:szCs w:val="22"/>
        </w:rPr>
        <w:t xml:space="preserve">ές </w:t>
      </w:r>
      <w:r w:rsidRPr="00DE430A">
        <w:rPr>
          <w:rFonts w:ascii="Tahoma" w:hAnsi="Tahoma" w:cs="Tahoma"/>
          <w:b/>
          <w:sz w:val="22"/>
          <w:szCs w:val="22"/>
        </w:rPr>
        <w:t>συνιστ</w:t>
      </w:r>
      <w:r>
        <w:rPr>
          <w:rFonts w:ascii="Tahoma" w:hAnsi="Tahoma" w:cs="Tahoma"/>
          <w:b/>
          <w:sz w:val="22"/>
          <w:szCs w:val="22"/>
        </w:rPr>
        <w:t xml:space="preserve">ώσες </w:t>
      </w:r>
      <w:r w:rsidRPr="00DE430A">
        <w:rPr>
          <w:rFonts w:ascii="Tahoma" w:hAnsi="Tahoma" w:cs="Tahoma"/>
          <w:b/>
          <w:sz w:val="22"/>
          <w:szCs w:val="22"/>
        </w:rPr>
        <w:t>του ΑΕΠ η συρρίκνωση της ιδιωτικής κατανάλωσης ήταν για δεύτερο συνεχή χρόνο ο κύριος προσδιοριστικός παράγοντ</w:t>
      </w:r>
      <w:r>
        <w:rPr>
          <w:rFonts w:ascii="Tahoma" w:hAnsi="Tahoma" w:cs="Tahoma"/>
          <w:b/>
          <w:sz w:val="22"/>
          <w:szCs w:val="22"/>
        </w:rPr>
        <w:t>α</w:t>
      </w:r>
      <w:r w:rsidRPr="00DE430A">
        <w:rPr>
          <w:rFonts w:ascii="Tahoma" w:hAnsi="Tahoma" w:cs="Tahoma"/>
          <w:b/>
          <w:sz w:val="22"/>
          <w:szCs w:val="22"/>
        </w:rPr>
        <w:t>ς της</w:t>
      </w:r>
      <w:r>
        <w:rPr>
          <w:rFonts w:ascii="Tahoma" w:hAnsi="Tahoma" w:cs="Tahoma"/>
          <w:b/>
          <w:sz w:val="22"/>
          <w:szCs w:val="22"/>
        </w:rPr>
        <w:t xml:space="preserve"> μείωσής του</w:t>
      </w:r>
      <w:r>
        <w:rPr>
          <w:rFonts w:ascii="Tahoma" w:hAnsi="Tahoma" w:cs="Tahoma"/>
          <w:sz w:val="22"/>
          <w:szCs w:val="22"/>
        </w:rPr>
        <w:t xml:space="preserve">. Όπως φανερώνουν οι σχετικοί ρυθμοί μεταβολής, η ποσοστιαία μείωση του ΑΕΠ είναι παραπλήσια την τελευταία διετία με αυτή της κατανάλωσης του ιδιωτικού τομέα, αντανακλώντας τις διαρθρωτικές αδυναμίες της ελληνικής οικονομίας. Εκτεταμένος και ευρύτερος το 2010, ήταν ο περιορισμός της δημόσιας κατανάλωσης, εξέλιξη αναμενόμενη εξαιτίας της διαδικασίας δημοσιονομικής προσαρμογής. </w:t>
      </w:r>
      <w:r>
        <w:rPr>
          <w:rFonts w:ascii="Tahoma" w:hAnsi="Tahoma" w:cs="Tahoma"/>
          <w:b/>
          <w:sz w:val="22"/>
          <w:szCs w:val="22"/>
        </w:rPr>
        <w:t>Μ</w:t>
      </w:r>
      <w:r w:rsidRPr="00DE430A">
        <w:rPr>
          <w:rFonts w:ascii="Tahoma" w:hAnsi="Tahoma" w:cs="Tahoma"/>
          <w:b/>
          <w:sz w:val="22"/>
          <w:szCs w:val="22"/>
        </w:rPr>
        <w:t xml:space="preserve">ε διψήφιο ρυθμό </w:t>
      </w:r>
      <w:r>
        <w:rPr>
          <w:rFonts w:ascii="Tahoma" w:hAnsi="Tahoma" w:cs="Tahoma"/>
          <w:b/>
          <w:sz w:val="22"/>
          <w:szCs w:val="22"/>
        </w:rPr>
        <w:t>κινήθηκε</w:t>
      </w:r>
      <w:r w:rsidRPr="00DE430A">
        <w:rPr>
          <w:rFonts w:ascii="Tahoma" w:hAnsi="Tahoma" w:cs="Tahoma"/>
          <w:b/>
          <w:sz w:val="22"/>
          <w:szCs w:val="22"/>
        </w:rPr>
        <w:t xml:space="preserve"> για τρίτο έτος η υποχώρηση των επενδύσεων.</w:t>
      </w:r>
      <w:r>
        <w:rPr>
          <w:rFonts w:ascii="Tahoma" w:hAnsi="Tahoma" w:cs="Tahoma"/>
          <w:sz w:val="22"/>
          <w:szCs w:val="22"/>
        </w:rPr>
        <w:t xml:space="preserve"> Εν μέρει αντισταθμιστικά στις παραπάνω περιοριστικές επιδράσεις στο ΑΕΠ λειτούργησε και το 2011 το αποτέλεσμα του εξωτερικού τομέα της οικονομίας, του οποίου το έλλειμμα σε εθνικολογιστικούς </w:t>
      </w:r>
      <w:r>
        <w:rPr>
          <w:rFonts w:ascii="Tahoma" w:hAnsi="Tahoma" w:cs="Tahoma"/>
          <w:sz w:val="22"/>
          <w:szCs w:val="22"/>
        </w:rPr>
        <w:lastRenderedPageBreak/>
        <w:t xml:space="preserve">όρους, ως ποσοστό του ΑΕΠ, ήταν το 2011 περίπου το μισό του 2008. </w:t>
      </w:r>
    </w:p>
    <w:p w:rsidR="00D30E57" w:rsidRPr="00D00EC8" w:rsidRDefault="00D30E57" w:rsidP="00D30E57">
      <w:pPr>
        <w:tabs>
          <w:tab w:val="left" w:pos="4140"/>
        </w:tabs>
        <w:autoSpaceDE w:val="0"/>
        <w:autoSpaceDN w:val="0"/>
        <w:adjustRightInd w:val="0"/>
        <w:spacing w:before="240" w:after="240" w:line="312" w:lineRule="auto"/>
        <w:ind w:right="-180"/>
        <w:jc w:val="both"/>
        <w:rPr>
          <w:rFonts w:ascii="Tahoma" w:hAnsi="Tahoma" w:cs="Tahoma"/>
          <w:bCs/>
          <w:sz w:val="22"/>
          <w:szCs w:val="22"/>
        </w:rPr>
      </w:pPr>
      <w:r>
        <w:rPr>
          <w:rFonts w:ascii="Tahoma" w:hAnsi="Tahoma" w:cs="Tahoma"/>
          <w:sz w:val="22"/>
          <w:szCs w:val="22"/>
        </w:rPr>
        <w:t xml:space="preserve">Αναλυτικότερα το 2011, η </w:t>
      </w:r>
      <w:r>
        <w:rPr>
          <w:rFonts w:ascii="Tahoma" w:hAnsi="Tahoma" w:cs="Tahoma"/>
          <w:b/>
          <w:bCs/>
          <w:sz w:val="22"/>
          <w:szCs w:val="22"/>
        </w:rPr>
        <w:t>συνολική καταναλωτική δαπάνη, ιδιωτικού και δημόσιου τομέα, ήταν 7,5% μικρότερη του 2010</w:t>
      </w:r>
      <w:r>
        <w:rPr>
          <w:rFonts w:ascii="Tahoma" w:hAnsi="Tahoma" w:cs="Tahoma"/>
          <w:bCs/>
          <w:sz w:val="22"/>
          <w:szCs w:val="22"/>
        </w:rPr>
        <w:t>, έναντι μείωσης της τάξης του 4,4% το 2010 ως προς το 2009</w:t>
      </w:r>
      <w:r w:rsidRPr="00CE56AA">
        <w:rPr>
          <w:rFonts w:ascii="Tahoma" w:hAnsi="Tahoma" w:cs="Tahoma"/>
          <w:bCs/>
          <w:sz w:val="22"/>
          <w:szCs w:val="22"/>
        </w:rPr>
        <w:t>.</w:t>
      </w:r>
      <w:r>
        <w:rPr>
          <w:rFonts w:ascii="Tahoma" w:hAnsi="Tahoma" w:cs="Tahoma"/>
          <w:b/>
          <w:bCs/>
          <w:sz w:val="22"/>
          <w:szCs w:val="22"/>
        </w:rPr>
        <w:t xml:space="preserve"> </w:t>
      </w:r>
      <w:r>
        <w:rPr>
          <w:rFonts w:ascii="Tahoma" w:hAnsi="Tahoma" w:cs="Tahoma"/>
          <w:bCs/>
          <w:sz w:val="22"/>
          <w:szCs w:val="22"/>
        </w:rPr>
        <w:t xml:space="preserve">Η </w:t>
      </w:r>
      <w:r w:rsidRPr="0005660C">
        <w:rPr>
          <w:rFonts w:ascii="Tahoma" w:hAnsi="Tahoma" w:cs="Tahoma"/>
          <w:b/>
          <w:bCs/>
          <w:sz w:val="22"/>
          <w:szCs w:val="22"/>
        </w:rPr>
        <w:t xml:space="preserve">κατανάλωση των δημόσιων φορέων περιορίστηκε αναλογικά περισσότερο πέρυσι </w:t>
      </w:r>
      <w:r>
        <w:rPr>
          <w:rFonts w:ascii="Tahoma" w:hAnsi="Tahoma" w:cs="Tahoma"/>
          <w:bCs/>
          <w:sz w:val="22"/>
          <w:szCs w:val="22"/>
        </w:rPr>
        <w:t>από ότι των νοικοκυριών, κατά</w:t>
      </w:r>
      <w:r>
        <w:rPr>
          <w:rFonts w:ascii="Tahoma" w:hAnsi="Tahoma" w:cs="Tahoma"/>
          <w:b/>
          <w:bCs/>
          <w:sz w:val="22"/>
          <w:szCs w:val="22"/>
        </w:rPr>
        <w:t xml:space="preserve"> 9,1</w:t>
      </w:r>
      <w:r w:rsidRPr="0005660C">
        <w:rPr>
          <w:rFonts w:ascii="Tahoma" w:hAnsi="Tahoma" w:cs="Tahoma"/>
          <w:b/>
          <w:bCs/>
          <w:sz w:val="22"/>
          <w:szCs w:val="22"/>
        </w:rPr>
        <w:t>%</w:t>
      </w:r>
      <w:r>
        <w:rPr>
          <w:rFonts w:ascii="Tahoma" w:hAnsi="Tahoma" w:cs="Tahoma"/>
          <w:bCs/>
          <w:sz w:val="22"/>
          <w:szCs w:val="22"/>
        </w:rPr>
        <w:t>, ποσοστιαία μεταβολή που είναι ελαφρά μεγαλύτερη της αντίστοιχης που σημειώθηκε το 2010 (-7,2%). Σε ότι αφορά τη μείωση των καταναλωτικών εξόδων του ιδιωτικού τομέα, έφτασε το 7,1% το 2011, από 3,6% τον αμέσως προηγούμενο χρόνο. Η πτώση αμφότερων των μεγεθών διευρύνθηκε στο τελευταίο τρίμηνο του 2011, αποτυπώνοντας τον αντίκτυπο της κλιμάκωσης των δημοσιονομικών μέτρων.</w:t>
      </w:r>
    </w:p>
    <w:p w:rsidR="00D30E57" w:rsidRPr="00996230" w:rsidRDefault="00D30E57" w:rsidP="00D30E57">
      <w:pPr>
        <w:tabs>
          <w:tab w:val="left" w:pos="4140"/>
        </w:tabs>
        <w:autoSpaceDE w:val="0"/>
        <w:autoSpaceDN w:val="0"/>
        <w:adjustRightInd w:val="0"/>
        <w:spacing w:before="240" w:after="240" w:line="312" w:lineRule="auto"/>
        <w:ind w:right="-180"/>
        <w:jc w:val="both"/>
        <w:rPr>
          <w:rFonts w:ascii="Tahoma" w:hAnsi="Tahoma" w:cs="Tahoma"/>
          <w:sz w:val="22"/>
          <w:szCs w:val="22"/>
        </w:rPr>
      </w:pPr>
      <w:r w:rsidRPr="001D0C87">
        <w:rPr>
          <w:rFonts w:ascii="Tahoma" w:hAnsi="Tahoma" w:cs="Tahoma"/>
          <w:b/>
          <w:bCs/>
          <w:sz w:val="22"/>
          <w:szCs w:val="22"/>
        </w:rPr>
        <w:t xml:space="preserve">Σε πτωτική τροχιά παρέμειναν </w:t>
      </w:r>
      <w:r>
        <w:rPr>
          <w:rFonts w:ascii="Tahoma" w:hAnsi="Tahoma" w:cs="Tahoma"/>
          <w:b/>
          <w:bCs/>
          <w:sz w:val="22"/>
          <w:szCs w:val="22"/>
        </w:rPr>
        <w:t xml:space="preserve">πέρυσι </w:t>
      </w:r>
      <w:r w:rsidRPr="001D0C87">
        <w:rPr>
          <w:rFonts w:ascii="Tahoma" w:hAnsi="Tahoma" w:cs="Tahoma"/>
          <w:b/>
          <w:bCs/>
          <w:sz w:val="22"/>
          <w:szCs w:val="22"/>
        </w:rPr>
        <w:t>οι επενδύσεις</w:t>
      </w:r>
      <w:r>
        <w:rPr>
          <w:rFonts w:ascii="Tahoma" w:hAnsi="Tahoma" w:cs="Tahoma"/>
          <w:b/>
          <w:bCs/>
          <w:sz w:val="22"/>
          <w:szCs w:val="22"/>
        </w:rPr>
        <w:t>,</w:t>
      </w:r>
      <w:r w:rsidRPr="001D0C87">
        <w:rPr>
          <w:rFonts w:ascii="Tahoma" w:hAnsi="Tahoma" w:cs="Tahoma"/>
          <w:b/>
          <w:bCs/>
          <w:sz w:val="22"/>
          <w:szCs w:val="22"/>
        </w:rPr>
        <w:t xml:space="preserve"> για τέταρτο συνεχόμενο έτος, με τη μείωσή τους να ξεπερνά το 14,4%</w:t>
      </w:r>
      <w:r>
        <w:rPr>
          <w:rFonts w:ascii="Tahoma" w:hAnsi="Tahoma" w:cs="Tahoma"/>
          <w:b/>
          <w:bCs/>
          <w:sz w:val="22"/>
          <w:szCs w:val="22"/>
        </w:rPr>
        <w:t xml:space="preserve"> </w:t>
      </w:r>
      <w:r w:rsidRPr="001D0C87">
        <w:rPr>
          <w:rFonts w:ascii="Tahoma" w:hAnsi="Tahoma" w:cs="Tahoma"/>
          <w:bCs/>
          <w:sz w:val="22"/>
          <w:szCs w:val="22"/>
        </w:rPr>
        <w:t xml:space="preserve">και </w:t>
      </w:r>
      <w:r>
        <w:rPr>
          <w:rFonts w:ascii="Tahoma" w:hAnsi="Tahoma" w:cs="Tahoma"/>
          <w:bCs/>
          <w:sz w:val="22"/>
          <w:szCs w:val="22"/>
        </w:rPr>
        <w:t xml:space="preserve">να είναι </w:t>
      </w:r>
      <w:r w:rsidRPr="001D0C87">
        <w:rPr>
          <w:rFonts w:ascii="Tahoma" w:hAnsi="Tahoma" w:cs="Tahoma"/>
          <w:bCs/>
          <w:sz w:val="22"/>
          <w:szCs w:val="22"/>
        </w:rPr>
        <w:t>ελαφρά μεγαλ</w:t>
      </w:r>
      <w:r>
        <w:rPr>
          <w:rFonts w:ascii="Tahoma" w:hAnsi="Tahoma" w:cs="Tahoma"/>
          <w:bCs/>
          <w:sz w:val="22"/>
          <w:szCs w:val="22"/>
        </w:rPr>
        <w:t>ύτερη από την υποχώρηση του</w:t>
      </w:r>
      <w:r w:rsidRPr="001D0C87">
        <w:rPr>
          <w:rFonts w:ascii="Tahoma" w:hAnsi="Tahoma" w:cs="Tahoma"/>
          <w:bCs/>
          <w:sz w:val="22"/>
          <w:szCs w:val="22"/>
        </w:rPr>
        <w:t xml:space="preserve"> 2010 </w:t>
      </w:r>
      <w:r>
        <w:rPr>
          <w:rFonts w:ascii="Tahoma" w:hAnsi="Tahoma" w:cs="Tahoma"/>
          <w:bCs/>
          <w:sz w:val="22"/>
          <w:szCs w:val="22"/>
        </w:rPr>
        <w:t>(-13,3%). Στο σύνολο των ετών 2008-2011, οι επενδυτικές δαπάνες έχουν περιοριστεί κατά 50%, από τα € 54 δισεκ. στα € 27 δισεκ., εξέλιξη που επιδρά ιδιαίτερα ανασχετικά στις δυνατότητες ανάκαμψης της ελληνικής οικονομίας και ακολούθως στην αποτελεσματικότητα των λαμβανόμενων δημοσιονομικών μέτρων</w:t>
      </w:r>
      <w:r w:rsidRPr="003A5375">
        <w:rPr>
          <w:rFonts w:ascii="Tahoma" w:hAnsi="Tahoma" w:cs="Tahoma"/>
          <w:bCs/>
          <w:sz w:val="22"/>
          <w:szCs w:val="22"/>
        </w:rPr>
        <w:t>.</w:t>
      </w:r>
      <w:r>
        <w:rPr>
          <w:rFonts w:ascii="Tahoma" w:hAnsi="Tahoma" w:cs="Tahoma"/>
          <w:bCs/>
          <w:sz w:val="22"/>
          <w:szCs w:val="22"/>
        </w:rPr>
        <w:t xml:space="preserve"> Σε επίπεδο κατηγοριών επενδύσεων παγίου κεφαλαίου, </w:t>
      </w:r>
      <w:r>
        <w:rPr>
          <w:rFonts w:ascii="Tahoma" w:hAnsi="Tahoma" w:cs="Tahoma"/>
          <w:b/>
          <w:bCs/>
          <w:sz w:val="22"/>
          <w:szCs w:val="22"/>
        </w:rPr>
        <w:t>ο εξοπλισμός μεταφορών υποχώρησε κατά 38,9%, περισσότερο από οποιαδήποτε άλλη κατηγορία, με τις κατοικίες και τις λοιπές κατασκευές να έπονται (-23,6</w:t>
      </w:r>
      <w:r w:rsidRPr="000D35EB">
        <w:rPr>
          <w:rFonts w:ascii="Tahoma" w:hAnsi="Tahoma" w:cs="Tahoma"/>
          <w:b/>
          <w:bCs/>
          <w:sz w:val="22"/>
          <w:szCs w:val="22"/>
        </w:rPr>
        <w:t>%</w:t>
      </w:r>
      <w:r>
        <w:rPr>
          <w:rFonts w:ascii="Tahoma" w:hAnsi="Tahoma" w:cs="Tahoma"/>
          <w:b/>
          <w:bCs/>
          <w:sz w:val="22"/>
          <w:szCs w:val="22"/>
        </w:rPr>
        <w:t xml:space="preserve"> και -19,1% αντίστοιχα</w:t>
      </w:r>
      <w:r w:rsidRPr="000D35EB">
        <w:rPr>
          <w:rFonts w:ascii="Tahoma" w:hAnsi="Tahoma" w:cs="Tahoma"/>
          <w:b/>
          <w:bCs/>
          <w:sz w:val="22"/>
          <w:szCs w:val="22"/>
        </w:rPr>
        <w:t>)</w:t>
      </w:r>
      <w:r w:rsidRPr="004E5416">
        <w:rPr>
          <w:rFonts w:ascii="Tahoma" w:hAnsi="Tahoma" w:cs="Tahoma"/>
          <w:bCs/>
          <w:sz w:val="22"/>
          <w:szCs w:val="22"/>
        </w:rPr>
        <w:t>.</w:t>
      </w:r>
      <w:r>
        <w:rPr>
          <w:rFonts w:ascii="Tahoma" w:hAnsi="Tahoma" w:cs="Tahoma"/>
          <w:bCs/>
          <w:sz w:val="22"/>
          <w:szCs w:val="22"/>
        </w:rPr>
        <w:t xml:space="preserve"> Ως αποτέλεσμα των διαδοχικών μειώσεων τα τελευταία χρόνια στις επενδύσεις των δύο πρώτων κατηγοριών, το ύψος τους </w:t>
      </w:r>
      <w:r>
        <w:rPr>
          <w:rFonts w:ascii="Tahoma" w:hAnsi="Tahoma" w:cs="Tahoma"/>
          <w:bCs/>
          <w:sz w:val="22"/>
          <w:szCs w:val="22"/>
        </w:rPr>
        <w:lastRenderedPageBreak/>
        <w:t xml:space="preserve">το 2011 βρίσκεται στο 34% του μέγιστου επιπέδου τους, που σημειώθηκε το 2007 . Στις υπόλοιπες κατηγορίες πάγιου κεφαλαίου, η πτώση στα </w:t>
      </w:r>
      <w:r w:rsidRPr="00996230">
        <w:rPr>
          <w:rFonts w:ascii="Tahoma" w:hAnsi="Tahoma" w:cs="Tahoma"/>
          <w:bCs/>
          <w:sz w:val="22"/>
          <w:szCs w:val="22"/>
        </w:rPr>
        <w:t xml:space="preserve">μεταλλικά προϊόντα-μηχανήματα </w:t>
      </w:r>
      <w:r>
        <w:rPr>
          <w:rFonts w:ascii="Tahoma" w:hAnsi="Tahoma" w:cs="Tahoma"/>
          <w:bCs/>
          <w:sz w:val="22"/>
          <w:szCs w:val="22"/>
        </w:rPr>
        <w:t>έφτασε</w:t>
      </w:r>
      <w:r w:rsidRPr="00282A77">
        <w:rPr>
          <w:rFonts w:ascii="Tahoma" w:hAnsi="Tahoma" w:cs="Tahoma"/>
          <w:bCs/>
          <w:sz w:val="22"/>
          <w:szCs w:val="22"/>
        </w:rPr>
        <w:t xml:space="preserve"> </w:t>
      </w:r>
      <w:r>
        <w:rPr>
          <w:rFonts w:ascii="Tahoma" w:hAnsi="Tahoma" w:cs="Tahoma"/>
          <w:bCs/>
          <w:sz w:val="22"/>
          <w:szCs w:val="22"/>
        </w:rPr>
        <w:t>την περασμένη χρονιά το 8,3%</w:t>
      </w:r>
      <w:r w:rsidRPr="00282A77">
        <w:rPr>
          <w:rFonts w:ascii="Tahoma" w:hAnsi="Tahoma" w:cs="Tahoma"/>
          <w:bCs/>
          <w:sz w:val="22"/>
          <w:szCs w:val="22"/>
        </w:rPr>
        <w:t>,</w:t>
      </w:r>
      <w:r>
        <w:rPr>
          <w:rFonts w:ascii="Tahoma" w:hAnsi="Tahoma" w:cs="Tahoma"/>
          <w:bCs/>
          <w:sz w:val="22"/>
          <w:szCs w:val="22"/>
        </w:rPr>
        <w:t xml:space="preserve"> στα λοιπά προϊόντα</w:t>
      </w:r>
      <w:r w:rsidRPr="00282A77">
        <w:rPr>
          <w:rFonts w:ascii="Tahoma" w:hAnsi="Tahoma" w:cs="Tahoma"/>
          <w:bCs/>
          <w:sz w:val="22"/>
          <w:szCs w:val="22"/>
        </w:rPr>
        <w:t xml:space="preserve"> </w:t>
      </w:r>
      <w:r>
        <w:rPr>
          <w:rFonts w:ascii="Tahoma" w:hAnsi="Tahoma" w:cs="Tahoma"/>
          <w:bCs/>
          <w:sz w:val="22"/>
          <w:szCs w:val="22"/>
        </w:rPr>
        <w:t>το 4,5% και στα</w:t>
      </w:r>
      <w:r>
        <w:rPr>
          <w:rFonts w:ascii="Tahoma" w:hAnsi="Tahoma" w:cs="Tahoma"/>
          <w:sz w:val="22"/>
          <w:szCs w:val="22"/>
        </w:rPr>
        <w:t xml:space="preserve"> αγροτικά μηχανήματα</w:t>
      </w:r>
      <w:r w:rsidRPr="00282A77">
        <w:rPr>
          <w:rFonts w:ascii="Tahoma" w:hAnsi="Tahoma" w:cs="Tahoma"/>
          <w:bCs/>
          <w:sz w:val="22"/>
          <w:szCs w:val="22"/>
        </w:rPr>
        <w:t xml:space="preserve"> </w:t>
      </w:r>
      <w:r>
        <w:rPr>
          <w:rFonts w:ascii="Tahoma" w:hAnsi="Tahoma" w:cs="Tahoma"/>
          <w:bCs/>
          <w:sz w:val="22"/>
          <w:szCs w:val="22"/>
        </w:rPr>
        <w:t>το 2,1%</w:t>
      </w:r>
      <w:r w:rsidRPr="00996230">
        <w:rPr>
          <w:rFonts w:ascii="Tahoma" w:hAnsi="Tahoma" w:cs="Tahoma"/>
          <w:sz w:val="22"/>
          <w:szCs w:val="22"/>
        </w:rPr>
        <w:t>.</w:t>
      </w:r>
    </w:p>
    <w:p w:rsidR="00D30E57" w:rsidRDefault="00D30E57" w:rsidP="00D30E57">
      <w:pPr>
        <w:tabs>
          <w:tab w:val="left" w:pos="4140"/>
        </w:tabs>
        <w:autoSpaceDE w:val="0"/>
        <w:autoSpaceDN w:val="0"/>
        <w:adjustRightInd w:val="0"/>
        <w:spacing w:before="240" w:after="240" w:line="312" w:lineRule="auto"/>
        <w:ind w:right="-180"/>
        <w:jc w:val="both"/>
        <w:rPr>
          <w:rFonts w:ascii="Tahoma" w:hAnsi="Tahoma" w:cs="Tahoma"/>
          <w:sz w:val="22"/>
          <w:szCs w:val="22"/>
        </w:rPr>
      </w:pPr>
      <w:r>
        <w:rPr>
          <w:rFonts w:ascii="Tahoma" w:hAnsi="Tahoma" w:cs="Tahoma"/>
          <w:sz w:val="22"/>
          <w:szCs w:val="22"/>
        </w:rPr>
        <w:t xml:space="preserve">Οι </w:t>
      </w:r>
      <w:r w:rsidRPr="00282A77">
        <w:rPr>
          <w:rFonts w:ascii="Tahoma" w:hAnsi="Tahoma" w:cs="Tahoma"/>
          <w:b/>
          <w:sz w:val="22"/>
          <w:szCs w:val="22"/>
        </w:rPr>
        <w:t>επιδόσεις του</w:t>
      </w:r>
      <w:r w:rsidRPr="0074529D">
        <w:rPr>
          <w:rFonts w:ascii="Tahoma" w:hAnsi="Tahoma" w:cs="Tahoma"/>
          <w:b/>
          <w:sz w:val="22"/>
          <w:szCs w:val="22"/>
        </w:rPr>
        <w:t xml:space="preserve"> εξωτερικού τομέα</w:t>
      </w:r>
      <w:r>
        <w:rPr>
          <w:rFonts w:ascii="Tahoma" w:hAnsi="Tahoma" w:cs="Tahoma"/>
          <w:sz w:val="22"/>
          <w:szCs w:val="22"/>
        </w:rPr>
        <w:t xml:space="preserve"> </w:t>
      </w:r>
      <w:r w:rsidRPr="00282A77">
        <w:rPr>
          <w:rFonts w:ascii="Tahoma" w:hAnsi="Tahoma" w:cs="Tahoma"/>
          <w:b/>
          <w:sz w:val="22"/>
          <w:szCs w:val="22"/>
        </w:rPr>
        <w:t>βελτ</w:t>
      </w:r>
      <w:r>
        <w:rPr>
          <w:rFonts w:ascii="Tahoma" w:hAnsi="Tahoma" w:cs="Tahoma"/>
          <w:b/>
          <w:sz w:val="22"/>
          <w:szCs w:val="22"/>
        </w:rPr>
        <w:t>ιώθηκαν</w:t>
      </w:r>
      <w:r>
        <w:rPr>
          <w:rFonts w:ascii="Tahoma" w:hAnsi="Tahoma" w:cs="Tahoma"/>
          <w:sz w:val="22"/>
          <w:szCs w:val="22"/>
        </w:rPr>
        <w:t xml:space="preserve"> για τρίτο συνεχόμενο έτος το 2011, σε μικρότερο ωστόσο βαθμό από ότι τα προηγούμενα χρόνια</w:t>
      </w:r>
      <w:r w:rsidRPr="00553014">
        <w:rPr>
          <w:rFonts w:ascii="Tahoma" w:hAnsi="Tahoma" w:cs="Tahoma"/>
          <w:sz w:val="22"/>
          <w:szCs w:val="22"/>
        </w:rPr>
        <w:t>.</w:t>
      </w:r>
      <w:r>
        <w:rPr>
          <w:rFonts w:ascii="Tahoma" w:hAnsi="Tahoma" w:cs="Tahoma"/>
          <w:sz w:val="22"/>
          <w:szCs w:val="22"/>
        </w:rPr>
        <w:t xml:space="preserve"> Το έλλειμμά του, σύμφωνα με τα μεγέθη εξαγωγών-εισαγωγών των εθνικών λογαριασμών, μειώθηκε το 2011 κατά 1,9 εκατοστιαίες μονάδες, έναντι πτώσης 2,9 μονάδων το 2010. Ως αποτέλεσμα, διαμορφώθηκε πέρυσι στο 6,7% του ΑΕΠ, από 14,1% το 2008. Από την άλλη πλευρά, οι προσδιοριστικοί παράγοντες της υποχώρησης του ελλείμματος διαφοροποιήθηκαν το 2011 σε σχέση με το αμέσως προηγούμενο έτος</w:t>
      </w:r>
      <w:r w:rsidRPr="001E56A7">
        <w:rPr>
          <w:rFonts w:ascii="Tahoma" w:hAnsi="Tahoma" w:cs="Tahoma"/>
          <w:sz w:val="22"/>
          <w:szCs w:val="22"/>
        </w:rPr>
        <w:t xml:space="preserve">: </w:t>
      </w:r>
      <w:r w:rsidRPr="001E56A7">
        <w:rPr>
          <w:rFonts w:ascii="Tahoma" w:hAnsi="Tahoma" w:cs="Tahoma"/>
          <w:b/>
          <w:sz w:val="22"/>
          <w:szCs w:val="22"/>
        </w:rPr>
        <w:t>η σημαντική υποχώρηση των εισαγωγών, κατά 8,1%</w:t>
      </w:r>
      <w:r>
        <w:rPr>
          <w:rFonts w:ascii="Tahoma" w:hAnsi="Tahoma" w:cs="Tahoma"/>
          <w:b/>
          <w:sz w:val="22"/>
          <w:szCs w:val="22"/>
        </w:rPr>
        <w:t>,</w:t>
      </w:r>
      <w:r w:rsidRPr="001E56A7">
        <w:rPr>
          <w:rFonts w:ascii="Tahoma" w:hAnsi="Tahoma" w:cs="Tahoma"/>
          <w:b/>
          <w:sz w:val="22"/>
          <w:szCs w:val="22"/>
        </w:rPr>
        <w:t xml:space="preserve"> συν</w:t>
      </w:r>
      <w:r>
        <w:rPr>
          <w:rFonts w:ascii="Tahoma" w:hAnsi="Tahoma" w:cs="Tahoma"/>
          <w:b/>
          <w:sz w:val="22"/>
          <w:szCs w:val="22"/>
        </w:rPr>
        <w:t>έβαλε</w:t>
      </w:r>
      <w:r w:rsidRPr="001E56A7">
        <w:rPr>
          <w:rFonts w:ascii="Tahoma" w:hAnsi="Tahoma" w:cs="Tahoma"/>
          <w:b/>
          <w:sz w:val="22"/>
          <w:szCs w:val="22"/>
        </w:rPr>
        <w:t xml:space="preserve"> αποκλειστικά σε αυτή την εξέλιξη πέρυσι, καθώς και οι εξαγωγές μειώθηκαν, έστω οριακά, κατά 0,3%.</w:t>
      </w:r>
      <w:r>
        <w:rPr>
          <w:rFonts w:ascii="Tahoma" w:hAnsi="Tahoma" w:cs="Tahoma"/>
          <w:sz w:val="22"/>
          <w:szCs w:val="22"/>
        </w:rPr>
        <w:t xml:space="preserve"> Υπενθυμίζεται ότι τ</w:t>
      </w:r>
      <w:r w:rsidRPr="00AA0B3D">
        <w:rPr>
          <w:rFonts w:ascii="Tahoma" w:hAnsi="Tahoma" w:cs="Tahoma"/>
          <w:sz w:val="22"/>
          <w:szCs w:val="22"/>
        </w:rPr>
        <w:t>ο 2010 και η άνοδος των εξαγωγών</w:t>
      </w:r>
      <w:r>
        <w:rPr>
          <w:rFonts w:ascii="Tahoma" w:hAnsi="Tahoma" w:cs="Tahoma"/>
          <w:sz w:val="22"/>
          <w:szCs w:val="22"/>
        </w:rPr>
        <w:t xml:space="preserve"> κατά 4,2% </w:t>
      </w:r>
      <w:r w:rsidRPr="00AA0B3D">
        <w:rPr>
          <w:rFonts w:ascii="Tahoma" w:hAnsi="Tahoma" w:cs="Tahoma"/>
          <w:sz w:val="22"/>
          <w:szCs w:val="22"/>
        </w:rPr>
        <w:t>είχε συμβάλλει στη βελτίωση των αποτελεσμάτων του εξωτερικού τομέα.</w:t>
      </w:r>
      <w:r w:rsidRPr="000D35EB">
        <w:rPr>
          <w:rFonts w:ascii="Tahoma" w:hAnsi="Tahoma" w:cs="Tahoma"/>
          <w:sz w:val="22"/>
          <w:szCs w:val="22"/>
        </w:rPr>
        <w:t xml:space="preserve"> </w:t>
      </w:r>
      <w:r>
        <w:rPr>
          <w:rFonts w:ascii="Tahoma" w:hAnsi="Tahoma" w:cs="Tahoma"/>
          <w:sz w:val="22"/>
          <w:szCs w:val="22"/>
        </w:rPr>
        <w:t>Η νέα εξασθένιση της ζήτησης για εισαγωγές πέρυσι, που δεν παρουσιάζει αρκετά διαφορετική ένταση μεταξύ αγαθών και υπηρεσιών (-7,1% και -11,6%</w:t>
      </w:r>
      <w:r w:rsidRPr="00AA0B3D">
        <w:rPr>
          <w:rFonts w:ascii="Tahoma" w:hAnsi="Tahoma" w:cs="Tahoma"/>
          <w:sz w:val="22"/>
          <w:szCs w:val="22"/>
        </w:rPr>
        <w:t xml:space="preserve"> </w:t>
      </w:r>
      <w:r>
        <w:rPr>
          <w:rFonts w:ascii="Tahoma" w:hAnsi="Tahoma" w:cs="Tahoma"/>
          <w:sz w:val="22"/>
          <w:szCs w:val="22"/>
        </w:rPr>
        <w:t xml:space="preserve">αντίστοιχα), διατήρησε την πτωτική τάση της που ξεκίνησε το 2009 και έχει επιφέρει σωρευτική συρρίκνωσή τους από τότε περίπου κατά 32%.   </w:t>
      </w:r>
    </w:p>
    <w:p w:rsidR="00D30E57" w:rsidRDefault="00D30E57" w:rsidP="00D30E57">
      <w:pPr>
        <w:tabs>
          <w:tab w:val="left" w:pos="4140"/>
        </w:tabs>
        <w:autoSpaceDE w:val="0"/>
        <w:autoSpaceDN w:val="0"/>
        <w:adjustRightInd w:val="0"/>
        <w:spacing w:before="240" w:after="240" w:line="312" w:lineRule="auto"/>
        <w:ind w:right="-180"/>
        <w:jc w:val="both"/>
        <w:rPr>
          <w:rFonts w:ascii="Tahoma" w:hAnsi="Tahoma" w:cs="Tahoma"/>
          <w:b/>
          <w:bCs/>
          <w:sz w:val="22"/>
          <w:szCs w:val="22"/>
        </w:rPr>
      </w:pPr>
      <w:r>
        <w:rPr>
          <w:rFonts w:ascii="Tahoma" w:hAnsi="Tahoma" w:cs="Tahoma"/>
          <w:b/>
          <w:sz w:val="22"/>
          <w:szCs w:val="22"/>
        </w:rPr>
        <w:t>Σε ότι αφορά τις εξαγωγές</w:t>
      </w:r>
      <w:r w:rsidRPr="00553014">
        <w:rPr>
          <w:rFonts w:ascii="Tahoma" w:hAnsi="Tahoma" w:cs="Tahoma"/>
          <w:b/>
          <w:sz w:val="22"/>
          <w:szCs w:val="22"/>
        </w:rPr>
        <w:t>,</w:t>
      </w:r>
      <w:r>
        <w:rPr>
          <w:rFonts w:ascii="Tahoma" w:hAnsi="Tahoma" w:cs="Tahoma"/>
          <w:b/>
          <w:sz w:val="22"/>
          <w:szCs w:val="22"/>
        </w:rPr>
        <w:t xml:space="preserve"> η μικρής κλίμακας μείωσή τους το 2011 κατά 0,3%, οφείλεται στην υποχώρηση των εξαγω</w:t>
      </w:r>
      <w:r w:rsidR="00FD223A">
        <w:rPr>
          <w:rFonts w:ascii="Tahoma" w:hAnsi="Tahoma" w:cs="Tahoma"/>
          <w:b/>
          <w:sz w:val="22"/>
          <w:szCs w:val="22"/>
        </w:rPr>
        <w:t xml:space="preserve">γών υπηρεσιών καθ΄ </w:t>
      </w:r>
      <w:r>
        <w:rPr>
          <w:rFonts w:ascii="Tahoma" w:hAnsi="Tahoma" w:cs="Tahoma"/>
          <w:b/>
          <w:sz w:val="22"/>
          <w:szCs w:val="22"/>
        </w:rPr>
        <w:t xml:space="preserve">όλη τη διάρκεια της χρονιάς, που έφτασε το 3,8%, </w:t>
      </w:r>
      <w:r>
        <w:rPr>
          <w:rFonts w:ascii="Tahoma" w:hAnsi="Tahoma" w:cs="Tahoma"/>
          <w:sz w:val="22"/>
          <w:szCs w:val="22"/>
        </w:rPr>
        <w:t>όταν η αντίστοιχη μεταβολή το</w:t>
      </w:r>
      <w:r w:rsidRPr="003A7B43">
        <w:rPr>
          <w:rFonts w:ascii="Tahoma" w:hAnsi="Tahoma" w:cs="Tahoma"/>
          <w:sz w:val="22"/>
          <w:szCs w:val="22"/>
        </w:rPr>
        <w:t xml:space="preserve"> 2010 </w:t>
      </w:r>
      <w:r w:rsidRPr="003A7B43">
        <w:rPr>
          <w:rFonts w:ascii="Tahoma" w:hAnsi="Tahoma" w:cs="Tahoma"/>
          <w:sz w:val="22"/>
          <w:szCs w:val="22"/>
        </w:rPr>
        <w:lastRenderedPageBreak/>
        <w:t>ήταν ανοδική (+3,2</w:t>
      </w:r>
      <w:r>
        <w:rPr>
          <w:rFonts w:ascii="Tahoma" w:hAnsi="Tahoma" w:cs="Tahoma"/>
          <w:sz w:val="22"/>
          <w:szCs w:val="22"/>
        </w:rPr>
        <w:t>%</w:t>
      </w:r>
      <w:r w:rsidRPr="003A7B43">
        <w:rPr>
          <w:rFonts w:ascii="Tahoma" w:hAnsi="Tahoma" w:cs="Tahoma"/>
          <w:sz w:val="22"/>
          <w:szCs w:val="22"/>
        </w:rPr>
        <w:t>).</w:t>
      </w:r>
      <w:r>
        <w:rPr>
          <w:rFonts w:ascii="Tahoma" w:hAnsi="Tahoma" w:cs="Tahoma"/>
          <w:b/>
          <w:sz w:val="22"/>
          <w:szCs w:val="22"/>
        </w:rPr>
        <w:t xml:space="preserve"> </w:t>
      </w:r>
      <w:r w:rsidRPr="001060BD">
        <w:rPr>
          <w:rFonts w:ascii="Tahoma" w:hAnsi="Tahoma" w:cs="Tahoma"/>
          <w:sz w:val="22"/>
          <w:szCs w:val="22"/>
        </w:rPr>
        <w:t>Η ήπια διεύρυνση των εξαγωγών αγαθών κατά 3,5% (από 5,4% το 2010),</w:t>
      </w:r>
      <w:r>
        <w:rPr>
          <w:rFonts w:ascii="Tahoma" w:hAnsi="Tahoma" w:cs="Tahoma"/>
          <w:sz w:val="22"/>
          <w:szCs w:val="22"/>
        </w:rPr>
        <w:t xml:space="preserve"> δεν ήταν επαρκής</w:t>
      </w:r>
      <w:r w:rsidRPr="001060BD">
        <w:rPr>
          <w:rFonts w:ascii="Tahoma" w:hAnsi="Tahoma" w:cs="Tahoma"/>
          <w:sz w:val="22"/>
          <w:szCs w:val="22"/>
        </w:rPr>
        <w:t xml:space="preserve"> για να την αντισταθμίσει</w:t>
      </w:r>
      <w:r w:rsidRPr="001060BD">
        <w:rPr>
          <w:rFonts w:ascii="Tahoma" w:hAnsi="Tahoma" w:cs="Tahoma"/>
          <w:bCs/>
          <w:sz w:val="22"/>
          <w:szCs w:val="22"/>
        </w:rPr>
        <w:t>.</w:t>
      </w:r>
      <w:r>
        <w:rPr>
          <w:rFonts w:ascii="Tahoma" w:hAnsi="Tahoma" w:cs="Tahoma"/>
          <w:bCs/>
          <w:sz w:val="22"/>
          <w:szCs w:val="22"/>
        </w:rPr>
        <w:t xml:space="preserve"> Επισημαίνεται ωστόσο η σημαντική πτώση του συνόλου των εξαγωγών στο τελευταίο τρίμηνο του έτους, κατά 6,1%, που</w:t>
      </w:r>
      <w:r w:rsidRPr="004B7E48">
        <w:rPr>
          <w:rFonts w:ascii="Tahoma" w:hAnsi="Tahoma" w:cs="Tahoma"/>
          <w:bCs/>
          <w:sz w:val="22"/>
          <w:szCs w:val="22"/>
        </w:rPr>
        <w:t xml:space="preserve"> </w:t>
      </w:r>
      <w:r>
        <w:rPr>
          <w:rFonts w:ascii="Tahoma" w:hAnsi="Tahoma" w:cs="Tahoma"/>
          <w:bCs/>
          <w:sz w:val="22"/>
          <w:szCs w:val="22"/>
        </w:rPr>
        <w:t>μάλιστα προήλθε κατά κύριο λόγο από τη συρρίκνωση των εξαγωγών αγαθών</w:t>
      </w:r>
      <w:r w:rsidRPr="004B7E48">
        <w:rPr>
          <w:rFonts w:ascii="Tahoma" w:hAnsi="Tahoma" w:cs="Tahoma"/>
          <w:bCs/>
          <w:sz w:val="22"/>
          <w:szCs w:val="22"/>
        </w:rPr>
        <w:t xml:space="preserve"> (-</w:t>
      </w:r>
      <w:r>
        <w:rPr>
          <w:rFonts w:ascii="Tahoma" w:hAnsi="Tahoma" w:cs="Tahoma"/>
          <w:bCs/>
          <w:sz w:val="22"/>
          <w:szCs w:val="22"/>
        </w:rPr>
        <w:t>10,7%</w:t>
      </w:r>
      <w:r w:rsidRPr="004B7E48">
        <w:rPr>
          <w:rFonts w:ascii="Tahoma" w:hAnsi="Tahoma" w:cs="Tahoma"/>
          <w:bCs/>
          <w:sz w:val="22"/>
          <w:szCs w:val="22"/>
        </w:rPr>
        <w:t>)</w:t>
      </w:r>
      <w:r>
        <w:rPr>
          <w:rFonts w:ascii="Tahoma" w:hAnsi="Tahoma" w:cs="Tahoma"/>
          <w:bCs/>
          <w:sz w:val="22"/>
          <w:szCs w:val="22"/>
        </w:rPr>
        <w:t>. Αυτό το γεγονός αντανακλά την επιβράδυνση της αύξησης του παγκόσμιου εμπορίου την ίδια περίοδο</w:t>
      </w:r>
      <w:r>
        <w:rPr>
          <w:rStyle w:val="FootnoteReference"/>
          <w:rFonts w:cs="Tahoma"/>
          <w:bCs/>
          <w:sz w:val="22"/>
          <w:szCs w:val="22"/>
        </w:rPr>
        <w:footnoteReference w:id="7"/>
      </w:r>
      <w:r>
        <w:rPr>
          <w:rFonts w:ascii="Tahoma" w:hAnsi="Tahoma" w:cs="Tahoma"/>
          <w:bCs/>
          <w:sz w:val="22"/>
          <w:szCs w:val="22"/>
        </w:rPr>
        <w:t>.</w:t>
      </w:r>
    </w:p>
    <w:p w:rsidR="00D30E57" w:rsidRDefault="00D30E57" w:rsidP="00D30E57">
      <w:pPr>
        <w:tabs>
          <w:tab w:val="left" w:pos="4140"/>
        </w:tabs>
        <w:autoSpaceDE w:val="0"/>
        <w:autoSpaceDN w:val="0"/>
        <w:adjustRightInd w:val="0"/>
        <w:spacing w:before="240" w:after="240" w:line="312" w:lineRule="auto"/>
        <w:ind w:right="-180"/>
        <w:jc w:val="both"/>
        <w:rPr>
          <w:rFonts w:ascii="Tahoma" w:hAnsi="Tahoma" w:cs="Tahoma"/>
          <w:sz w:val="22"/>
          <w:szCs w:val="22"/>
        </w:rPr>
      </w:pPr>
      <w:r>
        <w:rPr>
          <w:rFonts w:ascii="Tahoma" w:hAnsi="Tahoma" w:cs="Tahoma"/>
          <w:bCs/>
          <w:sz w:val="22"/>
          <w:szCs w:val="22"/>
        </w:rPr>
        <w:t>Σύμφωνα με την προσέγγιση του</w:t>
      </w:r>
      <w:r w:rsidRPr="00DE4E69">
        <w:rPr>
          <w:rFonts w:ascii="Tahoma" w:hAnsi="Tahoma" w:cs="Tahoma"/>
          <w:bCs/>
          <w:sz w:val="22"/>
          <w:szCs w:val="22"/>
        </w:rPr>
        <w:t xml:space="preserve"> ΑΕΠ σε παραγωγικούς όρους,</w:t>
      </w:r>
      <w:r w:rsidRPr="000D35EB">
        <w:rPr>
          <w:rFonts w:ascii="Tahoma" w:hAnsi="Tahoma" w:cs="Tahoma"/>
          <w:b/>
          <w:bCs/>
          <w:sz w:val="22"/>
          <w:szCs w:val="22"/>
        </w:rPr>
        <w:t xml:space="preserve"> η εγχώρια ακαθάριστη προστιθ</w:t>
      </w:r>
      <w:r>
        <w:rPr>
          <w:rFonts w:ascii="Tahoma" w:hAnsi="Tahoma" w:cs="Tahoma"/>
          <w:b/>
          <w:bCs/>
          <w:sz w:val="22"/>
          <w:szCs w:val="22"/>
        </w:rPr>
        <w:t>έμενη αξία παραγωγής ήταν</w:t>
      </w:r>
      <w:r w:rsidRPr="00D2149D">
        <w:rPr>
          <w:rFonts w:ascii="Tahoma" w:hAnsi="Tahoma" w:cs="Tahoma"/>
          <w:b/>
          <w:bCs/>
          <w:sz w:val="22"/>
          <w:szCs w:val="22"/>
        </w:rPr>
        <w:t xml:space="preserve"> 6,7%</w:t>
      </w:r>
      <w:r>
        <w:rPr>
          <w:rFonts w:ascii="Tahoma" w:hAnsi="Tahoma" w:cs="Tahoma"/>
          <w:b/>
          <w:bCs/>
          <w:sz w:val="22"/>
          <w:szCs w:val="22"/>
        </w:rPr>
        <w:t xml:space="preserve"> χαμηλότερη το</w:t>
      </w:r>
      <w:r w:rsidRPr="00D2149D">
        <w:rPr>
          <w:rFonts w:ascii="Tahoma" w:hAnsi="Tahoma" w:cs="Tahoma"/>
          <w:b/>
          <w:bCs/>
          <w:sz w:val="22"/>
          <w:szCs w:val="22"/>
        </w:rPr>
        <w:t xml:space="preserve"> 2011</w:t>
      </w:r>
      <w:r>
        <w:rPr>
          <w:rFonts w:ascii="Tahoma" w:hAnsi="Tahoma" w:cs="Tahoma"/>
          <w:b/>
          <w:bCs/>
          <w:sz w:val="22"/>
          <w:szCs w:val="22"/>
        </w:rPr>
        <w:t xml:space="preserve"> σε σύγκριση με το αμέσως προηγούμενο έτος,</w:t>
      </w:r>
      <w:r>
        <w:rPr>
          <w:rFonts w:ascii="Tahoma" w:hAnsi="Tahoma" w:cs="Tahoma"/>
          <w:bCs/>
          <w:sz w:val="22"/>
          <w:szCs w:val="22"/>
        </w:rPr>
        <w:t xml:space="preserve"> υποχώρηση υπεριδπλάσια αυτής που σημειώθηκε το 2010 (-3,6%)</w:t>
      </w:r>
      <w:r w:rsidRPr="0074529D">
        <w:rPr>
          <w:rFonts w:ascii="Tahoma" w:hAnsi="Tahoma" w:cs="Tahoma"/>
          <w:sz w:val="22"/>
          <w:szCs w:val="22"/>
        </w:rPr>
        <w:t>.</w:t>
      </w:r>
      <w:r>
        <w:rPr>
          <w:rFonts w:ascii="Tahoma" w:hAnsi="Tahoma" w:cs="Tahoma"/>
          <w:sz w:val="22"/>
          <w:szCs w:val="22"/>
        </w:rPr>
        <w:t xml:space="preserve"> Αναλυτικότερα,</w:t>
      </w:r>
      <w:r>
        <w:rPr>
          <w:rFonts w:ascii="Tahoma" w:hAnsi="Tahoma" w:cs="Tahoma"/>
          <w:b/>
          <w:sz w:val="22"/>
          <w:szCs w:val="22"/>
        </w:rPr>
        <w:t xml:space="preserve"> στις</w:t>
      </w:r>
      <w:r w:rsidRPr="000A19B9">
        <w:rPr>
          <w:rFonts w:ascii="Tahoma" w:hAnsi="Tahoma" w:cs="Tahoma"/>
          <w:b/>
          <w:sz w:val="22"/>
          <w:szCs w:val="22"/>
        </w:rPr>
        <w:t xml:space="preserve"> κατασκευές</w:t>
      </w:r>
      <w:r>
        <w:rPr>
          <w:rFonts w:ascii="Tahoma" w:hAnsi="Tahoma" w:cs="Tahoma"/>
          <w:b/>
          <w:sz w:val="22"/>
          <w:szCs w:val="22"/>
        </w:rPr>
        <w:t xml:space="preserve"> σημειώθηκε η εντονότερη συρρίκνωση παραγωγικής δραστηριότητας, της τάξης του 18,0% (από -8,1% το 2010), με τους τομείς </w:t>
      </w:r>
      <w:r w:rsidRPr="000A19B9">
        <w:rPr>
          <w:rFonts w:ascii="Tahoma" w:hAnsi="Tahoma" w:cs="Tahoma"/>
          <w:b/>
          <w:sz w:val="22"/>
          <w:szCs w:val="22"/>
        </w:rPr>
        <w:t xml:space="preserve">ενημέρωσης-επικοινωνίας </w:t>
      </w:r>
      <w:r>
        <w:rPr>
          <w:rFonts w:ascii="Tahoma" w:hAnsi="Tahoma" w:cs="Tahoma"/>
          <w:b/>
          <w:sz w:val="22"/>
          <w:szCs w:val="22"/>
        </w:rPr>
        <w:t xml:space="preserve">και ορυχείων-βιομηχανίας να έπονται σε απώλειες </w:t>
      </w:r>
      <w:r w:rsidRPr="000A19B9">
        <w:rPr>
          <w:rFonts w:ascii="Tahoma" w:hAnsi="Tahoma" w:cs="Tahoma"/>
          <w:b/>
          <w:sz w:val="22"/>
          <w:szCs w:val="22"/>
        </w:rPr>
        <w:t>(</w:t>
      </w:r>
      <w:r>
        <w:rPr>
          <w:rFonts w:ascii="Tahoma" w:hAnsi="Tahoma" w:cs="Tahoma"/>
          <w:b/>
          <w:sz w:val="22"/>
          <w:szCs w:val="22"/>
        </w:rPr>
        <w:t>-9,5% και -9,1% αντίστοιχα)</w:t>
      </w:r>
      <w:r w:rsidRPr="000A19B9">
        <w:rPr>
          <w:rFonts w:ascii="Tahoma" w:hAnsi="Tahoma" w:cs="Tahoma"/>
          <w:b/>
          <w:sz w:val="22"/>
          <w:szCs w:val="22"/>
        </w:rPr>
        <w:t>.</w:t>
      </w:r>
      <w:r>
        <w:rPr>
          <w:rFonts w:ascii="Tahoma" w:hAnsi="Tahoma" w:cs="Tahoma"/>
          <w:b/>
          <w:sz w:val="22"/>
          <w:szCs w:val="22"/>
        </w:rPr>
        <w:t xml:space="preserve"> </w:t>
      </w:r>
      <w:r>
        <w:rPr>
          <w:rFonts w:ascii="Tahoma" w:hAnsi="Tahoma" w:cs="Tahoma"/>
          <w:sz w:val="22"/>
          <w:szCs w:val="22"/>
        </w:rPr>
        <w:t xml:space="preserve">Στην αντίστοιχη τριάδα του 2010 περιλαμβάνονταν οι επαγγελματικές- επιστημονικές-τεχνικές δραστηριότητες, ο χρηματοπιστωτικός-ασφαλιστικός τομέας και οι κατασκευές. </w:t>
      </w:r>
    </w:p>
    <w:p w:rsidR="00D30E57" w:rsidRPr="00213236" w:rsidRDefault="00D30E57" w:rsidP="00D30E57">
      <w:pPr>
        <w:tabs>
          <w:tab w:val="left" w:pos="4140"/>
        </w:tabs>
        <w:autoSpaceDE w:val="0"/>
        <w:autoSpaceDN w:val="0"/>
        <w:adjustRightInd w:val="0"/>
        <w:spacing w:before="240" w:after="240" w:line="312" w:lineRule="auto"/>
        <w:ind w:right="-180"/>
        <w:jc w:val="both"/>
        <w:rPr>
          <w:rFonts w:ascii="Tahoma" w:hAnsi="Tahoma" w:cs="Tahoma"/>
          <w:b/>
          <w:sz w:val="22"/>
          <w:szCs w:val="22"/>
        </w:rPr>
      </w:pPr>
      <w:r w:rsidRPr="000B321B">
        <w:rPr>
          <w:rFonts w:ascii="Tahoma" w:hAnsi="Tahoma" w:cs="Tahoma"/>
          <w:b/>
          <w:sz w:val="22"/>
          <w:szCs w:val="22"/>
        </w:rPr>
        <w:t>Η συνεχής μεταβολή των δραστηριοτήτων με τη</w:t>
      </w:r>
      <w:r>
        <w:rPr>
          <w:rFonts w:ascii="Tahoma" w:hAnsi="Tahoma" w:cs="Tahoma"/>
          <w:b/>
          <w:sz w:val="22"/>
          <w:szCs w:val="22"/>
        </w:rPr>
        <w:t xml:space="preserve"> </w:t>
      </w:r>
      <w:r w:rsidRPr="000B321B">
        <w:rPr>
          <w:rFonts w:ascii="Tahoma" w:hAnsi="Tahoma" w:cs="Tahoma"/>
          <w:b/>
          <w:sz w:val="22"/>
          <w:szCs w:val="22"/>
        </w:rPr>
        <w:t>μεγαλύτερη επιδείνωση του προϊόντος αναμφίβολα αντανακλά την πορεία εξάπλωσης της οικονομικής κρίσης</w:t>
      </w:r>
      <w:r>
        <w:rPr>
          <w:rFonts w:ascii="Tahoma" w:hAnsi="Tahoma" w:cs="Tahoma"/>
          <w:b/>
          <w:sz w:val="22"/>
          <w:szCs w:val="22"/>
        </w:rPr>
        <w:t xml:space="preserve"> και</w:t>
      </w:r>
      <w:r w:rsidRPr="000B321B">
        <w:rPr>
          <w:rFonts w:ascii="Tahoma" w:hAnsi="Tahoma" w:cs="Tahoma"/>
          <w:b/>
          <w:sz w:val="22"/>
          <w:szCs w:val="22"/>
        </w:rPr>
        <w:t xml:space="preserve"> τη μετάβασή της από ορισμένους τομείς σε κάποιους άλλους.</w:t>
      </w:r>
      <w:r>
        <w:rPr>
          <w:rFonts w:ascii="Tahoma" w:hAnsi="Tahoma" w:cs="Tahoma"/>
          <w:sz w:val="22"/>
          <w:szCs w:val="22"/>
        </w:rPr>
        <w:t xml:space="preserve"> </w:t>
      </w:r>
      <w:r w:rsidRPr="00C02562">
        <w:rPr>
          <w:rFonts w:ascii="Tahoma" w:hAnsi="Tahoma" w:cs="Tahoma"/>
          <w:sz w:val="22"/>
          <w:szCs w:val="22"/>
        </w:rPr>
        <w:t>Έτσι για παράδειγμα</w:t>
      </w:r>
      <w:r w:rsidRPr="004B48B7">
        <w:rPr>
          <w:rFonts w:ascii="Tahoma" w:hAnsi="Tahoma" w:cs="Tahoma"/>
          <w:sz w:val="22"/>
          <w:szCs w:val="22"/>
        </w:rPr>
        <w:t>,</w:t>
      </w:r>
      <w:r>
        <w:rPr>
          <w:rFonts w:ascii="Tahoma" w:hAnsi="Tahoma" w:cs="Tahoma"/>
          <w:b/>
          <w:sz w:val="22"/>
          <w:szCs w:val="22"/>
        </w:rPr>
        <w:t xml:space="preserve"> </w:t>
      </w:r>
      <w:r>
        <w:rPr>
          <w:rFonts w:ascii="Tahoma" w:hAnsi="Tahoma" w:cs="Tahoma"/>
          <w:sz w:val="22"/>
          <w:szCs w:val="22"/>
        </w:rPr>
        <w:t xml:space="preserve">η διαρκής </w:t>
      </w:r>
      <w:r>
        <w:rPr>
          <w:rFonts w:ascii="Tahoma" w:hAnsi="Tahoma" w:cs="Tahoma"/>
          <w:sz w:val="22"/>
          <w:szCs w:val="22"/>
        </w:rPr>
        <w:lastRenderedPageBreak/>
        <w:t>υποχώρηση της κατασκευαστικής δραστηριότητας, που είχε ξεκινήσει πολύ νωρίτερα από το 2007, δεν οφείλεται μόνο στη γενικότερη ύφεση, αλλά αποτελεί και διόρθωση της υπερβολικής ανόδου που είχε σημειωθεί παλαιότερα. Εξάλλου,</w:t>
      </w:r>
      <w:r w:rsidRPr="004B48B7">
        <w:rPr>
          <w:rFonts w:ascii="Tahoma" w:hAnsi="Tahoma" w:cs="Tahoma"/>
          <w:sz w:val="22"/>
          <w:szCs w:val="22"/>
        </w:rPr>
        <w:t xml:space="preserve"> </w:t>
      </w:r>
      <w:r>
        <w:rPr>
          <w:rFonts w:ascii="Tahoma" w:hAnsi="Tahoma" w:cs="Tahoma"/>
          <w:sz w:val="22"/>
          <w:szCs w:val="22"/>
        </w:rPr>
        <w:t xml:space="preserve">το </w:t>
      </w:r>
      <w:r w:rsidRPr="00213236">
        <w:rPr>
          <w:rFonts w:ascii="Tahoma" w:hAnsi="Tahoma" w:cs="Tahoma"/>
          <w:sz w:val="22"/>
          <w:szCs w:val="22"/>
        </w:rPr>
        <w:t xml:space="preserve">χονδρικό &amp; λιανικό εμπόριο-μεταφορές &amp; αποθηκεύσεις-υπηρεσίες καταλύματος &amp; εστίασης περιορίστηκε </w:t>
      </w:r>
      <w:r>
        <w:rPr>
          <w:rFonts w:ascii="Tahoma" w:hAnsi="Tahoma" w:cs="Tahoma"/>
          <w:sz w:val="22"/>
          <w:szCs w:val="22"/>
        </w:rPr>
        <w:t xml:space="preserve">το 2011 </w:t>
      </w:r>
      <w:r w:rsidRPr="00213236">
        <w:rPr>
          <w:rFonts w:ascii="Tahoma" w:hAnsi="Tahoma" w:cs="Tahoma"/>
          <w:sz w:val="22"/>
          <w:szCs w:val="22"/>
        </w:rPr>
        <w:t xml:space="preserve">κατά 7,7%, οι τέχνες-διασκέδαση-ψυχαγωγία κατά 6,1% και οι επαγγελματικές- επιστημονικές-τεχνικές δραστηριότητες κατά 5,8%. </w:t>
      </w:r>
      <w:r w:rsidRPr="00213236">
        <w:rPr>
          <w:rFonts w:ascii="Tahoma" w:hAnsi="Tahoma" w:cs="Tahoma"/>
          <w:b/>
          <w:sz w:val="22"/>
          <w:szCs w:val="22"/>
        </w:rPr>
        <w:t>Όπως διαφαινόταν στη διάρκεια της περασμένης χρονιάς, η γεωργία-δασοκομεία-αλιεία ήταν ο μοναδικός τομέας που αναπτύχθηκε, με ρυθμό 2,5%.</w:t>
      </w:r>
    </w:p>
    <w:p w:rsidR="00D30E57" w:rsidRDefault="00D30E57" w:rsidP="00D30E57">
      <w:pPr>
        <w:tabs>
          <w:tab w:val="left" w:pos="4140"/>
        </w:tabs>
        <w:autoSpaceDE w:val="0"/>
        <w:autoSpaceDN w:val="0"/>
        <w:adjustRightInd w:val="0"/>
        <w:spacing w:before="240" w:after="240" w:line="312" w:lineRule="auto"/>
        <w:ind w:right="-180"/>
        <w:jc w:val="both"/>
        <w:rPr>
          <w:rFonts w:ascii="Tahoma" w:hAnsi="Tahoma" w:cs="Tahoma"/>
          <w:bCs/>
          <w:sz w:val="22"/>
          <w:szCs w:val="22"/>
        </w:rPr>
      </w:pPr>
      <w:r>
        <w:rPr>
          <w:rFonts w:ascii="Tahoma" w:hAnsi="Tahoma" w:cs="Tahoma"/>
          <w:bCs/>
          <w:sz w:val="22"/>
          <w:szCs w:val="22"/>
        </w:rPr>
        <w:t xml:space="preserve">Η επιδείνωση της ύφεσης στα τέλη του 2011 προκάλεσε περαιτέρω χειροτέρευση στις συνθήκες της αγοράς εργασίας σε αυτό το διάστημα. Όμως αυτή η εξέλιξη ήταν σε ένα βαθμό αναμενόμενη καθώς, όπως είχε εκτιμηθεί στην προηγούμενη έκθεση, η παραγωγική δραστηριότητα θα προσαρμοζόταν στο δεύτερο μισό του 2011 στην αρκετά εντονότερη της αναμενόμενης μείωση του ΑΕΠ στις αρχές του έτους, με αναπόφευκτες επιπτώσεις και στην απασχόληση. Υπό αυτές τις επιδράσεις, </w:t>
      </w:r>
      <w:r>
        <w:rPr>
          <w:rFonts w:ascii="Tahoma" w:hAnsi="Tahoma" w:cs="Tahoma"/>
          <w:b/>
          <w:bCs/>
          <w:sz w:val="22"/>
          <w:szCs w:val="22"/>
        </w:rPr>
        <w:t>το ποσοστό ανεργίας ανήλθε στο 20,7% στο τέταρτο τρίμηνο του 2011, 6,5 εκατοστιαίες μονάδες υψηλότερα από ότι βρισκόταν ένα χρόνο νωρίτερα. Για ολόκληρο το 201</w:t>
      </w:r>
      <w:r w:rsidR="00E83273">
        <w:rPr>
          <w:rFonts w:ascii="Tahoma" w:hAnsi="Tahoma" w:cs="Tahoma"/>
          <w:b/>
          <w:bCs/>
          <w:sz w:val="22"/>
          <w:szCs w:val="22"/>
        </w:rPr>
        <w:t>1</w:t>
      </w:r>
      <w:r>
        <w:rPr>
          <w:rFonts w:ascii="Tahoma" w:hAnsi="Tahoma" w:cs="Tahoma"/>
          <w:b/>
          <w:bCs/>
          <w:sz w:val="22"/>
          <w:szCs w:val="22"/>
        </w:rPr>
        <w:t>, η αύξησή της έφτασε τις 5,2 εκατοστιαίες μονάδες, στο 17,7% από 12,5%.</w:t>
      </w:r>
      <w:r>
        <w:rPr>
          <w:rFonts w:ascii="Tahoma" w:hAnsi="Tahoma" w:cs="Tahoma"/>
          <w:bCs/>
          <w:sz w:val="22"/>
          <w:szCs w:val="22"/>
        </w:rPr>
        <w:t xml:space="preserve"> </w:t>
      </w:r>
    </w:p>
    <w:p w:rsidR="00D30E57" w:rsidRPr="00BC7CE8" w:rsidRDefault="00D30E57" w:rsidP="00D30E57">
      <w:pPr>
        <w:tabs>
          <w:tab w:val="left" w:pos="4140"/>
        </w:tabs>
        <w:autoSpaceDE w:val="0"/>
        <w:autoSpaceDN w:val="0"/>
        <w:adjustRightInd w:val="0"/>
        <w:spacing w:before="240" w:after="240" w:line="312" w:lineRule="auto"/>
        <w:ind w:right="-180"/>
        <w:jc w:val="both"/>
        <w:rPr>
          <w:rFonts w:ascii="Tahoma" w:hAnsi="Tahoma" w:cs="Tahoma"/>
          <w:b/>
          <w:bCs/>
          <w:sz w:val="22"/>
          <w:szCs w:val="22"/>
        </w:rPr>
      </w:pPr>
      <w:r>
        <w:rPr>
          <w:rFonts w:ascii="Tahoma" w:hAnsi="Tahoma" w:cs="Tahoma"/>
          <w:bCs/>
          <w:sz w:val="22"/>
          <w:szCs w:val="22"/>
        </w:rPr>
        <w:t>Αναφορικά με τις εξελίξεις στο πεδίο των τιμών, η σημαντική αποκλιμάκωση της κατανάλωσης των νοικοκυριών στο τρίμηνο Οκτωβρίου-Δεκεμβρίου</w:t>
      </w:r>
      <w:r>
        <w:rPr>
          <w:rFonts w:ascii="Tahoma" w:hAnsi="Tahoma" w:cs="Tahoma"/>
          <w:sz w:val="22"/>
          <w:szCs w:val="22"/>
        </w:rPr>
        <w:t xml:space="preserve"> οδήγησε σε επιβράδυνση του πληθωρισμού, παρά την </w:t>
      </w:r>
      <w:r>
        <w:rPr>
          <w:rFonts w:ascii="Tahoma" w:hAnsi="Tahoma" w:cs="Tahoma"/>
          <w:sz w:val="22"/>
          <w:szCs w:val="22"/>
        </w:rPr>
        <w:lastRenderedPageBreak/>
        <w:t>αντίρροπη επίδραση σε αυτόν από την αύξηση ορισμένων φόρων στο δίμηνο Σεπτεμβρίου-Οκτωβρίου (Φ.Π.Α. εστίασης, Ε.Φ.Κ. πετρελαίου οικιακής θέρμανσης). Ωστόσο, ο πληθωρισμός δεν είχε επιστρέψει μέχρι το τέλος του 2011 στο χαμηλότερο επίπεδό του για πέρυσι, που σημειώθηκε τον Αύγουστο (1,7%). Διαμορφώθηκε στο 3,3% στο σύνολο του έτους, 1,4 εκατοστιαίες μονάδες χαμηλότερα από ότι το 2010.</w:t>
      </w:r>
    </w:p>
    <w:p w:rsidR="00295EC3" w:rsidRDefault="00D30E57" w:rsidP="00D30E57">
      <w:pPr>
        <w:autoSpaceDE w:val="0"/>
        <w:autoSpaceDN w:val="0"/>
        <w:adjustRightInd w:val="0"/>
        <w:spacing w:before="240" w:after="240" w:line="312" w:lineRule="auto"/>
        <w:jc w:val="both"/>
        <w:rPr>
          <w:rFonts w:ascii="Tahoma" w:hAnsi="Tahoma" w:cs="Tahoma"/>
          <w:sz w:val="22"/>
          <w:szCs w:val="22"/>
        </w:rPr>
      </w:pPr>
      <w:r>
        <w:rPr>
          <w:rFonts w:ascii="Tahoma" w:hAnsi="Tahoma" w:cs="Tahoma"/>
          <w:sz w:val="22"/>
          <w:szCs w:val="22"/>
        </w:rPr>
        <w:t xml:space="preserve">Ανακεφαλαιώνοντας, οι σημαντικές πολιτικές εξελίξεις των τελευταίων μηνών του 2011 που οδήγησαν σε κυβέρνηση συνεργασίας, οι παρατεταμένες διαβουλεύσεις σε επίπεδο Ευρωζώνης το ίδιο χρονικό διάστημα για τη διαμόρφωση των χαρακτηριστικών της νέας δανειακής σύμβασης με την Ελλάδα και η κλιμάκωση της δημοσιονομικής προσπάθειας με νέα μέτρα, για την κάλυψη των </w:t>
      </w:r>
      <w:r>
        <w:rPr>
          <w:rFonts w:ascii="Tahoma" w:hAnsi="Tahoma" w:cs="Tahoma"/>
          <w:sz w:val="22"/>
          <w:szCs w:val="22"/>
        </w:rPr>
        <w:lastRenderedPageBreak/>
        <w:t>αποκλίσεων από τους σχετικούς στόχους που είχαν τεθεί τις αρχές του χρόνου, αύξησαν κατακόρυφα τις ασκούμενες πιέσεις και την αβεβαιότητα στο εγχώριο κοινωνικοοικονομικό περιβάλλον. Καθώς ορισμένες από τις σημαντικές διαδικασίες που ξεκίνησαν στο τέταρτο τρίμηνο του 2011, όπως οι διαπραγματεύσεις για τη συμμετοχή του ιδιωτικού τομέα στην απομείωση του ελληνικού χρέους, ήταν ιδιαίτερα κρίσιμες για το μέλλον της χώρας και θα συνεχίζονταν το 2012, η επιφυλακτικότητα για τα αποτελέσματά τους παρέμενε υψηλή μέχρι το τέλος της περασμένης χρονιάς, μην επιτρέποντας την αποφόρτιση του κοινωνικοπολιτικού περιβάλλοντος, με την ανησυχία για την έκβασή τους να μεταφέρεται και να επιδρά αρνητικά και στο τρέχον έτος.</w:t>
      </w:r>
    </w:p>
    <w:p w:rsidR="00A72932" w:rsidRDefault="00A72932" w:rsidP="00D30E57">
      <w:pPr>
        <w:autoSpaceDE w:val="0"/>
        <w:autoSpaceDN w:val="0"/>
        <w:adjustRightInd w:val="0"/>
        <w:spacing w:before="240" w:after="240" w:line="312" w:lineRule="auto"/>
        <w:jc w:val="both"/>
        <w:rPr>
          <w:rFonts w:ascii="Tahoma" w:hAnsi="Tahoma" w:cs="Tahoma"/>
          <w:sz w:val="22"/>
          <w:szCs w:val="22"/>
        </w:rPr>
        <w:sectPr w:rsidR="00A72932" w:rsidSect="00A72932">
          <w:type w:val="continuous"/>
          <w:pgSz w:w="11906" w:h="16838"/>
          <w:pgMar w:top="1077" w:right="1106" w:bottom="720" w:left="1440" w:header="709" w:footer="709" w:gutter="0"/>
          <w:cols w:num="2" w:space="720"/>
          <w:docGrid w:linePitch="360"/>
        </w:sectPr>
      </w:pPr>
    </w:p>
    <w:p w:rsidR="00D30E57" w:rsidRDefault="00D30E57" w:rsidP="00D30E57">
      <w:pPr>
        <w:autoSpaceDE w:val="0"/>
        <w:autoSpaceDN w:val="0"/>
        <w:adjustRightInd w:val="0"/>
        <w:spacing w:before="240" w:after="240" w:line="312" w:lineRule="auto"/>
        <w:jc w:val="both"/>
        <w:rPr>
          <w:rFonts w:ascii="Tahoma" w:hAnsi="Tahoma" w:cs="Tahoma"/>
          <w:sz w:val="22"/>
          <w:szCs w:val="22"/>
        </w:rPr>
      </w:pPr>
    </w:p>
    <w:p w:rsidR="00295EC3" w:rsidRDefault="00295EC3" w:rsidP="00D30E57">
      <w:pPr>
        <w:autoSpaceDE w:val="0"/>
        <w:autoSpaceDN w:val="0"/>
        <w:adjustRightInd w:val="0"/>
        <w:spacing w:before="240" w:after="240" w:line="312" w:lineRule="auto"/>
        <w:jc w:val="both"/>
        <w:rPr>
          <w:rFonts w:ascii="Tahoma" w:hAnsi="Tahoma" w:cs="Tahoma"/>
          <w:sz w:val="22"/>
          <w:szCs w:val="22"/>
        </w:rPr>
        <w:sectPr w:rsidR="00295EC3" w:rsidSect="00295EC3">
          <w:type w:val="continuous"/>
          <w:pgSz w:w="11906" w:h="16838"/>
          <w:pgMar w:top="1440" w:right="849" w:bottom="1440" w:left="1560" w:header="708" w:footer="708" w:gutter="0"/>
          <w:cols w:space="720"/>
          <w:docGrid w:linePitch="360"/>
        </w:sectPr>
      </w:pPr>
    </w:p>
    <w:p w:rsidR="00D30E57" w:rsidRPr="00E62E09" w:rsidRDefault="00D30E57" w:rsidP="00D30E57">
      <w:pPr>
        <w:autoSpaceDE w:val="0"/>
        <w:autoSpaceDN w:val="0"/>
        <w:adjustRightInd w:val="0"/>
        <w:spacing w:before="120" w:after="120"/>
        <w:jc w:val="center"/>
        <w:rPr>
          <w:rFonts w:ascii="Tahoma" w:hAnsi="Tahoma" w:cs="Tahoma"/>
          <w:b/>
          <w:bCs/>
        </w:rPr>
      </w:pPr>
      <w:r>
        <w:rPr>
          <w:rFonts w:ascii="Tahoma" w:hAnsi="Tahoma" w:cs="Tahoma"/>
          <w:b/>
          <w:bCs/>
        </w:rPr>
        <w:lastRenderedPageBreak/>
        <w:t>Π</w:t>
      </w:r>
      <w:r w:rsidRPr="00E62E09">
        <w:rPr>
          <w:rFonts w:ascii="Tahoma" w:hAnsi="Tahoma" w:cs="Tahoma"/>
          <w:b/>
          <w:bCs/>
        </w:rPr>
        <w:t>ίνακας 3.1</w:t>
      </w:r>
    </w:p>
    <w:p w:rsidR="00D30E57" w:rsidRPr="00E62E09" w:rsidRDefault="00D30E57" w:rsidP="00D30E57">
      <w:pPr>
        <w:autoSpaceDE w:val="0"/>
        <w:autoSpaceDN w:val="0"/>
        <w:adjustRightInd w:val="0"/>
        <w:spacing w:before="120" w:after="120"/>
        <w:ind w:left="-180" w:right="-514"/>
        <w:jc w:val="center"/>
        <w:rPr>
          <w:rFonts w:ascii="Tahoma" w:hAnsi="Tahoma" w:cs="Tahoma"/>
          <w:color w:val="000000"/>
        </w:rPr>
      </w:pPr>
      <w:r w:rsidRPr="00E62E09">
        <w:rPr>
          <w:rFonts w:ascii="Tahoma" w:hAnsi="Tahoma" w:cs="Tahoma"/>
        </w:rPr>
        <w:t>Εξέλιξη βασ</w:t>
      </w:r>
      <w:r>
        <w:rPr>
          <w:rFonts w:ascii="Tahoma" w:hAnsi="Tahoma" w:cs="Tahoma"/>
        </w:rPr>
        <w:t>ικών μακροοικονομικών μεγεθών –Τ</w:t>
      </w:r>
      <w:r w:rsidRPr="00E62E09">
        <w:rPr>
          <w:rFonts w:ascii="Tahoma" w:hAnsi="Tahoma" w:cs="Tahoma"/>
        </w:rPr>
        <w:t>ριμηνιαίοι Εθνικοί Λογαριασμοί (σταθερές τιμές 2005)</w:t>
      </w:r>
    </w:p>
    <w:tbl>
      <w:tblPr>
        <w:tblW w:w="10260" w:type="dxa"/>
        <w:jc w:val="center"/>
        <w:tblLayout w:type="fixed"/>
        <w:tblCellMar>
          <w:left w:w="43" w:type="dxa"/>
          <w:right w:w="43" w:type="dxa"/>
        </w:tblCellMar>
        <w:tblLook w:val="0000"/>
      </w:tblPr>
      <w:tblGrid>
        <w:gridCol w:w="1080"/>
        <w:gridCol w:w="1017"/>
        <w:gridCol w:w="882"/>
        <w:gridCol w:w="1025"/>
        <w:gridCol w:w="856"/>
        <w:gridCol w:w="900"/>
        <w:gridCol w:w="900"/>
        <w:gridCol w:w="900"/>
        <w:gridCol w:w="900"/>
        <w:gridCol w:w="900"/>
        <w:gridCol w:w="900"/>
      </w:tblGrid>
      <w:tr w:rsidR="00D30E57" w:rsidTr="000B6769">
        <w:trPr>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8"/>
                <w:szCs w:val="18"/>
                <w:lang w:val="en-US"/>
              </w:rPr>
            </w:pPr>
            <w:r>
              <w:rPr>
                <w:rFonts w:ascii="Tahoma" w:hAnsi="Tahoma" w:cs="Tahoma"/>
                <w:sz w:val="18"/>
                <w:szCs w:val="18"/>
              </w:rPr>
              <w:t>Τ</w:t>
            </w:r>
            <w:r>
              <w:rPr>
                <w:rFonts w:ascii="Tahoma" w:hAnsi="Tahoma" w:cs="Tahoma"/>
                <w:sz w:val="18"/>
                <w:szCs w:val="18"/>
                <w:lang w:val="en-US"/>
              </w:rPr>
              <w:t>ρίμηνο</w:t>
            </w:r>
          </w:p>
        </w:tc>
        <w:tc>
          <w:tcPr>
            <w:tcW w:w="1899" w:type="dxa"/>
            <w:gridSpan w:val="2"/>
            <w:tcBorders>
              <w:top w:val="single" w:sz="6" w:space="0" w:color="auto"/>
              <w:left w:val="single" w:sz="6" w:space="0" w:color="auto"/>
              <w:bottom w:val="single" w:sz="6" w:space="0" w:color="auto"/>
              <w:right w:val="single" w:sz="6" w:space="0" w:color="auto"/>
            </w:tcBorders>
            <w:vAlign w:val="center"/>
          </w:tcPr>
          <w:p w:rsidR="00D30E57" w:rsidRPr="00315F4B" w:rsidRDefault="00D30E57" w:rsidP="000B6769">
            <w:pPr>
              <w:autoSpaceDE w:val="0"/>
              <w:autoSpaceDN w:val="0"/>
              <w:adjustRightInd w:val="0"/>
              <w:jc w:val="center"/>
              <w:rPr>
                <w:rFonts w:ascii="Tahoma" w:hAnsi="Tahoma" w:cs="Tahoma"/>
                <w:sz w:val="18"/>
                <w:szCs w:val="18"/>
              </w:rPr>
            </w:pPr>
            <w:r>
              <w:rPr>
                <w:rFonts w:ascii="Tahoma" w:hAnsi="Tahoma" w:cs="Tahoma"/>
                <w:sz w:val="18"/>
                <w:szCs w:val="18"/>
                <w:lang w:val="en-US"/>
              </w:rPr>
              <w:t>ΑΕ</w:t>
            </w:r>
            <w:r>
              <w:rPr>
                <w:rFonts w:ascii="Tahoma" w:hAnsi="Tahoma" w:cs="Tahoma"/>
                <w:sz w:val="18"/>
                <w:szCs w:val="18"/>
              </w:rPr>
              <w:t>Π</w:t>
            </w:r>
          </w:p>
        </w:tc>
        <w:tc>
          <w:tcPr>
            <w:tcW w:w="1881" w:type="dxa"/>
            <w:gridSpan w:val="2"/>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8"/>
                <w:szCs w:val="18"/>
                <w:lang w:val="en-US"/>
              </w:rPr>
            </w:pPr>
            <w:r>
              <w:rPr>
                <w:rFonts w:ascii="Tahoma" w:hAnsi="Tahoma" w:cs="Tahoma"/>
                <w:sz w:val="18"/>
                <w:szCs w:val="18"/>
              </w:rPr>
              <w:t>Τ</w:t>
            </w:r>
            <w:r>
              <w:rPr>
                <w:rFonts w:ascii="Tahoma" w:hAnsi="Tahoma" w:cs="Tahoma"/>
                <w:sz w:val="18"/>
                <w:szCs w:val="18"/>
                <w:lang w:val="en-US"/>
              </w:rPr>
              <w:t>ελική</w:t>
            </w:r>
          </w:p>
          <w:p w:rsidR="00D30E57" w:rsidRDefault="00D30E57" w:rsidP="000B6769">
            <w:pPr>
              <w:autoSpaceDE w:val="0"/>
              <w:autoSpaceDN w:val="0"/>
              <w:adjustRightInd w:val="0"/>
              <w:jc w:val="center"/>
              <w:rPr>
                <w:rFonts w:ascii="Tahoma" w:hAnsi="Tahoma" w:cs="Tahoma"/>
                <w:sz w:val="18"/>
                <w:szCs w:val="18"/>
                <w:lang w:val="en-US"/>
              </w:rPr>
            </w:pPr>
            <w:r>
              <w:rPr>
                <w:rFonts w:ascii="Tahoma" w:hAnsi="Tahoma" w:cs="Tahoma"/>
                <w:sz w:val="18"/>
                <w:szCs w:val="18"/>
                <w:lang w:val="en-US"/>
              </w:rPr>
              <w:t> </w:t>
            </w:r>
            <w:r>
              <w:rPr>
                <w:rFonts w:ascii="Tahoma" w:hAnsi="Tahoma" w:cs="Tahoma"/>
                <w:sz w:val="18"/>
                <w:szCs w:val="18"/>
              </w:rPr>
              <w:t>Κ</w:t>
            </w:r>
            <w:r>
              <w:rPr>
                <w:rFonts w:ascii="Tahoma" w:hAnsi="Tahoma" w:cs="Tahoma"/>
                <w:sz w:val="18"/>
                <w:szCs w:val="18"/>
                <w:lang w:val="en-US"/>
              </w:rPr>
              <w:t>ατανάλωση</w:t>
            </w:r>
          </w:p>
        </w:tc>
        <w:tc>
          <w:tcPr>
            <w:tcW w:w="1800" w:type="dxa"/>
            <w:gridSpan w:val="2"/>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8"/>
                <w:szCs w:val="18"/>
                <w:lang w:val="en-US"/>
              </w:rPr>
            </w:pPr>
            <w:r>
              <w:rPr>
                <w:rFonts w:ascii="Tahoma" w:hAnsi="Tahoma" w:cs="Tahoma"/>
                <w:sz w:val="18"/>
                <w:szCs w:val="18"/>
                <w:lang w:val="en-US"/>
              </w:rPr>
              <w:t>Επενδύσεις</w:t>
            </w:r>
          </w:p>
        </w:tc>
        <w:tc>
          <w:tcPr>
            <w:tcW w:w="1800" w:type="dxa"/>
            <w:gridSpan w:val="2"/>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8"/>
                <w:szCs w:val="18"/>
                <w:lang w:val="en-US"/>
              </w:rPr>
            </w:pPr>
            <w:r>
              <w:rPr>
                <w:rFonts w:ascii="Tahoma" w:hAnsi="Tahoma" w:cs="Tahoma"/>
                <w:sz w:val="18"/>
                <w:szCs w:val="18"/>
                <w:lang w:val="en-US"/>
              </w:rPr>
              <w:t>Εξαγωγές</w:t>
            </w:r>
          </w:p>
        </w:tc>
        <w:tc>
          <w:tcPr>
            <w:tcW w:w="1800" w:type="dxa"/>
            <w:gridSpan w:val="2"/>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8"/>
                <w:szCs w:val="18"/>
                <w:lang w:val="en-US"/>
              </w:rPr>
            </w:pPr>
            <w:r>
              <w:rPr>
                <w:rFonts w:ascii="Tahoma" w:hAnsi="Tahoma" w:cs="Tahoma"/>
                <w:sz w:val="18"/>
                <w:szCs w:val="18"/>
                <w:lang w:val="en-US"/>
              </w:rPr>
              <w:t>Εισαγωγές</w:t>
            </w:r>
          </w:p>
        </w:tc>
      </w:tr>
      <w:tr w:rsidR="00D30E57" w:rsidTr="000B6769">
        <w:trPr>
          <w:trHeight w:val="284"/>
          <w:jc w:val="center"/>
        </w:trPr>
        <w:tc>
          <w:tcPr>
            <w:tcW w:w="1080" w:type="dxa"/>
            <w:tcBorders>
              <w:top w:val="single" w:sz="6" w:space="0" w:color="auto"/>
              <w:left w:val="single" w:sz="6" w:space="0" w:color="auto"/>
              <w:bottom w:val="single" w:sz="6" w:space="0" w:color="auto"/>
              <w:right w:val="single" w:sz="6" w:space="0" w:color="auto"/>
            </w:tcBorders>
          </w:tcPr>
          <w:p w:rsidR="00D30E57" w:rsidRDefault="00D30E57" w:rsidP="000B6769">
            <w:pPr>
              <w:autoSpaceDE w:val="0"/>
              <w:autoSpaceDN w:val="0"/>
              <w:adjustRightInd w:val="0"/>
              <w:jc w:val="center"/>
              <w:rPr>
                <w:rFonts w:ascii="Tahoma" w:hAnsi="Tahoma" w:cs="Tahoma"/>
                <w:b/>
                <w:bCs/>
                <w:sz w:val="18"/>
                <w:szCs w:val="18"/>
                <w:lang w:val="en-US"/>
              </w:rPr>
            </w:pPr>
          </w:p>
        </w:tc>
        <w:tc>
          <w:tcPr>
            <w:tcW w:w="1017"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6"/>
                <w:szCs w:val="16"/>
                <w:lang w:val="en-US"/>
              </w:rPr>
            </w:pPr>
            <w:r>
              <w:rPr>
                <w:rFonts w:ascii="Tahoma" w:hAnsi="Tahoma" w:cs="Tahoma"/>
                <w:sz w:val="16"/>
                <w:szCs w:val="16"/>
                <w:lang w:val="en-US"/>
              </w:rPr>
              <w:t>εκατ. €</w:t>
            </w:r>
          </w:p>
        </w:tc>
        <w:tc>
          <w:tcPr>
            <w:tcW w:w="882"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6"/>
                <w:szCs w:val="16"/>
                <w:lang w:val="en-US"/>
              </w:rPr>
            </w:pPr>
            <w:r>
              <w:rPr>
                <w:rFonts w:ascii="Tahoma" w:hAnsi="Tahoma" w:cs="Tahoma"/>
                <w:sz w:val="16"/>
                <w:szCs w:val="16"/>
                <w:lang w:val="en-US"/>
              </w:rPr>
              <w:t>Ετήσιος ρυθμός μεταβολής</w:t>
            </w:r>
          </w:p>
        </w:tc>
        <w:tc>
          <w:tcPr>
            <w:tcW w:w="1025"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6"/>
                <w:szCs w:val="16"/>
                <w:lang w:val="en-US"/>
              </w:rPr>
            </w:pPr>
            <w:r>
              <w:rPr>
                <w:rFonts w:ascii="Tahoma" w:hAnsi="Tahoma" w:cs="Tahoma"/>
                <w:sz w:val="16"/>
                <w:szCs w:val="16"/>
                <w:lang w:val="en-US"/>
              </w:rPr>
              <w:t>εκατ. €</w:t>
            </w:r>
          </w:p>
        </w:tc>
        <w:tc>
          <w:tcPr>
            <w:tcW w:w="856"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6"/>
                <w:szCs w:val="16"/>
                <w:lang w:val="en-US"/>
              </w:rPr>
            </w:pPr>
            <w:r>
              <w:rPr>
                <w:rFonts w:ascii="Tahoma" w:hAnsi="Tahoma" w:cs="Tahoma"/>
                <w:sz w:val="16"/>
                <w:szCs w:val="16"/>
                <w:lang w:val="en-US"/>
              </w:rPr>
              <w:t>Ετήσιος ρυθμός μεταβολής</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6"/>
                <w:szCs w:val="16"/>
                <w:lang w:val="en-US"/>
              </w:rPr>
            </w:pPr>
            <w:r>
              <w:rPr>
                <w:rFonts w:ascii="Tahoma" w:hAnsi="Tahoma" w:cs="Tahoma"/>
                <w:sz w:val="16"/>
                <w:szCs w:val="16"/>
                <w:lang w:val="en-US"/>
              </w:rPr>
              <w:t>εκατ. €</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6"/>
                <w:szCs w:val="16"/>
                <w:lang w:val="en-US"/>
              </w:rPr>
            </w:pPr>
            <w:r>
              <w:rPr>
                <w:rFonts w:ascii="Tahoma" w:hAnsi="Tahoma" w:cs="Tahoma"/>
                <w:sz w:val="16"/>
                <w:szCs w:val="16"/>
                <w:lang w:val="en-US"/>
              </w:rPr>
              <w:t>Ετήσιος ρυθμός μεταβολής</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6"/>
                <w:szCs w:val="16"/>
                <w:lang w:val="en-US"/>
              </w:rPr>
            </w:pPr>
            <w:r>
              <w:rPr>
                <w:rFonts w:ascii="Tahoma" w:hAnsi="Tahoma" w:cs="Tahoma"/>
                <w:sz w:val="16"/>
                <w:szCs w:val="16"/>
                <w:lang w:val="en-US"/>
              </w:rPr>
              <w:t>εκατ. €</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6"/>
                <w:szCs w:val="16"/>
                <w:lang w:val="en-US"/>
              </w:rPr>
            </w:pPr>
            <w:r>
              <w:rPr>
                <w:rFonts w:ascii="Tahoma" w:hAnsi="Tahoma" w:cs="Tahoma"/>
                <w:sz w:val="16"/>
                <w:szCs w:val="16"/>
                <w:lang w:val="en-US"/>
              </w:rPr>
              <w:t>Ετήσιος ρυθμός μεταβολής</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6"/>
                <w:szCs w:val="16"/>
                <w:lang w:val="en-US"/>
              </w:rPr>
            </w:pPr>
            <w:r>
              <w:rPr>
                <w:rFonts w:ascii="Tahoma" w:hAnsi="Tahoma" w:cs="Tahoma"/>
                <w:sz w:val="16"/>
                <w:szCs w:val="16"/>
                <w:lang w:val="en-US"/>
              </w:rPr>
              <w:t>εκατ. €</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6"/>
                <w:szCs w:val="16"/>
                <w:lang w:val="en-US"/>
              </w:rPr>
            </w:pPr>
            <w:r>
              <w:rPr>
                <w:rFonts w:ascii="Tahoma" w:hAnsi="Tahoma" w:cs="Tahoma"/>
                <w:sz w:val="16"/>
                <w:szCs w:val="16"/>
                <w:lang w:val="en-US"/>
              </w:rPr>
              <w:t>Ετήσιος ρυθμός μεταβολής</w:t>
            </w:r>
          </w:p>
        </w:tc>
      </w:tr>
      <w:tr w:rsidR="00D30E57" w:rsidRPr="00616363"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Pr="00616363" w:rsidRDefault="00D30E57" w:rsidP="000B6769">
            <w:pPr>
              <w:autoSpaceDE w:val="0"/>
              <w:autoSpaceDN w:val="0"/>
              <w:adjustRightInd w:val="0"/>
              <w:jc w:val="center"/>
              <w:rPr>
                <w:rFonts w:ascii="Tahoma" w:hAnsi="Tahoma" w:cs="Tahoma"/>
                <w:b/>
                <w:bCs/>
                <w:sz w:val="18"/>
                <w:szCs w:val="18"/>
                <w:vertAlign w:val="superscript"/>
                <w:lang w:val="en-US"/>
              </w:rPr>
            </w:pPr>
            <w:r w:rsidRPr="00616363">
              <w:rPr>
                <w:rFonts w:ascii="Tahoma" w:hAnsi="Tahoma" w:cs="Tahoma"/>
                <w:b/>
                <w:bCs/>
                <w:sz w:val="18"/>
                <w:szCs w:val="18"/>
                <w:lang w:val="en-US"/>
              </w:rPr>
              <w:t>2001</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165.023</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18,9%</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146.095</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18,9%</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38.908</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22,4%</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39.522</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16,6%</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59.274</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13,4%</w:t>
            </w:r>
          </w:p>
        </w:tc>
      </w:tr>
      <w:tr w:rsidR="00D30E57" w:rsidRPr="00616363"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Pr="00616363" w:rsidRDefault="00D30E57" w:rsidP="000B6769">
            <w:pPr>
              <w:autoSpaceDE w:val="0"/>
              <w:autoSpaceDN w:val="0"/>
              <w:adjustRightInd w:val="0"/>
              <w:jc w:val="center"/>
              <w:rPr>
                <w:rFonts w:ascii="Tahoma" w:hAnsi="Tahoma" w:cs="Tahoma"/>
                <w:b/>
                <w:bCs/>
                <w:sz w:val="18"/>
                <w:szCs w:val="18"/>
                <w:lang w:val="en-US"/>
              </w:rPr>
            </w:pPr>
            <w:r w:rsidRPr="00616363">
              <w:rPr>
                <w:rFonts w:ascii="Tahoma" w:hAnsi="Tahoma" w:cs="Tahoma"/>
                <w:b/>
                <w:bCs/>
                <w:sz w:val="18"/>
                <w:szCs w:val="18"/>
                <w:lang w:val="en-US"/>
              </w:rPr>
              <w:t>2002</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170.700</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5,2%</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153.724</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5,2%</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39.399</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1,3%</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36.205</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-8,4%</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58.532</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-1,3%</w:t>
            </w:r>
          </w:p>
        </w:tc>
      </w:tr>
      <w:tr w:rsidR="00D30E57" w:rsidRPr="00616363"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Pr="00616363" w:rsidRDefault="00D30E57" w:rsidP="000B6769">
            <w:pPr>
              <w:autoSpaceDE w:val="0"/>
              <w:autoSpaceDN w:val="0"/>
              <w:adjustRightInd w:val="0"/>
              <w:jc w:val="center"/>
              <w:rPr>
                <w:rFonts w:ascii="Tahoma" w:hAnsi="Tahoma" w:cs="Tahoma"/>
                <w:b/>
                <w:bCs/>
                <w:sz w:val="18"/>
                <w:szCs w:val="18"/>
                <w:lang w:val="en-US"/>
              </w:rPr>
            </w:pPr>
            <w:r w:rsidRPr="00616363">
              <w:rPr>
                <w:rFonts w:ascii="Tahoma" w:hAnsi="Tahoma" w:cs="Tahoma"/>
                <w:b/>
                <w:bCs/>
                <w:sz w:val="18"/>
                <w:szCs w:val="18"/>
                <w:lang w:val="en-US"/>
              </w:rPr>
              <w:t>2003</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180.847</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2,4%</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157.479</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2,4%</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46.687</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18,5%</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37.262</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2,9%</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60.267</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3,0%</w:t>
            </w:r>
          </w:p>
        </w:tc>
      </w:tr>
      <w:tr w:rsidR="00D30E57" w:rsidRPr="00616363"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Pr="00616363" w:rsidRDefault="00D30E57" w:rsidP="000B6769">
            <w:pPr>
              <w:autoSpaceDE w:val="0"/>
              <w:autoSpaceDN w:val="0"/>
              <w:adjustRightInd w:val="0"/>
              <w:jc w:val="center"/>
              <w:rPr>
                <w:rFonts w:ascii="Tahoma" w:hAnsi="Tahoma" w:cs="Tahoma"/>
                <w:b/>
                <w:bCs/>
                <w:sz w:val="18"/>
                <w:szCs w:val="18"/>
                <w:lang w:val="en-US"/>
              </w:rPr>
            </w:pPr>
            <w:r w:rsidRPr="00616363">
              <w:rPr>
                <w:rFonts w:ascii="Tahoma" w:hAnsi="Tahoma" w:cs="Tahoma"/>
                <w:b/>
                <w:bCs/>
                <w:sz w:val="18"/>
                <w:szCs w:val="18"/>
                <w:lang w:val="en-US"/>
              </w:rPr>
              <w:t>2004</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188.746</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3,8%</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163.422</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3,8%</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45.578</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-2,4%</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43.712</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17,3%</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63.682</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5,7%</w:t>
            </w:r>
          </w:p>
        </w:tc>
      </w:tr>
      <w:tr w:rsidR="00D30E57" w:rsidRPr="00616363"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Pr="00616363" w:rsidRDefault="00D30E57" w:rsidP="000B6769">
            <w:pPr>
              <w:autoSpaceDE w:val="0"/>
              <w:autoSpaceDN w:val="0"/>
              <w:adjustRightInd w:val="0"/>
              <w:jc w:val="center"/>
              <w:rPr>
                <w:rFonts w:ascii="Tahoma" w:hAnsi="Tahoma" w:cs="Tahoma"/>
                <w:sz w:val="18"/>
                <w:szCs w:val="18"/>
                <w:lang w:val="en-US"/>
              </w:rPr>
            </w:pPr>
            <w:r w:rsidRPr="00616363">
              <w:rPr>
                <w:rFonts w:ascii="Tahoma" w:hAnsi="Tahoma" w:cs="Tahoma"/>
                <w:b/>
                <w:bCs/>
                <w:sz w:val="18"/>
                <w:szCs w:val="18"/>
                <w:lang w:val="en-US"/>
              </w:rPr>
              <w:t>2005</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193.050</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3,8%</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169.662</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3,8%</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41.322</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-9,3%</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44.807</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2,5%</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62.741</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rPr>
            </w:pPr>
            <w:r w:rsidRPr="002B0303">
              <w:rPr>
                <w:rFonts w:ascii="Tahoma" w:hAnsi="Tahoma" w:cs="Tahoma"/>
                <w:b/>
              </w:rPr>
              <w:t>-1,5%</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8"/>
                <w:szCs w:val="18"/>
                <w:lang w:val="en-US"/>
              </w:rPr>
            </w:pPr>
            <w:r>
              <w:rPr>
                <w:rFonts w:ascii="Tahoma" w:hAnsi="Tahoma" w:cs="Tahoma"/>
                <w:sz w:val="18"/>
                <w:szCs w:val="18"/>
                <w:lang w:val="en-US"/>
              </w:rPr>
              <w:t>α' 2006</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46.679</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4,4%</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44.118</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1,8%</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9.507</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10,4%</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9.258</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4,5%</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16.204</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0,5%</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8"/>
                <w:szCs w:val="18"/>
                <w:lang w:val="en-US"/>
              </w:rPr>
            </w:pPr>
            <w:r>
              <w:rPr>
                <w:rFonts w:ascii="Tahoma" w:hAnsi="Tahoma" w:cs="Tahoma"/>
                <w:sz w:val="18"/>
                <w:szCs w:val="18"/>
                <w:lang w:val="en-US"/>
              </w:rPr>
              <w:t>β' 2006</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51.131</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7,4%</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44.859</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4,9%</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12.226</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43,0%</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11.425</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1,2%</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17.380</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16,0%</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8"/>
                <w:szCs w:val="18"/>
                <w:lang w:val="en-US"/>
              </w:rPr>
            </w:pPr>
            <w:r>
              <w:rPr>
                <w:rFonts w:ascii="Tahoma" w:hAnsi="Tahoma" w:cs="Tahoma"/>
                <w:sz w:val="18"/>
                <w:szCs w:val="18"/>
                <w:lang w:val="en-US"/>
              </w:rPr>
              <w:t>γ' 2006</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53.021</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3,9%</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44.185</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3,5%</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10.510</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16,0%</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15.149</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3,3%</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16.823</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9,3%</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8"/>
                <w:szCs w:val="18"/>
                <w:lang w:val="en-US"/>
              </w:rPr>
            </w:pPr>
            <w:r>
              <w:rPr>
                <w:rFonts w:ascii="Tahoma" w:hAnsi="Tahoma" w:cs="Tahoma"/>
                <w:sz w:val="18"/>
                <w:szCs w:val="18"/>
                <w:lang w:val="en-US"/>
              </w:rPr>
              <w:t>δ' 2006</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52.920</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6,5%</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43.067</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5,4%</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16.996</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12,6%</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10.363</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3,7%</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17.506</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7,7%</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b/>
                <w:bCs/>
                <w:sz w:val="18"/>
                <w:szCs w:val="18"/>
                <w:lang w:val="en-US"/>
              </w:rPr>
            </w:pPr>
            <w:r>
              <w:rPr>
                <w:rFonts w:ascii="Tahoma" w:hAnsi="Tahoma" w:cs="Tahoma"/>
                <w:b/>
                <w:bCs/>
                <w:sz w:val="18"/>
                <w:szCs w:val="18"/>
                <w:lang w:val="en-US"/>
              </w:rPr>
              <w:t>2006*</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bCs/>
              </w:rPr>
            </w:pPr>
            <w:r w:rsidRPr="002B0303">
              <w:rPr>
                <w:rFonts w:ascii="Tahoma" w:hAnsi="Tahoma" w:cs="Tahoma"/>
                <w:b/>
                <w:bCs/>
              </w:rPr>
              <w:t>203.750</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sz w:val="18"/>
                <w:szCs w:val="18"/>
              </w:rPr>
            </w:pPr>
            <w:r w:rsidRPr="002B0303">
              <w:rPr>
                <w:rFonts w:ascii="Tahoma" w:hAnsi="Tahoma" w:cs="Tahoma"/>
                <w:b/>
                <w:sz w:val="18"/>
                <w:szCs w:val="18"/>
              </w:rPr>
              <w:t>5,5%</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bCs/>
              </w:rPr>
            </w:pPr>
            <w:r w:rsidRPr="002B0303">
              <w:rPr>
                <w:rFonts w:ascii="Tahoma" w:hAnsi="Tahoma" w:cs="Tahoma"/>
                <w:b/>
                <w:bCs/>
              </w:rPr>
              <w:t>176.229</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sz w:val="18"/>
                <w:szCs w:val="18"/>
              </w:rPr>
            </w:pPr>
            <w:r w:rsidRPr="002B0303">
              <w:rPr>
                <w:rFonts w:ascii="Tahoma" w:hAnsi="Tahoma" w:cs="Tahoma"/>
                <w:b/>
                <w:sz w:val="18"/>
                <w:szCs w:val="18"/>
              </w:rPr>
              <w:t>3,9%</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bCs/>
              </w:rPr>
            </w:pPr>
            <w:r w:rsidRPr="002B0303">
              <w:rPr>
                <w:rFonts w:ascii="Tahoma" w:hAnsi="Tahoma" w:cs="Tahoma"/>
                <w:b/>
                <w:bCs/>
              </w:rPr>
              <w:t>49.240</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sz w:val="18"/>
                <w:szCs w:val="18"/>
              </w:rPr>
            </w:pPr>
            <w:r w:rsidRPr="002B0303">
              <w:rPr>
                <w:rFonts w:ascii="Tahoma" w:hAnsi="Tahoma" w:cs="Tahoma"/>
                <w:b/>
                <w:sz w:val="18"/>
                <w:szCs w:val="18"/>
              </w:rPr>
              <w:t>19,2%</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bCs/>
              </w:rPr>
            </w:pPr>
            <w:r w:rsidRPr="002B0303">
              <w:rPr>
                <w:rFonts w:ascii="Tahoma" w:hAnsi="Tahoma" w:cs="Tahoma"/>
                <w:b/>
                <w:bCs/>
              </w:rPr>
              <w:t>46.195</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sz w:val="18"/>
                <w:szCs w:val="18"/>
              </w:rPr>
            </w:pPr>
            <w:r w:rsidRPr="002B0303">
              <w:rPr>
                <w:rFonts w:ascii="Tahoma" w:hAnsi="Tahoma" w:cs="Tahoma"/>
                <w:b/>
                <w:sz w:val="18"/>
                <w:szCs w:val="18"/>
              </w:rPr>
              <w:t>3,1%</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bCs/>
              </w:rPr>
            </w:pPr>
            <w:r w:rsidRPr="002B0303">
              <w:rPr>
                <w:rFonts w:ascii="Tahoma" w:hAnsi="Tahoma" w:cs="Tahoma"/>
                <w:b/>
                <w:bCs/>
              </w:rPr>
              <w:t>67.913</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sz w:val="18"/>
                <w:szCs w:val="18"/>
              </w:rPr>
            </w:pPr>
            <w:r w:rsidRPr="002B0303">
              <w:rPr>
                <w:rFonts w:ascii="Tahoma" w:hAnsi="Tahoma" w:cs="Tahoma"/>
                <w:b/>
                <w:sz w:val="18"/>
                <w:szCs w:val="18"/>
              </w:rPr>
              <w:t>8,2%</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8"/>
                <w:szCs w:val="18"/>
                <w:lang w:val="en-US"/>
              </w:rPr>
            </w:pPr>
            <w:r>
              <w:rPr>
                <w:rFonts w:ascii="Tahoma" w:hAnsi="Tahoma" w:cs="Tahoma"/>
                <w:sz w:val="18"/>
                <w:szCs w:val="18"/>
                <w:lang w:val="en-US"/>
              </w:rPr>
              <w:t>α' 2007</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49.107</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5,2%</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46.417</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5,2%</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11.410</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20,0%</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9.941</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7,4%</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18.633</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15,0%</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8"/>
                <w:szCs w:val="18"/>
                <w:lang w:val="en-US"/>
              </w:rPr>
            </w:pPr>
            <w:r>
              <w:rPr>
                <w:rFonts w:ascii="Tahoma" w:hAnsi="Tahoma" w:cs="Tahoma"/>
                <w:sz w:val="18"/>
                <w:szCs w:val="18"/>
                <w:lang w:val="en-US"/>
              </w:rPr>
              <w:t>β' 2007</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52.647</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3,0%</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46.471</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3,6%</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12.649</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3,5%</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12.179</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6,6%</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18.644</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7,3%</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8"/>
                <w:szCs w:val="18"/>
                <w:lang w:val="en-US"/>
              </w:rPr>
            </w:pPr>
            <w:r>
              <w:rPr>
                <w:rFonts w:ascii="Tahoma" w:hAnsi="Tahoma" w:cs="Tahoma"/>
                <w:sz w:val="18"/>
                <w:szCs w:val="18"/>
                <w:lang w:val="en-US"/>
              </w:rPr>
              <w:t>γ' 2007</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54.980</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3,7%</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46.026</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4,2%</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12.409</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18,1%</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16.183</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6,8%</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19.650</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16,8%</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8"/>
                <w:szCs w:val="18"/>
                <w:lang w:val="en-US"/>
              </w:rPr>
            </w:pPr>
            <w:r>
              <w:rPr>
                <w:rFonts w:ascii="Tahoma" w:hAnsi="Tahoma" w:cs="Tahoma"/>
                <w:sz w:val="18"/>
                <w:szCs w:val="18"/>
                <w:lang w:val="en-US"/>
              </w:rPr>
              <w:t>δ' 2007</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53.121</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0,4%</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45.243</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5,1%</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17.739</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4,4%</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11.100</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7,1%</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20.932</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19,6%</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b/>
                <w:bCs/>
                <w:sz w:val="18"/>
                <w:szCs w:val="18"/>
                <w:lang w:val="en-US"/>
              </w:rPr>
            </w:pPr>
            <w:r>
              <w:rPr>
                <w:rFonts w:ascii="Tahoma" w:hAnsi="Tahoma" w:cs="Tahoma"/>
                <w:b/>
                <w:bCs/>
                <w:sz w:val="18"/>
                <w:szCs w:val="18"/>
                <w:lang w:val="en-US"/>
              </w:rPr>
              <w:t>2007*</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bCs/>
              </w:rPr>
            </w:pPr>
            <w:r w:rsidRPr="002B0303">
              <w:rPr>
                <w:rFonts w:ascii="Tahoma" w:hAnsi="Tahoma" w:cs="Tahoma"/>
                <w:b/>
                <w:bCs/>
              </w:rPr>
              <w:t>209.855</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sz w:val="18"/>
                <w:szCs w:val="18"/>
              </w:rPr>
            </w:pPr>
            <w:r w:rsidRPr="002B0303">
              <w:rPr>
                <w:rFonts w:ascii="Tahoma" w:hAnsi="Tahoma" w:cs="Tahoma"/>
                <w:b/>
                <w:sz w:val="18"/>
                <w:szCs w:val="18"/>
              </w:rPr>
              <w:t>3,0%</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bCs/>
              </w:rPr>
            </w:pPr>
            <w:r w:rsidRPr="002B0303">
              <w:rPr>
                <w:rFonts w:ascii="Tahoma" w:hAnsi="Tahoma" w:cs="Tahoma"/>
                <w:b/>
                <w:bCs/>
              </w:rPr>
              <w:t>184.157</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sz w:val="18"/>
                <w:szCs w:val="18"/>
              </w:rPr>
            </w:pPr>
            <w:r w:rsidRPr="002B0303">
              <w:rPr>
                <w:rFonts w:ascii="Tahoma" w:hAnsi="Tahoma" w:cs="Tahoma"/>
                <w:b/>
                <w:sz w:val="18"/>
                <w:szCs w:val="18"/>
              </w:rPr>
              <w:t>4,5%</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bCs/>
              </w:rPr>
            </w:pPr>
            <w:r w:rsidRPr="002B0303">
              <w:rPr>
                <w:rFonts w:ascii="Tahoma" w:hAnsi="Tahoma" w:cs="Tahoma"/>
                <w:b/>
                <w:bCs/>
              </w:rPr>
              <w:t>54.207</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sz w:val="18"/>
                <w:szCs w:val="18"/>
              </w:rPr>
            </w:pPr>
            <w:r w:rsidRPr="002B0303">
              <w:rPr>
                <w:rFonts w:ascii="Tahoma" w:hAnsi="Tahoma" w:cs="Tahoma"/>
                <w:b/>
                <w:sz w:val="18"/>
                <w:szCs w:val="18"/>
              </w:rPr>
              <w:t>10,1%</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bCs/>
              </w:rPr>
            </w:pPr>
            <w:r w:rsidRPr="002B0303">
              <w:rPr>
                <w:rFonts w:ascii="Tahoma" w:hAnsi="Tahoma" w:cs="Tahoma"/>
                <w:b/>
                <w:bCs/>
              </w:rPr>
              <w:t>49.402</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sz w:val="18"/>
                <w:szCs w:val="18"/>
              </w:rPr>
            </w:pPr>
            <w:r w:rsidRPr="002B0303">
              <w:rPr>
                <w:rFonts w:ascii="Tahoma" w:hAnsi="Tahoma" w:cs="Tahoma"/>
                <w:b/>
                <w:sz w:val="18"/>
                <w:szCs w:val="18"/>
              </w:rPr>
              <w:t>6,9%</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bCs/>
              </w:rPr>
            </w:pPr>
            <w:r w:rsidRPr="002B0303">
              <w:rPr>
                <w:rFonts w:ascii="Tahoma" w:hAnsi="Tahoma" w:cs="Tahoma"/>
                <w:b/>
                <w:bCs/>
              </w:rPr>
              <w:t>77.858</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sz w:val="18"/>
                <w:szCs w:val="18"/>
              </w:rPr>
            </w:pPr>
            <w:r w:rsidRPr="002B0303">
              <w:rPr>
                <w:rFonts w:ascii="Tahoma" w:hAnsi="Tahoma" w:cs="Tahoma"/>
                <w:b/>
                <w:sz w:val="18"/>
                <w:szCs w:val="18"/>
              </w:rPr>
              <w:t>14,6%</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8"/>
                <w:szCs w:val="18"/>
                <w:lang w:val="en-US"/>
              </w:rPr>
            </w:pPr>
            <w:r>
              <w:rPr>
                <w:rFonts w:ascii="Tahoma" w:hAnsi="Tahoma" w:cs="Tahoma"/>
                <w:sz w:val="18"/>
                <w:szCs w:val="18"/>
                <w:lang w:val="en-US"/>
              </w:rPr>
              <w:t>α' 2008</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49.188</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0,2%</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47.873</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3,1%</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11.269</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-1,2%</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10.358</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4,2%</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20.314</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9,0%</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8"/>
                <w:szCs w:val="18"/>
                <w:lang w:val="en-US"/>
              </w:rPr>
            </w:pPr>
            <w:r>
              <w:rPr>
                <w:rFonts w:ascii="Tahoma" w:hAnsi="Tahoma" w:cs="Tahoma"/>
                <w:sz w:val="18"/>
                <w:szCs w:val="18"/>
                <w:lang w:val="en-US"/>
              </w:rPr>
              <w:t>β' 2008</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52.928</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0,5%</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48.162</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3,6%</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12.774</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1,0%</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12.866</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5,6%</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20.870</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11,9%</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8"/>
                <w:szCs w:val="18"/>
                <w:lang w:val="en-US"/>
              </w:rPr>
            </w:pPr>
            <w:r>
              <w:rPr>
                <w:rFonts w:ascii="Tahoma" w:hAnsi="Tahoma" w:cs="Tahoma"/>
                <w:sz w:val="18"/>
                <w:szCs w:val="18"/>
                <w:lang w:val="en-US"/>
              </w:rPr>
              <w:t>γ' 2008</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54.972</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0,0%</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47.204</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2,6%</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11.467</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-7,6%</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16.906</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4,5%</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20.604</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4,9%</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8"/>
                <w:szCs w:val="18"/>
                <w:lang w:val="en-US"/>
              </w:rPr>
            </w:pPr>
            <w:r>
              <w:rPr>
                <w:rFonts w:ascii="Tahoma" w:hAnsi="Tahoma" w:cs="Tahoma"/>
                <w:sz w:val="18"/>
                <w:szCs w:val="18"/>
                <w:lang w:val="en-US"/>
              </w:rPr>
              <w:t>δ' 2008</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52.438</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-1,3%</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45.991</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1,7%</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14.357</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-19,1%</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10.753</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-3,1%</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18.645</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-10,9%</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b/>
                <w:bCs/>
                <w:sz w:val="18"/>
                <w:szCs w:val="18"/>
                <w:lang w:val="en-US"/>
              </w:rPr>
            </w:pPr>
            <w:r>
              <w:rPr>
                <w:rFonts w:ascii="Tahoma" w:hAnsi="Tahoma" w:cs="Tahoma"/>
                <w:b/>
                <w:bCs/>
                <w:sz w:val="18"/>
                <w:szCs w:val="18"/>
                <w:lang w:val="en-US"/>
              </w:rPr>
              <w:t>2008*</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bCs/>
              </w:rPr>
            </w:pPr>
            <w:r w:rsidRPr="002B0303">
              <w:rPr>
                <w:rFonts w:ascii="Tahoma" w:hAnsi="Tahoma" w:cs="Tahoma"/>
                <w:b/>
                <w:bCs/>
              </w:rPr>
              <w:t>209.525</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sz w:val="18"/>
                <w:szCs w:val="18"/>
              </w:rPr>
            </w:pPr>
            <w:r w:rsidRPr="002B0303">
              <w:rPr>
                <w:rFonts w:ascii="Tahoma" w:hAnsi="Tahoma" w:cs="Tahoma"/>
                <w:b/>
                <w:sz w:val="18"/>
                <w:szCs w:val="18"/>
              </w:rPr>
              <w:t>-0,2%</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bCs/>
              </w:rPr>
            </w:pPr>
            <w:r w:rsidRPr="002B0303">
              <w:rPr>
                <w:rFonts w:ascii="Tahoma" w:hAnsi="Tahoma" w:cs="Tahoma"/>
                <w:b/>
                <w:bCs/>
              </w:rPr>
              <w:t>189.230</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sz w:val="18"/>
                <w:szCs w:val="18"/>
              </w:rPr>
            </w:pPr>
            <w:r w:rsidRPr="002B0303">
              <w:rPr>
                <w:rFonts w:ascii="Tahoma" w:hAnsi="Tahoma" w:cs="Tahoma"/>
                <w:b/>
                <w:sz w:val="18"/>
                <w:szCs w:val="18"/>
              </w:rPr>
              <w:t>2,8%</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bCs/>
              </w:rPr>
            </w:pPr>
            <w:r w:rsidRPr="002B0303">
              <w:rPr>
                <w:rFonts w:ascii="Tahoma" w:hAnsi="Tahoma" w:cs="Tahoma"/>
                <w:b/>
                <w:bCs/>
              </w:rPr>
              <w:t>49.867</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sz w:val="18"/>
                <w:szCs w:val="18"/>
              </w:rPr>
            </w:pPr>
            <w:r w:rsidRPr="002B0303">
              <w:rPr>
                <w:rFonts w:ascii="Tahoma" w:hAnsi="Tahoma" w:cs="Tahoma"/>
                <w:b/>
                <w:sz w:val="18"/>
                <w:szCs w:val="18"/>
              </w:rPr>
              <w:t>-8,0%</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bCs/>
              </w:rPr>
            </w:pPr>
            <w:r w:rsidRPr="002B0303">
              <w:rPr>
                <w:rFonts w:ascii="Tahoma" w:hAnsi="Tahoma" w:cs="Tahoma"/>
                <w:b/>
                <w:bCs/>
              </w:rPr>
              <w:t>50.883</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sz w:val="18"/>
                <w:szCs w:val="18"/>
              </w:rPr>
            </w:pPr>
            <w:r w:rsidRPr="002B0303">
              <w:rPr>
                <w:rFonts w:ascii="Tahoma" w:hAnsi="Tahoma" w:cs="Tahoma"/>
                <w:b/>
                <w:sz w:val="18"/>
                <w:szCs w:val="18"/>
              </w:rPr>
              <w:t>3,0%</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bCs/>
              </w:rPr>
            </w:pPr>
            <w:r w:rsidRPr="002B0303">
              <w:rPr>
                <w:rFonts w:ascii="Tahoma" w:hAnsi="Tahoma" w:cs="Tahoma"/>
                <w:b/>
                <w:bCs/>
              </w:rPr>
              <w:t>80.433</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sz w:val="18"/>
                <w:szCs w:val="18"/>
              </w:rPr>
            </w:pPr>
            <w:r w:rsidRPr="002B0303">
              <w:rPr>
                <w:rFonts w:ascii="Tahoma" w:hAnsi="Tahoma" w:cs="Tahoma"/>
                <w:b/>
                <w:sz w:val="18"/>
                <w:szCs w:val="18"/>
              </w:rPr>
              <w:t>3,3%</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8"/>
                <w:szCs w:val="18"/>
                <w:lang w:val="en-US"/>
              </w:rPr>
            </w:pPr>
            <w:r>
              <w:rPr>
                <w:rFonts w:ascii="Tahoma" w:hAnsi="Tahoma" w:cs="Tahoma"/>
                <w:sz w:val="18"/>
                <w:szCs w:val="18"/>
                <w:lang w:val="en-US"/>
              </w:rPr>
              <w:t>α' 2009</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47.024</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-4,4%</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45.549</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-4,9%</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8.858</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-21,4%</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8.232</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-20,5%</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15.665</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-22,9%</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8"/>
                <w:szCs w:val="18"/>
                <w:lang w:val="en-US"/>
              </w:rPr>
            </w:pPr>
            <w:r>
              <w:rPr>
                <w:rFonts w:ascii="Tahoma" w:hAnsi="Tahoma" w:cs="Tahoma"/>
                <w:sz w:val="18"/>
                <w:szCs w:val="18"/>
                <w:lang w:val="en-US"/>
              </w:rPr>
              <w:t>β' 2009</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50.605</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-4,4%</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47.613</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-1,1%</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8.169</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-36,0%</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10.474</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-18,6%</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15.702</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-24,8%</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8"/>
                <w:szCs w:val="18"/>
                <w:lang w:val="en-US"/>
              </w:rPr>
            </w:pPr>
            <w:r>
              <w:rPr>
                <w:rFonts w:ascii="Tahoma" w:hAnsi="Tahoma" w:cs="Tahoma"/>
                <w:sz w:val="18"/>
                <w:szCs w:val="18"/>
                <w:lang w:val="en-US"/>
              </w:rPr>
              <w:t>γ' 2009</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53.063</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-3,5%</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48.005</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1,7%</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7.866</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-31,4%</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13.237</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-21,7%</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16.081</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-22,0%</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8"/>
                <w:szCs w:val="18"/>
                <w:lang w:val="en-US"/>
              </w:rPr>
            </w:pPr>
            <w:r>
              <w:rPr>
                <w:rFonts w:ascii="Tahoma" w:hAnsi="Tahoma" w:cs="Tahoma"/>
                <w:sz w:val="18"/>
                <w:szCs w:val="18"/>
                <w:lang w:val="en-US"/>
              </w:rPr>
              <w:t>δ΄ 2009</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52.022</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-0,8%</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47.984</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4,3%</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11.706</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-18,5%</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9.029</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-16,0%</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16.735</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-10,2%</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b/>
                <w:bCs/>
                <w:sz w:val="18"/>
                <w:szCs w:val="18"/>
                <w:lang w:val="en-US"/>
              </w:rPr>
            </w:pPr>
            <w:r>
              <w:rPr>
                <w:rFonts w:ascii="Tahoma" w:hAnsi="Tahoma" w:cs="Tahoma"/>
                <w:b/>
                <w:bCs/>
                <w:sz w:val="18"/>
                <w:szCs w:val="18"/>
                <w:lang w:val="en-US"/>
              </w:rPr>
              <w:t>2009*</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bCs/>
              </w:rPr>
            </w:pPr>
            <w:r w:rsidRPr="002B0303">
              <w:rPr>
                <w:rFonts w:ascii="Tahoma" w:hAnsi="Tahoma" w:cs="Tahoma"/>
                <w:b/>
                <w:bCs/>
              </w:rPr>
              <w:t>202.714</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sz w:val="18"/>
                <w:szCs w:val="18"/>
              </w:rPr>
            </w:pPr>
            <w:r w:rsidRPr="002B0303">
              <w:rPr>
                <w:rFonts w:ascii="Tahoma" w:hAnsi="Tahoma" w:cs="Tahoma"/>
                <w:b/>
                <w:sz w:val="18"/>
                <w:szCs w:val="18"/>
              </w:rPr>
              <w:t>-3,3%</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bCs/>
              </w:rPr>
            </w:pPr>
            <w:r w:rsidRPr="002B0303">
              <w:rPr>
                <w:rFonts w:ascii="Tahoma" w:hAnsi="Tahoma" w:cs="Tahoma"/>
                <w:b/>
                <w:bCs/>
              </w:rPr>
              <w:t>189.152</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sz w:val="18"/>
                <w:szCs w:val="18"/>
              </w:rPr>
            </w:pPr>
            <w:r w:rsidRPr="002B0303">
              <w:rPr>
                <w:rFonts w:ascii="Tahoma" w:hAnsi="Tahoma" w:cs="Tahoma"/>
                <w:b/>
                <w:sz w:val="18"/>
                <w:szCs w:val="18"/>
              </w:rPr>
              <w:t>0,0%</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bCs/>
              </w:rPr>
            </w:pPr>
            <w:r w:rsidRPr="002B0303">
              <w:rPr>
                <w:rFonts w:ascii="Tahoma" w:hAnsi="Tahoma" w:cs="Tahoma"/>
                <w:b/>
                <w:bCs/>
              </w:rPr>
              <w:t>36.599</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sz w:val="18"/>
                <w:szCs w:val="18"/>
              </w:rPr>
            </w:pPr>
            <w:r w:rsidRPr="002B0303">
              <w:rPr>
                <w:rFonts w:ascii="Tahoma" w:hAnsi="Tahoma" w:cs="Tahoma"/>
                <w:b/>
                <w:sz w:val="18"/>
                <w:szCs w:val="18"/>
              </w:rPr>
              <w:t>-26,6%</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bCs/>
              </w:rPr>
            </w:pPr>
            <w:r w:rsidRPr="002B0303">
              <w:rPr>
                <w:rFonts w:ascii="Tahoma" w:hAnsi="Tahoma" w:cs="Tahoma"/>
                <w:b/>
                <w:bCs/>
              </w:rPr>
              <w:t>40.972</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sz w:val="18"/>
                <w:szCs w:val="18"/>
              </w:rPr>
            </w:pPr>
            <w:r w:rsidRPr="002B0303">
              <w:rPr>
                <w:rFonts w:ascii="Tahoma" w:hAnsi="Tahoma" w:cs="Tahoma"/>
                <w:b/>
                <w:sz w:val="18"/>
                <w:szCs w:val="18"/>
              </w:rPr>
              <w:t>-19,5%</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bCs/>
              </w:rPr>
            </w:pPr>
            <w:r w:rsidRPr="002B0303">
              <w:rPr>
                <w:rFonts w:ascii="Tahoma" w:hAnsi="Tahoma" w:cs="Tahoma"/>
                <w:b/>
                <w:bCs/>
              </w:rPr>
              <w:t>64.183</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sz w:val="18"/>
                <w:szCs w:val="18"/>
              </w:rPr>
            </w:pPr>
            <w:r w:rsidRPr="002B0303">
              <w:rPr>
                <w:rFonts w:ascii="Tahoma" w:hAnsi="Tahoma" w:cs="Tahoma"/>
                <w:b/>
                <w:sz w:val="18"/>
                <w:szCs w:val="18"/>
              </w:rPr>
              <w:t>-20,2%</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8"/>
                <w:szCs w:val="18"/>
                <w:lang w:val="en-US"/>
              </w:rPr>
            </w:pPr>
            <w:r>
              <w:rPr>
                <w:rFonts w:ascii="Tahoma" w:hAnsi="Tahoma" w:cs="Tahoma"/>
                <w:sz w:val="18"/>
                <w:szCs w:val="18"/>
                <w:lang w:val="en-US"/>
              </w:rPr>
              <w:t>α' 2010</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47.202</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0,4%</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47.227</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3,7%</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6.903</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-22,1%</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8.405</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2,1%</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15.416</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-1,6%</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8"/>
                <w:szCs w:val="18"/>
                <w:lang w:val="en-US"/>
              </w:rPr>
            </w:pPr>
            <w:r>
              <w:rPr>
                <w:rFonts w:ascii="Tahoma" w:hAnsi="Tahoma" w:cs="Tahoma"/>
                <w:sz w:val="18"/>
                <w:szCs w:val="18"/>
                <w:lang w:val="en-US"/>
              </w:rPr>
              <w:t>β΄2010</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50.228</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-0,7%</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46.256</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-2,9%</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7.697</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-5,8%</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10.671</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1,9%</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14.340</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-8,7%</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8"/>
                <w:szCs w:val="18"/>
                <w:lang w:val="en-US"/>
              </w:rPr>
            </w:pPr>
            <w:r>
              <w:rPr>
                <w:rFonts w:ascii="Tahoma" w:hAnsi="Tahoma" w:cs="Tahoma"/>
                <w:sz w:val="18"/>
                <w:szCs w:val="18"/>
                <w:lang w:val="en-US"/>
              </w:rPr>
              <w:t>γ΄2010</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50.605</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-4,6%</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44.591</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-7,1%</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7.675</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-2,4%</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13.403</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1,3%</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14.894</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-7,4%</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8"/>
                <w:szCs w:val="18"/>
                <w:lang w:val="en-US"/>
              </w:rPr>
            </w:pPr>
            <w:r>
              <w:rPr>
                <w:rFonts w:ascii="Tahoma" w:hAnsi="Tahoma" w:cs="Tahoma"/>
                <w:sz w:val="18"/>
                <w:szCs w:val="18"/>
                <w:lang w:val="en-US"/>
              </w:rPr>
              <w:t>δ΄ 2010</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47.549</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-8,6%</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42.750</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-10,9%</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9444</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-19,3%</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10</w:t>
            </w:r>
            <w:r>
              <w:rPr>
                <w:rFonts w:ascii="Tahoma" w:hAnsi="Tahoma" w:cs="Tahoma"/>
              </w:rPr>
              <w:t>.</w:t>
            </w:r>
            <w:r w:rsidRPr="002B0303">
              <w:rPr>
                <w:rFonts w:ascii="Tahoma" w:hAnsi="Tahoma" w:cs="Tahoma"/>
              </w:rPr>
              <w:t>215</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13,1%</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14</w:t>
            </w:r>
            <w:r>
              <w:rPr>
                <w:rFonts w:ascii="Tahoma" w:hAnsi="Tahoma" w:cs="Tahoma"/>
              </w:rPr>
              <w:t>.</w:t>
            </w:r>
            <w:r w:rsidRPr="002B0303">
              <w:rPr>
                <w:rFonts w:ascii="Tahoma" w:hAnsi="Tahoma" w:cs="Tahoma"/>
              </w:rPr>
              <w:t>881</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rPr>
            </w:pPr>
            <w:r w:rsidRPr="002B0303">
              <w:rPr>
                <w:rFonts w:ascii="Tahoma" w:hAnsi="Tahoma" w:cs="Tahoma"/>
              </w:rPr>
              <w:t>-11,1%</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b/>
                <w:bCs/>
                <w:sz w:val="18"/>
                <w:szCs w:val="18"/>
                <w:lang w:val="en-US"/>
              </w:rPr>
            </w:pPr>
            <w:r>
              <w:rPr>
                <w:rFonts w:ascii="Tahoma" w:hAnsi="Tahoma" w:cs="Tahoma"/>
                <w:b/>
                <w:bCs/>
                <w:sz w:val="18"/>
                <w:szCs w:val="18"/>
                <w:lang w:val="en-US"/>
              </w:rPr>
              <w:t>2010*</w:t>
            </w:r>
          </w:p>
        </w:tc>
        <w:tc>
          <w:tcPr>
            <w:tcW w:w="1017"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bCs/>
              </w:rPr>
            </w:pPr>
            <w:r w:rsidRPr="002B0303">
              <w:rPr>
                <w:rFonts w:ascii="Tahoma" w:hAnsi="Tahoma" w:cs="Tahoma"/>
                <w:b/>
                <w:bCs/>
              </w:rPr>
              <w:t>195.584</w:t>
            </w:r>
          </w:p>
        </w:tc>
        <w:tc>
          <w:tcPr>
            <w:tcW w:w="882"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sz w:val="18"/>
                <w:szCs w:val="18"/>
              </w:rPr>
            </w:pPr>
            <w:r w:rsidRPr="002B0303">
              <w:rPr>
                <w:rFonts w:ascii="Tahoma" w:hAnsi="Tahoma" w:cs="Tahoma"/>
                <w:b/>
                <w:sz w:val="18"/>
                <w:szCs w:val="18"/>
              </w:rPr>
              <w:t>-3,5%</w:t>
            </w:r>
          </w:p>
        </w:tc>
        <w:tc>
          <w:tcPr>
            <w:tcW w:w="1025"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bCs/>
              </w:rPr>
            </w:pPr>
            <w:r w:rsidRPr="002B0303">
              <w:rPr>
                <w:rFonts w:ascii="Tahoma" w:hAnsi="Tahoma" w:cs="Tahoma"/>
                <w:b/>
                <w:bCs/>
              </w:rPr>
              <w:t>180.825</w:t>
            </w:r>
          </w:p>
        </w:tc>
        <w:tc>
          <w:tcPr>
            <w:tcW w:w="856"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sz w:val="18"/>
                <w:szCs w:val="18"/>
              </w:rPr>
            </w:pPr>
            <w:r w:rsidRPr="002B0303">
              <w:rPr>
                <w:rFonts w:ascii="Tahoma" w:hAnsi="Tahoma" w:cs="Tahoma"/>
                <w:b/>
                <w:sz w:val="18"/>
                <w:szCs w:val="18"/>
              </w:rPr>
              <w:t>-4,4%</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bCs/>
              </w:rPr>
            </w:pPr>
            <w:r w:rsidRPr="002B0303">
              <w:rPr>
                <w:rFonts w:ascii="Tahoma" w:hAnsi="Tahoma" w:cs="Tahoma"/>
                <w:b/>
                <w:bCs/>
              </w:rPr>
              <w:t>31.719</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sz w:val="18"/>
                <w:szCs w:val="18"/>
              </w:rPr>
            </w:pPr>
            <w:r w:rsidRPr="002B0303">
              <w:rPr>
                <w:rFonts w:ascii="Tahoma" w:hAnsi="Tahoma" w:cs="Tahoma"/>
                <w:b/>
                <w:sz w:val="18"/>
                <w:szCs w:val="18"/>
              </w:rPr>
              <w:t>-13,3%</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bCs/>
              </w:rPr>
            </w:pPr>
            <w:r w:rsidRPr="002B0303">
              <w:rPr>
                <w:rFonts w:ascii="Tahoma" w:hAnsi="Tahoma" w:cs="Tahoma"/>
                <w:b/>
                <w:bCs/>
              </w:rPr>
              <w:t>42.695</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sz w:val="18"/>
                <w:szCs w:val="18"/>
              </w:rPr>
            </w:pPr>
            <w:r w:rsidRPr="002B0303">
              <w:rPr>
                <w:rFonts w:ascii="Tahoma" w:hAnsi="Tahoma" w:cs="Tahoma"/>
                <w:b/>
                <w:sz w:val="18"/>
                <w:szCs w:val="18"/>
              </w:rPr>
              <w:t>4,2%</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30E57" w:rsidP="000B6769">
            <w:pPr>
              <w:jc w:val="center"/>
              <w:rPr>
                <w:rFonts w:ascii="Tahoma" w:hAnsi="Tahoma" w:cs="Tahoma"/>
                <w:b/>
                <w:bCs/>
              </w:rPr>
            </w:pPr>
            <w:r w:rsidRPr="002B0303">
              <w:rPr>
                <w:rFonts w:ascii="Tahoma" w:hAnsi="Tahoma" w:cs="Tahoma"/>
                <w:b/>
                <w:bCs/>
              </w:rPr>
              <w:t>59.531</w:t>
            </w:r>
          </w:p>
        </w:tc>
        <w:tc>
          <w:tcPr>
            <w:tcW w:w="900" w:type="dxa"/>
            <w:tcBorders>
              <w:top w:val="single" w:sz="6" w:space="0" w:color="auto"/>
              <w:left w:val="single" w:sz="6" w:space="0" w:color="auto"/>
              <w:bottom w:val="single" w:sz="6" w:space="0" w:color="auto"/>
              <w:right w:val="single" w:sz="6" w:space="0" w:color="auto"/>
            </w:tcBorders>
            <w:vAlign w:val="bottom"/>
          </w:tcPr>
          <w:p w:rsidR="00D30E57" w:rsidRPr="002B0303" w:rsidRDefault="00DE6EF4" w:rsidP="000B6769">
            <w:pPr>
              <w:jc w:val="center"/>
              <w:rPr>
                <w:rFonts w:ascii="Tahoma" w:hAnsi="Tahoma" w:cs="Tahoma"/>
                <w:b/>
                <w:sz w:val="18"/>
                <w:szCs w:val="18"/>
              </w:rPr>
            </w:pPr>
            <w:r>
              <w:rPr>
                <w:rFonts w:ascii="Tahoma" w:hAnsi="Tahoma" w:cs="Tahoma"/>
                <w:b/>
                <w:sz w:val="18"/>
                <w:szCs w:val="18"/>
              </w:rPr>
              <w:t>-</w:t>
            </w:r>
            <w:r w:rsidR="00D30E57" w:rsidRPr="002B0303">
              <w:rPr>
                <w:rFonts w:ascii="Tahoma" w:hAnsi="Tahoma" w:cs="Tahoma"/>
                <w:b/>
                <w:sz w:val="18"/>
                <w:szCs w:val="18"/>
              </w:rPr>
              <w:t>7,2%</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Pr="00315F4B" w:rsidRDefault="00D30E57" w:rsidP="000B6769">
            <w:pPr>
              <w:autoSpaceDE w:val="0"/>
              <w:autoSpaceDN w:val="0"/>
              <w:adjustRightInd w:val="0"/>
              <w:jc w:val="center"/>
              <w:rPr>
                <w:rFonts w:ascii="Tahoma" w:hAnsi="Tahoma" w:cs="Tahoma"/>
                <w:b/>
                <w:bCs/>
                <w:sz w:val="18"/>
                <w:szCs w:val="18"/>
              </w:rPr>
            </w:pPr>
            <w:r>
              <w:rPr>
                <w:rFonts w:ascii="Tahoma" w:hAnsi="Tahoma" w:cs="Tahoma"/>
                <w:sz w:val="18"/>
                <w:szCs w:val="18"/>
                <w:lang w:val="en-US"/>
              </w:rPr>
              <w:t>α' 201</w:t>
            </w:r>
            <w:r>
              <w:rPr>
                <w:rFonts w:ascii="Tahoma" w:hAnsi="Tahoma" w:cs="Tahoma"/>
                <w:sz w:val="18"/>
                <w:szCs w:val="18"/>
              </w:rPr>
              <w:t>1</w:t>
            </w:r>
          </w:p>
        </w:tc>
        <w:tc>
          <w:tcPr>
            <w:tcW w:w="1017"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43.448</w:t>
            </w:r>
          </w:p>
        </w:tc>
        <w:tc>
          <w:tcPr>
            <w:tcW w:w="882"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-8,0%</w:t>
            </w:r>
          </w:p>
        </w:tc>
        <w:tc>
          <w:tcPr>
            <w:tcW w:w="1025"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43.019</w:t>
            </w:r>
          </w:p>
        </w:tc>
        <w:tc>
          <w:tcPr>
            <w:tcW w:w="856"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-8,9%</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6.126</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-11,3%</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8.202</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-2,4%</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13.902</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-9,8%</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Pr="00616363" w:rsidRDefault="00D30E57" w:rsidP="000B6769">
            <w:pPr>
              <w:autoSpaceDE w:val="0"/>
              <w:autoSpaceDN w:val="0"/>
              <w:adjustRightInd w:val="0"/>
              <w:jc w:val="center"/>
              <w:rPr>
                <w:rFonts w:ascii="Tahoma" w:hAnsi="Tahoma" w:cs="Tahoma"/>
                <w:sz w:val="18"/>
                <w:szCs w:val="18"/>
              </w:rPr>
            </w:pPr>
            <w:r>
              <w:rPr>
                <w:rFonts w:ascii="Tahoma" w:hAnsi="Tahoma" w:cs="Tahoma"/>
                <w:sz w:val="18"/>
                <w:szCs w:val="18"/>
                <w:lang w:val="en-US"/>
              </w:rPr>
              <w:t>β΄201</w:t>
            </w:r>
            <w:r>
              <w:rPr>
                <w:rFonts w:ascii="Tahoma" w:hAnsi="Tahoma" w:cs="Tahoma"/>
                <w:sz w:val="18"/>
                <w:szCs w:val="18"/>
              </w:rPr>
              <w:t>1</w:t>
            </w:r>
          </w:p>
        </w:tc>
        <w:tc>
          <w:tcPr>
            <w:tcW w:w="1017"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46.575</w:t>
            </w:r>
          </w:p>
        </w:tc>
        <w:tc>
          <w:tcPr>
            <w:tcW w:w="882"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-7,3%</w:t>
            </w:r>
          </w:p>
        </w:tc>
        <w:tc>
          <w:tcPr>
            <w:tcW w:w="1025"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42.421</w:t>
            </w:r>
          </w:p>
        </w:tc>
        <w:tc>
          <w:tcPr>
            <w:tcW w:w="856"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-8,3%</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7.134</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-7,3%</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10.757</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0,8%</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13.697</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-4,5%</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Pr="00667D23" w:rsidRDefault="00D30E57" w:rsidP="000B6769">
            <w:pPr>
              <w:autoSpaceDE w:val="0"/>
              <w:autoSpaceDN w:val="0"/>
              <w:adjustRightInd w:val="0"/>
              <w:jc w:val="center"/>
              <w:rPr>
                <w:rFonts w:ascii="Tahoma" w:hAnsi="Tahoma" w:cs="Tahoma"/>
                <w:sz w:val="18"/>
                <w:szCs w:val="18"/>
              </w:rPr>
            </w:pPr>
            <w:r>
              <w:rPr>
                <w:rFonts w:ascii="Tahoma" w:hAnsi="Tahoma" w:cs="Tahoma"/>
                <w:sz w:val="18"/>
                <w:szCs w:val="18"/>
              </w:rPr>
              <w:t>γ’ 2011</w:t>
            </w:r>
          </w:p>
        </w:tc>
        <w:tc>
          <w:tcPr>
            <w:tcW w:w="1017"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48.090</w:t>
            </w:r>
          </w:p>
        </w:tc>
        <w:tc>
          <w:tcPr>
            <w:tcW w:w="882"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-5,0%</w:t>
            </w:r>
          </w:p>
        </w:tc>
        <w:tc>
          <w:tcPr>
            <w:tcW w:w="1025"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42.424</w:t>
            </w:r>
          </w:p>
        </w:tc>
        <w:tc>
          <w:tcPr>
            <w:tcW w:w="856"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-4,9%</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6.083</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-20,7%</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14.003</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4,5%</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14.334</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-3,8%</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Default="00D30E57" w:rsidP="000B6769">
            <w:pPr>
              <w:autoSpaceDE w:val="0"/>
              <w:autoSpaceDN w:val="0"/>
              <w:adjustRightInd w:val="0"/>
              <w:jc w:val="center"/>
              <w:rPr>
                <w:rFonts w:ascii="Tahoma" w:hAnsi="Tahoma" w:cs="Tahoma"/>
                <w:sz w:val="18"/>
                <w:szCs w:val="18"/>
              </w:rPr>
            </w:pPr>
            <w:r>
              <w:rPr>
                <w:rFonts w:ascii="Tahoma" w:hAnsi="Tahoma" w:cs="Tahoma"/>
                <w:sz w:val="18"/>
                <w:szCs w:val="18"/>
              </w:rPr>
              <w:t>δ’ 2011</w:t>
            </w:r>
          </w:p>
        </w:tc>
        <w:tc>
          <w:tcPr>
            <w:tcW w:w="1017"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43.964</w:t>
            </w:r>
          </w:p>
        </w:tc>
        <w:tc>
          <w:tcPr>
            <w:tcW w:w="882"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-7,5%</w:t>
            </w:r>
          </w:p>
        </w:tc>
        <w:tc>
          <w:tcPr>
            <w:tcW w:w="1025"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39.382</w:t>
            </w:r>
          </w:p>
        </w:tc>
        <w:tc>
          <w:tcPr>
            <w:tcW w:w="856"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-7,9%</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7.795</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-17,5%</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9.592</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-6,1%</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12.773</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2B0303" w:rsidRDefault="00D30E57" w:rsidP="000B6769">
            <w:pPr>
              <w:jc w:val="center"/>
              <w:rPr>
                <w:rFonts w:ascii="Tahoma" w:hAnsi="Tahoma" w:cs="Tahoma"/>
              </w:rPr>
            </w:pPr>
            <w:r w:rsidRPr="002B0303">
              <w:rPr>
                <w:rFonts w:ascii="Tahoma" w:hAnsi="Tahoma" w:cs="Tahoma"/>
              </w:rPr>
              <w:t>-14,2%</w:t>
            </w:r>
          </w:p>
        </w:tc>
      </w:tr>
      <w:tr w:rsidR="00D30E57" w:rsidRPr="00315F4B" w:rsidTr="000B6769">
        <w:trPr>
          <w:trHeight w:hRule="exact" w:val="288"/>
          <w:jc w:val="center"/>
        </w:trPr>
        <w:tc>
          <w:tcPr>
            <w:tcW w:w="1080" w:type="dxa"/>
            <w:tcBorders>
              <w:top w:val="single" w:sz="6" w:space="0" w:color="auto"/>
              <w:left w:val="single" w:sz="6" w:space="0" w:color="auto"/>
              <w:bottom w:val="single" w:sz="6" w:space="0" w:color="auto"/>
              <w:right w:val="single" w:sz="6" w:space="0" w:color="auto"/>
            </w:tcBorders>
            <w:vAlign w:val="center"/>
          </w:tcPr>
          <w:p w:rsidR="00D30E57" w:rsidRPr="008C434D" w:rsidRDefault="00D30E57" w:rsidP="000B6769">
            <w:pPr>
              <w:autoSpaceDE w:val="0"/>
              <w:autoSpaceDN w:val="0"/>
              <w:adjustRightInd w:val="0"/>
              <w:jc w:val="center"/>
              <w:rPr>
                <w:rFonts w:ascii="Tahoma" w:hAnsi="Tahoma" w:cs="Tahoma"/>
                <w:b/>
                <w:sz w:val="18"/>
                <w:szCs w:val="18"/>
              </w:rPr>
            </w:pPr>
            <w:r w:rsidRPr="008C434D">
              <w:rPr>
                <w:rFonts w:ascii="Tahoma" w:hAnsi="Tahoma" w:cs="Tahoma"/>
                <w:b/>
                <w:sz w:val="18"/>
                <w:szCs w:val="18"/>
              </w:rPr>
              <w:t>2011*</w:t>
            </w:r>
          </w:p>
        </w:tc>
        <w:tc>
          <w:tcPr>
            <w:tcW w:w="1017" w:type="dxa"/>
            <w:tcBorders>
              <w:top w:val="single" w:sz="6" w:space="0" w:color="auto"/>
              <w:left w:val="single" w:sz="6" w:space="0" w:color="auto"/>
              <w:bottom w:val="single" w:sz="6" w:space="0" w:color="auto"/>
              <w:right w:val="single" w:sz="6" w:space="0" w:color="auto"/>
            </w:tcBorders>
            <w:vAlign w:val="center"/>
          </w:tcPr>
          <w:p w:rsidR="00D30E57" w:rsidRPr="008C434D" w:rsidRDefault="00D30E57" w:rsidP="000B6769">
            <w:pPr>
              <w:jc w:val="center"/>
              <w:rPr>
                <w:rFonts w:ascii="Tahoma" w:hAnsi="Tahoma" w:cs="Tahoma"/>
                <w:b/>
              </w:rPr>
            </w:pPr>
            <w:r w:rsidRPr="008C434D">
              <w:rPr>
                <w:rFonts w:ascii="Tahoma" w:hAnsi="Tahoma" w:cs="Tahoma"/>
                <w:b/>
              </w:rPr>
              <w:t>182.077</w:t>
            </w:r>
          </w:p>
        </w:tc>
        <w:tc>
          <w:tcPr>
            <w:tcW w:w="882" w:type="dxa"/>
            <w:tcBorders>
              <w:top w:val="single" w:sz="6" w:space="0" w:color="auto"/>
              <w:left w:val="single" w:sz="6" w:space="0" w:color="auto"/>
              <w:bottom w:val="single" w:sz="6" w:space="0" w:color="auto"/>
              <w:right w:val="single" w:sz="6" w:space="0" w:color="auto"/>
            </w:tcBorders>
            <w:vAlign w:val="center"/>
          </w:tcPr>
          <w:p w:rsidR="00D30E57" w:rsidRPr="008C434D" w:rsidRDefault="00D30E57" w:rsidP="000B6769">
            <w:pPr>
              <w:jc w:val="center"/>
              <w:rPr>
                <w:rFonts w:ascii="Tahoma" w:hAnsi="Tahoma" w:cs="Tahoma"/>
                <w:b/>
              </w:rPr>
            </w:pPr>
            <w:r w:rsidRPr="008C434D">
              <w:rPr>
                <w:rFonts w:ascii="Tahoma" w:hAnsi="Tahoma" w:cs="Tahoma"/>
                <w:b/>
              </w:rPr>
              <w:t>-6,9%</w:t>
            </w:r>
          </w:p>
        </w:tc>
        <w:tc>
          <w:tcPr>
            <w:tcW w:w="1025" w:type="dxa"/>
            <w:tcBorders>
              <w:top w:val="single" w:sz="6" w:space="0" w:color="auto"/>
              <w:left w:val="single" w:sz="6" w:space="0" w:color="auto"/>
              <w:bottom w:val="single" w:sz="6" w:space="0" w:color="auto"/>
              <w:right w:val="single" w:sz="6" w:space="0" w:color="auto"/>
            </w:tcBorders>
            <w:vAlign w:val="center"/>
          </w:tcPr>
          <w:p w:rsidR="00D30E57" w:rsidRPr="008C434D" w:rsidRDefault="00D30E57" w:rsidP="000B6769">
            <w:pPr>
              <w:jc w:val="center"/>
              <w:rPr>
                <w:rFonts w:ascii="Tahoma" w:hAnsi="Tahoma" w:cs="Tahoma"/>
                <w:b/>
              </w:rPr>
            </w:pPr>
            <w:r w:rsidRPr="008C434D">
              <w:rPr>
                <w:rFonts w:ascii="Tahoma" w:hAnsi="Tahoma" w:cs="Tahoma"/>
                <w:b/>
              </w:rPr>
              <w:t>167.247</w:t>
            </w:r>
          </w:p>
        </w:tc>
        <w:tc>
          <w:tcPr>
            <w:tcW w:w="856" w:type="dxa"/>
            <w:tcBorders>
              <w:top w:val="single" w:sz="6" w:space="0" w:color="auto"/>
              <w:left w:val="single" w:sz="6" w:space="0" w:color="auto"/>
              <w:bottom w:val="single" w:sz="6" w:space="0" w:color="auto"/>
              <w:right w:val="single" w:sz="6" w:space="0" w:color="auto"/>
            </w:tcBorders>
            <w:vAlign w:val="center"/>
          </w:tcPr>
          <w:p w:rsidR="00D30E57" w:rsidRPr="008C434D" w:rsidRDefault="00D30E57" w:rsidP="000B6769">
            <w:pPr>
              <w:jc w:val="center"/>
              <w:rPr>
                <w:rFonts w:ascii="Tahoma" w:hAnsi="Tahoma" w:cs="Tahoma"/>
                <w:b/>
              </w:rPr>
            </w:pPr>
            <w:r w:rsidRPr="008C434D">
              <w:rPr>
                <w:rFonts w:ascii="Tahoma" w:hAnsi="Tahoma" w:cs="Tahoma"/>
                <w:b/>
              </w:rPr>
              <w:t>-7,5%</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8C434D" w:rsidRDefault="00D30E57" w:rsidP="000B6769">
            <w:pPr>
              <w:jc w:val="center"/>
              <w:rPr>
                <w:rFonts w:ascii="Tahoma" w:hAnsi="Tahoma" w:cs="Tahoma"/>
                <w:b/>
              </w:rPr>
            </w:pPr>
            <w:r w:rsidRPr="008C434D">
              <w:rPr>
                <w:rFonts w:ascii="Tahoma" w:hAnsi="Tahoma" w:cs="Tahoma"/>
                <w:b/>
              </w:rPr>
              <w:t>27.138</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8C434D" w:rsidRDefault="00D30E57" w:rsidP="000B6769">
            <w:pPr>
              <w:jc w:val="center"/>
              <w:rPr>
                <w:rFonts w:ascii="Tahoma" w:hAnsi="Tahoma" w:cs="Tahoma"/>
                <w:b/>
              </w:rPr>
            </w:pPr>
            <w:r w:rsidRPr="008C434D">
              <w:rPr>
                <w:rFonts w:ascii="Tahoma" w:hAnsi="Tahoma" w:cs="Tahoma"/>
                <w:b/>
              </w:rPr>
              <w:t>-14,4%</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8C434D" w:rsidRDefault="00D30E57" w:rsidP="000B6769">
            <w:pPr>
              <w:jc w:val="center"/>
              <w:rPr>
                <w:rFonts w:ascii="Tahoma" w:hAnsi="Tahoma" w:cs="Tahoma"/>
                <w:b/>
              </w:rPr>
            </w:pPr>
            <w:r w:rsidRPr="008C434D">
              <w:rPr>
                <w:rFonts w:ascii="Tahoma" w:hAnsi="Tahoma" w:cs="Tahoma"/>
                <w:b/>
              </w:rPr>
              <w:t>42.554</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8C434D" w:rsidRDefault="00D30E57" w:rsidP="000B6769">
            <w:pPr>
              <w:jc w:val="center"/>
              <w:rPr>
                <w:rFonts w:ascii="Tahoma" w:hAnsi="Tahoma" w:cs="Tahoma"/>
                <w:b/>
              </w:rPr>
            </w:pPr>
            <w:r w:rsidRPr="008C434D">
              <w:rPr>
                <w:rFonts w:ascii="Tahoma" w:hAnsi="Tahoma" w:cs="Tahoma"/>
                <w:b/>
              </w:rPr>
              <w:t>-0,3%</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8C434D" w:rsidRDefault="00D30E57" w:rsidP="000B6769">
            <w:pPr>
              <w:jc w:val="center"/>
              <w:rPr>
                <w:rFonts w:ascii="Tahoma" w:hAnsi="Tahoma" w:cs="Tahoma"/>
                <w:b/>
              </w:rPr>
            </w:pPr>
            <w:r w:rsidRPr="008C434D">
              <w:rPr>
                <w:rFonts w:ascii="Tahoma" w:hAnsi="Tahoma" w:cs="Tahoma"/>
                <w:b/>
              </w:rPr>
              <w:t>54.706</w:t>
            </w:r>
          </w:p>
        </w:tc>
        <w:tc>
          <w:tcPr>
            <w:tcW w:w="900" w:type="dxa"/>
            <w:tcBorders>
              <w:top w:val="single" w:sz="6" w:space="0" w:color="auto"/>
              <w:left w:val="single" w:sz="6" w:space="0" w:color="auto"/>
              <w:bottom w:val="single" w:sz="6" w:space="0" w:color="auto"/>
              <w:right w:val="single" w:sz="6" w:space="0" w:color="auto"/>
            </w:tcBorders>
            <w:vAlign w:val="center"/>
          </w:tcPr>
          <w:p w:rsidR="00D30E57" w:rsidRPr="008C434D" w:rsidRDefault="00D30E57" w:rsidP="000B6769">
            <w:pPr>
              <w:jc w:val="center"/>
              <w:rPr>
                <w:rFonts w:ascii="Tahoma" w:hAnsi="Tahoma" w:cs="Tahoma"/>
                <w:b/>
              </w:rPr>
            </w:pPr>
            <w:r w:rsidRPr="008C434D">
              <w:rPr>
                <w:rFonts w:ascii="Tahoma" w:hAnsi="Tahoma" w:cs="Tahoma"/>
                <w:b/>
              </w:rPr>
              <w:t>-8,1%</w:t>
            </w:r>
          </w:p>
        </w:tc>
      </w:tr>
    </w:tbl>
    <w:p w:rsidR="00D30E57" w:rsidRPr="00D30E57" w:rsidRDefault="00D30E57" w:rsidP="00D30E57">
      <w:pPr>
        <w:autoSpaceDE w:val="0"/>
        <w:autoSpaceDN w:val="0"/>
        <w:adjustRightInd w:val="0"/>
        <w:jc w:val="both"/>
        <w:rPr>
          <w:rFonts w:ascii="Tahoma" w:hAnsi="Tahoma" w:cs="Tahoma"/>
          <w:sz w:val="16"/>
          <w:szCs w:val="16"/>
          <w:lang w:val="en-US"/>
        </w:rPr>
      </w:pPr>
      <w:r w:rsidRPr="00D30E57">
        <w:rPr>
          <w:rFonts w:ascii="Tahoma" w:hAnsi="Tahoma" w:cs="Tahoma"/>
          <w:sz w:val="16"/>
          <w:szCs w:val="16"/>
          <w:lang w:val="en-US"/>
        </w:rPr>
        <w:t>*προσωρινά στοιχεία</w:t>
      </w:r>
    </w:p>
    <w:p w:rsidR="00D30E57" w:rsidRDefault="00D30E57" w:rsidP="00D30E57">
      <w:pPr>
        <w:autoSpaceDE w:val="0"/>
        <w:autoSpaceDN w:val="0"/>
        <w:adjustRightInd w:val="0"/>
        <w:spacing w:after="60" w:line="288" w:lineRule="auto"/>
        <w:jc w:val="both"/>
        <w:rPr>
          <w:rFonts w:ascii="Tahoma" w:hAnsi="Tahoma" w:cs="Tahoma"/>
          <w:sz w:val="16"/>
          <w:szCs w:val="16"/>
        </w:rPr>
      </w:pPr>
      <w:r w:rsidRPr="00D30E57">
        <w:rPr>
          <w:rFonts w:ascii="Tahoma" w:hAnsi="Tahoma" w:cs="Tahoma"/>
          <w:b/>
          <w:sz w:val="16"/>
          <w:szCs w:val="16"/>
        </w:rPr>
        <w:t>Πηγή</w:t>
      </w:r>
      <w:r w:rsidRPr="00D30E57">
        <w:rPr>
          <w:rFonts w:ascii="Tahoma" w:hAnsi="Tahoma" w:cs="Tahoma"/>
          <w:sz w:val="16"/>
          <w:szCs w:val="16"/>
        </w:rPr>
        <w:t>: ΕΛ.ΣΤΑΤ., Τριμηνιαίοι Εθνικοί Λογαριασμοί, Μάρτιος 2012</w:t>
      </w:r>
    </w:p>
    <w:p w:rsidR="00295EC3" w:rsidRDefault="00295EC3" w:rsidP="00D30E57">
      <w:pPr>
        <w:autoSpaceDE w:val="0"/>
        <w:autoSpaceDN w:val="0"/>
        <w:adjustRightInd w:val="0"/>
        <w:spacing w:after="60" w:line="288" w:lineRule="auto"/>
        <w:jc w:val="both"/>
        <w:rPr>
          <w:rFonts w:ascii="Tahoma" w:hAnsi="Tahoma" w:cs="Tahoma"/>
          <w:sz w:val="16"/>
          <w:szCs w:val="16"/>
        </w:rPr>
        <w:sectPr w:rsidR="00295EC3" w:rsidSect="00AE1766">
          <w:pgSz w:w="11906" w:h="16838"/>
          <w:pgMar w:top="1440" w:right="849" w:bottom="1440" w:left="1560" w:header="708" w:footer="708" w:gutter="0"/>
          <w:cols w:space="720"/>
          <w:docGrid w:linePitch="360"/>
        </w:sectPr>
      </w:pPr>
    </w:p>
    <w:p w:rsidR="00D30E57" w:rsidRPr="00212EB2" w:rsidRDefault="00D30E57" w:rsidP="00212EB2">
      <w:pPr>
        <w:pStyle w:val="new2"/>
        <w:spacing w:before="240" w:line="312" w:lineRule="auto"/>
      </w:pPr>
      <w:bookmarkStart w:id="167" w:name="_Toc320872883"/>
      <w:r w:rsidRPr="00212EB2">
        <w:lastRenderedPageBreak/>
        <w:t>Μεσοπρόθεσμες προοπτικές</w:t>
      </w:r>
      <w:bookmarkEnd w:id="167"/>
    </w:p>
    <w:p w:rsidR="00D30E57" w:rsidRDefault="00D30E57" w:rsidP="00D30E57">
      <w:pPr>
        <w:autoSpaceDE w:val="0"/>
        <w:autoSpaceDN w:val="0"/>
        <w:adjustRightInd w:val="0"/>
        <w:spacing w:before="240" w:after="240" w:line="312" w:lineRule="auto"/>
        <w:jc w:val="both"/>
        <w:rPr>
          <w:rFonts w:ascii="Tahoma" w:hAnsi="Tahoma" w:cs="Tahoma"/>
          <w:sz w:val="22"/>
          <w:szCs w:val="22"/>
        </w:rPr>
      </w:pPr>
      <w:r>
        <w:rPr>
          <w:rFonts w:ascii="Tahoma" w:hAnsi="Tahoma" w:cs="Tahoma"/>
          <w:sz w:val="22"/>
          <w:szCs w:val="22"/>
        </w:rPr>
        <w:t>Οι επιδράσεις των βασικών παραγόντων δημιουργίας έντονης αβεβαιότητας σε πολιτικοκοινωνικό επίπεδο στην Ελλάδα τους τελευταίους μήνες του 2011, η έκβαση των διαπραγματεύσεων με τον ιδιωτικό τομέα για την απομείωση της αξίας των ελληνικών ομολόγων, καθώς και με την Ευρωζώνη για τη σύναψη νέας δανειακής σύμβασης, συνέχισαν να υφίστανται και στις αρχές του 2012. Τα πρόσθετα δημοσιονομικά-διαρθρωτικά μέτρα που λήφθηκαν για τη σύναψη της δανειακής συμφωνίας, ιδίως αυτά που αφορούσαν στη μείωση των αμοιβών των εργαζομένων στον ιδιωτικό τομέα (κατώτατος μισθός, αριθμός επιδομάτων, αναστολή ωριμάνσεων-αυξήσεων κ.λπ.) και στις αλλαγές στις διαπραγματεύσεις εργοδοτών-εργαζομένων, οδήγησαν σε νέα κλιμάκωση της κοινωνικής δυσφορίας. Προκάλεσαν όμως κλυδωνισμούς και σε κυβερνητικό επίπεδο, αλλά και εντός των κομμάτων που υποστήριζαν την νέα κυβέρνηση.</w:t>
      </w:r>
      <w:r w:rsidRPr="008A12E8">
        <w:rPr>
          <w:rFonts w:ascii="Tahoma" w:hAnsi="Tahoma" w:cs="Tahoma"/>
          <w:sz w:val="22"/>
          <w:szCs w:val="22"/>
        </w:rPr>
        <w:t xml:space="preserve"> </w:t>
      </w:r>
      <w:r>
        <w:rPr>
          <w:rFonts w:ascii="Tahoma" w:hAnsi="Tahoma" w:cs="Tahoma"/>
          <w:sz w:val="22"/>
          <w:szCs w:val="22"/>
        </w:rPr>
        <w:t>Η ρευστότητα παραμένει υψηλή τους πρώτους μήνες του 2012, καθώς προσεγγίζουμε μια εκλογική διαδικασία με πρωτοφανείς ιδιαιτερότητες και με πλήθος καινούργιων κομματικών σχηματισμών, αν και με ασαφές ιδεολογικό περιεχόμενο. Τόσο η προεκλογική περίοδος στην οποία εισερχόμαστε, όσο όμως και η μετεκλογική περίοδος που θα ακολουθήσει, ενισχύουν την αβεβαιότητα στην εμπρόθεσμη και συνολική εφαρμογή του προγράμματος που συνδέεται με τη χρηματοδότηση της ελληνικής οικονομίας.</w:t>
      </w:r>
    </w:p>
    <w:p w:rsidR="00D30E57" w:rsidRDefault="00D30E57" w:rsidP="00D30E57">
      <w:pPr>
        <w:autoSpaceDE w:val="0"/>
        <w:autoSpaceDN w:val="0"/>
        <w:adjustRightInd w:val="0"/>
        <w:spacing w:before="240" w:after="240" w:line="312" w:lineRule="auto"/>
        <w:jc w:val="both"/>
        <w:rPr>
          <w:rFonts w:ascii="Tahoma" w:hAnsi="Tahoma" w:cs="Tahoma"/>
          <w:sz w:val="22"/>
          <w:szCs w:val="22"/>
        </w:rPr>
      </w:pPr>
      <w:r>
        <w:rPr>
          <w:rFonts w:ascii="Tahoma" w:hAnsi="Tahoma" w:cs="Tahoma"/>
          <w:sz w:val="22"/>
          <w:szCs w:val="22"/>
        </w:rPr>
        <w:t xml:space="preserve">Προς το τέλος του πρώτου τριμήνου του 2012, η υπογραφή της νέας δανειακής σύμβασης της Ελλάδας με την Ευρωζώνη, με συμμετοχή στο νέο δάνειο και του ΔΝΤ, </w:t>
      </w:r>
      <w:r>
        <w:rPr>
          <w:rFonts w:ascii="Tahoma" w:hAnsi="Tahoma" w:cs="Tahoma"/>
          <w:sz w:val="22"/>
          <w:szCs w:val="22"/>
        </w:rPr>
        <w:lastRenderedPageBreak/>
        <w:t>περιόρισε σημαντικά το ενδεχόμενο στάσης πληρωμών του ελληνικού κράτους και την ανησυχία που αυτό δημιουργούσε. Ωστόσο η αβεβαιότητα σχετικά με τη δυνατότητα επίτευξης των δημοσιονομικών στόχων, όχι μόνο για το 2012 αλλά και εκείνων που αφορούν στα επόμενα χρόνια, και ακολούθως η ανησυχία για το ύψος των επιπρόσθετων δημοσιονομικών μέτρων που θα ληφθούν προς αυτή την κατεύθυνση, παραμένουν σε υψηλά επίπεδα. Άλλωστε, παρά τις διαδοχικές δέσμες μέτρων που λήφθηκαν το 2011, τα οποία είχαν ιδιαίτερα αρνητικό αντίκτυπο στο ΑΕΠ και στην απασχόληση, η διαγραφόμενη μείωση του δημοσιονομικού ελλείμματος είναι μικρή, ενώ δεν αποκλείεται να μην μεταβληθεί σε σχέση με το 2010. Η ανάσχεση της ύφεσης και η τιθάσευση της ανεργίας δυσχεραίνονται από τις σημαντικές καθυστερήσεις στην πραγματοποίηση διαρθρωτικών αλλαγών σε κλάδους και δραστηριότητες στους οποίους υφίστανται διαχρονικά περιορισμοί και αγκυλώσεις, στην αναδιάρθρωση του κράτους και στον εκσυγχρονισμό της λειτουργίας του, στην αξιοποίηση των πόρων του ΠΔΕ και κυρίως του συγχρηματοδοτούμενου μέρους του (ΕΣΠΑ 2007-2013).</w:t>
      </w:r>
      <w:r w:rsidRPr="004727EE">
        <w:rPr>
          <w:rFonts w:ascii="Tahoma" w:hAnsi="Tahoma" w:cs="Tahoma"/>
          <w:sz w:val="22"/>
          <w:szCs w:val="22"/>
        </w:rPr>
        <w:t xml:space="preserve"> </w:t>
      </w:r>
      <w:r>
        <w:rPr>
          <w:rFonts w:ascii="Tahoma" w:hAnsi="Tahoma" w:cs="Tahoma"/>
          <w:sz w:val="22"/>
          <w:szCs w:val="22"/>
        </w:rPr>
        <w:t>Αυτές οι τάσεις αντικατοπτρίζονται στην πορεία των κλαδικών δεικτών οικονομικής συγκυρίας του ΙΟΒΕ, οι οποίοι στις αρχές του 2012 είτε κινούνται κοντά στο ιστορικά χαμηλότερο επίπεδό τους (λιανικό εμπόριο, κατασκευές, βιομηχανία), είτε σημειώνουν νέες ελάχιστες τιμές (υπηρεσίες), καθώς και στην έρευνα επενδύσεων που διεξάγει στη βιομηχανία, από την οποία η πρώτη εκτίμηση για το 2012 κατέληξε σε πτώση τους κατά 5,6%.</w:t>
      </w:r>
    </w:p>
    <w:p w:rsidR="00D30E57" w:rsidRPr="00F07546" w:rsidRDefault="00D30E57" w:rsidP="00D30E57">
      <w:pPr>
        <w:autoSpaceDE w:val="0"/>
        <w:autoSpaceDN w:val="0"/>
        <w:adjustRightInd w:val="0"/>
        <w:spacing w:before="240" w:after="240" w:line="312" w:lineRule="auto"/>
        <w:jc w:val="both"/>
        <w:rPr>
          <w:rFonts w:ascii="Tahoma" w:hAnsi="Tahoma" w:cs="Tahoma"/>
          <w:sz w:val="22"/>
          <w:szCs w:val="22"/>
        </w:rPr>
      </w:pPr>
      <w:r>
        <w:rPr>
          <w:rFonts w:ascii="Tahoma" w:hAnsi="Tahoma" w:cs="Tahoma"/>
          <w:sz w:val="22"/>
          <w:szCs w:val="22"/>
        </w:rPr>
        <w:t xml:space="preserve">Πτώση καταγράφεται το ίδιο χρονικό διάστημα σε δείκτες και μεγέθη που σχετίζονται με την παραγωγή, γενικότερα με </w:t>
      </w:r>
      <w:r>
        <w:rPr>
          <w:rFonts w:ascii="Tahoma" w:hAnsi="Tahoma" w:cs="Tahoma"/>
          <w:sz w:val="22"/>
          <w:szCs w:val="22"/>
        </w:rPr>
        <w:lastRenderedPageBreak/>
        <w:t xml:space="preserve">τη δραστηριότητα σε βασικούς κλάδους της ελληνικής οικονομίας. Επειδή τα διαθέσιμα στοιχεία για το 2012 είναι προς το παρόν περιορισμένα, δεν είναι δυνατή </w:t>
      </w:r>
      <w:r w:rsidR="004351C0">
        <w:rPr>
          <w:rFonts w:ascii="Tahoma" w:hAnsi="Tahoma" w:cs="Tahoma"/>
          <w:sz w:val="22"/>
          <w:szCs w:val="22"/>
        </w:rPr>
        <w:t xml:space="preserve">ακόμα </w:t>
      </w:r>
      <w:r>
        <w:rPr>
          <w:rFonts w:ascii="Tahoma" w:hAnsi="Tahoma" w:cs="Tahoma"/>
          <w:sz w:val="22"/>
          <w:szCs w:val="22"/>
        </w:rPr>
        <w:t>η σύγκριση της φετινής υποχώρησης στο σύνολο της εγχώριας οικονομικής δραστηριότητας με την περυσινή. Αναλυτικότερα, η βιομηχανική παραγωγή περιορίστηκε φέτος τον Ιανουάριο κατά 5,0%, όσο περίπου τον ίδιο μήνα πριν ένα χρόνο (-4,7%), σε μικρότερη έκταση πάντως από ότι το αμέσως προηγούμενο δίμηνο Νοεμβρίου-Δεκεμβρίου, όταν η μείωσή της είχε φτάσει κοντά στο 10%. Όμως η εξέλιξη των παραγγελιών στη βιομηχανία προμηνύει κλιμάκωση της συρρίκνωσης της παραγωγικής δραστηριότητάς της στους προσεχείς μήνες, δεδομένου ότι η πτώση τους που ξεκίνησε τον περασμένο Οκτώβρη διευρύνεται συνεχώς και έφτασε τον Ιανουάριο κοντά στο 15%. Η μικρότερη από ότι στις αρχές του 2011 ενίσχυση της ζήτησης από το εξωτερικό (+6%), δεν επαρκεί για να υπεραντισταθμίσει την κάθετη μείωση των εγχώριων παραγγελιών (-25%). Οι αφίξεις ξένων τουριστών στα μεγαλύτερα αεροδρόμια της χώρας ήταν κατά 6,7% λιγότερες στο δίμηνο Ιανουαρίου-Φεβρουαρίου του τρέχοντος έτους</w:t>
      </w:r>
      <w:r w:rsidRPr="004D216B">
        <w:rPr>
          <w:rFonts w:ascii="Tahoma" w:hAnsi="Tahoma" w:cs="Tahoma"/>
          <w:sz w:val="22"/>
          <w:szCs w:val="22"/>
        </w:rPr>
        <w:t xml:space="preserve">, </w:t>
      </w:r>
      <w:r>
        <w:rPr>
          <w:rFonts w:ascii="Tahoma" w:hAnsi="Tahoma" w:cs="Tahoma"/>
          <w:sz w:val="22"/>
          <w:szCs w:val="22"/>
        </w:rPr>
        <w:t>ενώ πέρυσι η αντίστοιχη πτώση δεν ξεπερνούσε το 1,3%. Η εξασθένιση της τουριστικής κίνησης είναι εμφανής στην πορεία του κύκλου εργασιών του τομέα στο τέταρτο τρίμηνο του 2011</w:t>
      </w:r>
      <w:r w:rsidRPr="00CC1CCB">
        <w:rPr>
          <w:rFonts w:ascii="Tahoma" w:hAnsi="Tahoma" w:cs="Tahoma"/>
          <w:sz w:val="22"/>
          <w:szCs w:val="22"/>
        </w:rPr>
        <w:t>:</w:t>
      </w:r>
      <w:r>
        <w:rPr>
          <w:rFonts w:ascii="Tahoma" w:hAnsi="Tahoma" w:cs="Tahoma"/>
          <w:sz w:val="22"/>
          <w:szCs w:val="22"/>
        </w:rPr>
        <w:t xml:space="preserve"> μετά τη μικρή υποχώρηση που σημείωσε στους περυσινούς καλοκαιρινούς μήνες, οι απώλειες εκτινάχθηκαν στο 18,6% στο τρίμηνο Οκτωβρίου-Δεκεμβρίου. Επανάκαμψη ισχυρών πιέσεων σημειώνεται και στην παραγωγή του κατασκευαστικού τομέα, καθώς τη σταθεροποίησή της στο γ’ τρίμηνο της περασμένης χρονιάς, σε σύγκριση με την </w:t>
      </w:r>
      <w:r>
        <w:rPr>
          <w:rFonts w:ascii="Tahoma" w:hAnsi="Tahoma" w:cs="Tahoma"/>
          <w:sz w:val="22"/>
          <w:szCs w:val="22"/>
        </w:rPr>
        <w:lastRenderedPageBreak/>
        <w:t>αντίστοιχη περίοδο του 2010, ακολούθησε στο αμέσως επόμενο τρίμηνο κατακόρυφη μείωση, κατά 34,6%, ίδιας έκτασης με αυτή στο πρώτο εξάμηνο του 2011. Η πτώση στις βασικές κατηγορίες έργων, τα οικοδομικά και όσα γίνονται από πολιτικούς μηχανικούς, είναι παραπλήσια (-35,0% και -34,4% αντίστοιχα).</w:t>
      </w:r>
    </w:p>
    <w:p w:rsidR="00D30E57" w:rsidRDefault="00D30E57" w:rsidP="00D30E57">
      <w:pPr>
        <w:autoSpaceDE w:val="0"/>
        <w:autoSpaceDN w:val="0"/>
        <w:adjustRightInd w:val="0"/>
        <w:spacing w:before="240" w:after="240" w:line="312" w:lineRule="auto"/>
        <w:jc w:val="both"/>
        <w:rPr>
          <w:rFonts w:ascii="Tahoma" w:hAnsi="Tahoma" w:cs="Tahoma"/>
          <w:sz w:val="22"/>
          <w:szCs w:val="22"/>
        </w:rPr>
      </w:pPr>
      <w:r>
        <w:rPr>
          <w:rFonts w:ascii="Tahoma" w:hAnsi="Tahoma" w:cs="Tahoma"/>
          <w:sz w:val="22"/>
          <w:szCs w:val="22"/>
        </w:rPr>
        <w:t>Στην πλευρά των μεγεθών που αποτυπώνουν τις εξελίξεις στην εγχώρια ζήτηση, η πτώση του δείκτη όγκου στο λιανικό εμπόριο επιταχύνθηκε</w:t>
      </w:r>
      <w:r w:rsidRPr="00AF577C">
        <w:rPr>
          <w:rFonts w:ascii="Tahoma" w:hAnsi="Tahoma" w:cs="Tahoma"/>
          <w:sz w:val="22"/>
          <w:szCs w:val="22"/>
        </w:rPr>
        <w:t xml:space="preserve"> </w:t>
      </w:r>
      <w:r>
        <w:rPr>
          <w:rFonts w:ascii="Tahoma" w:hAnsi="Tahoma" w:cs="Tahoma"/>
          <w:sz w:val="22"/>
          <w:szCs w:val="22"/>
        </w:rPr>
        <w:t>στο τελευταίο τρίμηνο του 2011, φθάνοντας το 10,9%, ρυθμός υπερδιπλάσιος εκείνου στο τρίτο τρίμηνο (-4,1%). Μεγαλύτερη ήταν στο ίδιο διάστημα η διεύρυνση της μείωσης</w:t>
      </w:r>
      <w:r w:rsidRPr="007706D7">
        <w:rPr>
          <w:rFonts w:ascii="Tahoma" w:hAnsi="Tahoma" w:cs="Tahoma"/>
          <w:sz w:val="22"/>
          <w:szCs w:val="22"/>
        </w:rPr>
        <w:t xml:space="preserve"> </w:t>
      </w:r>
      <w:r>
        <w:rPr>
          <w:rFonts w:ascii="Tahoma" w:hAnsi="Tahoma" w:cs="Tahoma"/>
          <w:sz w:val="22"/>
          <w:szCs w:val="22"/>
        </w:rPr>
        <w:t>στον κύκλο εργασιών στο χονδρικό εμπόριο, από 9,7% στο 20,3%.</w:t>
      </w:r>
      <w:r w:rsidRPr="007706D7">
        <w:rPr>
          <w:rFonts w:ascii="Tahoma" w:hAnsi="Tahoma" w:cs="Tahoma"/>
          <w:sz w:val="22"/>
          <w:szCs w:val="22"/>
        </w:rPr>
        <w:t xml:space="preserve"> </w:t>
      </w:r>
      <w:r>
        <w:rPr>
          <w:rFonts w:ascii="Tahoma" w:hAnsi="Tahoma" w:cs="Tahoma"/>
          <w:sz w:val="22"/>
          <w:szCs w:val="22"/>
        </w:rPr>
        <w:t xml:space="preserve">Η αποδυνάμωση της ζήτησης για καταναλωτικά αγαθά αποτυπώνεται στην παράλληλη επιβράδυνση του πληθωρισμού, παρά τη νέα αύξηση φόρων κατανάλωσης το φθινόπωρο. Από 3,0% τον περασμένο Οκτώβριο, ο πληθωρισμός δεν ξεπέρασε το 2,4% τον Δεκέμβριο, ενώ εξασθένισε, σε μικρότερη έκταση, στο αρχικό δίμηνο του 2012, με αποτέλεσμα να διαμορφωθεί στο 2,1% τον Φεβρουάριο. Σε ότι αφορά την προερχόμενη από το εξωτερικό ζήτηση για ελληνικά προϊόντα και υπηρεσίες, βάσει των πλέον πρόσφατων στοιχείων της ΤτΕ, φέτος τον Ιανουάριο διευρύνθηκε κατά 12,4%, περίπου στην ίδια έκταση όπως πέρυσι τον ίδιο μήνα (+14,0%). Ο περιορισμός όμως των εισαγωγών, που έφτασε το 12,6%, όταν τον Ιανουάριο του 2011 αυξάνονταν κατά 10,5%, οδήγησε σε συρρίκνωση του ελλείμματος του σχετικού ισοζυγίου κατά 38,1% (+7% πέρυσι). Συνεπώς, συνεχίζεται και ενισχύεται στις αρχές του τρέχοντος έτους η τάση που είχε παρουσιαστεί στο </w:t>
      </w:r>
      <w:r>
        <w:rPr>
          <w:rFonts w:ascii="Tahoma" w:hAnsi="Tahoma" w:cs="Tahoma"/>
          <w:sz w:val="22"/>
          <w:szCs w:val="22"/>
        </w:rPr>
        <w:lastRenderedPageBreak/>
        <w:t xml:space="preserve">τελευταίο τρίμηνο του 2011, με το έλλειμμα να περιορίζεται κατά 10,2%. </w:t>
      </w:r>
    </w:p>
    <w:p w:rsidR="00D30E57" w:rsidRPr="00397839" w:rsidRDefault="00D30E57" w:rsidP="00D30E57">
      <w:pPr>
        <w:autoSpaceDE w:val="0"/>
        <w:autoSpaceDN w:val="0"/>
        <w:adjustRightInd w:val="0"/>
        <w:spacing w:before="240" w:after="240" w:line="312" w:lineRule="auto"/>
        <w:jc w:val="both"/>
        <w:rPr>
          <w:rFonts w:ascii="Tahoma" w:hAnsi="Tahoma" w:cs="Tahoma"/>
          <w:b/>
          <w:sz w:val="22"/>
          <w:szCs w:val="22"/>
        </w:rPr>
      </w:pPr>
      <w:r>
        <w:rPr>
          <w:rFonts w:ascii="Tahoma" w:hAnsi="Tahoma" w:cs="Tahoma"/>
          <w:sz w:val="22"/>
          <w:szCs w:val="22"/>
        </w:rPr>
        <w:t>Από τα παραπάνω στοιχεία, καθίσταται σαφής η κλιμάκωση της εξασθένισης της εγχώριας ζήτησης στα τέλη του 2011 και στους πρώτους μήνες του 2012, μετά την πλήρη εφαρμογή των δημοσιονομικών μέτρων που ανακοινώθηκαν στο περασμένο δίμηνο Σεπτεμβρίου-Οκτωβρίου. Οι επιπτώσεις τους στην κλίμακα της εγχώριας παραγωγικής δραστηριότητας αντισταθμίζονται εν μέρει από την προερχόμενη από το εξωτερικό ζήτηση.</w:t>
      </w:r>
      <w:r w:rsidRPr="00516724">
        <w:rPr>
          <w:rFonts w:ascii="Tahoma" w:hAnsi="Tahoma" w:cs="Tahoma"/>
          <w:sz w:val="22"/>
          <w:szCs w:val="22"/>
        </w:rPr>
        <w:t xml:space="preserve"> </w:t>
      </w:r>
      <w:r>
        <w:rPr>
          <w:rFonts w:ascii="Tahoma" w:hAnsi="Tahoma" w:cs="Tahoma"/>
          <w:sz w:val="22"/>
          <w:szCs w:val="22"/>
        </w:rPr>
        <w:t xml:space="preserve">Τα μέχρι τώρα διαθέσιμα μεγέθη και δείκτες δεν ενσωματώνουν τις επιδράσεις, αρνητικές ή θετικές, των δημοσιονομικών-διαρθρωτικών μέτρων που λήφθηκαν στα μέσα Φεβρουαρίου. Σε βραχυπρόθεσμο χρονικό ορίζοντα αναμένεται να επιφέρουν νέες περικοπές στο διαθέσιμο εισόδημα εργαζόμενων και συνταξιούχων, συμπίεση της κατανάλωσης τους και επομένως των εσόδων από έμμεση φορολογία, αλλά και επιβράδυνση του πληθωρισμού. Σε μέσο-μακροπρόθεσμο ορίζοντα, οι επιχειρήσεις θα προσαρμόσουν την παραγωγή και το εργατικό δυναμικό τους στα νέα δεδομένα εγχωρίως, με όσες έχουν παρουσία σε αγορές του εξωτερικού να συνυπολογίζουν την ανταπόκριση τους στις μεταβολές των τιμών των προϊόντων/υπηρεσιών τους από τη μείωση του μισθολογικού κόστους. Ωστόσο, καθώς η μεγέθυνση της παγκόσμιας οικονομίας αναμένεται να επιβραδυνθεί το 2012, βάσει των τελευταίων σχετικών εκτιμήσεων, ενώ στην οικονομία της Ευρωζώνης και της ΕΕ-27 θα επικρατήσουν τάσεις σταθεροποίησης, </w:t>
      </w:r>
      <w:r w:rsidRPr="00397839">
        <w:rPr>
          <w:rFonts w:ascii="Tahoma" w:hAnsi="Tahoma" w:cs="Tahoma"/>
          <w:b/>
          <w:sz w:val="22"/>
          <w:szCs w:val="22"/>
        </w:rPr>
        <w:t xml:space="preserve">οι πιθανότητες αύξησης </w:t>
      </w:r>
      <w:r>
        <w:rPr>
          <w:rFonts w:ascii="Tahoma" w:hAnsi="Tahoma" w:cs="Tahoma"/>
          <w:b/>
          <w:sz w:val="22"/>
          <w:szCs w:val="22"/>
        </w:rPr>
        <w:t xml:space="preserve">της ονομαστικής αξίας </w:t>
      </w:r>
      <w:r w:rsidRPr="00397839">
        <w:rPr>
          <w:rFonts w:ascii="Tahoma" w:hAnsi="Tahoma" w:cs="Tahoma"/>
          <w:b/>
          <w:sz w:val="22"/>
          <w:szCs w:val="22"/>
        </w:rPr>
        <w:t xml:space="preserve">των ελληνικών εξαγωγών </w:t>
      </w:r>
      <w:r>
        <w:rPr>
          <w:rFonts w:ascii="Tahoma" w:hAnsi="Tahoma" w:cs="Tahoma"/>
          <w:b/>
          <w:sz w:val="22"/>
          <w:szCs w:val="22"/>
        </w:rPr>
        <w:t xml:space="preserve">προϊόντων </w:t>
      </w:r>
      <w:r w:rsidRPr="00397839">
        <w:rPr>
          <w:rFonts w:ascii="Tahoma" w:hAnsi="Tahoma" w:cs="Tahoma"/>
          <w:b/>
          <w:sz w:val="22"/>
          <w:szCs w:val="22"/>
        </w:rPr>
        <w:t xml:space="preserve">φέτος με τους ρυθμούς του 2011 κρίνονται σαφώς λιγότερες από ότι πέρυσι. </w:t>
      </w:r>
    </w:p>
    <w:p w:rsidR="00D30E57" w:rsidRDefault="00D30E57" w:rsidP="00D30E57">
      <w:pPr>
        <w:autoSpaceDE w:val="0"/>
        <w:autoSpaceDN w:val="0"/>
        <w:adjustRightInd w:val="0"/>
        <w:spacing w:before="240" w:after="240" w:line="312" w:lineRule="auto"/>
        <w:jc w:val="both"/>
        <w:rPr>
          <w:rFonts w:ascii="Tahoma" w:hAnsi="Tahoma" w:cs="Tahoma"/>
          <w:sz w:val="22"/>
          <w:szCs w:val="22"/>
        </w:rPr>
      </w:pPr>
      <w:r>
        <w:rPr>
          <w:rFonts w:ascii="Tahoma" w:hAnsi="Tahoma" w:cs="Tahoma"/>
          <w:sz w:val="22"/>
          <w:szCs w:val="22"/>
        </w:rPr>
        <w:lastRenderedPageBreak/>
        <w:t xml:space="preserve">Τα αποτελέσματα των πρόσφατων μέτρων, αλλά και της ανταλλαγής των παλαιών ελληνικών ομολόγων με νέα στο πλαίσιο του προγράμματος </w:t>
      </w:r>
      <w:r>
        <w:rPr>
          <w:rFonts w:ascii="Tahoma" w:hAnsi="Tahoma" w:cs="Tahoma"/>
          <w:sz w:val="22"/>
          <w:szCs w:val="22"/>
          <w:lang w:val="en-US"/>
        </w:rPr>
        <w:t>PSI</w:t>
      </w:r>
      <w:r>
        <w:rPr>
          <w:rFonts w:ascii="Tahoma" w:hAnsi="Tahoma" w:cs="Tahoma"/>
          <w:sz w:val="22"/>
          <w:szCs w:val="22"/>
        </w:rPr>
        <w:t>, καθώς και της νέας δανειακής σύμβασης με την τρόικα, θα καθορίσουν τις προσεχείς αποφάσεις σε δημοσιονομικό επίπεδο, για το τρέχον έτος, αλλά κυρίως για την επόμενη διετία 2013-2014 (επικαιροποίηση ΜΠΔΣ τον Μάιο). Ειδικότερα σε ότι αφορά την επίτευξη του στόχου για το έλλειμμα, η διεύρυνσή του</w:t>
      </w:r>
      <w:r w:rsidRPr="000317CA">
        <w:rPr>
          <w:rFonts w:ascii="Tahoma" w:hAnsi="Tahoma" w:cs="Tahoma"/>
          <w:sz w:val="22"/>
          <w:szCs w:val="22"/>
        </w:rPr>
        <w:t xml:space="preserve"> </w:t>
      </w:r>
      <w:r>
        <w:rPr>
          <w:rFonts w:ascii="Tahoma" w:hAnsi="Tahoma" w:cs="Tahoma"/>
          <w:sz w:val="22"/>
          <w:szCs w:val="22"/>
        </w:rPr>
        <w:t>το 2011</w:t>
      </w:r>
      <w:r w:rsidRPr="000317CA">
        <w:rPr>
          <w:rFonts w:ascii="Tahoma" w:hAnsi="Tahoma" w:cs="Tahoma"/>
          <w:sz w:val="22"/>
          <w:szCs w:val="22"/>
        </w:rPr>
        <w:t xml:space="preserve"> </w:t>
      </w:r>
      <w:r>
        <w:rPr>
          <w:rFonts w:ascii="Tahoma" w:hAnsi="Tahoma" w:cs="Tahoma"/>
          <w:sz w:val="22"/>
          <w:szCs w:val="22"/>
        </w:rPr>
        <w:t>στα € 24,9 δισεκ.</w:t>
      </w:r>
      <w:r w:rsidRPr="000317CA">
        <w:rPr>
          <w:rFonts w:ascii="Tahoma" w:hAnsi="Tahoma" w:cs="Tahoma"/>
          <w:sz w:val="22"/>
          <w:szCs w:val="22"/>
        </w:rPr>
        <w:t xml:space="preserve"> </w:t>
      </w:r>
      <w:r>
        <w:rPr>
          <w:rFonts w:ascii="Tahoma" w:hAnsi="Tahoma" w:cs="Tahoma"/>
          <w:sz w:val="22"/>
          <w:szCs w:val="22"/>
        </w:rPr>
        <w:t>από</w:t>
      </w:r>
      <w:r w:rsidRPr="00EF67D9">
        <w:rPr>
          <w:rFonts w:ascii="Tahoma" w:hAnsi="Tahoma" w:cs="Tahoma"/>
          <w:sz w:val="22"/>
          <w:szCs w:val="22"/>
        </w:rPr>
        <w:t xml:space="preserve"> € </w:t>
      </w:r>
      <w:r>
        <w:rPr>
          <w:rFonts w:ascii="Tahoma" w:hAnsi="Tahoma" w:cs="Tahoma"/>
          <w:sz w:val="22"/>
          <w:szCs w:val="22"/>
        </w:rPr>
        <w:t>23,1 δισεκ. το 2010, που αποτυπώνεται στα ταμειακά αποτελέσματα της Γενικής Κυβέρνησης και δεν αποκλείεται να υφίσταται σε κάποιο βαθμό μετά την προσαρμογή στα κοινοτικά πρότυπα (</w:t>
      </w:r>
      <w:r>
        <w:rPr>
          <w:rFonts w:ascii="Tahoma" w:hAnsi="Tahoma" w:cs="Tahoma"/>
          <w:sz w:val="22"/>
          <w:szCs w:val="22"/>
          <w:lang w:val="en-US"/>
        </w:rPr>
        <w:t>ESA</w:t>
      </w:r>
      <w:r w:rsidRPr="000317CA">
        <w:rPr>
          <w:rFonts w:ascii="Tahoma" w:hAnsi="Tahoma" w:cs="Tahoma"/>
          <w:sz w:val="22"/>
          <w:szCs w:val="22"/>
        </w:rPr>
        <w:t xml:space="preserve"> ’95)</w:t>
      </w:r>
      <w:r>
        <w:rPr>
          <w:rFonts w:ascii="Tahoma" w:hAnsi="Tahoma" w:cs="Tahoma"/>
          <w:sz w:val="22"/>
          <w:szCs w:val="22"/>
        </w:rPr>
        <w:t>, θα οδηγήσει σε ακόμα εντονότερη δημοσιονομική προσπάθεια το τρέχον έτος</w:t>
      </w:r>
      <w:r w:rsidR="00540673">
        <w:rPr>
          <w:rFonts w:ascii="Tahoma" w:hAnsi="Tahoma" w:cs="Tahoma"/>
          <w:sz w:val="22"/>
          <w:szCs w:val="22"/>
        </w:rPr>
        <w:t>, τόσο στο σκέλος</w:t>
      </w:r>
      <w:r>
        <w:rPr>
          <w:rFonts w:ascii="Tahoma" w:hAnsi="Tahoma" w:cs="Tahoma"/>
          <w:sz w:val="22"/>
          <w:szCs w:val="22"/>
        </w:rPr>
        <w:t xml:space="preserve"> των εσόδων, όσο και των δαπανών. </w:t>
      </w:r>
    </w:p>
    <w:p w:rsidR="00D30E57" w:rsidRDefault="00D30E57" w:rsidP="00D30E57">
      <w:pPr>
        <w:autoSpaceDE w:val="0"/>
        <w:autoSpaceDN w:val="0"/>
        <w:adjustRightInd w:val="0"/>
        <w:spacing w:before="240" w:after="240" w:line="312" w:lineRule="auto"/>
        <w:jc w:val="both"/>
        <w:rPr>
          <w:rFonts w:ascii="Tahoma" w:hAnsi="Tahoma" w:cs="Tahoma"/>
          <w:sz w:val="22"/>
          <w:szCs w:val="22"/>
        </w:rPr>
      </w:pPr>
      <w:r>
        <w:rPr>
          <w:rFonts w:ascii="Tahoma" w:hAnsi="Tahoma" w:cs="Tahoma"/>
          <w:sz w:val="22"/>
          <w:szCs w:val="22"/>
        </w:rPr>
        <w:t xml:space="preserve">Σε αυτή την κατεύθυνση, κατατέθηκε συμπληρωματικός προϋπολογισμός (ν. 4051/2012) για την υλοποίηση του νέου Μνημονίου (ν. 4046/2012). Σε αυτόν περιλαμβάνονται περικοπές δαπανών συνολικού ύψους € 2,5 δισεκ.. Το μεγαλύτερο μέρος τους αφορά λειτουργικές-καταναλωτικές δαπάνες, η περιστολή των οποίων ήταν σαφώς περιορισμένη σε σχέση με το 2011 στον Προϋπολογισμό του 2012. Κατά συνέπεια, </w:t>
      </w:r>
      <w:r w:rsidRPr="00A30399">
        <w:rPr>
          <w:rFonts w:ascii="Tahoma" w:hAnsi="Tahoma" w:cs="Tahoma"/>
          <w:b/>
          <w:sz w:val="22"/>
          <w:szCs w:val="22"/>
        </w:rPr>
        <w:t xml:space="preserve">αναμένεται </w:t>
      </w:r>
      <w:r>
        <w:rPr>
          <w:rFonts w:ascii="Tahoma" w:hAnsi="Tahoma" w:cs="Tahoma"/>
          <w:b/>
          <w:sz w:val="22"/>
          <w:szCs w:val="22"/>
        </w:rPr>
        <w:t>σημαντική</w:t>
      </w:r>
      <w:r>
        <w:rPr>
          <w:rFonts w:ascii="Tahoma" w:hAnsi="Tahoma" w:cs="Tahoma"/>
          <w:sz w:val="22"/>
          <w:szCs w:val="22"/>
        </w:rPr>
        <w:t xml:space="preserve"> </w:t>
      </w:r>
      <w:r w:rsidRPr="00A30399">
        <w:rPr>
          <w:rFonts w:ascii="Tahoma" w:hAnsi="Tahoma" w:cs="Tahoma"/>
          <w:b/>
          <w:sz w:val="22"/>
          <w:szCs w:val="22"/>
        </w:rPr>
        <w:t xml:space="preserve">συρρίκνωση των </w:t>
      </w:r>
      <w:r>
        <w:rPr>
          <w:rFonts w:ascii="Tahoma" w:hAnsi="Tahoma" w:cs="Tahoma"/>
          <w:b/>
          <w:sz w:val="22"/>
          <w:szCs w:val="22"/>
        </w:rPr>
        <w:t xml:space="preserve">δημόσιων </w:t>
      </w:r>
      <w:r w:rsidRPr="00A30399">
        <w:rPr>
          <w:rFonts w:ascii="Tahoma" w:hAnsi="Tahoma" w:cs="Tahoma"/>
          <w:b/>
          <w:sz w:val="22"/>
          <w:szCs w:val="22"/>
        </w:rPr>
        <w:t xml:space="preserve">καταναλωτικών δαπανών </w:t>
      </w:r>
      <w:r>
        <w:rPr>
          <w:rFonts w:ascii="Tahoma" w:hAnsi="Tahoma" w:cs="Tahoma"/>
          <w:b/>
          <w:sz w:val="22"/>
          <w:szCs w:val="22"/>
        </w:rPr>
        <w:t>φέτος, η οποία ενδεχομένως θα υπερβεί,</w:t>
      </w:r>
      <w:r w:rsidRPr="00A30399">
        <w:rPr>
          <w:rFonts w:ascii="Tahoma" w:hAnsi="Tahoma" w:cs="Tahoma"/>
          <w:b/>
          <w:sz w:val="22"/>
          <w:szCs w:val="22"/>
        </w:rPr>
        <w:t xml:space="preserve"> έστω σε μικρό βαθμό, την περ</w:t>
      </w:r>
      <w:r>
        <w:rPr>
          <w:rFonts w:ascii="Tahoma" w:hAnsi="Tahoma" w:cs="Tahoma"/>
          <w:b/>
          <w:sz w:val="22"/>
          <w:szCs w:val="22"/>
        </w:rPr>
        <w:t>υσινή</w:t>
      </w:r>
      <w:r w:rsidRPr="0088612D">
        <w:rPr>
          <w:rFonts w:ascii="Tahoma" w:hAnsi="Tahoma" w:cs="Tahoma"/>
          <w:sz w:val="22"/>
          <w:szCs w:val="22"/>
        </w:rPr>
        <w:t>.</w:t>
      </w:r>
      <w:r>
        <w:rPr>
          <w:rFonts w:ascii="Tahoma" w:hAnsi="Tahoma" w:cs="Tahoma"/>
          <w:b/>
          <w:sz w:val="22"/>
          <w:szCs w:val="22"/>
        </w:rPr>
        <w:t xml:space="preserve"> </w:t>
      </w:r>
      <w:r>
        <w:rPr>
          <w:rFonts w:ascii="Tahoma" w:hAnsi="Tahoma" w:cs="Tahoma"/>
          <w:sz w:val="22"/>
          <w:szCs w:val="22"/>
        </w:rPr>
        <w:t xml:space="preserve"> </w:t>
      </w:r>
    </w:p>
    <w:p w:rsidR="00D30E57" w:rsidRDefault="00D30E57" w:rsidP="00D30E57">
      <w:pPr>
        <w:autoSpaceDE w:val="0"/>
        <w:autoSpaceDN w:val="0"/>
        <w:adjustRightInd w:val="0"/>
        <w:spacing w:before="240" w:after="240" w:line="312" w:lineRule="auto"/>
        <w:jc w:val="both"/>
        <w:rPr>
          <w:rFonts w:ascii="Tahoma" w:hAnsi="Tahoma" w:cs="Tahoma"/>
          <w:sz w:val="22"/>
          <w:szCs w:val="22"/>
        </w:rPr>
      </w:pPr>
      <w:r>
        <w:rPr>
          <w:rFonts w:ascii="Tahoma" w:hAnsi="Tahoma" w:cs="Tahoma"/>
          <w:sz w:val="22"/>
          <w:szCs w:val="22"/>
        </w:rPr>
        <w:t xml:space="preserve">Στο επίκεντρο των πρόσφατων μέτρων βρίσκεται η σημαντική μείωση των αμοιβών στον ιδιωτικό τομέα, ενώ πραγματοποιήθηκε και νέα περικοπή των συντάξεων. Αμφότερες οι νέες ρυθμίσεις θα ασκήσουν σημαντικές πιέσεις άμεσα και τουλάχιστον σε </w:t>
      </w:r>
      <w:r>
        <w:rPr>
          <w:rFonts w:ascii="Tahoma" w:hAnsi="Tahoma" w:cs="Tahoma"/>
          <w:sz w:val="22"/>
          <w:szCs w:val="22"/>
        </w:rPr>
        <w:lastRenderedPageBreak/>
        <w:t xml:space="preserve">μεσοπρόθεσμο χρονικό ορίζοντα, στην αγοραστική δύναμη των νοικοκυριών. Η επίπτωσή τους στην </w:t>
      </w:r>
      <w:r w:rsidRPr="00026726">
        <w:rPr>
          <w:rFonts w:ascii="Tahoma" w:hAnsi="Tahoma" w:cs="Tahoma"/>
          <w:b/>
          <w:sz w:val="22"/>
          <w:szCs w:val="22"/>
        </w:rPr>
        <w:t>ιδιωτική κατανάλωση</w:t>
      </w:r>
      <w:r>
        <w:rPr>
          <w:rFonts w:ascii="Tahoma" w:hAnsi="Tahoma" w:cs="Tahoma"/>
          <w:sz w:val="22"/>
          <w:szCs w:val="22"/>
        </w:rPr>
        <w:t xml:space="preserve"> θα προστεθεί σε αυτές από την πλήρη επίδραση των δεσμών μέτρων που λήφθηκαν από τα μέσα και μετά του προηγούμενου έτους και επηρέασαν το διαθέσιμο εισόδημα (διεύρυνση της άμεσης φορολογίας, ενιαίο μισθολόγιο στο δημόσιο τομέα, διαδοχικές περικοπές στις συντάξεις), καθώς και από την απότομη αύξηση της ανεργίας στο τελευταίο τρίμηνο του 2011, που μάλλον θα συνεχιστεί με παραπλήσια ένταση στο πρώτο εξάμηνο του 2012. Από την άλλη πλευρά, η αποδυνάμωση της καταναλωτικής ζήτησης θα επιβραδύνει τον πληθωρισμό, μετριάζοντας την εξασθένιση της αγοραστικής δύναμης. Βεβαίως, η τελική επίδραση των διαρθρωτικών αλλαγών στην αγορά εργασίας θα διαμορφωθεί μακροπρόθεσμα, από τις αλλαγές που θα επιφέρει στο επίπεδο της απασχόλησης, σε συνδυασμό με τις εισοδηματικές μεταβολές. Από αυτές θα προσδιοριστεί ένα νέο επίπεδο καταναλωτικών δυνατοτήτων. </w:t>
      </w:r>
    </w:p>
    <w:p w:rsidR="00D30E57" w:rsidRDefault="00D30E57" w:rsidP="00D30E57">
      <w:pPr>
        <w:autoSpaceDE w:val="0"/>
        <w:autoSpaceDN w:val="0"/>
        <w:adjustRightInd w:val="0"/>
        <w:spacing w:before="240" w:after="240" w:line="312" w:lineRule="auto"/>
        <w:jc w:val="both"/>
        <w:rPr>
          <w:rFonts w:ascii="Tahoma" w:hAnsi="Tahoma" w:cs="Tahoma"/>
          <w:sz w:val="22"/>
          <w:szCs w:val="22"/>
        </w:rPr>
      </w:pPr>
      <w:r>
        <w:rPr>
          <w:rFonts w:ascii="Tahoma" w:hAnsi="Tahoma" w:cs="Tahoma"/>
          <w:sz w:val="22"/>
          <w:szCs w:val="22"/>
        </w:rPr>
        <w:t xml:space="preserve">Πρόσθετο περιοριστικό παράγοντα των καταναλωτικών αγορών των νοικοκυριών θα αποτελέσει η αυξανόμενη συρρίκνωση των καταναλωτικών δανείων, που αναμένεται να συνεχιστεί μέχρι να ολοκληρωθούν οι διαδικασίες ανταλλαγής των ομολόγων που κατείχαν οι ελληνικές τράπεζες στο πρόγραμμα </w:t>
      </w:r>
      <w:r>
        <w:rPr>
          <w:rFonts w:ascii="Tahoma" w:hAnsi="Tahoma" w:cs="Tahoma"/>
          <w:sz w:val="22"/>
          <w:szCs w:val="22"/>
          <w:lang w:val="en-US"/>
        </w:rPr>
        <w:t>PSI</w:t>
      </w:r>
      <w:r w:rsidRPr="000F49EE">
        <w:rPr>
          <w:rFonts w:ascii="Tahoma" w:hAnsi="Tahoma" w:cs="Tahoma"/>
          <w:sz w:val="22"/>
          <w:szCs w:val="22"/>
        </w:rPr>
        <w:t xml:space="preserve"> </w:t>
      </w:r>
      <w:r>
        <w:rPr>
          <w:rFonts w:ascii="Tahoma" w:hAnsi="Tahoma" w:cs="Tahoma"/>
          <w:sz w:val="22"/>
          <w:szCs w:val="22"/>
        </w:rPr>
        <w:t xml:space="preserve">και να επιτευχθούν τα επίπεδα ρευστότητας που έχουν οριστεί στο νέο Μνημόνιο. </w:t>
      </w:r>
      <w:r w:rsidRPr="00154F67">
        <w:rPr>
          <w:rFonts w:ascii="Tahoma" w:hAnsi="Tahoma" w:cs="Tahoma"/>
          <w:b/>
          <w:sz w:val="22"/>
          <w:szCs w:val="22"/>
        </w:rPr>
        <w:t>Λαμβάνοντας υπόψη τα παραπάνω, εκτιμάται ότι η πτώση της ιδιωτικής κατανάλωσης το τρέχον έτος θα είναι μεγαλύτερη από ότι το 2011 (-7,1%)</w:t>
      </w:r>
      <w:r>
        <w:rPr>
          <w:rFonts w:ascii="Tahoma" w:hAnsi="Tahoma" w:cs="Tahoma"/>
          <w:sz w:val="22"/>
          <w:szCs w:val="22"/>
        </w:rPr>
        <w:t xml:space="preserve">. </w:t>
      </w:r>
    </w:p>
    <w:p w:rsidR="00D30E57" w:rsidRPr="001A0362" w:rsidRDefault="00D30E57" w:rsidP="00D30E57">
      <w:pPr>
        <w:autoSpaceDE w:val="0"/>
        <w:autoSpaceDN w:val="0"/>
        <w:adjustRightInd w:val="0"/>
        <w:spacing w:before="240" w:after="240" w:line="312" w:lineRule="auto"/>
        <w:jc w:val="both"/>
        <w:rPr>
          <w:rFonts w:ascii="Tahoma" w:hAnsi="Tahoma" w:cs="Tahoma"/>
          <w:sz w:val="22"/>
          <w:szCs w:val="22"/>
        </w:rPr>
      </w:pPr>
      <w:r>
        <w:rPr>
          <w:rFonts w:ascii="Tahoma" w:hAnsi="Tahoma" w:cs="Tahoma"/>
          <w:sz w:val="22"/>
          <w:szCs w:val="22"/>
        </w:rPr>
        <w:t xml:space="preserve">Περνώντας στο πεδίο των </w:t>
      </w:r>
      <w:r w:rsidRPr="000F5856">
        <w:rPr>
          <w:rFonts w:ascii="Tahoma" w:hAnsi="Tahoma" w:cs="Tahoma"/>
          <w:b/>
          <w:sz w:val="22"/>
          <w:szCs w:val="22"/>
        </w:rPr>
        <w:t>επενδύσεων</w:t>
      </w:r>
      <w:r>
        <w:rPr>
          <w:rFonts w:ascii="Tahoma" w:hAnsi="Tahoma" w:cs="Tahoma"/>
          <w:b/>
          <w:sz w:val="22"/>
          <w:szCs w:val="22"/>
        </w:rPr>
        <w:t xml:space="preserve">, </w:t>
      </w:r>
      <w:r>
        <w:rPr>
          <w:rFonts w:ascii="Tahoma" w:hAnsi="Tahoma" w:cs="Tahoma"/>
          <w:sz w:val="22"/>
          <w:szCs w:val="22"/>
        </w:rPr>
        <w:t xml:space="preserve">εκτιμάται ότι η συρρίκνωσή τους θα </w:t>
      </w:r>
      <w:r>
        <w:rPr>
          <w:rFonts w:ascii="Tahoma" w:hAnsi="Tahoma" w:cs="Tahoma"/>
          <w:sz w:val="22"/>
          <w:szCs w:val="22"/>
        </w:rPr>
        <w:lastRenderedPageBreak/>
        <w:t xml:space="preserve">συνεχιστεί για πέμπτο έτος φέτος, με ελαφρά μικρότερη ένταση από ότι πέρυσι. Η καθίζηση της εγχώριας ζήτησης που έχει σημειωθεί σωρευτικά στην τριετία 2009-2011 και θα συνεχιστεί το 2012, σε μεγάλη έκταση όπως αναλύθηκε προηγουμένως, έχει οδηγήσει σε υπο-χρησιμοποίηση της παραγωγικής δυναμικότητας από την πλευρά των επιχειρήσεων (στο 63% στη βιομηχανία τον Φεβρουάριο, διαχρονικά ελάχιστο επίπεδο), γεγονός που περιορίζει σημαντικά την αναγκαιότητα επενδύσεων, ενώ λειτουργεί ιδιαίτερα αποθαρρυντικά στην ανάληψη επενδυτικών πρωτοβουλιών από επίδοξους νέους επιχειρηματίες. Σημαντικό πρόσκομμα στην πραγματοποίηση επενδύσεων αποτελεί και η πιστωτική συρρίκνωση από το εγχώριο τραπεζικό σύστημα προς τις επιχειρήσεις, η οποία παρότι δεν οξύνεται στο πεντάμηνο Σεπτεμβρίου-Ιανουαρίου (στην περιοχή του -2%), δεν αναμένεται να περιοριστεί/αντιστραφεί πριν την ολοκλήρωση του </w:t>
      </w:r>
      <w:r>
        <w:rPr>
          <w:rFonts w:ascii="Tahoma" w:hAnsi="Tahoma" w:cs="Tahoma"/>
          <w:sz w:val="22"/>
          <w:szCs w:val="22"/>
          <w:lang w:val="en-US"/>
        </w:rPr>
        <w:t>PSI</w:t>
      </w:r>
      <w:r w:rsidRPr="001A0362">
        <w:rPr>
          <w:rFonts w:ascii="Tahoma" w:hAnsi="Tahoma" w:cs="Tahoma"/>
          <w:sz w:val="22"/>
          <w:szCs w:val="22"/>
        </w:rPr>
        <w:t xml:space="preserve">, </w:t>
      </w:r>
      <w:r>
        <w:rPr>
          <w:rFonts w:ascii="Tahoma" w:hAnsi="Tahoma" w:cs="Tahoma"/>
          <w:sz w:val="22"/>
          <w:szCs w:val="22"/>
        </w:rPr>
        <w:t>την ανακεφαλαιοποίηση των τραπεζών και τη διαμόρφωση τη ρευστότητάς τους σε υψηλά επίπεδα.</w:t>
      </w:r>
    </w:p>
    <w:p w:rsidR="00D30E57" w:rsidRDefault="00D30E57" w:rsidP="00D30E57">
      <w:pPr>
        <w:autoSpaceDE w:val="0"/>
        <w:autoSpaceDN w:val="0"/>
        <w:adjustRightInd w:val="0"/>
        <w:spacing w:before="240" w:after="240" w:line="312" w:lineRule="auto"/>
        <w:jc w:val="both"/>
        <w:rPr>
          <w:rFonts w:ascii="Tahoma" w:hAnsi="Tahoma" w:cs="Tahoma"/>
          <w:sz w:val="22"/>
          <w:szCs w:val="22"/>
        </w:rPr>
      </w:pPr>
      <w:r>
        <w:rPr>
          <w:rFonts w:ascii="Tahoma" w:hAnsi="Tahoma" w:cs="Tahoma"/>
          <w:sz w:val="22"/>
          <w:szCs w:val="22"/>
        </w:rPr>
        <w:t xml:space="preserve">Από την άλλη πλευρά, δημιουργούνται σταδιακά οι προϋποθέσεις που απαιτούνται για την προσέλκυση </w:t>
      </w:r>
      <w:r w:rsidRPr="00054504">
        <w:rPr>
          <w:rFonts w:ascii="Tahoma" w:hAnsi="Tahoma" w:cs="Tahoma"/>
          <w:b/>
          <w:sz w:val="22"/>
          <w:szCs w:val="22"/>
        </w:rPr>
        <w:t>ξένων επενδύσεων</w:t>
      </w:r>
      <w:r>
        <w:rPr>
          <w:rFonts w:ascii="Tahoma" w:hAnsi="Tahoma" w:cs="Tahoma"/>
          <w:sz w:val="22"/>
          <w:szCs w:val="22"/>
        </w:rPr>
        <w:t xml:space="preserve">: με τη νέα δανειακή σύμβαση και τη συμμετοχή του ιδιωτικού τομέα στο σχέδιο </w:t>
      </w:r>
      <w:r>
        <w:rPr>
          <w:rFonts w:ascii="Tahoma" w:hAnsi="Tahoma" w:cs="Tahoma"/>
          <w:sz w:val="22"/>
          <w:szCs w:val="22"/>
          <w:lang w:val="en-US"/>
        </w:rPr>
        <w:t>PSI</w:t>
      </w:r>
      <w:r>
        <w:rPr>
          <w:rFonts w:ascii="Tahoma" w:hAnsi="Tahoma" w:cs="Tahoma"/>
          <w:sz w:val="22"/>
          <w:szCs w:val="22"/>
        </w:rPr>
        <w:t xml:space="preserve">, εξασθενούν οι αμφιβολίες για τη δυνατότητα της Ελλάδας να συνεχίσει να εξυπηρετεί μεσο-μακροπρόθεσμα το δημόσιο χρέος της, και γενικότερα για τον ευρωπαϊκό προσανατολισμό της, που είχαν αυξηθεί κατακόρυφα με την ανακοίνωση της διεξαγωγής δημοψηφίσματος στα τέλη του περασμένου Οκτώβρη. Επίσης, παρουσιάζονται σημαντικές προοπτικές διευκόλυνσης της νέας επιχειρηματικότητας </w:t>
      </w:r>
      <w:r>
        <w:rPr>
          <w:rFonts w:ascii="Tahoma" w:hAnsi="Tahoma" w:cs="Tahoma"/>
          <w:sz w:val="22"/>
          <w:szCs w:val="22"/>
        </w:rPr>
        <w:lastRenderedPageBreak/>
        <w:t xml:space="preserve">και των επενδύσεων με τις ρυθμίσεις που περιλαμβάνονται στο Σ/Ν για τη βελτίωση του επιχειρηματικού περιβάλλοντος στη χώρα (νέα εταιρική μορφή, διευκόλυνση εισαγωγών-εξαγωγών, διεύρυνση στρατηγικών επενδύσεων, προστασία εμπορικών σημάτων κ.α.). Σύμφωνα με το νέο Μνημόνιο, προτεραιότητα θα δοθεί στην ολοκλήρωση των περιφερειακών πολεοδομικών σχεδίων, με συμβατότητα προς τα τέσσερα κλαδικά χωροταξικά σχέδια, μέχρι το τέλος του 2012. Επιπρόσθετα, ορισμένα επιχειρηματικά σχέδια στρατηγικών επενδύσεων που είχαν κατατεθεί στη διάρκεια του 2011 πλησιάζουν στο στάδιο της έγκρισης και θα αρχίσουν να υλοποιούνται. Ο περιορισμός του μισθολογικού κόστους και οι υπόλοιπες αλλαγές στην αγορά εργασίας μπορούν να αποτελέσουν πρόσθετους παράγοντες προσέλκυσης ξένων επενδύσεων, απαιτείται όμως πρωτίστως η άρση των σημαντικών υφιστάμενων εμποδίων στην αδειοδότηση-χρηματοδότηση επενδύσεων και στην ίδρυση-λειτουργία επιχειρήσεων, πεδία στα οποία πραγματοποιούνται παρεμβάσεις με τις νέες και τις ετοιμαζόμενες νομοθετικές ρυθμίσεις. Σε κάθε περίπτωση, το σύνολο των παραπάνω νέων δυνατοτήτων θα είναι διαθέσιμο προς αξιοποίηση στα επόμενα χρόνια. Η εκτιμώμενη άνοδος των ξένων επενδύσεων το 2012 δεν επαρκεί για να αντισταθμίσει την αναμενόμενη μείωση των εγχώριων από τον ιδιωτικό τομέα. </w:t>
      </w:r>
    </w:p>
    <w:p w:rsidR="00D30E57" w:rsidRPr="00236AC9" w:rsidRDefault="00D30E57" w:rsidP="00D30E57">
      <w:pPr>
        <w:autoSpaceDE w:val="0"/>
        <w:autoSpaceDN w:val="0"/>
        <w:adjustRightInd w:val="0"/>
        <w:spacing w:before="240" w:after="240" w:line="312" w:lineRule="auto"/>
        <w:jc w:val="both"/>
        <w:rPr>
          <w:rFonts w:ascii="Tahoma" w:hAnsi="Tahoma" w:cs="Tahoma"/>
          <w:b/>
          <w:sz w:val="22"/>
          <w:szCs w:val="22"/>
        </w:rPr>
      </w:pPr>
      <w:r>
        <w:rPr>
          <w:rFonts w:ascii="Tahoma" w:hAnsi="Tahoma" w:cs="Tahoma"/>
          <w:sz w:val="22"/>
          <w:szCs w:val="22"/>
        </w:rPr>
        <w:t xml:space="preserve">Σε ότι αφορά το σκέλος των </w:t>
      </w:r>
      <w:r w:rsidRPr="00054504">
        <w:rPr>
          <w:rFonts w:ascii="Tahoma" w:hAnsi="Tahoma" w:cs="Tahoma"/>
          <w:b/>
          <w:sz w:val="22"/>
          <w:szCs w:val="22"/>
        </w:rPr>
        <w:t>επενδυτικών σχεδίων που χρηματοδοτούνται από το κράτος</w:t>
      </w:r>
      <w:r>
        <w:rPr>
          <w:rFonts w:ascii="Tahoma" w:hAnsi="Tahoma" w:cs="Tahoma"/>
          <w:sz w:val="22"/>
          <w:szCs w:val="22"/>
        </w:rPr>
        <w:t xml:space="preserve">, η προγραμματισμένη αύξηση των δαπανών του Προγράμματος Δημοσίων Επενδύσεων (ΠΔΕ) το 2012 σε σχέση με τις πραγματοποιημένες την περασμένη χρονιά, κατά περίπου 15,0% (ή € 1100 εκ.), εξαρτάται απόλυτα από τη συνεπή εκτέλεση </w:t>
      </w:r>
      <w:r>
        <w:rPr>
          <w:rFonts w:ascii="Tahoma" w:hAnsi="Tahoma" w:cs="Tahoma"/>
          <w:sz w:val="22"/>
          <w:szCs w:val="22"/>
        </w:rPr>
        <w:lastRenderedPageBreak/>
        <w:t xml:space="preserve">του φετινού προϋπολογισμού. Το 2011 οι πραγματοποιηθείσες δαπάνες του ΠΔΕ ήταν κατά 21,9% ή € 1,9 δισεκ. χαμηλότερες σε σχέση όσες είχαν εγγραφεί στον προϋπολογισμό του έτους, προκειμένου να περιοριστούν οι αποκλίσεις από τους δημοσιονομικούς στόχους. Η εκτίμηση προσαρμογής του ΠΔΕ στη διάρκεια του τρέχοντος έτους για την επίτευξη του επίπεδου του ελλείμματος που έχει τεθεί ως στόχος επαληθεύεται από το γεγονός ότι ήδη οι δαπάνες του περικόπηκαν από τον συμπληρωματικό προϋπολογισμό που κατατέθηκε με το </w:t>
      </w:r>
      <w:r w:rsidR="00964DFC">
        <w:rPr>
          <w:rFonts w:ascii="Tahoma" w:hAnsi="Tahoma" w:cs="Tahoma"/>
          <w:sz w:val="22"/>
          <w:szCs w:val="22"/>
        </w:rPr>
        <w:t xml:space="preserve">ν. 4051/2012 κατά πάνω από € </w:t>
      </w:r>
      <w:r w:rsidR="00964DFC" w:rsidRPr="0078142C">
        <w:rPr>
          <w:rFonts w:ascii="Tahoma" w:hAnsi="Tahoma" w:cs="Tahoma"/>
          <w:sz w:val="22"/>
          <w:szCs w:val="22"/>
        </w:rPr>
        <w:t>430</w:t>
      </w:r>
      <w:r>
        <w:rPr>
          <w:rFonts w:ascii="Tahoma" w:hAnsi="Tahoma" w:cs="Tahoma"/>
          <w:sz w:val="22"/>
          <w:szCs w:val="22"/>
        </w:rPr>
        <w:t xml:space="preserve"> εκ.. </w:t>
      </w:r>
      <w:r w:rsidRPr="00236AC9">
        <w:rPr>
          <w:rFonts w:ascii="Tahoma" w:hAnsi="Tahoma" w:cs="Tahoma"/>
          <w:b/>
          <w:sz w:val="22"/>
          <w:szCs w:val="22"/>
        </w:rPr>
        <w:t>Συνισταμένη όλων των εξελίξεων που αναλύθηκαν γύρω από τις επενδύσεις αναμένεται να είναι η νέα μείωσή τους 2012, μάλλον σε διψήφιο ποσοστό, χαμηλότερο ωστόσο εκείνου το 2011</w:t>
      </w:r>
      <w:r>
        <w:rPr>
          <w:rFonts w:ascii="Tahoma" w:hAnsi="Tahoma" w:cs="Tahoma"/>
          <w:b/>
          <w:sz w:val="22"/>
          <w:szCs w:val="22"/>
        </w:rPr>
        <w:t xml:space="preserve"> (-14,4%)</w:t>
      </w:r>
      <w:r w:rsidRPr="00236AC9">
        <w:rPr>
          <w:rFonts w:ascii="Tahoma" w:hAnsi="Tahoma" w:cs="Tahoma"/>
          <w:b/>
          <w:sz w:val="22"/>
          <w:szCs w:val="22"/>
        </w:rPr>
        <w:t>.</w:t>
      </w:r>
    </w:p>
    <w:p w:rsidR="00D30E57" w:rsidRDefault="00D30E57" w:rsidP="00D30E57">
      <w:pPr>
        <w:autoSpaceDE w:val="0"/>
        <w:autoSpaceDN w:val="0"/>
        <w:adjustRightInd w:val="0"/>
        <w:spacing w:before="240" w:after="240" w:line="312" w:lineRule="auto"/>
        <w:jc w:val="both"/>
        <w:rPr>
          <w:rFonts w:ascii="Tahoma" w:hAnsi="Tahoma" w:cs="Tahoma"/>
          <w:sz w:val="22"/>
          <w:szCs w:val="22"/>
        </w:rPr>
      </w:pPr>
      <w:r>
        <w:rPr>
          <w:rFonts w:ascii="Tahoma" w:hAnsi="Tahoma" w:cs="Tahoma"/>
          <w:sz w:val="22"/>
          <w:szCs w:val="22"/>
        </w:rPr>
        <w:t xml:space="preserve">Στην πλευρά του </w:t>
      </w:r>
      <w:r>
        <w:rPr>
          <w:rFonts w:ascii="Tahoma" w:hAnsi="Tahoma" w:cs="Tahoma"/>
          <w:b/>
          <w:sz w:val="22"/>
          <w:szCs w:val="22"/>
        </w:rPr>
        <w:t>εξωτερικού</w:t>
      </w:r>
      <w:r w:rsidRPr="00EF0866">
        <w:rPr>
          <w:rFonts w:ascii="Tahoma" w:hAnsi="Tahoma" w:cs="Tahoma"/>
          <w:b/>
          <w:sz w:val="22"/>
          <w:szCs w:val="22"/>
        </w:rPr>
        <w:t xml:space="preserve"> τομέα</w:t>
      </w:r>
      <w:r>
        <w:rPr>
          <w:rFonts w:ascii="Tahoma" w:hAnsi="Tahoma" w:cs="Tahoma"/>
          <w:sz w:val="22"/>
          <w:szCs w:val="22"/>
        </w:rPr>
        <w:t xml:space="preserve"> της οικονομίας,</w:t>
      </w:r>
      <w:r w:rsidRPr="001E0DE9">
        <w:rPr>
          <w:rFonts w:ascii="Tahoma" w:hAnsi="Tahoma" w:cs="Tahoma"/>
          <w:sz w:val="22"/>
          <w:szCs w:val="22"/>
        </w:rPr>
        <w:t xml:space="preserve"> </w:t>
      </w:r>
      <w:r>
        <w:rPr>
          <w:rFonts w:ascii="Tahoma" w:hAnsi="Tahoma" w:cs="Tahoma"/>
          <w:sz w:val="22"/>
          <w:szCs w:val="22"/>
        </w:rPr>
        <w:t xml:space="preserve">η τάση του 2011 θεωρείται πιθανότερο να διατηρηθεί και να ενισχυθεί ελαφρά το τρέχον έτος, όμως οι εξελίξεις στις επιμέρους συνιστώσες του θα διαφοροποιηθούν σε σχέση με τις περυσινές. </w:t>
      </w:r>
      <w:r w:rsidRPr="00906257">
        <w:rPr>
          <w:rFonts w:ascii="Tahoma" w:hAnsi="Tahoma" w:cs="Tahoma"/>
          <w:b/>
          <w:sz w:val="22"/>
          <w:szCs w:val="22"/>
        </w:rPr>
        <w:t>Σημαντικότερη διαφοροποίηση αναμένεται να αποτελέσει</w:t>
      </w:r>
      <w:r>
        <w:rPr>
          <w:rFonts w:ascii="Tahoma" w:hAnsi="Tahoma" w:cs="Tahoma"/>
          <w:b/>
          <w:sz w:val="22"/>
          <w:szCs w:val="22"/>
        </w:rPr>
        <w:t xml:space="preserve"> φέτος</w:t>
      </w:r>
      <w:r w:rsidRPr="00906257">
        <w:rPr>
          <w:rFonts w:ascii="Tahoma" w:hAnsi="Tahoma" w:cs="Tahoma"/>
          <w:b/>
          <w:sz w:val="22"/>
          <w:szCs w:val="22"/>
        </w:rPr>
        <w:t xml:space="preserve"> η, έστω μικρής έκτασης, πτώση των εξαγωγών</w:t>
      </w:r>
      <w:r>
        <w:rPr>
          <w:rFonts w:ascii="Tahoma" w:hAnsi="Tahoma" w:cs="Tahoma"/>
          <w:sz w:val="22"/>
          <w:szCs w:val="22"/>
        </w:rPr>
        <w:t xml:space="preserve">. Αυτή η εξέλιξη αναμένεται να προέλθει κατά κύριο λόγο από την επιβράδυνση της παγκόσμιας οικονομίας και κυρίως, από τη σταθεροποίηση, ενδεχομένως και ύφεση, στην ΕΕ και στην Ευρωζώνη, γεωγραφικές ζώνες που απορροφούν πάνω από το 50% των ελληνικών εξαγωγών. Η αύξηση του όγκου του παγκόσμιου εμπορίου παρουσίασε επιβράδυνση στο τελευταίο τρίμηνο του 2012, μην ξεπερνώντας το 2,9%, από 5,1% </w:t>
      </w:r>
      <w:r>
        <w:rPr>
          <w:rFonts w:ascii="Tahoma" w:hAnsi="Tahoma" w:cs="Tahoma"/>
          <w:sz w:val="22"/>
          <w:szCs w:val="22"/>
        </w:rPr>
        <w:lastRenderedPageBreak/>
        <w:t>στο αμέσως προηγούμενο τρίμηνο</w:t>
      </w:r>
      <w:r>
        <w:rPr>
          <w:rStyle w:val="FootnoteReference"/>
          <w:rFonts w:cs="Tahoma"/>
          <w:bCs/>
          <w:sz w:val="22"/>
          <w:szCs w:val="22"/>
        </w:rPr>
        <w:footnoteReference w:id="8"/>
      </w:r>
      <w:r>
        <w:rPr>
          <w:rFonts w:ascii="Tahoma" w:hAnsi="Tahoma" w:cs="Tahoma"/>
          <w:sz w:val="22"/>
          <w:szCs w:val="22"/>
        </w:rPr>
        <w:t>. Σε αυτό το διάστημα οι εγχώριες εξαγωγές μειώθηκαν κατά για πρώτη φορά πέρυσι, κατά 6,1%. Σε πρόσφατη τακτική έκθεσή του το ΔΝΤ προβλέπει επιβράδυνση της μεγέθυνσης του όγκου του παγκόσμιου εμπορίου από 7,1% το 2011 σε 6,8% το 2012, ενώ μεγαλύτερης κλίμακας κάμψη εκτιμά ο ΟΟΣΑ, στο 4,7%.</w:t>
      </w:r>
      <w:r>
        <w:rPr>
          <w:rStyle w:val="FootnoteReference"/>
          <w:rFonts w:cs="Tahoma"/>
          <w:sz w:val="22"/>
          <w:szCs w:val="22"/>
        </w:rPr>
        <w:footnoteReference w:id="9"/>
      </w:r>
    </w:p>
    <w:p w:rsidR="00D30E57" w:rsidRPr="00E92D10" w:rsidRDefault="00D30E57" w:rsidP="00D30E57">
      <w:pPr>
        <w:autoSpaceDE w:val="0"/>
        <w:autoSpaceDN w:val="0"/>
        <w:adjustRightInd w:val="0"/>
        <w:spacing w:before="240" w:after="240" w:line="312" w:lineRule="auto"/>
        <w:jc w:val="both"/>
        <w:rPr>
          <w:rFonts w:ascii="Tahoma" w:hAnsi="Tahoma" w:cs="Tahoma"/>
          <w:b/>
          <w:sz w:val="22"/>
          <w:szCs w:val="22"/>
        </w:rPr>
      </w:pPr>
      <w:r>
        <w:rPr>
          <w:rFonts w:ascii="Tahoma" w:hAnsi="Tahoma" w:cs="Tahoma"/>
          <w:sz w:val="22"/>
          <w:szCs w:val="22"/>
        </w:rPr>
        <w:t xml:space="preserve">Σε πτωτική τροχιά θα παραμείνουν για τέταρτη χρονιά </w:t>
      </w:r>
      <w:r w:rsidRPr="00E92D10">
        <w:rPr>
          <w:rFonts w:ascii="Tahoma" w:hAnsi="Tahoma" w:cs="Tahoma"/>
          <w:sz w:val="22"/>
          <w:szCs w:val="22"/>
        </w:rPr>
        <w:t>οι</w:t>
      </w:r>
      <w:r w:rsidRPr="00E92D10">
        <w:rPr>
          <w:rFonts w:ascii="Tahoma" w:hAnsi="Tahoma" w:cs="Tahoma"/>
          <w:b/>
          <w:sz w:val="22"/>
          <w:szCs w:val="22"/>
        </w:rPr>
        <w:t xml:space="preserve"> εισαγωγές </w:t>
      </w:r>
      <w:r w:rsidRPr="00E92D10">
        <w:rPr>
          <w:rFonts w:ascii="Tahoma" w:hAnsi="Tahoma" w:cs="Tahoma"/>
          <w:sz w:val="22"/>
          <w:szCs w:val="22"/>
        </w:rPr>
        <w:t>στην Ελλάδα</w:t>
      </w:r>
      <w:r>
        <w:rPr>
          <w:rFonts w:ascii="Tahoma" w:hAnsi="Tahoma" w:cs="Tahoma"/>
          <w:sz w:val="22"/>
          <w:szCs w:val="22"/>
        </w:rPr>
        <w:t>, με αρκετά μεγαλύτερη ταχύτητα από ότι πέρυσι (-8,1%). Η μείωσή τους θα διευρυνθεί φέτος, όπως γενικότερα της εγχώριας ζήτησης, από τις διαδοχικές δέσμες μέτρων που έχουν ληφθεί από το περασμένο φθινόπωρο και έχουν περιορίσει ιδιαίτερα το</w:t>
      </w:r>
      <w:r w:rsidRPr="007B76A0">
        <w:rPr>
          <w:rFonts w:ascii="Tahoma" w:hAnsi="Tahoma" w:cs="Tahoma"/>
          <w:sz w:val="22"/>
          <w:szCs w:val="22"/>
        </w:rPr>
        <w:t xml:space="preserve"> διαθέσιμο εισόδημα </w:t>
      </w:r>
      <w:r>
        <w:rPr>
          <w:rFonts w:ascii="Tahoma" w:hAnsi="Tahoma" w:cs="Tahoma"/>
          <w:sz w:val="22"/>
          <w:szCs w:val="22"/>
        </w:rPr>
        <w:t xml:space="preserve">ατόμων και νοικοκυριών και έχουν επιφέρει κάθετες περικοπές των δημοσίων δαπανών. Προάγγελο αυτής της εξέλιξης αποτελεί </w:t>
      </w:r>
      <w:r w:rsidRPr="00E92D10">
        <w:rPr>
          <w:rFonts w:ascii="Tahoma" w:hAnsi="Tahoma" w:cs="Tahoma"/>
          <w:b/>
          <w:sz w:val="22"/>
          <w:szCs w:val="22"/>
        </w:rPr>
        <w:t xml:space="preserve">η συρρίκνωσή </w:t>
      </w:r>
      <w:r w:rsidRPr="00E92D10">
        <w:rPr>
          <w:rFonts w:ascii="Tahoma" w:hAnsi="Tahoma" w:cs="Tahoma"/>
          <w:sz w:val="22"/>
          <w:szCs w:val="22"/>
        </w:rPr>
        <w:t>τους στο</w:t>
      </w:r>
      <w:r w:rsidRPr="00E92D10">
        <w:rPr>
          <w:rFonts w:ascii="Tahoma" w:hAnsi="Tahoma" w:cs="Tahoma"/>
          <w:b/>
          <w:sz w:val="22"/>
          <w:szCs w:val="22"/>
        </w:rPr>
        <w:t xml:space="preserve"> τελευταίο τρίμηνο του 2011</w:t>
      </w:r>
      <w:r>
        <w:rPr>
          <w:rFonts w:ascii="Tahoma" w:hAnsi="Tahoma" w:cs="Tahoma"/>
          <w:sz w:val="22"/>
          <w:szCs w:val="22"/>
        </w:rPr>
        <w:t xml:space="preserve">, οπότε και τέθηκαν σε πλήρη εφαρμογή τα μέτρα που λήφθηκαν από τις αρχές τα μέσα της περασμένης χρονιάς, </w:t>
      </w:r>
      <w:r w:rsidRPr="00E92D10">
        <w:rPr>
          <w:rFonts w:ascii="Tahoma" w:hAnsi="Tahoma" w:cs="Tahoma"/>
          <w:b/>
          <w:sz w:val="22"/>
          <w:szCs w:val="22"/>
        </w:rPr>
        <w:t>κατά 14,2%</w:t>
      </w:r>
      <w:r>
        <w:rPr>
          <w:rFonts w:ascii="Tahoma" w:hAnsi="Tahoma" w:cs="Tahoma"/>
          <w:sz w:val="22"/>
          <w:szCs w:val="22"/>
        </w:rPr>
        <w:t xml:space="preserve">, που ήταν και η υψηλότερη του περασμένου έτους. </w:t>
      </w:r>
      <w:r w:rsidRPr="00E92D10">
        <w:rPr>
          <w:rFonts w:ascii="Tahoma" w:hAnsi="Tahoma" w:cs="Tahoma"/>
          <w:b/>
          <w:sz w:val="22"/>
          <w:szCs w:val="22"/>
        </w:rPr>
        <w:t xml:space="preserve">Κοντά σε αυτή την έκταση </w:t>
      </w:r>
      <w:r w:rsidRPr="00E92D10">
        <w:rPr>
          <w:rFonts w:ascii="Tahoma" w:hAnsi="Tahoma" w:cs="Tahoma"/>
          <w:sz w:val="22"/>
          <w:szCs w:val="22"/>
        </w:rPr>
        <w:t xml:space="preserve">αναμένεται να διαμορφωθεί </w:t>
      </w:r>
      <w:r w:rsidRPr="00E92D10">
        <w:rPr>
          <w:rFonts w:ascii="Tahoma" w:hAnsi="Tahoma" w:cs="Tahoma"/>
          <w:b/>
          <w:sz w:val="22"/>
          <w:szCs w:val="22"/>
        </w:rPr>
        <w:t>η πτώση των εισαγωγών το 2012.</w:t>
      </w:r>
    </w:p>
    <w:p w:rsidR="00295EC3" w:rsidRDefault="00D30E57" w:rsidP="00D30E57">
      <w:pPr>
        <w:autoSpaceDE w:val="0"/>
        <w:autoSpaceDN w:val="0"/>
        <w:adjustRightInd w:val="0"/>
        <w:spacing w:before="240" w:after="240" w:line="312" w:lineRule="auto"/>
        <w:jc w:val="both"/>
        <w:rPr>
          <w:rFonts w:ascii="Tahoma" w:hAnsi="Tahoma" w:cs="Tahoma"/>
          <w:sz w:val="22"/>
          <w:szCs w:val="22"/>
        </w:rPr>
      </w:pPr>
      <w:r>
        <w:rPr>
          <w:rFonts w:ascii="Tahoma" w:hAnsi="Tahoma" w:cs="Tahoma"/>
          <w:sz w:val="22"/>
          <w:szCs w:val="22"/>
        </w:rPr>
        <w:t xml:space="preserve">Συνεπώς, βάσει των εκτιμήσεων που πραγματοποιήθηκαν παραπάνω για τις μεταβολές των βασικών συνιστωσών του ΑΕΠ κατά το τρέχον έτος, η ιδιωτική κατανάλωση θα συρρικνωθεί εκ νέου, σε μεγάλο βαθμό, ενώ εκτεταμένες θα είναι οι περικοπές και στις δημόσιες καταναλωτικές δαπάνες, στο πλαίσιο της εντατικοποίησης της δημοσιονομικής προσαρμογής. Επίσης, </w:t>
      </w:r>
      <w:r>
        <w:rPr>
          <w:rFonts w:ascii="Tahoma" w:hAnsi="Tahoma" w:cs="Tahoma"/>
          <w:sz w:val="22"/>
          <w:szCs w:val="22"/>
        </w:rPr>
        <w:lastRenderedPageBreak/>
        <w:t xml:space="preserve">παρότι είναι αρκετά πιθανή η βελτίωση βασικών χαρακτηριστικών του επιχειρηματικού-επενδυτικού περιβάλλοντος και η εκκίνηση μεγάλων ξένων επενδύσεων, οι συνολικές εγχώριες επενδύσεις θα υποχωρήσουν για άλλη μια χρονιά, μάλλον σε μικρότερη έκταση από ότι πέρυσι. Σε τροχιά βελτίωσης του ισοζυγίου του θα παραμείνει ο εξωτερικός τομέας. </w:t>
      </w:r>
      <w:r w:rsidRPr="00CF25E9">
        <w:rPr>
          <w:rFonts w:ascii="Tahoma" w:hAnsi="Tahoma" w:cs="Tahoma"/>
          <w:b/>
          <w:sz w:val="22"/>
          <w:szCs w:val="22"/>
        </w:rPr>
        <w:t xml:space="preserve">Συνισταμένη αυτών των μεταβολών αποτελεί η πρόβλεψη για ύφεση της ελληνικής οικονομίας </w:t>
      </w:r>
      <w:r w:rsidRPr="00991C02">
        <w:rPr>
          <w:rFonts w:ascii="Tahoma" w:hAnsi="Tahoma" w:cs="Tahoma"/>
          <w:b/>
          <w:sz w:val="22"/>
          <w:szCs w:val="22"/>
        </w:rPr>
        <w:t>κατά 5% το</w:t>
      </w:r>
      <w:r w:rsidRPr="00CF25E9">
        <w:rPr>
          <w:rFonts w:ascii="Tahoma" w:hAnsi="Tahoma" w:cs="Tahoma"/>
          <w:b/>
          <w:sz w:val="22"/>
          <w:szCs w:val="22"/>
        </w:rPr>
        <w:t xml:space="preserve"> 2012, σαφώς </w:t>
      </w:r>
      <w:r>
        <w:rPr>
          <w:rFonts w:ascii="Tahoma" w:hAnsi="Tahoma" w:cs="Tahoma"/>
          <w:b/>
          <w:sz w:val="22"/>
          <w:szCs w:val="22"/>
        </w:rPr>
        <w:t>εντονότερη</w:t>
      </w:r>
      <w:r w:rsidRPr="00CF25E9">
        <w:rPr>
          <w:rFonts w:ascii="Tahoma" w:hAnsi="Tahoma" w:cs="Tahoma"/>
          <w:b/>
          <w:sz w:val="22"/>
          <w:szCs w:val="22"/>
        </w:rPr>
        <w:t xml:space="preserve"> από ότι αναμενόταν στα τέλη του 2011, στην προηγούμενη έκθεση του ΙΟΒΕ. </w:t>
      </w:r>
      <w:r>
        <w:rPr>
          <w:rFonts w:ascii="Tahoma" w:hAnsi="Tahoma" w:cs="Tahoma"/>
          <w:sz w:val="22"/>
          <w:szCs w:val="22"/>
        </w:rPr>
        <w:t>Αυτή η εκτίμηση είναι ελαφρά δυσμενέστερη των πρόσφατων από διεθνείς φορείς και οργανισμούς, όπως της Ευρωπαϊκής Επιτροπής (-4,7%) και του ΔΝΤ (-4,8%, αναλυτικά στους Πίνακες 3.2-3.3).</w:t>
      </w:r>
    </w:p>
    <w:p w:rsidR="002A5D2E" w:rsidRDefault="002A5D2E" w:rsidP="00D30E57">
      <w:pPr>
        <w:autoSpaceDE w:val="0"/>
        <w:autoSpaceDN w:val="0"/>
        <w:adjustRightInd w:val="0"/>
        <w:spacing w:before="240" w:after="240" w:line="312" w:lineRule="auto"/>
        <w:jc w:val="both"/>
        <w:rPr>
          <w:rFonts w:ascii="Tahoma" w:hAnsi="Tahoma" w:cs="Tahoma"/>
          <w:sz w:val="22"/>
          <w:szCs w:val="22"/>
        </w:rPr>
      </w:pPr>
    </w:p>
    <w:p w:rsidR="00A72932" w:rsidRPr="000A36DA" w:rsidRDefault="00A72932" w:rsidP="00A72932">
      <w:pPr>
        <w:pStyle w:val="new4"/>
        <w:spacing w:before="240" w:after="240" w:line="312" w:lineRule="auto"/>
        <w:jc w:val="both"/>
        <w:rPr>
          <w:sz w:val="22"/>
          <w:szCs w:val="22"/>
        </w:rPr>
      </w:pPr>
      <w:r w:rsidRPr="00CF25E9">
        <w:rPr>
          <w:rFonts w:cs="Tahoma"/>
          <w:b w:val="0"/>
          <w:sz w:val="22"/>
          <w:szCs w:val="22"/>
        </w:rPr>
        <w:t xml:space="preserve">Η ραγδαία φθίνουσα εγχώρια ζήτηση τους τελευταίους μήνες του 2011, που οδήγησε σε κλιμάκωση της πτώσης του ΑΕΠ σε αυτή την περίοδο και κατά πάσα πιθανότητα θα συνεχίσει να αποδυναμώνεται με την ίδια ένταση στο πρώτο εξάμηνο του 2012, θα αποτελέσει τον κύριο παράγοντα διαμόρφωσης των εξελίξεων στην </w:t>
      </w:r>
      <w:r w:rsidRPr="00CF25E9">
        <w:rPr>
          <w:rFonts w:cs="Tahoma"/>
          <w:bCs w:val="0"/>
          <w:sz w:val="22"/>
          <w:szCs w:val="22"/>
        </w:rPr>
        <w:t>αγορά εργασίας</w:t>
      </w:r>
      <w:r w:rsidRPr="00CF25E9">
        <w:rPr>
          <w:rFonts w:cs="Tahoma"/>
          <w:b w:val="0"/>
          <w:bCs w:val="0"/>
          <w:sz w:val="22"/>
          <w:szCs w:val="22"/>
        </w:rPr>
        <w:t>, τουλάχιστον στο συγκεκριμένο χρονικό διάστημα</w:t>
      </w:r>
      <w:r w:rsidRPr="00CF25E9">
        <w:rPr>
          <w:rFonts w:cs="Tahoma"/>
          <w:b w:val="0"/>
          <w:sz w:val="22"/>
          <w:szCs w:val="22"/>
        </w:rPr>
        <w:t xml:space="preserve">. Η προσαρμογή της απασχόλησης στη βαθύτερη ύφεση κατά το δ’ τρίμηνο πέρυσι, ξεκίνησε από τον περασμένο Νοέμβριο, με το ποσοστό ανεργίας να σημειώνει μέσα σε ένα μόλις μήνα αύξηση 2,7 εκατοστιαίων μονάδων. Πολύ σημαντικό προσδιοριστικό παράγοντα της απασχόλησης το 2012, αλλά και στα επόμενα χρόνια, θα αποτελέσουν οι </w:t>
      </w:r>
      <w:r w:rsidRPr="00CF25E9">
        <w:rPr>
          <w:b w:val="0"/>
          <w:sz w:val="22"/>
          <w:szCs w:val="22"/>
        </w:rPr>
        <w:t xml:space="preserve">πρόσφατες διαρθρωτικές παρεμβάσεις στην αγορά εργασίας, για τη μείωση του </w:t>
      </w:r>
      <w:r w:rsidRPr="00CF25E9">
        <w:rPr>
          <w:b w:val="0"/>
          <w:sz w:val="22"/>
          <w:szCs w:val="22"/>
        </w:rPr>
        <w:lastRenderedPageBreak/>
        <w:t xml:space="preserve">μισθολογικού κόστους στον ιδιωτικό τομέα και τις αλλαγές στις διαδικασίες διαπραγμάτευσης μεταξύ εργοδοτών-εργαζομένων. </w:t>
      </w:r>
      <w:r>
        <w:rPr>
          <w:b w:val="0"/>
          <w:sz w:val="22"/>
          <w:szCs w:val="22"/>
        </w:rPr>
        <w:t>Όπως επισημάνθηκε προηγουμένως, β</w:t>
      </w:r>
      <w:r w:rsidRPr="00CF25E9">
        <w:rPr>
          <w:b w:val="0"/>
          <w:sz w:val="22"/>
          <w:szCs w:val="22"/>
        </w:rPr>
        <w:t>ραχυπρόθεσμα</w:t>
      </w:r>
      <w:r w:rsidRPr="00CF25E9">
        <w:rPr>
          <w:rFonts w:cs="Tahoma"/>
          <w:b w:val="0"/>
          <w:sz w:val="22"/>
          <w:szCs w:val="22"/>
        </w:rPr>
        <w:t xml:space="preserve">, τα συγκεκριμένα μέτρα θα επιφέρουν νέες περικοπές στο διαθέσιμο εισόδημα των εργαζόμενων, περιορισμό της αγοραστικής τους δύναμης, που θα συγκρατηθεί σε κάποιο βαθμό από τη συνεπακόλουθη αποκλιμάκωση του πληθωρισμού, συνεπώς ισχυροποίηση της ύφεσης. Ωστόσο οι τελικές, πλήρεις επιδράσεις τους θα γίνουν αισθητές μέσο-μακροπρόθεσμα, όταν οι επιχειρήσεις προσαρμόσουν την παραγωγή και το εργατικό δυναμικό τους στα νέα δεδομένα. </w:t>
      </w:r>
      <w:r w:rsidRPr="000A36DA">
        <w:rPr>
          <w:rFonts w:cs="Tahoma"/>
          <w:sz w:val="22"/>
          <w:szCs w:val="22"/>
        </w:rPr>
        <w:t xml:space="preserve">Υπό την επίδραση όλων των παραγόντων που αναλύθηκαν, το ποσοστό ανεργίας αναμένεται να διαμορφωθεί το 2012 στην περιοχή </w:t>
      </w:r>
      <w:r w:rsidR="00DE6EF4">
        <w:rPr>
          <w:rFonts w:cs="Tahoma"/>
          <w:sz w:val="22"/>
          <w:szCs w:val="22"/>
        </w:rPr>
        <w:t>του 20</w:t>
      </w:r>
      <w:r w:rsidRPr="00991C02">
        <w:rPr>
          <w:rFonts w:cs="Tahoma"/>
          <w:sz w:val="22"/>
          <w:szCs w:val="22"/>
        </w:rPr>
        <w:t>%.</w:t>
      </w:r>
    </w:p>
    <w:p w:rsidR="00A72932" w:rsidRDefault="00A72932" w:rsidP="00D30E57">
      <w:pPr>
        <w:autoSpaceDE w:val="0"/>
        <w:autoSpaceDN w:val="0"/>
        <w:adjustRightInd w:val="0"/>
        <w:spacing w:before="240" w:after="240" w:line="312" w:lineRule="auto"/>
        <w:jc w:val="both"/>
        <w:rPr>
          <w:rFonts w:ascii="Tahoma" w:hAnsi="Tahoma" w:cs="Tahoma"/>
          <w:sz w:val="22"/>
          <w:szCs w:val="22"/>
        </w:rPr>
        <w:sectPr w:rsidR="00A72932" w:rsidSect="00A72932">
          <w:pgSz w:w="11906" w:h="16838"/>
          <w:pgMar w:top="1077" w:right="992" w:bottom="720" w:left="1440" w:header="709" w:footer="709" w:gutter="0"/>
          <w:cols w:num="2" w:space="720"/>
          <w:docGrid w:linePitch="360"/>
        </w:sectPr>
      </w:pPr>
    </w:p>
    <w:p w:rsidR="00D30E57" w:rsidRPr="00E62E09" w:rsidRDefault="00D30E57" w:rsidP="00D30E57">
      <w:pPr>
        <w:autoSpaceDE w:val="0"/>
        <w:autoSpaceDN w:val="0"/>
        <w:adjustRightInd w:val="0"/>
        <w:spacing w:before="120" w:after="120"/>
        <w:jc w:val="center"/>
        <w:rPr>
          <w:rFonts w:ascii="Tahoma" w:hAnsi="Tahoma" w:cs="Tahoma"/>
          <w:b/>
          <w:bCs/>
        </w:rPr>
      </w:pPr>
      <w:r>
        <w:rPr>
          <w:rFonts w:ascii="Tahoma" w:hAnsi="Tahoma" w:cs="Tahoma"/>
          <w:b/>
          <w:bCs/>
        </w:rPr>
        <w:lastRenderedPageBreak/>
        <w:t>Π</w:t>
      </w:r>
      <w:r w:rsidRPr="00E62E09">
        <w:rPr>
          <w:rFonts w:ascii="Tahoma" w:hAnsi="Tahoma" w:cs="Tahoma"/>
          <w:b/>
          <w:bCs/>
        </w:rPr>
        <w:t>ίνακας 3.2</w:t>
      </w:r>
    </w:p>
    <w:p w:rsidR="00D30E57" w:rsidRPr="00E62E09" w:rsidRDefault="00D30E57" w:rsidP="00D30E57">
      <w:pPr>
        <w:autoSpaceDE w:val="0"/>
        <w:autoSpaceDN w:val="0"/>
        <w:adjustRightInd w:val="0"/>
        <w:spacing w:before="120" w:after="120"/>
        <w:jc w:val="center"/>
        <w:rPr>
          <w:rFonts w:ascii="Tahoma" w:hAnsi="Tahoma" w:cs="Tahoma"/>
          <w:color w:val="000000"/>
        </w:rPr>
      </w:pPr>
      <w:r w:rsidRPr="00E62E09">
        <w:rPr>
          <w:rFonts w:ascii="Tahoma" w:hAnsi="Tahoma" w:cs="Tahoma"/>
          <w:color w:val="000000"/>
        </w:rPr>
        <w:t>Εγχώρια Δαπάνη και Ακαθάριστο Εγχώριο –</w:t>
      </w:r>
      <w:r>
        <w:rPr>
          <w:rFonts w:ascii="Tahoma" w:hAnsi="Tahoma" w:cs="Tahoma"/>
          <w:color w:val="000000"/>
        </w:rPr>
        <w:t>Π</w:t>
      </w:r>
      <w:r w:rsidRPr="00E62E09">
        <w:rPr>
          <w:rFonts w:ascii="Tahoma" w:hAnsi="Tahoma" w:cs="Tahoma"/>
          <w:color w:val="000000"/>
        </w:rPr>
        <w:t>ροϊόν – Εκτιμήσεις Ευρωπαϊκής Επιτροπής</w:t>
      </w:r>
    </w:p>
    <w:p w:rsidR="00D30E57" w:rsidRDefault="00D30E57" w:rsidP="002A5D2E">
      <w:pPr>
        <w:autoSpaceDE w:val="0"/>
        <w:autoSpaceDN w:val="0"/>
        <w:adjustRightInd w:val="0"/>
        <w:spacing w:before="120"/>
        <w:jc w:val="center"/>
        <w:rPr>
          <w:rFonts w:ascii="Tahoma" w:hAnsi="Tahoma" w:cs="Tahoma"/>
          <w:color w:val="000000"/>
        </w:rPr>
      </w:pPr>
      <w:r w:rsidRPr="00E62E09">
        <w:rPr>
          <w:rFonts w:ascii="Tahoma" w:hAnsi="Tahoma" w:cs="Tahoma"/>
          <w:color w:val="000000"/>
        </w:rPr>
        <w:t>(σε στ</w:t>
      </w:r>
      <w:r>
        <w:rPr>
          <w:rFonts w:ascii="Tahoma" w:hAnsi="Tahoma" w:cs="Tahoma"/>
          <w:color w:val="000000"/>
        </w:rPr>
        <w:t>αθερές αγοραίες τιμές έτους 200</w:t>
      </w:r>
      <w:r w:rsidRPr="00581562">
        <w:rPr>
          <w:rFonts w:ascii="Tahoma" w:hAnsi="Tahoma" w:cs="Tahoma"/>
          <w:color w:val="000000"/>
        </w:rPr>
        <w:t>5</w:t>
      </w:r>
      <w:r w:rsidRPr="00E62E09">
        <w:rPr>
          <w:rFonts w:ascii="Tahoma" w:hAnsi="Tahoma" w:cs="Tahoma"/>
          <w:color w:val="000000"/>
        </w:rPr>
        <w:t>)</w:t>
      </w:r>
    </w:p>
    <w:tbl>
      <w:tblPr>
        <w:tblW w:w="9133" w:type="dxa"/>
        <w:jc w:val="center"/>
        <w:tblLayout w:type="fixed"/>
        <w:tblCellMar>
          <w:left w:w="0" w:type="dxa"/>
          <w:right w:w="0" w:type="dxa"/>
        </w:tblCellMar>
        <w:tblLook w:val="0000"/>
      </w:tblPr>
      <w:tblGrid>
        <w:gridCol w:w="5159"/>
        <w:gridCol w:w="993"/>
        <w:gridCol w:w="993"/>
        <w:gridCol w:w="993"/>
        <w:gridCol w:w="995"/>
      </w:tblGrid>
      <w:tr w:rsidR="00D30E57" w:rsidTr="002A5D2E">
        <w:trPr>
          <w:trHeight w:hRule="exact" w:val="300"/>
          <w:jc w:val="center"/>
        </w:trPr>
        <w:tc>
          <w:tcPr>
            <w:tcW w:w="5159" w:type="dxa"/>
            <w:tcBorders>
              <w:top w:val="single" w:sz="12" w:space="0" w:color="008000"/>
              <w:left w:val="single" w:sz="6" w:space="0" w:color="auto"/>
              <w:bottom w:val="single" w:sz="4" w:space="0" w:color="auto"/>
              <w:right w:val="single" w:sz="6" w:space="0" w:color="auto"/>
            </w:tcBorders>
            <w:noWrap/>
            <w:tcMar>
              <w:top w:w="0" w:type="dxa"/>
              <w:left w:w="13" w:type="dxa"/>
              <w:bottom w:w="0" w:type="dxa"/>
              <w:right w:w="13" w:type="dxa"/>
            </w:tcMar>
            <w:vAlign w:val="bottom"/>
          </w:tcPr>
          <w:p w:rsidR="00D30E57" w:rsidRDefault="00D30E57" w:rsidP="000B6769">
            <w:pPr>
              <w:pStyle w:val="BodyText"/>
              <w:spacing w:line="240" w:lineRule="auto"/>
              <w:jc w:val="center"/>
              <w:rPr>
                <w:rFonts w:ascii="Tahoma" w:hAnsi="Tahoma" w:cs="Tahoma"/>
                <w:sz w:val="20"/>
                <w:szCs w:val="20"/>
              </w:rPr>
            </w:pPr>
            <w:r>
              <w:rPr>
                <w:rFonts w:ascii="Tahoma" w:hAnsi="Tahoma" w:cs="Tahoma"/>
                <w:sz w:val="20"/>
                <w:szCs w:val="20"/>
              </w:rPr>
              <w:t> </w:t>
            </w:r>
          </w:p>
        </w:tc>
        <w:tc>
          <w:tcPr>
            <w:tcW w:w="993" w:type="dxa"/>
            <w:tcBorders>
              <w:top w:val="single" w:sz="12" w:space="0" w:color="008000"/>
              <w:left w:val="single" w:sz="6" w:space="0" w:color="auto"/>
              <w:bottom w:val="single" w:sz="4" w:space="0" w:color="auto"/>
              <w:right w:val="single" w:sz="6" w:space="0" w:color="auto"/>
            </w:tcBorders>
            <w:noWrap/>
            <w:tcMar>
              <w:top w:w="13" w:type="dxa"/>
              <w:left w:w="13" w:type="dxa"/>
              <w:bottom w:w="0" w:type="dxa"/>
              <w:right w:w="13" w:type="dxa"/>
            </w:tcMar>
            <w:vAlign w:val="bottom"/>
          </w:tcPr>
          <w:p w:rsidR="00D30E57" w:rsidRDefault="00D30E57" w:rsidP="000B6769">
            <w:pPr>
              <w:pStyle w:val="BodyText"/>
              <w:spacing w:line="240" w:lineRule="auto"/>
              <w:jc w:val="center"/>
              <w:rPr>
                <w:rFonts w:ascii="Tahoma" w:eastAsia="Arial Unicode MS" w:hAnsi="Tahoma" w:cs="Tahoma"/>
                <w:b/>
                <w:bCs/>
                <w:sz w:val="20"/>
                <w:szCs w:val="20"/>
                <w:lang w:val="en-US"/>
              </w:rPr>
            </w:pPr>
            <w:r>
              <w:rPr>
                <w:rFonts w:ascii="Tahoma" w:eastAsia="Arial Unicode MS" w:hAnsi="Tahoma" w:cs="Tahoma"/>
                <w:b/>
                <w:bCs/>
                <w:sz w:val="20"/>
                <w:szCs w:val="20"/>
              </w:rPr>
              <w:t>2010*</w:t>
            </w:r>
          </w:p>
        </w:tc>
        <w:tc>
          <w:tcPr>
            <w:tcW w:w="993" w:type="dxa"/>
            <w:tcBorders>
              <w:top w:val="single" w:sz="12" w:space="0" w:color="008000"/>
              <w:left w:val="single" w:sz="6" w:space="0" w:color="auto"/>
              <w:bottom w:val="single" w:sz="4" w:space="0" w:color="auto"/>
              <w:right w:val="single" w:sz="6" w:space="0" w:color="auto"/>
            </w:tcBorders>
            <w:noWrap/>
            <w:tcMar>
              <w:top w:w="13" w:type="dxa"/>
              <w:left w:w="13" w:type="dxa"/>
              <w:bottom w:w="0" w:type="dxa"/>
              <w:right w:w="13" w:type="dxa"/>
            </w:tcMar>
            <w:vAlign w:val="bottom"/>
          </w:tcPr>
          <w:p w:rsidR="00D30E57" w:rsidRDefault="00D30E57" w:rsidP="000B6769">
            <w:pPr>
              <w:pStyle w:val="BodyText"/>
              <w:spacing w:line="240" w:lineRule="auto"/>
              <w:jc w:val="center"/>
              <w:rPr>
                <w:rFonts w:ascii="Tahoma" w:eastAsia="Arial Unicode MS" w:hAnsi="Tahoma" w:cs="Tahoma"/>
                <w:b/>
                <w:bCs/>
                <w:sz w:val="20"/>
                <w:szCs w:val="20"/>
                <w:lang w:val="en-US"/>
              </w:rPr>
            </w:pPr>
            <w:r>
              <w:rPr>
                <w:rFonts w:ascii="Tahoma" w:eastAsia="Arial Unicode MS" w:hAnsi="Tahoma" w:cs="Tahoma"/>
                <w:b/>
                <w:bCs/>
                <w:sz w:val="20"/>
                <w:szCs w:val="20"/>
              </w:rPr>
              <w:t>2011</w:t>
            </w:r>
          </w:p>
        </w:tc>
        <w:tc>
          <w:tcPr>
            <w:tcW w:w="993" w:type="dxa"/>
            <w:tcBorders>
              <w:top w:val="single" w:sz="12" w:space="0" w:color="008000"/>
              <w:left w:val="single" w:sz="6" w:space="0" w:color="auto"/>
              <w:bottom w:val="single" w:sz="4" w:space="0" w:color="auto"/>
              <w:right w:val="single" w:sz="6" w:space="0" w:color="auto"/>
            </w:tcBorders>
            <w:noWrap/>
            <w:tcMar>
              <w:top w:w="13" w:type="dxa"/>
              <w:left w:w="13" w:type="dxa"/>
              <w:bottom w:w="0" w:type="dxa"/>
              <w:right w:w="13" w:type="dxa"/>
            </w:tcMar>
            <w:vAlign w:val="bottom"/>
          </w:tcPr>
          <w:p w:rsidR="00D30E57" w:rsidRDefault="00D30E57" w:rsidP="000B6769">
            <w:pPr>
              <w:pStyle w:val="BodyText"/>
              <w:spacing w:line="240" w:lineRule="auto"/>
              <w:jc w:val="center"/>
              <w:rPr>
                <w:rFonts w:ascii="Tahoma" w:eastAsia="Arial Unicode MS" w:hAnsi="Tahoma" w:cs="Tahoma"/>
                <w:b/>
                <w:bCs/>
                <w:sz w:val="20"/>
                <w:szCs w:val="20"/>
              </w:rPr>
            </w:pPr>
            <w:r>
              <w:rPr>
                <w:rFonts w:ascii="Tahoma" w:eastAsia="Arial Unicode MS" w:hAnsi="Tahoma" w:cs="Tahoma"/>
                <w:b/>
                <w:bCs/>
                <w:sz w:val="20"/>
                <w:szCs w:val="20"/>
              </w:rPr>
              <w:t>2012</w:t>
            </w:r>
          </w:p>
        </w:tc>
        <w:tc>
          <w:tcPr>
            <w:tcW w:w="993" w:type="dxa"/>
            <w:tcBorders>
              <w:top w:val="single" w:sz="12" w:space="0" w:color="008000"/>
              <w:left w:val="single" w:sz="6" w:space="0" w:color="auto"/>
              <w:bottom w:val="single" w:sz="4" w:space="0" w:color="auto"/>
              <w:right w:val="single" w:sz="6" w:space="0" w:color="auto"/>
            </w:tcBorders>
            <w:noWrap/>
            <w:tcMar>
              <w:top w:w="13" w:type="dxa"/>
              <w:left w:w="13" w:type="dxa"/>
              <w:bottom w:w="0" w:type="dxa"/>
              <w:right w:w="13" w:type="dxa"/>
            </w:tcMar>
            <w:vAlign w:val="bottom"/>
          </w:tcPr>
          <w:p w:rsidR="00D30E57" w:rsidRDefault="00D30E57" w:rsidP="000B6769">
            <w:pPr>
              <w:pStyle w:val="BodyText"/>
              <w:spacing w:line="240" w:lineRule="auto"/>
              <w:jc w:val="center"/>
              <w:rPr>
                <w:rFonts w:ascii="Tahoma" w:eastAsia="Arial Unicode MS" w:hAnsi="Tahoma" w:cs="Tahoma"/>
                <w:b/>
                <w:bCs/>
                <w:sz w:val="20"/>
                <w:szCs w:val="20"/>
              </w:rPr>
            </w:pPr>
            <w:r>
              <w:rPr>
                <w:rFonts w:ascii="Tahoma" w:eastAsia="Arial Unicode MS" w:hAnsi="Tahoma" w:cs="Tahoma"/>
                <w:b/>
                <w:bCs/>
                <w:sz w:val="20"/>
                <w:szCs w:val="20"/>
              </w:rPr>
              <w:t>2013</w:t>
            </w:r>
          </w:p>
        </w:tc>
      </w:tr>
      <w:tr w:rsidR="00D30E57" w:rsidTr="002A5D2E">
        <w:trPr>
          <w:trHeight w:val="249"/>
          <w:jc w:val="center"/>
        </w:trPr>
        <w:tc>
          <w:tcPr>
            <w:tcW w:w="9133" w:type="dxa"/>
            <w:gridSpan w:val="5"/>
            <w:tcBorders>
              <w:top w:val="single" w:sz="4" w:space="0" w:color="auto"/>
              <w:left w:val="single" w:sz="6" w:space="0" w:color="auto"/>
              <w:bottom w:val="single" w:sz="2" w:space="0" w:color="000000"/>
              <w:right w:val="single" w:sz="6" w:space="0" w:color="auto"/>
            </w:tcBorders>
            <w:noWrap/>
            <w:tcMar>
              <w:top w:w="13" w:type="dxa"/>
              <w:left w:w="13" w:type="dxa"/>
              <w:bottom w:w="0" w:type="dxa"/>
              <w:right w:w="13" w:type="dxa"/>
            </w:tcMar>
            <w:vAlign w:val="bottom"/>
          </w:tcPr>
          <w:p w:rsidR="00D30E57" w:rsidRDefault="00D30E57" w:rsidP="000B6769">
            <w:pPr>
              <w:pStyle w:val="BodyText"/>
              <w:spacing w:line="240" w:lineRule="auto"/>
              <w:jc w:val="center"/>
              <w:rPr>
                <w:rFonts w:ascii="Tahoma" w:eastAsia="Arial Unicode MS" w:hAnsi="Tahoma" w:cs="Tahoma"/>
                <w:bCs/>
                <w:i/>
                <w:sz w:val="20"/>
                <w:szCs w:val="20"/>
              </w:rPr>
            </w:pPr>
            <w:r>
              <w:rPr>
                <w:rFonts w:ascii="Tahoma" w:hAnsi="Tahoma" w:cs="Tahoma"/>
                <w:bCs/>
                <w:i/>
                <w:sz w:val="20"/>
                <w:szCs w:val="20"/>
              </w:rPr>
              <w:t>Ετήσιες ποσοστιαίες μεταβολές</w:t>
            </w:r>
          </w:p>
        </w:tc>
      </w:tr>
      <w:tr w:rsidR="00D30E57" w:rsidTr="002A5D2E">
        <w:trPr>
          <w:trHeight w:hRule="exact" w:val="285"/>
          <w:jc w:val="center"/>
        </w:trPr>
        <w:tc>
          <w:tcPr>
            <w:tcW w:w="5159" w:type="dxa"/>
            <w:tcBorders>
              <w:top w:val="single" w:sz="2" w:space="0" w:color="000000"/>
              <w:left w:val="single" w:sz="6" w:space="0" w:color="auto"/>
              <w:right w:val="single" w:sz="6" w:space="0" w:color="auto"/>
            </w:tcBorders>
            <w:noWrap/>
            <w:tcMar>
              <w:top w:w="13" w:type="dxa"/>
              <w:left w:w="13" w:type="dxa"/>
              <w:bottom w:w="0" w:type="dxa"/>
              <w:right w:w="13" w:type="dxa"/>
            </w:tcMar>
            <w:vAlign w:val="bottom"/>
          </w:tcPr>
          <w:p w:rsidR="00D30E57" w:rsidRPr="00FC66C4" w:rsidRDefault="00D30E57" w:rsidP="000B6769">
            <w:pPr>
              <w:pStyle w:val="BodyText"/>
              <w:spacing w:before="20" w:after="20" w:line="240" w:lineRule="auto"/>
              <w:rPr>
                <w:rFonts w:ascii="Tahoma" w:eastAsia="Arial Unicode MS" w:hAnsi="Tahoma" w:cs="Tahoma"/>
                <w:sz w:val="18"/>
                <w:szCs w:val="18"/>
              </w:rPr>
            </w:pPr>
            <w:r w:rsidRPr="00FC66C4">
              <w:rPr>
                <w:rFonts w:ascii="Tahoma" w:hAnsi="Tahoma" w:cs="Tahoma"/>
                <w:sz w:val="18"/>
                <w:szCs w:val="18"/>
              </w:rPr>
              <w:t>Ακαθάριστο Εγχώριο Προϊόν</w:t>
            </w:r>
          </w:p>
        </w:tc>
        <w:tc>
          <w:tcPr>
            <w:tcW w:w="993" w:type="dxa"/>
            <w:tcBorders>
              <w:top w:val="single" w:sz="2" w:space="0" w:color="000000"/>
              <w:left w:val="single" w:sz="6" w:space="0" w:color="auto"/>
              <w:right w:val="single" w:sz="6" w:space="0" w:color="auto"/>
            </w:tcBorders>
            <w:noWrap/>
            <w:tcMar>
              <w:top w:w="13" w:type="dxa"/>
              <w:left w:w="13" w:type="dxa"/>
              <w:bottom w:w="0" w:type="dxa"/>
              <w:right w:w="13" w:type="dxa"/>
            </w:tcMar>
            <w:vAlign w:val="center"/>
          </w:tcPr>
          <w:p w:rsidR="00D30E57" w:rsidRPr="00F5513F" w:rsidRDefault="00D30E57" w:rsidP="000B6769">
            <w:pPr>
              <w:jc w:val="center"/>
              <w:rPr>
                <w:rFonts w:ascii="Tahoma" w:hAnsi="Tahoma" w:cs="Tahoma"/>
                <w:sz w:val="18"/>
                <w:szCs w:val="18"/>
              </w:rPr>
            </w:pPr>
            <w:r>
              <w:rPr>
                <w:rFonts w:ascii="Tahoma" w:hAnsi="Tahoma" w:cs="Tahoma"/>
                <w:sz w:val="18"/>
                <w:szCs w:val="18"/>
                <w:lang w:val="en-US"/>
              </w:rPr>
              <w:t>-</w:t>
            </w:r>
            <w:r>
              <w:rPr>
                <w:rFonts w:ascii="Tahoma" w:hAnsi="Tahoma" w:cs="Tahoma"/>
                <w:sz w:val="18"/>
                <w:szCs w:val="18"/>
              </w:rPr>
              <w:t>3,5</w:t>
            </w:r>
          </w:p>
        </w:tc>
        <w:tc>
          <w:tcPr>
            <w:tcW w:w="993" w:type="dxa"/>
            <w:tcBorders>
              <w:top w:val="single" w:sz="2" w:space="0" w:color="000000"/>
              <w:left w:val="single" w:sz="6" w:space="0" w:color="auto"/>
              <w:right w:val="single" w:sz="6" w:space="0" w:color="auto"/>
            </w:tcBorders>
            <w:noWrap/>
            <w:tcMar>
              <w:top w:w="13" w:type="dxa"/>
              <w:left w:w="13" w:type="dxa"/>
              <w:bottom w:w="0" w:type="dxa"/>
              <w:right w:w="13" w:type="dxa"/>
            </w:tcMar>
            <w:vAlign w:val="center"/>
          </w:tcPr>
          <w:p w:rsidR="00D30E57" w:rsidRPr="00354A8A" w:rsidRDefault="00D30E57" w:rsidP="000B6769">
            <w:pPr>
              <w:jc w:val="center"/>
              <w:rPr>
                <w:rFonts w:ascii="Tahoma" w:hAnsi="Tahoma" w:cs="Tahoma"/>
                <w:sz w:val="18"/>
                <w:szCs w:val="18"/>
              </w:rPr>
            </w:pPr>
            <w:r>
              <w:rPr>
                <w:rFonts w:ascii="Tahoma" w:hAnsi="Tahoma" w:cs="Tahoma"/>
                <w:sz w:val="18"/>
                <w:szCs w:val="18"/>
                <w:lang w:val="en-US"/>
              </w:rPr>
              <w:t>-</w:t>
            </w:r>
            <w:r>
              <w:rPr>
                <w:rFonts w:ascii="Tahoma" w:hAnsi="Tahoma" w:cs="Tahoma"/>
                <w:sz w:val="18"/>
                <w:szCs w:val="18"/>
              </w:rPr>
              <w:t>6,9</w:t>
            </w:r>
          </w:p>
        </w:tc>
        <w:tc>
          <w:tcPr>
            <w:tcW w:w="993" w:type="dxa"/>
            <w:tcBorders>
              <w:top w:val="single" w:sz="2" w:space="0" w:color="000000"/>
              <w:left w:val="single" w:sz="6" w:space="0" w:color="auto"/>
              <w:right w:val="single" w:sz="6" w:space="0" w:color="auto"/>
            </w:tcBorders>
            <w:noWrap/>
            <w:tcMar>
              <w:top w:w="13" w:type="dxa"/>
              <w:left w:w="13" w:type="dxa"/>
              <w:bottom w:w="0" w:type="dxa"/>
              <w:right w:w="13" w:type="dxa"/>
            </w:tcMar>
            <w:vAlign w:val="center"/>
          </w:tcPr>
          <w:p w:rsidR="00D30E57" w:rsidRPr="00354A8A" w:rsidRDefault="00D30E57" w:rsidP="000B6769">
            <w:pPr>
              <w:jc w:val="center"/>
              <w:rPr>
                <w:rFonts w:ascii="Tahoma" w:hAnsi="Tahoma" w:cs="Tahoma"/>
                <w:sz w:val="18"/>
                <w:szCs w:val="18"/>
              </w:rPr>
            </w:pPr>
            <w:r>
              <w:rPr>
                <w:rFonts w:ascii="Tahoma" w:hAnsi="Tahoma" w:cs="Tahoma"/>
                <w:sz w:val="18"/>
                <w:szCs w:val="18"/>
              </w:rPr>
              <w:t>-4,7</w:t>
            </w:r>
          </w:p>
        </w:tc>
        <w:tc>
          <w:tcPr>
            <w:tcW w:w="993" w:type="dxa"/>
            <w:tcBorders>
              <w:top w:val="single" w:sz="2" w:space="0" w:color="000000"/>
              <w:left w:val="single" w:sz="6" w:space="0" w:color="auto"/>
              <w:right w:val="single" w:sz="6" w:space="0" w:color="auto"/>
            </w:tcBorders>
            <w:noWrap/>
            <w:tcMar>
              <w:top w:w="13" w:type="dxa"/>
              <w:left w:w="13" w:type="dxa"/>
              <w:bottom w:w="0" w:type="dxa"/>
              <w:right w:w="13" w:type="dxa"/>
            </w:tcMar>
            <w:vAlign w:val="center"/>
          </w:tcPr>
          <w:p w:rsidR="00D30E57" w:rsidRPr="00354A8A" w:rsidRDefault="00D30E57" w:rsidP="000B6769">
            <w:pPr>
              <w:jc w:val="center"/>
              <w:rPr>
                <w:rFonts w:ascii="Tahoma" w:hAnsi="Tahoma" w:cs="Tahoma"/>
                <w:sz w:val="18"/>
                <w:szCs w:val="18"/>
              </w:rPr>
            </w:pPr>
            <w:r>
              <w:rPr>
                <w:rFonts w:ascii="Tahoma" w:hAnsi="Tahoma" w:cs="Tahoma"/>
                <w:sz w:val="18"/>
                <w:szCs w:val="18"/>
              </w:rPr>
              <w:t>0,0</w:t>
            </w:r>
          </w:p>
        </w:tc>
      </w:tr>
      <w:tr w:rsidR="00D30E57" w:rsidTr="002A5D2E">
        <w:trPr>
          <w:trHeight w:hRule="exact" w:val="285"/>
          <w:jc w:val="center"/>
        </w:trPr>
        <w:tc>
          <w:tcPr>
            <w:tcW w:w="5159" w:type="dxa"/>
            <w:tcBorders>
              <w:top w:val="nil"/>
              <w:left w:val="single" w:sz="6" w:space="0" w:color="auto"/>
              <w:right w:val="single" w:sz="6" w:space="0" w:color="auto"/>
            </w:tcBorders>
            <w:noWrap/>
            <w:tcMar>
              <w:top w:w="13" w:type="dxa"/>
              <w:left w:w="200" w:type="dxa"/>
              <w:bottom w:w="0" w:type="dxa"/>
              <w:right w:w="13" w:type="dxa"/>
            </w:tcMar>
            <w:vAlign w:val="bottom"/>
          </w:tcPr>
          <w:p w:rsidR="00D30E57" w:rsidRPr="00FC66C4" w:rsidRDefault="00D30E57" w:rsidP="000B6769">
            <w:pPr>
              <w:pStyle w:val="BodyText"/>
              <w:tabs>
                <w:tab w:val="left" w:pos="-187"/>
              </w:tabs>
              <w:spacing w:before="20" w:after="20" w:line="240" w:lineRule="auto"/>
              <w:rPr>
                <w:rFonts w:ascii="Tahoma" w:eastAsia="Arial Unicode MS" w:hAnsi="Tahoma" w:cs="Tahoma"/>
                <w:sz w:val="18"/>
                <w:szCs w:val="18"/>
              </w:rPr>
            </w:pPr>
            <w:r w:rsidRPr="00FC66C4">
              <w:rPr>
                <w:rFonts w:ascii="Tahoma" w:hAnsi="Tahoma" w:cs="Tahoma"/>
                <w:sz w:val="18"/>
                <w:szCs w:val="18"/>
              </w:rPr>
              <w:t>Ιδιωτική Κατανάλωση</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F5513F" w:rsidRDefault="00D30E57" w:rsidP="000B6769">
            <w:pPr>
              <w:jc w:val="center"/>
              <w:rPr>
                <w:rFonts w:ascii="Tahoma" w:hAnsi="Tahoma" w:cs="Tahoma"/>
                <w:sz w:val="18"/>
                <w:szCs w:val="18"/>
              </w:rPr>
            </w:pPr>
            <w:r>
              <w:rPr>
                <w:rFonts w:ascii="Tahoma" w:hAnsi="Tahoma" w:cs="Tahoma"/>
                <w:sz w:val="18"/>
                <w:szCs w:val="18"/>
                <w:lang w:val="en-US"/>
              </w:rPr>
              <w:t>-</w:t>
            </w:r>
            <w:r>
              <w:rPr>
                <w:rFonts w:ascii="Tahoma" w:hAnsi="Tahoma" w:cs="Tahoma"/>
                <w:sz w:val="18"/>
                <w:szCs w:val="18"/>
              </w:rPr>
              <w:t>3,6</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354A8A" w:rsidRDefault="00D30E57" w:rsidP="000B6769">
            <w:pPr>
              <w:jc w:val="center"/>
              <w:rPr>
                <w:rFonts w:ascii="Tahoma" w:hAnsi="Tahoma" w:cs="Tahoma"/>
                <w:sz w:val="18"/>
                <w:szCs w:val="18"/>
              </w:rPr>
            </w:pPr>
            <w:r>
              <w:rPr>
                <w:rFonts w:ascii="Tahoma" w:hAnsi="Tahoma" w:cs="Tahoma"/>
                <w:sz w:val="18"/>
                <w:szCs w:val="18"/>
                <w:lang w:val="en-US"/>
              </w:rPr>
              <w:t>-</w:t>
            </w:r>
            <w:r>
              <w:rPr>
                <w:rFonts w:ascii="Tahoma" w:hAnsi="Tahoma" w:cs="Tahoma"/>
                <w:sz w:val="18"/>
                <w:szCs w:val="18"/>
              </w:rPr>
              <w:t>7,2</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354A8A" w:rsidRDefault="00D30E57" w:rsidP="000B6769">
            <w:pPr>
              <w:jc w:val="center"/>
              <w:rPr>
                <w:rFonts w:ascii="Tahoma" w:hAnsi="Tahoma" w:cs="Tahoma"/>
                <w:sz w:val="18"/>
                <w:szCs w:val="18"/>
              </w:rPr>
            </w:pPr>
            <w:r>
              <w:rPr>
                <w:rFonts w:ascii="Tahoma" w:hAnsi="Tahoma" w:cs="Tahoma"/>
                <w:sz w:val="18"/>
                <w:szCs w:val="18"/>
              </w:rPr>
              <w:t>-5,7</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354A8A" w:rsidRDefault="00D30E57" w:rsidP="000B6769">
            <w:pPr>
              <w:jc w:val="center"/>
              <w:rPr>
                <w:rFonts w:ascii="Tahoma" w:hAnsi="Tahoma" w:cs="Tahoma"/>
                <w:sz w:val="18"/>
                <w:szCs w:val="18"/>
              </w:rPr>
            </w:pPr>
            <w:r>
              <w:rPr>
                <w:rFonts w:ascii="Tahoma" w:hAnsi="Tahoma" w:cs="Tahoma"/>
                <w:sz w:val="18"/>
                <w:szCs w:val="18"/>
              </w:rPr>
              <w:t>-1,1</w:t>
            </w:r>
          </w:p>
        </w:tc>
      </w:tr>
      <w:tr w:rsidR="00D30E57" w:rsidTr="002A5D2E">
        <w:trPr>
          <w:trHeight w:hRule="exact" w:val="285"/>
          <w:jc w:val="center"/>
        </w:trPr>
        <w:tc>
          <w:tcPr>
            <w:tcW w:w="5159" w:type="dxa"/>
            <w:tcBorders>
              <w:top w:val="nil"/>
              <w:left w:val="single" w:sz="6" w:space="0" w:color="auto"/>
              <w:right w:val="single" w:sz="6" w:space="0" w:color="auto"/>
            </w:tcBorders>
            <w:noWrap/>
            <w:tcMar>
              <w:top w:w="13" w:type="dxa"/>
              <w:left w:w="200" w:type="dxa"/>
              <w:bottom w:w="0" w:type="dxa"/>
              <w:right w:w="13" w:type="dxa"/>
            </w:tcMar>
            <w:vAlign w:val="bottom"/>
          </w:tcPr>
          <w:p w:rsidR="00D30E57" w:rsidRPr="00FC66C4" w:rsidRDefault="00D30E57" w:rsidP="000B6769">
            <w:pPr>
              <w:pStyle w:val="BodyText"/>
              <w:spacing w:before="20" w:after="20" w:line="240" w:lineRule="auto"/>
              <w:rPr>
                <w:rFonts w:ascii="Tahoma" w:eastAsia="Arial Unicode MS" w:hAnsi="Tahoma" w:cs="Tahoma"/>
                <w:sz w:val="18"/>
                <w:szCs w:val="18"/>
              </w:rPr>
            </w:pPr>
            <w:r w:rsidRPr="00FC66C4">
              <w:rPr>
                <w:rFonts w:ascii="Tahoma" w:hAnsi="Tahoma" w:cs="Tahoma"/>
                <w:sz w:val="18"/>
                <w:szCs w:val="18"/>
              </w:rPr>
              <w:t>Δημόσια Κατανάλωση</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9575A3" w:rsidRDefault="00D30E57" w:rsidP="000B6769">
            <w:pPr>
              <w:jc w:val="center"/>
              <w:rPr>
                <w:rFonts w:ascii="Tahoma" w:hAnsi="Tahoma" w:cs="Tahoma"/>
                <w:sz w:val="18"/>
                <w:szCs w:val="18"/>
              </w:rPr>
            </w:pPr>
            <w:r>
              <w:rPr>
                <w:rFonts w:ascii="Tahoma" w:hAnsi="Tahoma" w:cs="Tahoma"/>
                <w:sz w:val="18"/>
                <w:szCs w:val="18"/>
                <w:lang w:val="en-US"/>
              </w:rPr>
              <w:t>-</w:t>
            </w:r>
            <w:r>
              <w:rPr>
                <w:rFonts w:ascii="Tahoma" w:hAnsi="Tahoma" w:cs="Tahoma"/>
                <w:sz w:val="18"/>
                <w:szCs w:val="18"/>
              </w:rPr>
              <w:t>7</w:t>
            </w:r>
            <w:r w:rsidRPr="00FC66C4">
              <w:rPr>
                <w:rFonts w:ascii="Tahoma" w:hAnsi="Tahoma" w:cs="Tahoma"/>
                <w:sz w:val="18"/>
                <w:szCs w:val="18"/>
              </w:rPr>
              <w:t>,</w:t>
            </w:r>
            <w:r>
              <w:rPr>
                <w:rFonts w:ascii="Tahoma" w:hAnsi="Tahoma" w:cs="Tahoma"/>
                <w:sz w:val="18"/>
                <w:szCs w:val="18"/>
              </w:rPr>
              <w:t>2</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354A8A" w:rsidRDefault="00D30E57" w:rsidP="000B6769">
            <w:pPr>
              <w:jc w:val="center"/>
              <w:rPr>
                <w:rFonts w:ascii="Tahoma" w:hAnsi="Tahoma" w:cs="Tahoma"/>
                <w:sz w:val="18"/>
                <w:szCs w:val="18"/>
              </w:rPr>
            </w:pPr>
            <w:r>
              <w:rPr>
                <w:rFonts w:ascii="Tahoma" w:hAnsi="Tahoma" w:cs="Tahoma"/>
                <w:sz w:val="18"/>
                <w:szCs w:val="18"/>
                <w:lang w:val="en-US"/>
              </w:rPr>
              <w:t>-</w:t>
            </w:r>
            <w:r>
              <w:rPr>
                <w:rFonts w:ascii="Tahoma" w:hAnsi="Tahoma" w:cs="Tahoma"/>
                <w:sz w:val="18"/>
                <w:szCs w:val="18"/>
              </w:rPr>
              <w:t>9,5</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354A8A" w:rsidRDefault="00D30E57" w:rsidP="000B6769">
            <w:pPr>
              <w:jc w:val="center"/>
              <w:rPr>
                <w:rFonts w:ascii="Tahoma" w:hAnsi="Tahoma" w:cs="Tahoma"/>
                <w:sz w:val="18"/>
                <w:szCs w:val="18"/>
              </w:rPr>
            </w:pPr>
            <w:r>
              <w:rPr>
                <w:rFonts w:ascii="Tahoma" w:hAnsi="Tahoma" w:cs="Tahoma"/>
                <w:sz w:val="18"/>
                <w:szCs w:val="18"/>
              </w:rPr>
              <w:t>-11,0</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354A8A" w:rsidRDefault="00D30E57" w:rsidP="000B6769">
            <w:pPr>
              <w:jc w:val="center"/>
              <w:rPr>
                <w:rFonts w:ascii="Tahoma" w:hAnsi="Tahoma" w:cs="Tahoma"/>
                <w:sz w:val="18"/>
                <w:szCs w:val="18"/>
              </w:rPr>
            </w:pPr>
            <w:r>
              <w:rPr>
                <w:rFonts w:ascii="Tahoma" w:hAnsi="Tahoma" w:cs="Tahoma"/>
                <w:sz w:val="18"/>
                <w:szCs w:val="18"/>
              </w:rPr>
              <w:t>-9,5</w:t>
            </w:r>
          </w:p>
        </w:tc>
      </w:tr>
      <w:tr w:rsidR="00D30E57" w:rsidTr="002A5D2E">
        <w:trPr>
          <w:trHeight w:hRule="exact" w:val="285"/>
          <w:jc w:val="center"/>
        </w:trPr>
        <w:tc>
          <w:tcPr>
            <w:tcW w:w="5159" w:type="dxa"/>
            <w:tcBorders>
              <w:top w:val="nil"/>
              <w:left w:val="single" w:sz="6" w:space="0" w:color="auto"/>
              <w:right w:val="single" w:sz="6" w:space="0" w:color="auto"/>
            </w:tcBorders>
            <w:noWrap/>
            <w:tcMar>
              <w:top w:w="13" w:type="dxa"/>
              <w:left w:w="13" w:type="dxa"/>
              <w:bottom w:w="0" w:type="dxa"/>
              <w:right w:w="13" w:type="dxa"/>
            </w:tcMar>
            <w:vAlign w:val="bottom"/>
          </w:tcPr>
          <w:p w:rsidR="00D30E57" w:rsidRPr="00FC66C4" w:rsidRDefault="00D30E57" w:rsidP="000B6769">
            <w:pPr>
              <w:pStyle w:val="BodyText"/>
              <w:spacing w:before="20" w:after="20" w:line="240" w:lineRule="auto"/>
              <w:rPr>
                <w:rFonts w:ascii="Tahoma" w:eastAsia="Arial Unicode MS" w:hAnsi="Tahoma" w:cs="Tahoma"/>
                <w:sz w:val="18"/>
                <w:szCs w:val="18"/>
              </w:rPr>
            </w:pPr>
            <w:r w:rsidRPr="00FC66C4">
              <w:rPr>
                <w:rFonts w:ascii="Tahoma" w:hAnsi="Tahoma" w:cs="Tahoma"/>
                <w:sz w:val="18"/>
                <w:szCs w:val="18"/>
              </w:rPr>
              <w:t>Ακαθάριστες Επενδύσεις Παγίου Κεφαλαίου</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354A8A" w:rsidRDefault="00D30E57" w:rsidP="000B6769">
            <w:pPr>
              <w:jc w:val="center"/>
              <w:rPr>
                <w:rFonts w:ascii="Tahoma" w:hAnsi="Tahoma" w:cs="Tahoma"/>
                <w:sz w:val="18"/>
                <w:szCs w:val="18"/>
              </w:rPr>
            </w:pPr>
            <w:r>
              <w:rPr>
                <w:rFonts w:ascii="Tahoma" w:hAnsi="Tahoma" w:cs="Tahoma"/>
                <w:sz w:val="18"/>
                <w:szCs w:val="18"/>
                <w:lang w:val="en-US"/>
              </w:rPr>
              <w:t>-</w:t>
            </w:r>
            <w:r>
              <w:rPr>
                <w:rFonts w:ascii="Tahoma" w:hAnsi="Tahoma" w:cs="Tahoma"/>
                <w:sz w:val="18"/>
                <w:szCs w:val="18"/>
              </w:rPr>
              <w:t>15</w:t>
            </w:r>
            <w:r w:rsidRPr="00FC66C4">
              <w:rPr>
                <w:rFonts w:ascii="Tahoma" w:hAnsi="Tahoma" w:cs="Tahoma"/>
                <w:sz w:val="18"/>
                <w:szCs w:val="18"/>
              </w:rPr>
              <w:t>,</w:t>
            </w:r>
            <w:r>
              <w:rPr>
                <w:rFonts w:ascii="Tahoma" w:hAnsi="Tahoma" w:cs="Tahoma"/>
                <w:sz w:val="18"/>
                <w:szCs w:val="18"/>
              </w:rPr>
              <w:t>0</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354A8A" w:rsidRDefault="00D30E57" w:rsidP="000B6769">
            <w:pPr>
              <w:jc w:val="center"/>
              <w:rPr>
                <w:rFonts w:ascii="Tahoma" w:hAnsi="Tahoma" w:cs="Tahoma"/>
                <w:sz w:val="18"/>
                <w:szCs w:val="18"/>
              </w:rPr>
            </w:pPr>
            <w:r>
              <w:rPr>
                <w:rFonts w:ascii="Tahoma" w:hAnsi="Tahoma" w:cs="Tahoma"/>
                <w:sz w:val="18"/>
                <w:szCs w:val="18"/>
                <w:lang w:val="en-US"/>
              </w:rPr>
              <w:t>-</w:t>
            </w:r>
            <w:r>
              <w:rPr>
                <w:rFonts w:ascii="Tahoma" w:hAnsi="Tahoma" w:cs="Tahoma"/>
                <w:sz w:val="18"/>
                <w:szCs w:val="18"/>
              </w:rPr>
              <w:t>17,0</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354A8A" w:rsidRDefault="00D30E57" w:rsidP="000B6769">
            <w:pPr>
              <w:jc w:val="center"/>
              <w:rPr>
                <w:rFonts w:ascii="Tahoma" w:hAnsi="Tahoma" w:cs="Tahoma"/>
                <w:sz w:val="18"/>
                <w:szCs w:val="18"/>
              </w:rPr>
            </w:pPr>
            <w:r>
              <w:rPr>
                <w:rFonts w:ascii="Tahoma" w:hAnsi="Tahoma" w:cs="Tahoma"/>
                <w:sz w:val="18"/>
                <w:szCs w:val="18"/>
              </w:rPr>
              <w:t>-6,6</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354A8A" w:rsidRDefault="00D30E57" w:rsidP="000B6769">
            <w:pPr>
              <w:jc w:val="center"/>
              <w:rPr>
                <w:rFonts w:ascii="Tahoma" w:hAnsi="Tahoma" w:cs="Tahoma"/>
                <w:sz w:val="18"/>
                <w:szCs w:val="18"/>
              </w:rPr>
            </w:pPr>
            <w:r>
              <w:rPr>
                <w:rFonts w:ascii="Tahoma" w:hAnsi="Tahoma" w:cs="Tahoma"/>
                <w:sz w:val="18"/>
                <w:szCs w:val="18"/>
              </w:rPr>
              <w:t>6,7</w:t>
            </w:r>
          </w:p>
        </w:tc>
      </w:tr>
      <w:tr w:rsidR="00D30E57" w:rsidTr="002A5D2E">
        <w:trPr>
          <w:trHeight w:hRule="exact" w:val="285"/>
          <w:jc w:val="center"/>
        </w:trPr>
        <w:tc>
          <w:tcPr>
            <w:tcW w:w="5159" w:type="dxa"/>
            <w:tcBorders>
              <w:top w:val="nil"/>
              <w:left w:val="single" w:sz="6" w:space="0" w:color="auto"/>
              <w:right w:val="single" w:sz="6" w:space="0" w:color="auto"/>
            </w:tcBorders>
            <w:noWrap/>
            <w:tcMar>
              <w:top w:w="13" w:type="dxa"/>
              <w:left w:w="13" w:type="dxa"/>
              <w:bottom w:w="0" w:type="dxa"/>
              <w:right w:w="13" w:type="dxa"/>
            </w:tcMar>
            <w:vAlign w:val="bottom"/>
          </w:tcPr>
          <w:p w:rsidR="00D30E57" w:rsidRPr="00FC66C4" w:rsidRDefault="00D30E57" w:rsidP="000B6769">
            <w:pPr>
              <w:pStyle w:val="BodyText"/>
              <w:spacing w:before="20" w:after="20" w:line="240" w:lineRule="auto"/>
              <w:rPr>
                <w:rFonts w:ascii="Tahoma" w:eastAsia="Arial Unicode MS" w:hAnsi="Tahoma" w:cs="Tahoma"/>
                <w:sz w:val="18"/>
                <w:szCs w:val="18"/>
              </w:rPr>
            </w:pPr>
            <w:r w:rsidRPr="00FC66C4">
              <w:rPr>
                <w:rFonts w:ascii="Tahoma" w:hAnsi="Tahoma" w:cs="Tahoma"/>
                <w:sz w:val="18"/>
                <w:szCs w:val="18"/>
              </w:rPr>
              <w:t>Εξαγωγές Αγαθών και Υπηρεσιών</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rPr>
              <w:t>4,2</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D7553D" w:rsidRDefault="00D30E57" w:rsidP="000B6769">
            <w:pPr>
              <w:jc w:val="center"/>
              <w:rPr>
                <w:rFonts w:ascii="Tahoma" w:hAnsi="Tahoma" w:cs="Tahoma"/>
                <w:sz w:val="18"/>
                <w:szCs w:val="18"/>
                <w:lang w:val="en-US"/>
              </w:rPr>
            </w:pPr>
            <w:r>
              <w:rPr>
                <w:rFonts w:ascii="Tahoma" w:hAnsi="Tahoma" w:cs="Tahoma"/>
                <w:sz w:val="18"/>
                <w:szCs w:val="18"/>
              </w:rPr>
              <w:t>3,0</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613DDA" w:rsidRDefault="00D30E57" w:rsidP="000B6769">
            <w:pPr>
              <w:jc w:val="center"/>
              <w:rPr>
                <w:rFonts w:ascii="Tahoma" w:hAnsi="Tahoma" w:cs="Tahoma"/>
                <w:sz w:val="18"/>
                <w:szCs w:val="18"/>
              </w:rPr>
            </w:pPr>
            <w:r>
              <w:rPr>
                <w:rFonts w:ascii="Tahoma" w:hAnsi="Tahoma" w:cs="Tahoma"/>
                <w:sz w:val="18"/>
                <w:szCs w:val="18"/>
              </w:rPr>
              <w:t>3,2</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613DDA" w:rsidRDefault="00D30E57" w:rsidP="000B6769">
            <w:pPr>
              <w:jc w:val="center"/>
              <w:rPr>
                <w:rFonts w:ascii="Tahoma" w:hAnsi="Tahoma" w:cs="Tahoma"/>
                <w:sz w:val="18"/>
                <w:szCs w:val="18"/>
              </w:rPr>
            </w:pPr>
            <w:r>
              <w:rPr>
                <w:rFonts w:ascii="Tahoma" w:hAnsi="Tahoma" w:cs="Tahoma"/>
                <w:sz w:val="18"/>
                <w:szCs w:val="18"/>
              </w:rPr>
              <w:t>5,5</w:t>
            </w:r>
          </w:p>
        </w:tc>
      </w:tr>
      <w:tr w:rsidR="00D30E57" w:rsidTr="002A5D2E">
        <w:trPr>
          <w:trHeight w:hRule="exact" w:val="285"/>
          <w:jc w:val="center"/>
        </w:trPr>
        <w:tc>
          <w:tcPr>
            <w:tcW w:w="5159" w:type="dxa"/>
            <w:tcBorders>
              <w:top w:val="nil"/>
              <w:left w:val="single" w:sz="6" w:space="0" w:color="auto"/>
              <w:right w:val="single" w:sz="6" w:space="0" w:color="auto"/>
            </w:tcBorders>
            <w:noWrap/>
            <w:tcMar>
              <w:top w:w="13" w:type="dxa"/>
              <w:left w:w="13" w:type="dxa"/>
              <w:bottom w:w="0" w:type="dxa"/>
              <w:right w:w="13" w:type="dxa"/>
            </w:tcMar>
            <w:vAlign w:val="bottom"/>
          </w:tcPr>
          <w:p w:rsidR="00D30E57" w:rsidRPr="00FC66C4" w:rsidRDefault="00D30E57" w:rsidP="000B6769">
            <w:pPr>
              <w:pStyle w:val="BodyText"/>
              <w:spacing w:before="20" w:after="20" w:line="240" w:lineRule="auto"/>
              <w:rPr>
                <w:rFonts w:ascii="Tahoma" w:eastAsia="Arial Unicode MS" w:hAnsi="Tahoma" w:cs="Tahoma"/>
                <w:sz w:val="18"/>
                <w:szCs w:val="18"/>
              </w:rPr>
            </w:pPr>
            <w:r w:rsidRPr="00FC66C4">
              <w:rPr>
                <w:rFonts w:ascii="Tahoma" w:hAnsi="Tahoma" w:cs="Tahoma"/>
                <w:sz w:val="18"/>
                <w:szCs w:val="18"/>
              </w:rPr>
              <w:t>Εισαγωγές Αγαθών και Υπηρεσιών</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lang w:val="en-US"/>
              </w:rPr>
              <w:t>-</w:t>
            </w:r>
            <w:r>
              <w:rPr>
                <w:rFonts w:ascii="Tahoma" w:hAnsi="Tahoma" w:cs="Tahoma"/>
                <w:sz w:val="18"/>
                <w:szCs w:val="18"/>
              </w:rPr>
              <w:t>7,2</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lang w:val="en-US"/>
              </w:rPr>
              <w:t>-</w:t>
            </w:r>
            <w:r>
              <w:rPr>
                <w:rFonts w:ascii="Tahoma" w:hAnsi="Tahoma" w:cs="Tahoma"/>
                <w:sz w:val="18"/>
                <w:szCs w:val="18"/>
              </w:rPr>
              <w:t>7,0</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rPr>
              <w:t>-5,1</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rPr>
              <w:t>0,0</w:t>
            </w:r>
          </w:p>
        </w:tc>
      </w:tr>
      <w:tr w:rsidR="00D30E57" w:rsidTr="002A5D2E">
        <w:trPr>
          <w:trHeight w:hRule="exact" w:val="285"/>
          <w:jc w:val="center"/>
        </w:trPr>
        <w:tc>
          <w:tcPr>
            <w:tcW w:w="5159" w:type="dxa"/>
            <w:tcBorders>
              <w:top w:val="nil"/>
              <w:left w:val="single" w:sz="6" w:space="0" w:color="auto"/>
              <w:right w:val="single" w:sz="6" w:space="0" w:color="auto"/>
            </w:tcBorders>
            <w:noWrap/>
            <w:tcMar>
              <w:top w:w="13" w:type="dxa"/>
              <w:left w:w="13" w:type="dxa"/>
              <w:bottom w:w="0" w:type="dxa"/>
              <w:right w:w="13" w:type="dxa"/>
            </w:tcMar>
            <w:vAlign w:val="bottom"/>
          </w:tcPr>
          <w:p w:rsidR="00D30E57" w:rsidRPr="00FC66C4" w:rsidRDefault="00D30E57" w:rsidP="000B6769">
            <w:pPr>
              <w:pStyle w:val="BodyText"/>
              <w:spacing w:before="20" w:after="20" w:line="240" w:lineRule="auto"/>
              <w:rPr>
                <w:rFonts w:ascii="Tahoma" w:eastAsia="Arial Unicode MS" w:hAnsi="Tahoma" w:cs="Tahoma"/>
                <w:sz w:val="18"/>
                <w:szCs w:val="18"/>
              </w:rPr>
            </w:pPr>
            <w:r w:rsidRPr="00FC66C4">
              <w:rPr>
                <w:rFonts w:ascii="Tahoma" w:hAnsi="Tahoma" w:cs="Tahoma"/>
                <w:sz w:val="18"/>
                <w:szCs w:val="18"/>
              </w:rPr>
              <w:t>Απασχόληση</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rPr>
              <w:t>-1,9</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rPr>
              <w:t>-6,3</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rPr>
              <w:t>-4,8</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rPr>
              <w:t>-0,2</w:t>
            </w:r>
          </w:p>
        </w:tc>
      </w:tr>
      <w:tr w:rsidR="00D30E57" w:rsidTr="002A5D2E">
        <w:trPr>
          <w:trHeight w:hRule="exact" w:val="285"/>
          <w:jc w:val="center"/>
        </w:trPr>
        <w:tc>
          <w:tcPr>
            <w:tcW w:w="5159" w:type="dxa"/>
            <w:tcBorders>
              <w:top w:val="nil"/>
              <w:left w:val="single" w:sz="6" w:space="0" w:color="auto"/>
              <w:right w:val="single" w:sz="6" w:space="0" w:color="auto"/>
            </w:tcBorders>
            <w:noWrap/>
            <w:tcMar>
              <w:top w:w="13" w:type="dxa"/>
              <w:left w:w="13" w:type="dxa"/>
              <w:bottom w:w="0" w:type="dxa"/>
              <w:right w:w="13" w:type="dxa"/>
            </w:tcMar>
            <w:vAlign w:val="bottom"/>
          </w:tcPr>
          <w:p w:rsidR="00D30E57" w:rsidRPr="00FC66C4" w:rsidRDefault="00D30E57" w:rsidP="000B6769">
            <w:pPr>
              <w:pStyle w:val="BodyText"/>
              <w:spacing w:before="20" w:after="20" w:line="240" w:lineRule="auto"/>
              <w:rPr>
                <w:rFonts w:ascii="Tahoma" w:eastAsia="Arial Unicode MS" w:hAnsi="Tahoma" w:cs="Tahoma"/>
                <w:sz w:val="18"/>
                <w:szCs w:val="18"/>
              </w:rPr>
            </w:pPr>
            <w:r w:rsidRPr="00FC66C4">
              <w:rPr>
                <w:rFonts w:ascii="Tahoma" w:hAnsi="Tahoma" w:cs="Tahoma"/>
                <w:sz w:val="18"/>
                <w:szCs w:val="18"/>
              </w:rPr>
              <w:t>Αποδοχές Εργαζομένων κατά Κεφαλή</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Default="00D30E57" w:rsidP="000B6769">
            <w:pPr>
              <w:jc w:val="center"/>
              <w:rPr>
                <w:rFonts w:ascii="Tahoma" w:hAnsi="Tahoma" w:cs="Tahoma"/>
                <w:sz w:val="18"/>
                <w:szCs w:val="18"/>
              </w:rPr>
            </w:pPr>
            <w:r>
              <w:rPr>
                <w:rFonts w:ascii="Tahoma" w:hAnsi="Tahoma" w:cs="Tahoma"/>
                <w:sz w:val="18"/>
                <w:szCs w:val="18"/>
              </w:rPr>
              <w:t>-3,3</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Default="00D30E57" w:rsidP="000B6769">
            <w:pPr>
              <w:jc w:val="center"/>
              <w:rPr>
                <w:rFonts w:ascii="Tahoma" w:hAnsi="Tahoma" w:cs="Tahoma"/>
                <w:sz w:val="18"/>
                <w:szCs w:val="18"/>
              </w:rPr>
            </w:pPr>
            <w:r>
              <w:rPr>
                <w:rFonts w:ascii="Tahoma" w:hAnsi="Tahoma" w:cs="Tahoma"/>
                <w:sz w:val="18"/>
                <w:szCs w:val="18"/>
              </w:rPr>
              <w:t>-2,7</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Default="00D30E57" w:rsidP="000B6769">
            <w:pPr>
              <w:jc w:val="center"/>
              <w:rPr>
                <w:rFonts w:ascii="Tahoma" w:hAnsi="Tahoma" w:cs="Tahoma"/>
                <w:sz w:val="18"/>
                <w:szCs w:val="18"/>
              </w:rPr>
            </w:pPr>
            <w:r>
              <w:rPr>
                <w:rFonts w:ascii="Tahoma" w:hAnsi="Tahoma" w:cs="Tahoma"/>
                <w:sz w:val="18"/>
                <w:szCs w:val="18"/>
              </w:rPr>
              <w:t>-8,0</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Default="00D30E57" w:rsidP="000B6769">
            <w:pPr>
              <w:jc w:val="center"/>
              <w:rPr>
                <w:rFonts w:ascii="Tahoma" w:hAnsi="Tahoma" w:cs="Tahoma"/>
                <w:sz w:val="18"/>
                <w:szCs w:val="18"/>
              </w:rPr>
            </w:pPr>
            <w:r>
              <w:rPr>
                <w:rFonts w:ascii="Tahoma" w:hAnsi="Tahoma" w:cs="Tahoma"/>
                <w:sz w:val="18"/>
                <w:szCs w:val="18"/>
              </w:rPr>
              <w:t>-1,3</w:t>
            </w:r>
          </w:p>
        </w:tc>
      </w:tr>
      <w:tr w:rsidR="00D30E57" w:rsidTr="002A5D2E">
        <w:trPr>
          <w:trHeight w:hRule="exact" w:val="285"/>
          <w:jc w:val="center"/>
        </w:trPr>
        <w:tc>
          <w:tcPr>
            <w:tcW w:w="5159" w:type="dxa"/>
            <w:tcBorders>
              <w:top w:val="nil"/>
              <w:left w:val="single" w:sz="6" w:space="0" w:color="auto"/>
              <w:right w:val="single" w:sz="6" w:space="0" w:color="auto"/>
            </w:tcBorders>
            <w:noWrap/>
            <w:tcMar>
              <w:top w:w="13" w:type="dxa"/>
              <w:left w:w="13" w:type="dxa"/>
              <w:bottom w:w="0" w:type="dxa"/>
              <w:right w:w="13" w:type="dxa"/>
            </w:tcMar>
            <w:vAlign w:val="bottom"/>
          </w:tcPr>
          <w:p w:rsidR="00D30E57" w:rsidRPr="00C9060A" w:rsidRDefault="00D30E57" w:rsidP="000B6769">
            <w:pPr>
              <w:spacing w:before="20" w:after="20"/>
              <w:rPr>
                <w:rFonts w:ascii="Tahoma" w:eastAsia="Arial Unicode MS" w:hAnsi="Tahoma" w:cs="Tahoma"/>
                <w:sz w:val="18"/>
                <w:szCs w:val="18"/>
              </w:rPr>
            </w:pPr>
            <w:r w:rsidRPr="00FC66C4">
              <w:rPr>
                <w:rFonts w:ascii="Tahoma" w:hAnsi="Tahoma" w:cs="Tahoma"/>
                <w:sz w:val="18"/>
                <w:szCs w:val="18"/>
              </w:rPr>
              <w:t>Μοναδιαίο Κόστος Εργασίας</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Default="00D30E57" w:rsidP="000B6769">
            <w:pPr>
              <w:jc w:val="center"/>
              <w:rPr>
                <w:rFonts w:ascii="Tahoma" w:hAnsi="Tahoma" w:cs="Tahoma"/>
                <w:sz w:val="18"/>
                <w:szCs w:val="18"/>
              </w:rPr>
            </w:pPr>
            <w:r>
              <w:rPr>
                <w:rFonts w:ascii="Tahoma" w:hAnsi="Tahoma" w:cs="Tahoma"/>
                <w:sz w:val="18"/>
                <w:szCs w:val="18"/>
              </w:rPr>
              <w:t>-1,6</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Default="00D30E57" w:rsidP="000B6769">
            <w:pPr>
              <w:jc w:val="center"/>
              <w:rPr>
                <w:rFonts w:ascii="Tahoma" w:hAnsi="Tahoma" w:cs="Tahoma"/>
                <w:sz w:val="18"/>
                <w:szCs w:val="18"/>
              </w:rPr>
            </w:pPr>
            <w:r>
              <w:rPr>
                <w:rFonts w:ascii="Tahoma" w:hAnsi="Tahoma" w:cs="Tahoma"/>
                <w:sz w:val="18"/>
                <w:szCs w:val="18"/>
              </w:rPr>
              <w:t>-1,0</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Default="00D30E57" w:rsidP="000B6769">
            <w:pPr>
              <w:jc w:val="center"/>
              <w:rPr>
                <w:rFonts w:ascii="Tahoma" w:hAnsi="Tahoma" w:cs="Tahoma"/>
                <w:sz w:val="18"/>
                <w:szCs w:val="18"/>
              </w:rPr>
            </w:pPr>
            <w:r>
              <w:rPr>
                <w:rFonts w:ascii="Tahoma" w:hAnsi="Tahoma" w:cs="Tahoma"/>
                <w:sz w:val="18"/>
                <w:szCs w:val="18"/>
              </w:rPr>
              <w:t>-7,8</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Default="00D30E57" w:rsidP="000B6769">
            <w:pPr>
              <w:jc w:val="center"/>
              <w:rPr>
                <w:rFonts w:ascii="Tahoma" w:hAnsi="Tahoma" w:cs="Tahoma"/>
                <w:sz w:val="18"/>
                <w:szCs w:val="18"/>
              </w:rPr>
            </w:pPr>
            <w:r>
              <w:rPr>
                <w:rFonts w:ascii="Tahoma" w:hAnsi="Tahoma" w:cs="Tahoma"/>
                <w:sz w:val="18"/>
                <w:szCs w:val="18"/>
              </w:rPr>
              <w:t>-1,3</w:t>
            </w:r>
          </w:p>
        </w:tc>
      </w:tr>
      <w:tr w:rsidR="00D30E57" w:rsidTr="002A5D2E">
        <w:trPr>
          <w:trHeight w:hRule="exact" w:val="285"/>
          <w:jc w:val="center"/>
        </w:trPr>
        <w:tc>
          <w:tcPr>
            <w:tcW w:w="5159" w:type="dxa"/>
            <w:tcBorders>
              <w:top w:val="nil"/>
              <w:left w:val="single" w:sz="6" w:space="0" w:color="auto"/>
              <w:bottom w:val="single" w:sz="4" w:space="0" w:color="auto"/>
              <w:right w:val="single" w:sz="6" w:space="0" w:color="auto"/>
            </w:tcBorders>
            <w:noWrap/>
            <w:tcMar>
              <w:top w:w="13" w:type="dxa"/>
              <w:left w:w="13" w:type="dxa"/>
              <w:bottom w:w="0" w:type="dxa"/>
              <w:right w:w="13" w:type="dxa"/>
            </w:tcMar>
            <w:vAlign w:val="bottom"/>
          </w:tcPr>
          <w:p w:rsidR="00D30E57" w:rsidRPr="00FC66C4" w:rsidRDefault="00D30E57" w:rsidP="000B6769">
            <w:pPr>
              <w:pStyle w:val="BodyText"/>
              <w:spacing w:before="20" w:after="20" w:line="240" w:lineRule="auto"/>
              <w:rPr>
                <w:rFonts w:ascii="Tahoma" w:eastAsia="Arial Unicode MS" w:hAnsi="Tahoma" w:cs="Tahoma"/>
                <w:sz w:val="18"/>
                <w:szCs w:val="18"/>
              </w:rPr>
            </w:pPr>
            <w:r w:rsidRPr="00FC66C4">
              <w:rPr>
                <w:rFonts w:ascii="Tahoma" w:hAnsi="Tahoma" w:cs="Tahoma"/>
                <w:sz w:val="18"/>
                <w:szCs w:val="18"/>
              </w:rPr>
              <w:t>Εναρμονισμένος Δείκτης Τιμών Καταναλωτή</w:t>
            </w:r>
          </w:p>
        </w:tc>
        <w:tc>
          <w:tcPr>
            <w:tcW w:w="993" w:type="dxa"/>
            <w:tcBorders>
              <w:top w:val="nil"/>
              <w:left w:val="single" w:sz="6" w:space="0" w:color="auto"/>
              <w:bottom w:val="single" w:sz="4" w:space="0" w:color="auto"/>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rPr>
              <w:t>4,7</w:t>
            </w:r>
          </w:p>
        </w:tc>
        <w:tc>
          <w:tcPr>
            <w:tcW w:w="993" w:type="dxa"/>
            <w:tcBorders>
              <w:top w:val="nil"/>
              <w:left w:val="single" w:sz="6" w:space="0" w:color="auto"/>
              <w:bottom w:val="single" w:sz="4" w:space="0" w:color="auto"/>
              <w:right w:val="single" w:sz="6" w:space="0" w:color="auto"/>
            </w:tcBorders>
            <w:noWrap/>
            <w:tcMar>
              <w:top w:w="13" w:type="dxa"/>
              <w:left w:w="13" w:type="dxa"/>
              <w:bottom w:w="0" w:type="dxa"/>
              <w:right w:w="13" w:type="dxa"/>
            </w:tcMar>
            <w:vAlign w:val="center"/>
          </w:tcPr>
          <w:p w:rsidR="00D30E57" w:rsidRPr="00D7553D" w:rsidRDefault="00D30E57" w:rsidP="000B6769">
            <w:pPr>
              <w:jc w:val="center"/>
              <w:rPr>
                <w:rFonts w:ascii="Tahoma" w:hAnsi="Tahoma" w:cs="Tahoma"/>
                <w:sz w:val="18"/>
                <w:szCs w:val="18"/>
                <w:lang w:val="en-US"/>
              </w:rPr>
            </w:pPr>
            <w:r>
              <w:rPr>
                <w:rFonts w:ascii="Tahoma" w:hAnsi="Tahoma" w:cs="Tahoma"/>
                <w:sz w:val="18"/>
                <w:szCs w:val="18"/>
              </w:rPr>
              <w:t>3,1</w:t>
            </w:r>
          </w:p>
        </w:tc>
        <w:tc>
          <w:tcPr>
            <w:tcW w:w="993" w:type="dxa"/>
            <w:tcBorders>
              <w:top w:val="nil"/>
              <w:left w:val="single" w:sz="6" w:space="0" w:color="auto"/>
              <w:bottom w:val="single" w:sz="4" w:space="0" w:color="auto"/>
              <w:right w:val="single" w:sz="6" w:space="0" w:color="auto"/>
            </w:tcBorders>
            <w:noWrap/>
            <w:tcMar>
              <w:top w:w="13" w:type="dxa"/>
              <w:left w:w="13" w:type="dxa"/>
              <w:bottom w:w="0" w:type="dxa"/>
              <w:right w:w="13" w:type="dxa"/>
            </w:tcMar>
            <w:vAlign w:val="center"/>
          </w:tcPr>
          <w:p w:rsidR="00D30E57" w:rsidRPr="00B865D3" w:rsidRDefault="00D30E57" w:rsidP="000B6769">
            <w:pPr>
              <w:jc w:val="center"/>
              <w:rPr>
                <w:rFonts w:ascii="Tahoma" w:hAnsi="Tahoma" w:cs="Tahoma"/>
                <w:sz w:val="18"/>
                <w:szCs w:val="18"/>
              </w:rPr>
            </w:pPr>
            <w:r>
              <w:rPr>
                <w:rFonts w:ascii="Tahoma" w:hAnsi="Tahoma" w:cs="Tahoma"/>
                <w:sz w:val="18"/>
                <w:szCs w:val="18"/>
              </w:rPr>
              <w:t>-0,5</w:t>
            </w:r>
          </w:p>
        </w:tc>
        <w:tc>
          <w:tcPr>
            <w:tcW w:w="993" w:type="dxa"/>
            <w:tcBorders>
              <w:top w:val="nil"/>
              <w:left w:val="single" w:sz="6" w:space="0" w:color="auto"/>
              <w:bottom w:val="single" w:sz="4" w:space="0" w:color="auto"/>
              <w:right w:val="single" w:sz="6" w:space="0" w:color="auto"/>
            </w:tcBorders>
            <w:noWrap/>
            <w:tcMar>
              <w:top w:w="13" w:type="dxa"/>
              <w:left w:w="13" w:type="dxa"/>
              <w:bottom w:w="0" w:type="dxa"/>
              <w:right w:w="13" w:type="dxa"/>
            </w:tcMar>
            <w:vAlign w:val="center"/>
          </w:tcPr>
          <w:p w:rsidR="00D30E57" w:rsidRPr="00B865D3" w:rsidRDefault="00D30E57" w:rsidP="000B6769">
            <w:pPr>
              <w:jc w:val="center"/>
              <w:rPr>
                <w:rFonts w:ascii="Tahoma" w:hAnsi="Tahoma" w:cs="Tahoma"/>
                <w:sz w:val="18"/>
                <w:szCs w:val="18"/>
              </w:rPr>
            </w:pPr>
            <w:r>
              <w:rPr>
                <w:rFonts w:ascii="Tahoma" w:hAnsi="Tahoma" w:cs="Tahoma"/>
                <w:sz w:val="18"/>
                <w:szCs w:val="18"/>
              </w:rPr>
              <w:t>-0,3</w:t>
            </w:r>
          </w:p>
        </w:tc>
      </w:tr>
      <w:tr w:rsidR="00D30E57" w:rsidTr="002A5D2E">
        <w:trPr>
          <w:trHeight w:hRule="exact" w:val="245"/>
          <w:jc w:val="center"/>
        </w:trPr>
        <w:tc>
          <w:tcPr>
            <w:tcW w:w="9133" w:type="dxa"/>
            <w:gridSpan w:val="5"/>
            <w:tcBorders>
              <w:top w:val="single" w:sz="4" w:space="0" w:color="auto"/>
              <w:left w:val="single" w:sz="6" w:space="0" w:color="auto"/>
              <w:bottom w:val="single" w:sz="2" w:space="0" w:color="000000"/>
              <w:right w:val="single" w:sz="6" w:space="0" w:color="auto"/>
            </w:tcBorders>
            <w:noWrap/>
            <w:tcMar>
              <w:top w:w="13" w:type="dxa"/>
              <w:left w:w="13" w:type="dxa"/>
              <w:bottom w:w="0" w:type="dxa"/>
              <w:right w:w="13" w:type="dxa"/>
            </w:tcMar>
            <w:vAlign w:val="center"/>
          </w:tcPr>
          <w:p w:rsidR="00D30E57" w:rsidRPr="00FC66C4" w:rsidRDefault="00D30E57" w:rsidP="000B6769">
            <w:pPr>
              <w:pStyle w:val="BodyText"/>
              <w:spacing w:line="240" w:lineRule="auto"/>
              <w:jc w:val="center"/>
              <w:rPr>
                <w:rFonts w:ascii="Tahoma" w:eastAsia="Arial Unicode MS" w:hAnsi="Tahoma" w:cs="Tahoma"/>
                <w:bCs/>
                <w:i/>
                <w:sz w:val="18"/>
                <w:szCs w:val="18"/>
              </w:rPr>
            </w:pPr>
            <w:r w:rsidRPr="00FC66C4">
              <w:rPr>
                <w:rFonts w:ascii="Tahoma" w:hAnsi="Tahoma" w:cs="Tahoma"/>
                <w:bCs/>
                <w:i/>
                <w:sz w:val="18"/>
                <w:szCs w:val="18"/>
              </w:rPr>
              <w:t>Συμβολή στη μεταβολή του πραγματικού ΑΕΠ</w:t>
            </w:r>
          </w:p>
        </w:tc>
      </w:tr>
      <w:tr w:rsidR="00D30E57" w:rsidTr="002A5D2E">
        <w:trPr>
          <w:trHeight w:hRule="exact" w:val="285"/>
          <w:jc w:val="center"/>
        </w:trPr>
        <w:tc>
          <w:tcPr>
            <w:tcW w:w="5159" w:type="dxa"/>
            <w:tcBorders>
              <w:top w:val="single" w:sz="2" w:space="0" w:color="000000"/>
              <w:left w:val="single" w:sz="6" w:space="0" w:color="auto"/>
              <w:right w:val="single" w:sz="6" w:space="0" w:color="auto"/>
            </w:tcBorders>
            <w:noWrap/>
            <w:tcMar>
              <w:top w:w="13" w:type="dxa"/>
              <w:left w:w="13" w:type="dxa"/>
              <w:bottom w:w="0" w:type="dxa"/>
              <w:right w:w="13" w:type="dxa"/>
            </w:tcMar>
            <w:vAlign w:val="bottom"/>
          </w:tcPr>
          <w:p w:rsidR="00D30E57" w:rsidRPr="00C17A36" w:rsidRDefault="00D30E57" w:rsidP="000B6769">
            <w:pPr>
              <w:pStyle w:val="BodyText"/>
              <w:spacing w:before="20" w:after="20" w:line="240" w:lineRule="auto"/>
              <w:rPr>
                <w:rFonts w:ascii="Tahoma" w:eastAsia="Arial Unicode MS" w:hAnsi="Tahoma" w:cs="Tahoma"/>
                <w:sz w:val="18"/>
                <w:szCs w:val="18"/>
              </w:rPr>
            </w:pPr>
            <w:r>
              <w:rPr>
                <w:rFonts w:ascii="Tahoma" w:hAnsi="Tahoma" w:cs="Tahoma"/>
                <w:sz w:val="18"/>
                <w:szCs w:val="18"/>
              </w:rPr>
              <w:t xml:space="preserve">Τελική </w:t>
            </w:r>
            <w:r w:rsidRPr="00C17A36">
              <w:rPr>
                <w:rFonts w:ascii="Tahoma" w:hAnsi="Tahoma" w:cs="Tahoma"/>
                <w:sz w:val="18"/>
                <w:szCs w:val="18"/>
              </w:rPr>
              <w:t>Εγχώρια Ζήτηση</w:t>
            </w:r>
          </w:p>
        </w:tc>
        <w:tc>
          <w:tcPr>
            <w:tcW w:w="993" w:type="dxa"/>
            <w:tcBorders>
              <w:top w:val="single" w:sz="2" w:space="0" w:color="000000"/>
              <w:left w:val="single" w:sz="6" w:space="0" w:color="auto"/>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lang w:val="en-US"/>
              </w:rPr>
              <w:t>-</w:t>
            </w:r>
            <w:r>
              <w:rPr>
                <w:rFonts w:ascii="Tahoma" w:hAnsi="Tahoma" w:cs="Tahoma"/>
                <w:sz w:val="18"/>
                <w:szCs w:val="18"/>
              </w:rPr>
              <w:t>7</w:t>
            </w:r>
            <w:r w:rsidRPr="00984CC8">
              <w:rPr>
                <w:rFonts w:ascii="Tahoma" w:hAnsi="Tahoma" w:cs="Tahoma"/>
                <w:sz w:val="18"/>
                <w:szCs w:val="18"/>
              </w:rPr>
              <w:t>,</w:t>
            </w:r>
            <w:r>
              <w:rPr>
                <w:rFonts w:ascii="Tahoma" w:hAnsi="Tahoma" w:cs="Tahoma"/>
                <w:sz w:val="18"/>
                <w:szCs w:val="18"/>
              </w:rPr>
              <w:t>0</w:t>
            </w:r>
          </w:p>
        </w:tc>
        <w:tc>
          <w:tcPr>
            <w:tcW w:w="993" w:type="dxa"/>
            <w:tcBorders>
              <w:top w:val="single" w:sz="2" w:space="0" w:color="000000"/>
              <w:left w:val="single" w:sz="6" w:space="0" w:color="auto"/>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lang w:val="en-US"/>
              </w:rPr>
              <w:t>-</w:t>
            </w:r>
            <w:r>
              <w:rPr>
                <w:rFonts w:ascii="Tahoma" w:hAnsi="Tahoma" w:cs="Tahoma"/>
                <w:sz w:val="18"/>
                <w:szCs w:val="18"/>
              </w:rPr>
              <w:t>10</w:t>
            </w:r>
            <w:r w:rsidRPr="00984CC8">
              <w:rPr>
                <w:rFonts w:ascii="Tahoma" w:hAnsi="Tahoma" w:cs="Tahoma"/>
                <w:sz w:val="18"/>
                <w:szCs w:val="18"/>
              </w:rPr>
              <w:t>,</w:t>
            </w:r>
            <w:r>
              <w:rPr>
                <w:rFonts w:ascii="Tahoma" w:hAnsi="Tahoma" w:cs="Tahoma"/>
                <w:sz w:val="18"/>
                <w:szCs w:val="18"/>
              </w:rPr>
              <w:t>0</w:t>
            </w:r>
          </w:p>
        </w:tc>
        <w:tc>
          <w:tcPr>
            <w:tcW w:w="993" w:type="dxa"/>
            <w:tcBorders>
              <w:top w:val="single" w:sz="2" w:space="0" w:color="000000"/>
              <w:left w:val="single" w:sz="6" w:space="0" w:color="auto"/>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rPr>
              <w:t>-7,2</w:t>
            </w:r>
          </w:p>
        </w:tc>
        <w:tc>
          <w:tcPr>
            <w:tcW w:w="993" w:type="dxa"/>
            <w:tcBorders>
              <w:top w:val="single" w:sz="2" w:space="0" w:color="000000"/>
              <w:left w:val="single" w:sz="6" w:space="0" w:color="auto"/>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rPr>
              <w:t>-1,4</w:t>
            </w:r>
          </w:p>
        </w:tc>
      </w:tr>
      <w:tr w:rsidR="00D30E57" w:rsidTr="002A5D2E">
        <w:trPr>
          <w:trHeight w:hRule="exact" w:val="285"/>
          <w:jc w:val="center"/>
        </w:trPr>
        <w:tc>
          <w:tcPr>
            <w:tcW w:w="5159" w:type="dxa"/>
            <w:tcBorders>
              <w:left w:val="single" w:sz="6" w:space="0" w:color="auto"/>
              <w:right w:val="single" w:sz="6" w:space="0" w:color="auto"/>
            </w:tcBorders>
            <w:noWrap/>
            <w:tcMar>
              <w:top w:w="13" w:type="dxa"/>
              <w:left w:w="13" w:type="dxa"/>
              <w:bottom w:w="0" w:type="dxa"/>
              <w:right w:w="13" w:type="dxa"/>
            </w:tcMar>
            <w:vAlign w:val="bottom"/>
          </w:tcPr>
          <w:p w:rsidR="00D30E57" w:rsidRPr="00C17A36" w:rsidRDefault="00D30E57" w:rsidP="000B6769">
            <w:pPr>
              <w:pStyle w:val="BodyText"/>
              <w:spacing w:before="20" w:after="20" w:line="240" w:lineRule="auto"/>
              <w:rPr>
                <w:rFonts w:ascii="Tahoma" w:hAnsi="Tahoma" w:cs="Tahoma"/>
                <w:sz w:val="18"/>
                <w:szCs w:val="18"/>
              </w:rPr>
            </w:pPr>
            <w:r w:rsidRPr="00C17A36">
              <w:rPr>
                <w:rFonts w:ascii="Tahoma" w:hAnsi="Tahoma" w:cs="Tahoma"/>
                <w:sz w:val="18"/>
                <w:szCs w:val="18"/>
              </w:rPr>
              <w:t>Καθαρές Εξαγωγές</w:t>
            </w:r>
          </w:p>
        </w:tc>
        <w:tc>
          <w:tcPr>
            <w:tcW w:w="993" w:type="dxa"/>
            <w:tcBorders>
              <w:left w:val="single" w:sz="6" w:space="0" w:color="auto"/>
              <w:right w:val="single" w:sz="6" w:space="0" w:color="auto"/>
            </w:tcBorders>
            <w:noWrap/>
            <w:tcMar>
              <w:top w:w="13" w:type="dxa"/>
              <w:left w:w="13" w:type="dxa"/>
              <w:bottom w:w="0" w:type="dxa"/>
              <w:right w:w="13" w:type="dxa"/>
            </w:tcMar>
            <w:vAlign w:val="center"/>
          </w:tcPr>
          <w:p w:rsidR="00D30E57" w:rsidRPr="009575A3" w:rsidRDefault="00D30E57" w:rsidP="000B6769">
            <w:pPr>
              <w:jc w:val="center"/>
              <w:rPr>
                <w:rFonts w:ascii="Tahoma" w:hAnsi="Tahoma" w:cs="Tahoma"/>
                <w:sz w:val="18"/>
                <w:szCs w:val="18"/>
              </w:rPr>
            </w:pPr>
            <w:r>
              <w:rPr>
                <w:rFonts w:ascii="Tahoma" w:hAnsi="Tahoma" w:cs="Tahoma"/>
                <w:sz w:val="18"/>
                <w:szCs w:val="18"/>
              </w:rPr>
              <w:t>3,1</w:t>
            </w:r>
          </w:p>
        </w:tc>
        <w:tc>
          <w:tcPr>
            <w:tcW w:w="993" w:type="dxa"/>
            <w:tcBorders>
              <w:left w:val="single" w:sz="6" w:space="0" w:color="auto"/>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rPr>
              <w:t>2</w:t>
            </w:r>
            <w:r w:rsidRPr="00984CC8">
              <w:rPr>
                <w:rFonts w:ascii="Tahoma" w:hAnsi="Tahoma" w:cs="Tahoma"/>
                <w:sz w:val="18"/>
                <w:szCs w:val="18"/>
              </w:rPr>
              <w:t>,</w:t>
            </w:r>
            <w:r>
              <w:rPr>
                <w:rFonts w:ascii="Tahoma" w:hAnsi="Tahoma" w:cs="Tahoma"/>
                <w:sz w:val="18"/>
                <w:szCs w:val="18"/>
              </w:rPr>
              <w:t>8</w:t>
            </w:r>
          </w:p>
        </w:tc>
        <w:tc>
          <w:tcPr>
            <w:tcW w:w="993" w:type="dxa"/>
            <w:tcBorders>
              <w:left w:val="single" w:sz="6" w:space="0" w:color="auto"/>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rPr>
              <w:t>2,3</w:t>
            </w:r>
          </w:p>
        </w:tc>
        <w:tc>
          <w:tcPr>
            <w:tcW w:w="993" w:type="dxa"/>
            <w:tcBorders>
              <w:left w:val="single" w:sz="6" w:space="0" w:color="auto"/>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rPr>
              <w:t>1,4</w:t>
            </w:r>
          </w:p>
        </w:tc>
      </w:tr>
      <w:tr w:rsidR="00D30E57" w:rsidTr="002A5D2E">
        <w:trPr>
          <w:trHeight w:hRule="exact" w:val="285"/>
          <w:jc w:val="center"/>
        </w:trPr>
        <w:tc>
          <w:tcPr>
            <w:tcW w:w="5159" w:type="dxa"/>
            <w:tcBorders>
              <w:top w:val="nil"/>
              <w:left w:val="single" w:sz="6" w:space="0" w:color="auto"/>
              <w:right w:val="single" w:sz="6" w:space="0" w:color="auto"/>
            </w:tcBorders>
            <w:noWrap/>
            <w:tcMar>
              <w:top w:w="13" w:type="dxa"/>
              <w:left w:w="13" w:type="dxa"/>
              <w:bottom w:w="0" w:type="dxa"/>
              <w:right w:w="13" w:type="dxa"/>
            </w:tcMar>
            <w:vAlign w:val="bottom"/>
          </w:tcPr>
          <w:p w:rsidR="00D30E57" w:rsidRPr="00C17A36" w:rsidRDefault="00D30E57" w:rsidP="000B6769">
            <w:pPr>
              <w:pStyle w:val="BodyText"/>
              <w:spacing w:before="20" w:after="20" w:line="240" w:lineRule="auto"/>
              <w:rPr>
                <w:rFonts w:ascii="Tahoma" w:eastAsia="Arial Unicode MS" w:hAnsi="Tahoma" w:cs="Tahoma"/>
                <w:sz w:val="18"/>
                <w:szCs w:val="18"/>
              </w:rPr>
            </w:pPr>
            <w:r w:rsidRPr="00C17A36">
              <w:rPr>
                <w:rFonts w:ascii="Tahoma" w:hAnsi="Tahoma" w:cs="Tahoma"/>
                <w:sz w:val="18"/>
                <w:szCs w:val="18"/>
              </w:rPr>
              <w:t>Αποθέματα</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C17A36" w:rsidRDefault="00D30E57" w:rsidP="000B6769">
            <w:pPr>
              <w:jc w:val="center"/>
              <w:rPr>
                <w:rFonts w:ascii="Tahoma" w:hAnsi="Tahoma" w:cs="Tahoma"/>
                <w:sz w:val="18"/>
                <w:szCs w:val="18"/>
              </w:rPr>
            </w:pPr>
            <w:r>
              <w:rPr>
                <w:rFonts w:ascii="Tahoma" w:hAnsi="Tahoma" w:cs="Tahoma"/>
                <w:sz w:val="18"/>
                <w:szCs w:val="18"/>
              </w:rPr>
              <w:t>0</w:t>
            </w:r>
            <w:r w:rsidRPr="00984CC8">
              <w:rPr>
                <w:rFonts w:ascii="Tahoma" w:hAnsi="Tahoma" w:cs="Tahoma"/>
                <w:sz w:val="18"/>
                <w:szCs w:val="18"/>
              </w:rPr>
              <w:t>,</w:t>
            </w:r>
            <w:r>
              <w:rPr>
                <w:rFonts w:ascii="Tahoma" w:hAnsi="Tahoma" w:cs="Tahoma"/>
                <w:sz w:val="18"/>
                <w:szCs w:val="18"/>
              </w:rPr>
              <w:t>6</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984CC8" w:rsidRDefault="00D30E57" w:rsidP="000B6769">
            <w:pPr>
              <w:jc w:val="center"/>
              <w:rPr>
                <w:rFonts w:ascii="Tahoma" w:hAnsi="Tahoma" w:cs="Tahoma"/>
                <w:sz w:val="18"/>
                <w:szCs w:val="18"/>
              </w:rPr>
            </w:pPr>
            <w:r>
              <w:rPr>
                <w:rFonts w:ascii="Tahoma" w:hAnsi="Tahoma" w:cs="Tahoma"/>
                <w:sz w:val="18"/>
                <w:szCs w:val="18"/>
              </w:rPr>
              <w:t>0,7</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984CC8" w:rsidRDefault="00D30E57" w:rsidP="000B6769">
            <w:pPr>
              <w:jc w:val="center"/>
              <w:rPr>
                <w:rFonts w:ascii="Tahoma" w:hAnsi="Tahoma" w:cs="Tahoma"/>
                <w:sz w:val="18"/>
                <w:szCs w:val="18"/>
              </w:rPr>
            </w:pPr>
            <w:r>
              <w:rPr>
                <w:rFonts w:ascii="Tahoma" w:hAnsi="Tahoma" w:cs="Tahoma"/>
                <w:sz w:val="18"/>
                <w:szCs w:val="18"/>
              </w:rPr>
              <w:t>-0,2</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984CC8" w:rsidRDefault="00D30E57" w:rsidP="000B6769">
            <w:pPr>
              <w:jc w:val="center"/>
              <w:rPr>
                <w:rFonts w:ascii="Tahoma" w:hAnsi="Tahoma" w:cs="Tahoma"/>
                <w:sz w:val="18"/>
                <w:szCs w:val="18"/>
              </w:rPr>
            </w:pPr>
            <w:r>
              <w:rPr>
                <w:rFonts w:ascii="Tahoma" w:hAnsi="Tahoma" w:cs="Tahoma"/>
                <w:sz w:val="18"/>
                <w:szCs w:val="18"/>
              </w:rPr>
              <w:t>0,0</w:t>
            </w:r>
          </w:p>
        </w:tc>
      </w:tr>
      <w:tr w:rsidR="00D30E57" w:rsidTr="002A5D2E">
        <w:trPr>
          <w:trHeight w:hRule="exact" w:val="245"/>
          <w:jc w:val="center"/>
        </w:trPr>
        <w:tc>
          <w:tcPr>
            <w:tcW w:w="9133" w:type="dxa"/>
            <w:gridSpan w:val="5"/>
            <w:tcBorders>
              <w:top w:val="single" w:sz="4" w:space="0" w:color="auto"/>
              <w:left w:val="single" w:sz="6" w:space="0" w:color="auto"/>
              <w:bottom w:val="single" w:sz="2" w:space="0" w:color="000000"/>
              <w:right w:val="single" w:sz="6" w:space="0" w:color="auto"/>
            </w:tcBorders>
            <w:noWrap/>
            <w:tcMar>
              <w:top w:w="13" w:type="dxa"/>
              <w:left w:w="13" w:type="dxa"/>
              <w:bottom w:w="0" w:type="dxa"/>
              <w:right w:w="13" w:type="dxa"/>
            </w:tcMar>
            <w:vAlign w:val="center"/>
          </w:tcPr>
          <w:p w:rsidR="00D30E57" w:rsidRPr="00FC66C4" w:rsidRDefault="00D30E57" w:rsidP="000B6769">
            <w:pPr>
              <w:pStyle w:val="BodyText"/>
              <w:spacing w:line="240" w:lineRule="auto"/>
              <w:jc w:val="center"/>
              <w:rPr>
                <w:rFonts w:ascii="Tahoma" w:eastAsia="Arial Unicode MS" w:hAnsi="Tahoma" w:cs="Tahoma"/>
                <w:bCs/>
                <w:i/>
                <w:sz w:val="18"/>
                <w:szCs w:val="18"/>
              </w:rPr>
            </w:pPr>
            <w:r w:rsidRPr="00FC66C4">
              <w:rPr>
                <w:rFonts w:ascii="Tahoma" w:hAnsi="Tahoma" w:cs="Tahoma"/>
                <w:bCs/>
                <w:i/>
                <w:sz w:val="18"/>
                <w:szCs w:val="18"/>
              </w:rPr>
              <w:t>Σε ποσοστό του ΑΕΠ</w:t>
            </w:r>
          </w:p>
        </w:tc>
      </w:tr>
      <w:tr w:rsidR="00D30E57" w:rsidTr="002A5D2E">
        <w:trPr>
          <w:trHeight w:hRule="exact" w:val="285"/>
          <w:jc w:val="center"/>
        </w:trPr>
        <w:tc>
          <w:tcPr>
            <w:tcW w:w="5159" w:type="dxa"/>
            <w:tcBorders>
              <w:top w:val="nil"/>
              <w:left w:val="single" w:sz="6" w:space="0" w:color="auto"/>
              <w:right w:val="single" w:sz="6" w:space="0" w:color="auto"/>
            </w:tcBorders>
            <w:noWrap/>
            <w:tcMar>
              <w:top w:w="13" w:type="dxa"/>
              <w:left w:w="13" w:type="dxa"/>
              <w:bottom w:w="0" w:type="dxa"/>
              <w:right w:w="13" w:type="dxa"/>
            </w:tcMar>
            <w:vAlign w:val="bottom"/>
          </w:tcPr>
          <w:p w:rsidR="00D30E57" w:rsidRPr="00FC66C4" w:rsidRDefault="00D30E57" w:rsidP="000B6769">
            <w:pPr>
              <w:pStyle w:val="BodyText"/>
              <w:spacing w:before="20" w:after="20" w:line="240" w:lineRule="auto"/>
              <w:rPr>
                <w:rFonts w:ascii="Tahoma" w:eastAsia="Arial Unicode MS" w:hAnsi="Tahoma" w:cs="Tahoma"/>
                <w:sz w:val="18"/>
                <w:szCs w:val="18"/>
              </w:rPr>
            </w:pPr>
            <w:r w:rsidRPr="00FC66C4">
              <w:rPr>
                <w:rFonts w:ascii="Tahoma" w:hAnsi="Tahoma" w:cs="Tahoma"/>
                <w:sz w:val="18"/>
                <w:szCs w:val="18"/>
              </w:rPr>
              <w:t>Ισοζύγιο Γενικής Κυβέρνησης</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rPr>
              <w:t>-10,6</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AA7FD2" w:rsidRDefault="00D30E57" w:rsidP="000B6769">
            <w:pPr>
              <w:jc w:val="center"/>
              <w:rPr>
                <w:rFonts w:ascii="Tahoma" w:hAnsi="Tahoma" w:cs="Tahoma"/>
                <w:sz w:val="18"/>
                <w:szCs w:val="18"/>
              </w:rPr>
            </w:pPr>
            <w:r>
              <w:rPr>
                <w:rFonts w:ascii="Tahoma" w:hAnsi="Tahoma" w:cs="Tahoma"/>
                <w:sz w:val="18"/>
                <w:szCs w:val="18"/>
              </w:rPr>
              <w:t>-9,3</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AA7FD2" w:rsidRDefault="00D30E57" w:rsidP="000B6769">
            <w:pPr>
              <w:jc w:val="center"/>
              <w:rPr>
                <w:rFonts w:ascii="Tahoma" w:hAnsi="Tahoma" w:cs="Tahoma"/>
                <w:sz w:val="18"/>
                <w:szCs w:val="18"/>
              </w:rPr>
            </w:pPr>
            <w:r>
              <w:rPr>
                <w:rFonts w:ascii="Tahoma" w:hAnsi="Tahoma" w:cs="Tahoma"/>
                <w:sz w:val="18"/>
                <w:szCs w:val="18"/>
              </w:rPr>
              <w:t>-7,3</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AA7FD2" w:rsidRDefault="00D30E57" w:rsidP="000B6769">
            <w:pPr>
              <w:jc w:val="center"/>
              <w:rPr>
                <w:rFonts w:ascii="Tahoma" w:hAnsi="Tahoma" w:cs="Tahoma"/>
                <w:sz w:val="18"/>
                <w:szCs w:val="18"/>
              </w:rPr>
            </w:pPr>
            <w:r>
              <w:rPr>
                <w:rFonts w:ascii="Tahoma" w:hAnsi="Tahoma" w:cs="Tahoma"/>
                <w:sz w:val="18"/>
                <w:szCs w:val="18"/>
              </w:rPr>
              <w:t>-4,6</w:t>
            </w:r>
          </w:p>
        </w:tc>
      </w:tr>
      <w:tr w:rsidR="00D30E57" w:rsidTr="002A5D2E">
        <w:trPr>
          <w:trHeight w:hRule="exact" w:val="285"/>
          <w:jc w:val="center"/>
        </w:trPr>
        <w:tc>
          <w:tcPr>
            <w:tcW w:w="5159" w:type="dxa"/>
            <w:tcBorders>
              <w:top w:val="nil"/>
              <w:left w:val="single" w:sz="6" w:space="0" w:color="auto"/>
              <w:right w:val="single" w:sz="6" w:space="0" w:color="auto"/>
            </w:tcBorders>
            <w:noWrap/>
            <w:tcMar>
              <w:top w:w="13" w:type="dxa"/>
              <w:left w:w="13" w:type="dxa"/>
              <w:bottom w:w="0" w:type="dxa"/>
              <w:right w:w="13" w:type="dxa"/>
            </w:tcMar>
            <w:vAlign w:val="bottom"/>
          </w:tcPr>
          <w:p w:rsidR="00D30E57" w:rsidRPr="00FC66C4" w:rsidRDefault="00D30E57" w:rsidP="000B6769">
            <w:pPr>
              <w:pStyle w:val="BodyText"/>
              <w:spacing w:before="20" w:after="20" w:line="240" w:lineRule="auto"/>
              <w:rPr>
                <w:rFonts w:ascii="Tahoma" w:eastAsia="Arial Unicode MS" w:hAnsi="Tahoma" w:cs="Tahoma"/>
                <w:sz w:val="18"/>
                <w:szCs w:val="18"/>
              </w:rPr>
            </w:pPr>
            <w:r w:rsidRPr="00FC66C4">
              <w:rPr>
                <w:rFonts w:ascii="Tahoma" w:hAnsi="Tahoma" w:cs="Tahoma"/>
                <w:sz w:val="18"/>
                <w:szCs w:val="18"/>
              </w:rPr>
              <w:t>Ισοζύγιο Τρεχουσών Συναλλαγών</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lang w:val="en-US"/>
              </w:rPr>
              <w:t>-</w:t>
            </w:r>
            <w:r>
              <w:rPr>
                <w:rFonts w:ascii="Tahoma" w:hAnsi="Tahoma" w:cs="Tahoma"/>
                <w:sz w:val="18"/>
                <w:szCs w:val="18"/>
              </w:rPr>
              <w:t>12</w:t>
            </w:r>
            <w:r w:rsidRPr="00FC66C4">
              <w:rPr>
                <w:rFonts w:ascii="Tahoma" w:hAnsi="Tahoma" w:cs="Tahoma"/>
                <w:sz w:val="18"/>
                <w:szCs w:val="18"/>
                <w:lang w:val="en-US"/>
              </w:rPr>
              <w:t>,</w:t>
            </w:r>
            <w:r>
              <w:rPr>
                <w:rFonts w:ascii="Tahoma" w:hAnsi="Tahoma" w:cs="Tahoma"/>
                <w:sz w:val="18"/>
                <w:szCs w:val="18"/>
              </w:rPr>
              <w:t>3</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rPr>
              <w:t>-10,3</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rPr>
              <w:t>-6,9</w:t>
            </w:r>
          </w:p>
        </w:tc>
        <w:tc>
          <w:tcPr>
            <w:tcW w:w="993" w:type="dxa"/>
            <w:tcBorders>
              <w:top w:val="nil"/>
              <w:left w:val="single" w:sz="6" w:space="0" w:color="auto"/>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rPr>
              <w:t>-5,3</w:t>
            </w:r>
          </w:p>
        </w:tc>
      </w:tr>
      <w:tr w:rsidR="00D30E57" w:rsidTr="002A5D2E">
        <w:trPr>
          <w:trHeight w:hRule="exact" w:val="285"/>
          <w:jc w:val="center"/>
        </w:trPr>
        <w:tc>
          <w:tcPr>
            <w:tcW w:w="5159" w:type="dxa"/>
            <w:tcBorders>
              <w:top w:val="nil"/>
              <w:left w:val="single" w:sz="6" w:space="0" w:color="auto"/>
              <w:bottom w:val="single" w:sz="4" w:space="0" w:color="auto"/>
              <w:right w:val="single" w:sz="6" w:space="0" w:color="auto"/>
            </w:tcBorders>
            <w:noWrap/>
            <w:tcMar>
              <w:top w:w="13" w:type="dxa"/>
              <w:left w:w="13" w:type="dxa"/>
              <w:bottom w:w="0" w:type="dxa"/>
              <w:right w:w="13" w:type="dxa"/>
            </w:tcMar>
            <w:vAlign w:val="bottom"/>
          </w:tcPr>
          <w:p w:rsidR="00D30E57" w:rsidRPr="00FC66C4" w:rsidRDefault="00D30E57" w:rsidP="000B6769">
            <w:pPr>
              <w:pStyle w:val="BodyText"/>
              <w:spacing w:before="20" w:after="20" w:line="240" w:lineRule="auto"/>
              <w:rPr>
                <w:rFonts w:ascii="Tahoma" w:eastAsia="Arial Unicode MS" w:hAnsi="Tahoma" w:cs="Tahoma"/>
                <w:sz w:val="18"/>
                <w:szCs w:val="18"/>
              </w:rPr>
            </w:pPr>
            <w:r w:rsidRPr="00FC66C4">
              <w:rPr>
                <w:rFonts w:ascii="Tahoma" w:hAnsi="Tahoma" w:cs="Tahoma"/>
                <w:sz w:val="18"/>
                <w:szCs w:val="18"/>
              </w:rPr>
              <w:t>Ακαθάριστο Χρέος Γενικής Κυβέρνησης</w:t>
            </w:r>
          </w:p>
        </w:tc>
        <w:tc>
          <w:tcPr>
            <w:tcW w:w="993" w:type="dxa"/>
            <w:tcBorders>
              <w:top w:val="nil"/>
              <w:left w:val="single" w:sz="6" w:space="0" w:color="auto"/>
              <w:bottom w:val="single" w:sz="4" w:space="0" w:color="auto"/>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rPr>
              <w:t>144,9</w:t>
            </w:r>
          </w:p>
        </w:tc>
        <w:tc>
          <w:tcPr>
            <w:tcW w:w="993" w:type="dxa"/>
            <w:tcBorders>
              <w:top w:val="nil"/>
              <w:left w:val="single" w:sz="6" w:space="0" w:color="auto"/>
              <w:bottom w:val="single" w:sz="4" w:space="0" w:color="auto"/>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rPr>
              <w:t>165,3</w:t>
            </w:r>
          </w:p>
        </w:tc>
        <w:tc>
          <w:tcPr>
            <w:tcW w:w="993" w:type="dxa"/>
            <w:tcBorders>
              <w:top w:val="nil"/>
              <w:left w:val="single" w:sz="6" w:space="0" w:color="auto"/>
              <w:bottom w:val="single" w:sz="4" w:space="0" w:color="auto"/>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rPr>
              <w:t>160,5</w:t>
            </w:r>
          </w:p>
        </w:tc>
        <w:tc>
          <w:tcPr>
            <w:tcW w:w="993" w:type="dxa"/>
            <w:tcBorders>
              <w:top w:val="nil"/>
              <w:left w:val="single" w:sz="6" w:space="0" w:color="auto"/>
              <w:bottom w:val="single" w:sz="4" w:space="0" w:color="auto"/>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rPr>
              <w:t>164,2</w:t>
            </w:r>
          </w:p>
        </w:tc>
      </w:tr>
      <w:tr w:rsidR="00D30E57" w:rsidTr="002A5D2E">
        <w:trPr>
          <w:trHeight w:hRule="exact" w:val="245"/>
          <w:jc w:val="center"/>
        </w:trPr>
        <w:tc>
          <w:tcPr>
            <w:tcW w:w="9133" w:type="dxa"/>
            <w:gridSpan w:val="5"/>
            <w:tcBorders>
              <w:top w:val="single" w:sz="4" w:space="0" w:color="auto"/>
              <w:left w:val="single" w:sz="6" w:space="0" w:color="auto"/>
              <w:bottom w:val="single" w:sz="4" w:space="0" w:color="auto"/>
              <w:right w:val="single" w:sz="6" w:space="0" w:color="auto"/>
            </w:tcBorders>
            <w:noWrap/>
            <w:tcMar>
              <w:top w:w="13" w:type="dxa"/>
              <w:left w:w="13" w:type="dxa"/>
              <w:bottom w:w="0" w:type="dxa"/>
              <w:right w:w="13" w:type="dxa"/>
            </w:tcMar>
            <w:vAlign w:val="center"/>
          </w:tcPr>
          <w:p w:rsidR="00D30E57" w:rsidRPr="00FC66C4" w:rsidRDefault="00D30E57" w:rsidP="000B6769">
            <w:pPr>
              <w:pStyle w:val="BodyText"/>
              <w:spacing w:line="240" w:lineRule="auto"/>
              <w:jc w:val="center"/>
              <w:rPr>
                <w:rFonts w:ascii="Tahoma" w:eastAsia="Arial Unicode MS" w:hAnsi="Tahoma" w:cs="Tahoma"/>
                <w:bCs/>
                <w:i/>
                <w:sz w:val="18"/>
                <w:szCs w:val="18"/>
              </w:rPr>
            </w:pPr>
            <w:r w:rsidRPr="00FC66C4">
              <w:rPr>
                <w:rFonts w:ascii="Tahoma" w:hAnsi="Tahoma" w:cs="Tahoma"/>
                <w:bCs/>
                <w:i/>
                <w:sz w:val="18"/>
                <w:szCs w:val="18"/>
              </w:rPr>
              <w:t>Σε ποσοστό</w:t>
            </w:r>
          </w:p>
        </w:tc>
      </w:tr>
      <w:tr w:rsidR="00D30E57" w:rsidTr="002A5D2E">
        <w:trPr>
          <w:trHeight w:hRule="exact" w:val="285"/>
          <w:jc w:val="center"/>
        </w:trPr>
        <w:tc>
          <w:tcPr>
            <w:tcW w:w="5159" w:type="dxa"/>
            <w:tcBorders>
              <w:top w:val="single" w:sz="4" w:space="0" w:color="auto"/>
              <w:left w:val="single" w:sz="6" w:space="0" w:color="auto"/>
              <w:bottom w:val="single" w:sz="12" w:space="0" w:color="008000"/>
              <w:right w:val="single" w:sz="6" w:space="0" w:color="auto"/>
            </w:tcBorders>
            <w:noWrap/>
            <w:tcMar>
              <w:top w:w="13" w:type="dxa"/>
              <w:left w:w="13" w:type="dxa"/>
              <w:bottom w:w="0" w:type="dxa"/>
              <w:right w:w="13" w:type="dxa"/>
            </w:tcMar>
            <w:vAlign w:val="bottom"/>
          </w:tcPr>
          <w:p w:rsidR="00D30E57" w:rsidRPr="00FC66C4" w:rsidRDefault="00D30E57" w:rsidP="000B6769">
            <w:pPr>
              <w:pStyle w:val="BodyText"/>
              <w:spacing w:before="20" w:after="20" w:line="240" w:lineRule="auto"/>
              <w:rPr>
                <w:rFonts w:ascii="Tahoma" w:eastAsia="Arial Unicode MS" w:hAnsi="Tahoma" w:cs="Tahoma"/>
                <w:sz w:val="18"/>
                <w:szCs w:val="18"/>
              </w:rPr>
            </w:pPr>
            <w:r w:rsidRPr="00FC66C4">
              <w:rPr>
                <w:rFonts w:ascii="Tahoma" w:hAnsi="Tahoma" w:cs="Tahoma"/>
                <w:sz w:val="18"/>
                <w:szCs w:val="18"/>
              </w:rPr>
              <w:t>Ανεργία (% του εργατικού δυναμικού)</w:t>
            </w:r>
          </w:p>
        </w:tc>
        <w:tc>
          <w:tcPr>
            <w:tcW w:w="993" w:type="dxa"/>
            <w:tcBorders>
              <w:top w:val="single" w:sz="4" w:space="0" w:color="auto"/>
              <w:left w:val="single" w:sz="6" w:space="0" w:color="auto"/>
              <w:bottom w:val="single" w:sz="12" w:space="0" w:color="008000"/>
              <w:right w:val="single" w:sz="6" w:space="0" w:color="auto"/>
            </w:tcBorders>
            <w:noWrap/>
            <w:tcMar>
              <w:top w:w="13" w:type="dxa"/>
              <w:left w:w="13" w:type="dxa"/>
              <w:bottom w:w="0" w:type="dxa"/>
              <w:right w:w="13" w:type="dxa"/>
            </w:tcMar>
            <w:vAlign w:val="center"/>
          </w:tcPr>
          <w:p w:rsidR="00D30E57" w:rsidRPr="00613DDA" w:rsidRDefault="00D30E57" w:rsidP="000B6769">
            <w:pPr>
              <w:jc w:val="center"/>
              <w:rPr>
                <w:rFonts w:ascii="Tahoma" w:hAnsi="Tahoma" w:cs="Tahoma"/>
                <w:sz w:val="18"/>
                <w:szCs w:val="18"/>
              </w:rPr>
            </w:pPr>
            <w:r>
              <w:rPr>
                <w:rFonts w:ascii="Tahoma" w:hAnsi="Tahoma" w:cs="Tahoma"/>
                <w:sz w:val="18"/>
                <w:szCs w:val="18"/>
              </w:rPr>
              <w:t>12,6</w:t>
            </w:r>
          </w:p>
        </w:tc>
        <w:tc>
          <w:tcPr>
            <w:tcW w:w="993" w:type="dxa"/>
            <w:tcBorders>
              <w:top w:val="single" w:sz="4" w:space="0" w:color="auto"/>
              <w:left w:val="single" w:sz="6" w:space="0" w:color="auto"/>
              <w:bottom w:val="single" w:sz="12" w:space="0" w:color="008000"/>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lang w:val="en-US"/>
              </w:rPr>
              <w:t>1</w:t>
            </w:r>
            <w:r>
              <w:rPr>
                <w:rFonts w:ascii="Tahoma" w:hAnsi="Tahoma" w:cs="Tahoma"/>
                <w:sz w:val="18"/>
                <w:szCs w:val="18"/>
              </w:rPr>
              <w:t>5</w:t>
            </w:r>
            <w:r w:rsidRPr="00FC66C4">
              <w:rPr>
                <w:rFonts w:ascii="Tahoma" w:hAnsi="Tahoma" w:cs="Tahoma"/>
                <w:sz w:val="18"/>
                <w:szCs w:val="18"/>
                <w:lang w:val="en-US"/>
              </w:rPr>
              <w:t>,</w:t>
            </w:r>
            <w:r>
              <w:rPr>
                <w:rFonts w:ascii="Tahoma" w:hAnsi="Tahoma" w:cs="Tahoma"/>
                <w:sz w:val="18"/>
                <w:szCs w:val="18"/>
              </w:rPr>
              <w:t>9</w:t>
            </w:r>
          </w:p>
        </w:tc>
        <w:tc>
          <w:tcPr>
            <w:tcW w:w="993" w:type="dxa"/>
            <w:tcBorders>
              <w:top w:val="single" w:sz="4" w:space="0" w:color="auto"/>
              <w:left w:val="single" w:sz="6" w:space="0" w:color="auto"/>
              <w:bottom w:val="single" w:sz="12" w:space="0" w:color="008000"/>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rPr>
              <w:t>17,9</w:t>
            </w:r>
          </w:p>
        </w:tc>
        <w:tc>
          <w:tcPr>
            <w:tcW w:w="993" w:type="dxa"/>
            <w:tcBorders>
              <w:top w:val="single" w:sz="4" w:space="0" w:color="auto"/>
              <w:left w:val="single" w:sz="6" w:space="0" w:color="auto"/>
              <w:bottom w:val="single" w:sz="12" w:space="0" w:color="008000"/>
              <w:right w:val="single" w:sz="6" w:space="0" w:color="auto"/>
            </w:tcBorders>
            <w:noWrap/>
            <w:tcMar>
              <w:top w:w="13" w:type="dxa"/>
              <w:left w:w="13" w:type="dxa"/>
              <w:bottom w:w="0" w:type="dxa"/>
              <w:right w:w="13" w:type="dxa"/>
            </w:tcMar>
            <w:vAlign w:val="center"/>
          </w:tcPr>
          <w:p w:rsidR="00D30E57" w:rsidRPr="00F74603" w:rsidRDefault="00D30E57" w:rsidP="000B6769">
            <w:pPr>
              <w:jc w:val="center"/>
              <w:rPr>
                <w:rFonts w:ascii="Tahoma" w:hAnsi="Tahoma" w:cs="Tahoma"/>
                <w:sz w:val="18"/>
                <w:szCs w:val="18"/>
              </w:rPr>
            </w:pPr>
            <w:r>
              <w:rPr>
                <w:rFonts w:ascii="Tahoma" w:hAnsi="Tahoma" w:cs="Tahoma"/>
                <w:sz w:val="18"/>
                <w:szCs w:val="18"/>
              </w:rPr>
              <w:t>17,8</w:t>
            </w:r>
          </w:p>
        </w:tc>
      </w:tr>
    </w:tbl>
    <w:p w:rsidR="00D30E57" w:rsidRPr="002A5D2E" w:rsidRDefault="00D30E57" w:rsidP="00D30E57">
      <w:pPr>
        <w:autoSpaceDE w:val="0"/>
        <w:autoSpaceDN w:val="0"/>
        <w:adjustRightInd w:val="0"/>
        <w:jc w:val="both"/>
        <w:rPr>
          <w:rFonts w:ascii="Tahoma" w:hAnsi="Tahoma" w:cs="Tahoma"/>
          <w:bCs/>
          <w:sz w:val="16"/>
          <w:lang w:val="en-GB"/>
        </w:rPr>
      </w:pPr>
      <w:r w:rsidRPr="002A5D2E">
        <w:rPr>
          <w:rFonts w:ascii="Tahoma" w:hAnsi="Tahoma" w:cs="Tahoma"/>
          <w:bCs/>
          <w:sz w:val="16"/>
          <w:lang w:val="en-GB"/>
        </w:rPr>
        <w:t xml:space="preserve">* </w:t>
      </w:r>
      <w:r w:rsidRPr="002A5D2E">
        <w:rPr>
          <w:rFonts w:ascii="Tahoma" w:hAnsi="Tahoma" w:cs="Tahoma"/>
          <w:sz w:val="16"/>
          <w:lang w:val="en-US"/>
        </w:rPr>
        <w:t>European Economic Forecast, Autumn 2011, European Commission, November 2011</w:t>
      </w:r>
    </w:p>
    <w:p w:rsidR="00D30E57" w:rsidRPr="002A5D2E" w:rsidRDefault="00D30E57" w:rsidP="002A5D2E">
      <w:pPr>
        <w:autoSpaceDE w:val="0"/>
        <w:autoSpaceDN w:val="0"/>
        <w:adjustRightInd w:val="0"/>
        <w:spacing w:after="60"/>
        <w:jc w:val="both"/>
        <w:rPr>
          <w:rFonts w:ascii="Tahoma" w:hAnsi="Tahoma" w:cs="Tahoma"/>
          <w:b/>
          <w:bCs/>
          <w:sz w:val="16"/>
          <w:lang w:val="en-GB"/>
        </w:rPr>
      </w:pPr>
      <w:r w:rsidRPr="002A5D2E">
        <w:rPr>
          <w:rFonts w:ascii="Tahoma" w:hAnsi="Tahoma" w:cs="Tahoma"/>
          <w:b/>
          <w:bCs/>
          <w:sz w:val="16"/>
        </w:rPr>
        <w:t>Πηγή</w:t>
      </w:r>
      <w:r w:rsidRPr="002A5D2E">
        <w:rPr>
          <w:rFonts w:ascii="Tahoma" w:hAnsi="Tahoma" w:cs="Tahoma"/>
          <w:sz w:val="16"/>
          <w:lang w:val="en-US"/>
        </w:rPr>
        <w:t>:The Second Economic Adjustment Programme for Greece, European Commission, March 2012</w:t>
      </w:r>
    </w:p>
    <w:p w:rsidR="00D30E57" w:rsidRPr="00E62E09" w:rsidRDefault="00D30E57" w:rsidP="00F97E27">
      <w:pPr>
        <w:autoSpaceDE w:val="0"/>
        <w:autoSpaceDN w:val="0"/>
        <w:adjustRightInd w:val="0"/>
        <w:spacing w:before="120"/>
        <w:jc w:val="center"/>
        <w:rPr>
          <w:rFonts w:ascii="Tahoma" w:hAnsi="Tahoma" w:cs="Tahoma"/>
          <w:b/>
          <w:bCs/>
        </w:rPr>
      </w:pPr>
      <w:r>
        <w:rPr>
          <w:rFonts w:ascii="Tahoma" w:hAnsi="Tahoma" w:cs="Tahoma"/>
          <w:b/>
          <w:bCs/>
        </w:rPr>
        <w:t>Π</w:t>
      </w:r>
      <w:r w:rsidRPr="00E62E09">
        <w:rPr>
          <w:rFonts w:ascii="Tahoma" w:hAnsi="Tahoma" w:cs="Tahoma"/>
          <w:b/>
          <w:bCs/>
        </w:rPr>
        <w:t>ίνακας 3.3</w:t>
      </w:r>
    </w:p>
    <w:p w:rsidR="00D30E57" w:rsidRPr="00E62E09" w:rsidRDefault="00D30E57" w:rsidP="00F97E27">
      <w:pPr>
        <w:autoSpaceDE w:val="0"/>
        <w:autoSpaceDN w:val="0"/>
        <w:adjustRightInd w:val="0"/>
        <w:spacing w:before="120"/>
        <w:jc w:val="center"/>
        <w:rPr>
          <w:rFonts w:ascii="Tahoma" w:hAnsi="Tahoma" w:cs="Tahoma"/>
          <w:color w:val="000000"/>
        </w:rPr>
      </w:pPr>
      <w:r>
        <w:rPr>
          <w:rFonts w:ascii="Tahoma" w:hAnsi="Tahoma" w:cs="Tahoma"/>
          <w:color w:val="000000"/>
        </w:rPr>
        <w:t>Σύγκριση π</w:t>
      </w:r>
      <w:r w:rsidRPr="00E62E09">
        <w:rPr>
          <w:rFonts w:ascii="Tahoma" w:hAnsi="Tahoma" w:cs="Tahoma"/>
          <w:color w:val="000000"/>
        </w:rPr>
        <w:t>ροβλέψεων για επιλεγμένους Οικονομικούς Δείκτες για τα έτη 2011- 2013</w:t>
      </w:r>
    </w:p>
    <w:p w:rsidR="00D30E57" w:rsidRDefault="00D30E57" w:rsidP="00F97E27">
      <w:pPr>
        <w:autoSpaceDE w:val="0"/>
        <w:autoSpaceDN w:val="0"/>
        <w:adjustRightInd w:val="0"/>
        <w:spacing w:before="120"/>
        <w:jc w:val="center"/>
        <w:rPr>
          <w:rFonts w:ascii="Tahoma" w:hAnsi="Tahoma" w:cs="Tahoma"/>
          <w:color w:val="000000"/>
        </w:rPr>
      </w:pPr>
      <w:r>
        <w:rPr>
          <w:rFonts w:ascii="Tahoma" w:hAnsi="Tahoma" w:cs="Tahoma"/>
          <w:color w:val="000000"/>
        </w:rPr>
        <w:t>(σε σταθερές αγοραίες τιμές 200</w:t>
      </w:r>
      <w:r w:rsidRPr="00581562">
        <w:rPr>
          <w:rFonts w:ascii="Tahoma" w:hAnsi="Tahoma" w:cs="Tahoma"/>
          <w:color w:val="000000"/>
        </w:rPr>
        <w:t>5</w:t>
      </w:r>
      <w:r w:rsidRPr="00E62E09">
        <w:rPr>
          <w:rFonts w:ascii="Tahoma" w:hAnsi="Tahoma" w:cs="Tahoma"/>
          <w:color w:val="000000"/>
        </w:rPr>
        <w:t>, ετήσιες % μεταβολές)</w:t>
      </w:r>
    </w:p>
    <w:tbl>
      <w:tblPr>
        <w:tblW w:w="10092" w:type="dxa"/>
        <w:jc w:val="center"/>
        <w:tblLayout w:type="fixed"/>
        <w:tblCellMar>
          <w:left w:w="0" w:type="dxa"/>
          <w:right w:w="0" w:type="dxa"/>
        </w:tblCellMar>
        <w:tblLook w:val="0000"/>
      </w:tblPr>
      <w:tblGrid>
        <w:gridCol w:w="2252"/>
        <w:gridCol w:w="50"/>
        <w:gridCol w:w="697"/>
        <w:gridCol w:w="647"/>
        <w:gridCol w:w="740"/>
        <w:gridCol w:w="50"/>
        <w:gridCol w:w="632"/>
        <w:gridCol w:w="638"/>
        <w:gridCol w:w="575"/>
        <w:gridCol w:w="50"/>
        <w:gridCol w:w="533"/>
        <w:gridCol w:w="587"/>
        <w:gridCol w:w="624"/>
        <w:gridCol w:w="50"/>
        <w:gridCol w:w="587"/>
        <w:gridCol w:w="705"/>
        <w:gridCol w:w="675"/>
      </w:tblGrid>
      <w:tr w:rsidR="00D30E57" w:rsidTr="002A5D2E">
        <w:trPr>
          <w:trHeight w:hRule="exact" w:val="297"/>
          <w:jc w:val="center"/>
        </w:trPr>
        <w:tc>
          <w:tcPr>
            <w:tcW w:w="2254" w:type="dxa"/>
            <w:tcBorders>
              <w:top w:val="single" w:sz="12" w:space="0" w:color="008000"/>
              <w:left w:val="single" w:sz="4" w:space="0" w:color="auto"/>
              <w:bottom w:val="nil"/>
              <w:right w:val="nil"/>
            </w:tcBorders>
            <w:noWrap/>
            <w:tcMar>
              <w:top w:w="15" w:type="dxa"/>
              <w:left w:w="15" w:type="dxa"/>
              <w:bottom w:w="0" w:type="dxa"/>
              <w:right w:w="15" w:type="dxa"/>
            </w:tcMar>
            <w:vAlign w:val="bottom"/>
          </w:tcPr>
          <w:p w:rsidR="00D30E57" w:rsidRPr="004D0962" w:rsidRDefault="00D30E57" w:rsidP="000B6769">
            <w:pPr>
              <w:spacing w:before="40" w:after="40"/>
              <w:rPr>
                <w:rFonts w:ascii="Tahoma" w:hAnsi="Tahoma" w:cs="Tahoma"/>
                <w:sz w:val="18"/>
                <w:szCs w:val="18"/>
              </w:rPr>
            </w:pPr>
          </w:p>
        </w:tc>
        <w:tc>
          <w:tcPr>
            <w:tcW w:w="2135" w:type="dxa"/>
            <w:gridSpan w:val="4"/>
            <w:tcBorders>
              <w:top w:val="single" w:sz="12" w:space="0" w:color="008000"/>
              <w:left w:val="single" w:sz="8" w:space="0" w:color="auto"/>
              <w:bottom w:val="single" w:sz="8" w:space="0" w:color="auto"/>
              <w:right w:val="single" w:sz="8" w:space="0" w:color="000000"/>
            </w:tcBorders>
            <w:noWrap/>
            <w:tcMar>
              <w:top w:w="15" w:type="dxa"/>
              <w:left w:w="15" w:type="dxa"/>
              <w:bottom w:w="0" w:type="dxa"/>
              <w:right w:w="15" w:type="dxa"/>
            </w:tcMar>
            <w:vAlign w:val="bottom"/>
          </w:tcPr>
          <w:p w:rsidR="00D30E57" w:rsidRPr="008B204D" w:rsidRDefault="00D30E57" w:rsidP="000B6769">
            <w:pPr>
              <w:spacing w:before="40" w:after="40"/>
              <w:jc w:val="center"/>
              <w:rPr>
                <w:rFonts w:ascii="Tahoma" w:hAnsi="Tahoma" w:cs="Tahoma"/>
                <w:b/>
                <w:sz w:val="18"/>
                <w:szCs w:val="18"/>
              </w:rPr>
            </w:pPr>
            <w:r w:rsidRPr="004D0962">
              <w:rPr>
                <w:rFonts w:ascii="Tahoma" w:hAnsi="Tahoma" w:cs="Tahoma"/>
                <w:b/>
                <w:bCs/>
                <w:sz w:val="18"/>
                <w:szCs w:val="18"/>
              </w:rPr>
              <w:t>ΥΠΟΙ</w:t>
            </w:r>
            <w:r>
              <w:rPr>
                <w:rFonts w:ascii="Tahoma" w:hAnsi="Tahoma" w:cs="Tahoma"/>
                <w:b/>
                <w:bCs/>
                <w:sz w:val="18"/>
                <w:szCs w:val="18"/>
              </w:rPr>
              <w:t>Κ</w:t>
            </w:r>
          </w:p>
        </w:tc>
        <w:tc>
          <w:tcPr>
            <w:tcW w:w="1894" w:type="dxa"/>
            <w:gridSpan w:val="4"/>
            <w:tcBorders>
              <w:top w:val="single" w:sz="12" w:space="0" w:color="008000"/>
              <w:left w:val="nil"/>
              <w:bottom w:val="single" w:sz="8" w:space="0" w:color="auto"/>
              <w:right w:val="single" w:sz="8" w:space="0" w:color="000000"/>
            </w:tcBorders>
            <w:noWrap/>
            <w:tcMar>
              <w:top w:w="15" w:type="dxa"/>
              <w:left w:w="15" w:type="dxa"/>
              <w:bottom w:w="0" w:type="dxa"/>
              <w:right w:w="15" w:type="dxa"/>
            </w:tcMar>
            <w:vAlign w:val="bottom"/>
          </w:tcPr>
          <w:p w:rsidR="00D30E57" w:rsidRPr="004D0962" w:rsidRDefault="00D30E57" w:rsidP="000B6769">
            <w:pPr>
              <w:spacing w:before="40" w:after="40"/>
              <w:jc w:val="center"/>
              <w:rPr>
                <w:rFonts w:ascii="Tahoma" w:hAnsi="Tahoma" w:cs="Tahoma"/>
                <w:b/>
                <w:sz w:val="18"/>
                <w:szCs w:val="18"/>
              </w:rPr>
            </w:pPr>
            <w:r w:rsidRPr="004D0962">
              <w:rPr>
                <w:rFonts w:ascii="Tahoma" w:hAnsi="Tahoma" w:cs="Tahoma"/>
                <w:b/>
                <w:bCs/>
                <w:sz w:val="18"/>
                <w:szCs w:val="18"/>
              </w:rPr>
              <w:t>ΕΕ</w:t>
            </w:r>
          </w:p>
        </w:tc>
        <w:tc>
          <w:tcPr>
            <w:tcW w:w="1793" w:type="dxa"/>
            <w:gridSpan w:val="4"/>
            <w:tcBorders>
              <w:top w:val="single" w:sz="12" w:space="0" w:color="008000"/>
              <w:left w:val="nil"/>
              <w:bottom w:val="single" w:sz="8" w:space="0" w:color="auto"/>
              <w:right w:val="nil"/>
            </w:tcBorders>
            <w:noWrap/>
            <w:tcMar>
              <w:top w:w="15" w:type="dxa"/>
              <w:left w:w="15" w:type="dxa"/>
              <w:bottom w:w="0" w:type="dxa"/>
              <w:right w:w="15" w:type="dxa"/>
            </w:tcMar>
            <w:vAlign w:val="bottom"/>
          </w:tcPr>
          <w:p w:rsidR="00D30E57" w:rsidRPr="004D0962" w:rsidRDefault="00D30E57" w:rsidP="000B6769">
            <w:pPr>
              <w:spacing w:before="40" w:after="40"/>
              <w:jc w:val="center"/>
              <w:rPr>
                <w:rFonts w:ascii="Tahoma" w:hAnsi="Tahoma" w:cs="Tahoma"/>
                <w:b/>
                <w:sz w:val="18"/>
                <w:szCs w:val="18"/>
              </w:rPr>
            </w:pPr>
            <w:r w:rsidRPr="004D0962">
              <w:rPr>
                <w:rFonts w:ascii="Tahoma" w:hAnsi="Tahoma" w:cs="Tahoma"/>
                <w:b/>
                <w:bCs/>
                <w:sz w:val="18"/>
                <w:szCs w:val="18"/>
              </w:rPr>
              <w:t>ΟΟΣΑ</w:t>
            </w:r>
          </w:p>
        </w:tc>
        <w:tc>
          <w:tcPr>
            <w:tcW w:w="2016" w:type="dxa"/>
            <w:gridSpan w:val="4"/>
            <w:tcBorders>
              <w:top w:val="single" w:sz="12" w:space="0" w:color="008000"/>
              <w:left w:val="single" w:sz="8" w:space="0" w:color="000000"/>
              <w:bottom w:val="single" w:sz="8" w:space="0" w:color="auto"/>
              <w:right w:val="single" w:sz="4" w:space="0" w:color="auto"/>
            </w:tcBorders>
            <w:noWrap/>
            <w:tcMar>
              <w:top w:w="15" w:type="dxa"/>
              <w:left w:w="15" w:type="dxa"/>
              <w:bottom w:w="0" w:type="dxa"/>
              <w:right w:w="15" w:type="dxa"/>
            </w:tcMar>
            <w:vAlign w:val="bottom"/>
          </w:tcPr>
          <w:p w:rsidR="00D30E57" w:rsidRPr="004D0962" w:rsidRDefault="00D30E57" w:rsidP="000B6769">
            <w:pPr>
              <w:spacing w:before="40" w:after="40"/>
              <w:jc w:val="center"/>
              <w:rPr>
                <w:rFonts w:ascii="Tahoma" w:hAnsi="Tahoma" w:cs="Tahoma"/>
                <w:b/>
                <w:sz w:val="18"/>
                <w:szCs w:val="18"/>
              </w:rPr>
            </w:pPr>
            <w:r w:rsidRPr="004D0962">
              <w:rPr>
                <w:rFonts w:ascii="Tahoma" w:hAnsi="Tahoma" w:cs="Tahoma"/>
                <w:b/>
                <w:bCs/>
                <w:sz w:val="18"/>
                <w:szCs w:val="18"/>
              </w:rPr>
              <w:t>ΔΝΤ</w:t>
            </w:r>
          </w:p>
        </w:tc>
      </w:tr>
      <w:tr w:rsidR="00D30E57" w:rsidTr="002A5D2E">
        <w:trPr>
          <w:trHeight w:hRule="exact" w:val="284"/>
          <w:jc w:val="center"/>
        </w:trPr>
        <w:tc>
          <w:tcPr>
            <w:tcW w:w="2254" w:type="dxa"/>
            <w:tcBorders>
              <w:top w:val="single" w:sz="8" w:space="0" w:color="auto"/>
              <w:left w:val="single" w:sz="4" w:space="0" w:color="auto"/>
              <w:bottom w:val="nil"/>
              <w:right w:val="nil"/>
            </w:tcBorders>
            <w:noWrap/>
            <w:tcMar>
              <w:top w:w="15" w:type="dxa"/>
              <w:left w:w="15" w:type="dxa"/>
              <w:bottom w:w="0" w:type="dxa"/>
              <w:right w:w="15" w:type="dxa"/>
            </w:tcMar>
            <w:vAlign w:val="bottom"/>
          </w:tcPr>
          <w:p w:rsidR="00D30E57" w:rsidRPr="004D0962" w:rsidRDefault="00D30E57" w:rsidP="000B6769">
            <w:pPr>
              <w:spacing w:before="40" w:after="40"/>
              <w:rPr>
                <w:rFonts w:ascii="Tahoma" w:hAnsi="Tahoma" w:cs="Tahoma"/>
                <w:sz w:val="18"/>
                <w:szCs w:val="18"/>
              </w:rPr>
            </w:pPr>
          </w:p>
        </w:tc>
        <w:tc>
          <w:tcPr>
            <w:tcW w:w="49" w:type="dxa"/>
            <w:tcBorders>
              <w:top w:val="nil"/>
              <w:left w:val="single" w:sz="8" w:space="0" w:color="auto"/>
              <w:bottom w:val="nil"/>
              <w:right w:val="nil"/>
            </w:tcBorders>
            <w:noWrap/>
            <w:tcMar>
              <w:top w:w="15" w:type="dxa"/>
              <w:left w:w="15" w:type="dxa"/>
              <w:bottom w:w="0" w:type="dxa"/>
              <w:right w:w="15" w:type="dxa"/>
            </w:tcMar>
            <w:vAlign w:val="bottom"/>
          </w:tcPr>
          <w:p w:rsidR="00D30E57" w:rsidRPr="004D0962" w:rsidRDefault="00D30E57" w:rsidP="000B6769">
            <w:pPr>
              <w:spacing w:before="40" w:after="40"/>
              <w:jc w:val="center"/>
              <w:rPr>
                <w:rFonts w:ascii="Tahoma" w:hAnsi="Tahoma" w:cs="Tahoma"/>
                <w:i/>
                <w:iCs/>
                <w:sz w:val="18"/>
                <w:szCs w:val="18"/>
              </w:rPr>
            </w:pPr>
          </w:p>
        </w:tc>
        <w:tc>
          <w:tcPr>
            <w:tcW w:w="698" w:type="dxa"/>
            <w:tcBorders>
              <w:top w:val="nil"/>
              <w:left w:val="nil"/>
              <w:bottom w:val="nil"/>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i/>
                <w:iCs/>
                <w:sz w:val="18"/>
                <w:szCs w:val="18"/>
              </w:rPr>
            </w:pPr>
            <w:r w:rsidRPr="004D0962">
              <w:rPr>
                <w:rFonts w:ascii="Tahoma" w:hAnsi="Tahoma" w:cs="Tahoma"/>
                <w:i/>
                <w:iCs/>
                <w:sz w:val="18"/>
                <w:szCs w:val="18"/>
              </w:rPr>
              <w:t>20</w:t>
            </w:r>
            <w:r w:rsidRPr="004D0962">
              <w:rPr>
                <w:rFonts w:ascii="Tahoma" w:hAnsi="Tahoma" w:cs="Tahoma"/>
                <w:i/>
                <w:iCs/>
                <w:sz w:val="18"/>
                <w:szCs w:val="18"/>
                <w:lang w:val="en-US"/>
              </w:rPr>
              <w:t>10</w:t>
            </w:r>
          </w:p>
        </w:tc>
        <w:tc>
          <w:tcPr>
            <w:tcW w:w="648" w:type="dxa"/>
            <w:tcBorders>
              <w:top w:val="nil"/>
              <w:left w:val="nil"/>
              <w:bottom w:val="nil"/>
              <w:right w:val="nil"/>
            </w:tcBorders>
            <w:noWrap/>
            <w:tcMar>
              <w:top w:w="15" w:type="dxa"/>
              <w:left w:w="15" w:type="dxa"/>
              <w:bottom w:w="0" w:type="dxa"/>
              <w:right w:w="15" w:type="dxa"/>
            </w:tcMar>
            <w:vAlign w:val="center"/>
          </w:tcPr>
          <w:p w:rsidR="00D30E57" w:rsidRPr="00C91E9E" w:rsidRDefault="00D30E57" w:rsidP="000B6769">
            <w:pPr>
              <w:spacing w:before="40" w:after="40"/>
              <w:jc w:val="center"/>
              <w:rPr>
                <w:rFonts w:ascii="Tahoma" w:hAnsi="Tahoma" w:cs="Tahoma"/>
                <w:i/>
                <w:iCs/>
                <w:sz w:val="18"/>
                <w:szCs w:val="18"/>
              </w:rPr>
            </w:pPr>
            <w:r w:rsidRPr="004D0962">
              <w:rPr>
                <w:rFonts w:ascii="Tahoma" w:hAnsi="Tahoma" w:cs="Tahoma"/>
                <w:i/>
                <w:iCs/>
                <w:sz w:val="18"/>
                <w:szCs w:val="18"/>
              </w:rPr>
              <w:t>20</w:t>
            </w:r>
            <w:r w:rsidRPr="004D0962">
              <w:rPr>
                <w:rFonts w:ascii="Tahoma" w:hAnsi="Tahoma" w:cs="Tahoma"/>
                <w:i/>
                <w:iCs/>
                <w:sz w:val="18"/>
                <w:szCs w:val="18"/>
                <w:lang w:val="en-US"/>
              </w:rPr>
              <w:t>1</w:t>
            </w:r>
            <w:r>
              <w:rPr>
                <w:rFonts w:ascii="Tahoma" w:hAnsi="Tahoma" w:cs="Tahoma"/>
                <w:i/>
                <w:iCs/>
                <w:sz w:val="18"/>
                <w:szCs w:val="18"/>
              </w:rPr>
              <w:t>1</w:t>
            </w:r>
          </w:p>
        </w:tc>
        <w:tc>
          <w:tcPr>
            <w:tcW w:w="739" w:type="dxa"/>
            <w:tcBorders>
              <w:top w:val="nil"/>
              <w:left w:val="nil"/>
              <w:bottom w:val="nil"/>
              <w:right w:val="single" w:sz="8" w:space="0" w:color="auto"/>
            </w:tcBorders>
            <w:noWrap/>
            <w:tcMar>
              <w:top w:w="15" w:type="dxa"/>
              <w:left w:w="15" w:type="dxa"/>
              <w:bottom w:w="0" w:type="dxa"/>
              <w:right w:w="15" w:type="dxa"/>
            </w:tcMar>
            <w:vAlign w:val="center"/>
          </w:tcPr>
          <w:p w:rsidR="00D30E57" w:rsidRPr="00F97F21" w:rsidRDefault="00D30E57" w:rsidP="000B6769">
            <w:pPr>
              <w:spacing w:before="40" w:after="40"/>
              <w:jc w:val="center"/>
              <w:rPr>
                <w:rFonts w:ascii="Tahoma" w:hAnsi="Tahoma" w:cs="Tahoma"/>
                <w:i/>
                <w:iCs/>
                <w:sz w:val="18"/>
                <w:szCs w:val="18"/>
                <w:lang w:val="en-US"/>
              </w:rPr>
            </w:pPr>
            <w:r>
              <w:rPr>
                <w:rFonts w:ascii="Tahoma" w:hAnsi="Tahoma" w:cs="Tahoma"/>
                <w:i/>
                <w:iCs/>
                <w:sz w:val="18"/>
                <w:szCs w:val="18"/>
                <w:lang w:val="en-US"/>
              </w:rPr>
              <w:t>2012</w:t>
            </w:r>
          </w:p>
        </w:tc>
        <w:tc>
          <w:tcPr>
            <w:tcW w:w="49" w:type="dxa"/>
            <w:tcBorders>
              <w:top w:val="nil"/>
              <w:left w:val="nil"/>
              <w:bottom w:val="single" w:sz="8" w:space="0" w:color="auto"/>
              <w:right w:val="nil"/>
            </w:tcBorders>
            <w:noWrap/>
            <w:tcMar>
              <w:top w:w="15" w:type="dxa"/>
              <w:left w:w="15" w:type="dxa"/>
              <w:bottom w:w="0" w:type="dxa"/>
              <w:right w:w="15" w:type="dxa"/>
            </w:tcMar>
            <w:vAlign w:val="bottom"/>
          </w:tcPr>
          <w:p w:rsidR="00D30E57" w:rsidRPr="004D0962" w:rsidRDefault="00D30E57" w:rsidP="000B6769">
            <w:pPr>
              <w:spacing w:before="40" w:after="40"/>
              <w:jc w:val="center"/>
              <w:rPr>
                <w:rFonts w:ascii="Tahoma" w:hAnsi="Tahoma" w:cs="Tahoma"/>
                <w:i/>
                <w:iCs/>
                <w:sz w:val="18"/>
                <w:szCs w:val="18"/>
              </w:rPr>
            </w:pPr>
          </w:p>
        </w:tc>
        <w:tc>
          <w:tcPr>
            <w:tcW w:w="632" w:type="dxa"/>
            <w:tcBorders>
              <w:top w:val="nil"/>
              <w:left w:val="nil"/>
              <w:bottom w:val="single" w:sz="8" w:space="0" w:color="auto"/>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i/>
                <w:iCs/>
                <w:sz w:val="18"/>
                <w:szCs w:val="18"/>
              </w:rPr>
            </w:pPr>
            <w:r w:rsidRPr="004D0962">
              <w:rPr>
                <w:rFonts w:ascii="Tahoma" w:hAnsi="Tahoma" w:cs="Tahoma"/>
                <w:i/>
                <w:iCs/>
                <w:sz w:val="18"/>
                <w:szCs w:val="18"/>
              </w:rPr>
              <w:t>20</w:t>
            </w:r>
            <w:r w:rsidRPr="004D0962">
              <w:rPr>
                <w:rFonts w:ascii="Tahoma" w:hAnsi="Tahoma" w:cs="Tahoma"/>
                <w:i/>
                <w:iCs/>
                <w:sz w:val="18"/>
                <w:szCs w:val="18"/>
                <w:lang w:val="en-US"/>
              </w:rPr>
              <w:t>11</w:t>
            </w:r>
          </w:p>
        </w:tc>
        <w:tc>
          <w:tcPr>
            <w:tcW w:w="638" w:type="dxa"/>
            <w:tcBorders>
              <w:top w:val="nil"/>
              <w:left w:val="nil"/>
              <w:bottom w:val="single" w:sz="8" w:space="0" w:color="auto"/>
              <w:right w:val="nil"/>
            </w:tcBorders>
            <w:noWrap/>
            <w:tcMar>
              <w:top w:w="15" w:type="dxa"/>
              <w:left w:w="15" w:type="dxa"/>
              <w:bottom w:w="0" w:type="dxa"/>
              <w:right w:w="15" w:type="dxa"/>
            </w:tcMar>
            <w:vAlign w:val="center"/>
          </w:tcPr>
          <w:p w:rsidR="00D30E57" w:rsidRPr="00495321" w:rsidRDefault="00D30E57" w:rsidP="000B6769">
            <w:pPr>
              <w:spacing w:before="40" w:after="40"/>
              <w:jc w:val="center"/>
              <w:rPr>
                <w:rFonts w:ascii="Tahoma" w:hAnsi="Tahoma" w:cs="Tahoma"/>
                <w:i/>
                <w:iCs/>
                <w:sz w:val="18"/>
                <w:szCs w:val="18"/>
              </w:rPr>
            </w:pPr>
            <w:r w:rsidRPr="004D0962">
              <w:rPr>
                <w:rFonts w:ascii="Tahoma" w:hAnsi="Tahoma" w:cs="Tahoma"/>
                <w:i/>
                <w:iCs/>
                <w:sz w:val="18"/>
                <w:szCs w:val="18"/>
              </w:rPr>
              <w:t>20</w:t>
            </w:r>
            <w:r w:rsidRPr="004D0962">
              <w:rPr>
                <w:rFonts w:ascii="Tahoma" w:hAnsi="Tahoma" w:cs="Tahoma"/>
                <w:i/>
                <w:iCs/>
                <w:sz w:val="18"/>
                <w:szCs w:val="18"/>
                <w:lang w:val="en-US"/>
              </w:rPr>
              <w:t>1</w:t>
            </w:r>
            <w:r>
              <w:rPr>
                <w:rFonts w:ascii="Tahoma" w:hAnsi="Tahoma" w:cs="Tahoma"/>
                <w:i/>
                <w:iCs/>
                <w:sz w:val="18"/>
                <w:szCs w:val="18"/>
              </w:rPr>
              <w:t>2</w:t>
            </w:r>
          </w:p>
        </w:tc>
        <w:tc>
          <w:tcPr>
            <w:tcW w:w="574"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D30E57" w:rsidRPr="00495321" w:rsidRDefault="00D30E57" w:rsidP="000B6769">
            <w:pPr>
              <w:spacing w:before="40" w:after="40"/>
              <w:jc w:val="center"/>
              <w:rPr>
                <w:rFonts w:ascii="Tahoma" w:hAnsi="Tahoma" w:cs="Tahoma"/>
                <w:i/>
                <w:iCs/>
                <w:sz w:val="18"/>
                <w:szCs w:val="18"/>
              </w:rPr>
            </w:pPr>
            <w:r>
              <w:rPr>
                <w:rFonts w:ascii="Tahoma" w:hAnsi="Tahoma" w:cs="Tahoma"/>
                <w:i/>
                <w:iCs/>
                <w:sz w:val="18"/>
                <w:szCs w:val="18"/>
              </w:rPr>
              <w:t>2013</w:t>
            </w:r>
          </w:p>
        </w:tc>
        <w:tc>
          <w:tcPr>
            <w:tcW w:w="49" w:type="dxa"/>
            <w:tcBorders>
              <w:top w:val="nil"/>
              <w:left w:val="nil"/>
              <w:bottom w:val="single" w:sz="8" w:space="0" w:color="auto"/>
              <w:right w:val="nil"/>
            </w:tcBorders>
            <w:noWrap/>
            <w:tcMar>
              <w:top w:w="15" w:type="dxa"/>
              <w:left w:w="15" w:type="dxa"/>
              <w:bottom w:w="0" w:type="dxa"/>
              <w:right w:w="15" w:type="dxa"/>
            </w:tcMar>
            <w:vAlign w:val="bottom"/>
          </w:tcPr>
          <w:p w:rsidR="00D30E57" w:rsidRPr="004D0962" w:rsidRDefault="00D30E57" w:rsidP="000B6769">
            <w:pPr>
              <w:spacing w:before="40" w:after="40"/>
              <w:jc w:val="center"/>
              <w:rPr>
                <w:rFonts w:ascii="Tahoma" w:hAnsi="Tahoma" w:cs="Tahoma"/>
                <w:i/>
                <w:iCs/>
                <w:sz w:val="18"/>
                <w:szCs w:val="18"/>
              </w:rPr>
            </w:pPr>
          </w:p>
        </w:tc>
        <w:tc>
          <w:tcPr>
            <w:tcW w:w="533" w:type="dxa"/>
            <w:tcBorders>
              <w:top w:val="nil"/>
              <w:left w:val="nil"/>
              <w:bottom w:val="single" w:sz="8" w:space="0" w:color="auto"/>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i/>
                <w:iCs/>
                <w:sz w:val="18"/>
                <w:szCs w:val="18"/>
              </w:rPr>
            </w:pPr>
            <w:r w:rsidRPr="004D0962">
              <w:rPr>
                <w:rFonts w:ascii="Tahoma" w:hAnsi="Tahoma" w:cs="Tahoma"/>
                <w:i/>
                <w:iCs/>
                <w:sz w:val="18"/>
                <w:szCs w:val="18"/>
              </w:rPr>
              <w:t>20</w:t>
            </w:r>
            <w:r w:rsidRPr="004D0962">
              <w:rPr>
                <w:rFonts w:ascii="Tahoma" w:hAnsi="Tahoma" w:cs="Tahoma"/>
                <w:i/>
                <w:iCs/>
                <w:sz w:val="18"/>
                <w:szCs w:val="18"/>
                <w:lang w:val="en-US"/>
              </w:rPr>
              <w:t>11</w:t>
            </w:r>
          </w:p>
        </w:tc>
        <w:tc>
          <w:tcPr>
            <w:tcW w:w="587" w:type="dxa"/>
            <w:tcBorders>
              <w:top w:val="nil"/>
              <w:left w:val="nil"/>
              <w:bottom w:val="single" w:sz="8" w:space="0" w:color="auto"/>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i/>
                <w:iCs/>
                <w:sz w:val="18"/>
                <w:szCs w:val="18"/>
                <w:lang w:val="en-US"/>
              </w:rPr>
            </w:pPr>
            <w:r>
              <w:rPr>
                <w:rFonts w:ascii="Tahoma" w:hAnsi="Tahoma" w:cs="Tahoma"/>
                <w:i/>
                <w:iCs/>
                <w:sz w:val="18"/>
                <w:szCs w:val="18"/>
              </w:rPr>
              <w:t>2012</w:t>
            </w:r>
          </w:p>
        </w:tc>
        <w:tc>
          <w:tcPr>
            <w:tcW w:w="623"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D30E57" w:rsidRPr="00B219CF" w:rsidRDefault="00D30E57" w:rsidP="000B6769">
            <w:pPr>
              <w:spacing w:before="40" w:after="40"/>
              <w:jc w:val="center"/>
              <w:rPr>
                <w:rFonts w:ascii="Tahoma" w:hAnsi="Tahoma" w:cs="Tahoma"/>
                <w:i/>
                <w:iCs/>
                <w:sz w:val="18"/>
                <w:szCs w:val="18"/>
              </w:rPr>
            </w:pPr>
            <w:r>
              <w:rPr>
                <w:rFonts w:ascii="Tahoma" w:hAnsi="Tahoma" w:cs="Tahoma"/>
                <w:i/>
                <w:iCs/>
                <w:sz w:val="18"/>
                <w:szCs w:val="18"/>
              </w:rPr>
              <w:t>2013</w:t>
            </w:r>
          </w:p>
        </w:tc>
        <w:tc>
          <w:tcPr>
            <w:tcW w:w="49" w:type="dxa"/>
            <w:tcBorders>
              <w:top w:val="nil"/>
              <w:left w:val="nil"/>
              <w:bottom w:val="single" w:sz="8" w:space="0" w:color="auto"/>
              <w:right w:val="nil"/>
            </w:tcBorders>
            <w:noWrap/>
            <w:tcMar>
              <w:top w:w="15" w:type="dxa"/>
              <w:left w:w="15" w:type="dxa"/>
              <w:bottom w:w="0" w:type="dxa"/>
              <w:right w:w="15" w:type="dxa"/>
            </w:tcMar>
            <w:vAlign w:val="bottom"/>
          </w:tcPr>
          <w:p w:rsidR="00D30E57" w:rsidRPr="004D0962" w:rsidRDefault="00D30E57" w:rsidP="000B6769">
            <w:pPr>
              <w:spacing w:before="40" w:after="40"/>
              <w:jc w:val="center"/>
              <w:rPr>
                <w:rFonts w:ascii="Tahoma" w:hAnsi="Tahoma" w:cs="Tahoma"/>
                <w:i/>
                <w:iCs/>
                <w:sz w:val="18"/>
                <w:szCs w:val="18"/>
              </w:rPr>
            </w:pPr>
          </w:p>
        </w:tc>
        <w:tc>
          <w:tcPr>
            <w:tcW w:w="587" w:type="dxa"/>
            <w:tcBorders>
              <w:top w:val="nil"/>
              <w:left w:val="nil"/>
              <w:bottom w:val="single" w:sz="8" w:space="0" w:color="auto"/>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i/>
                <w:iCs/>
                <w:sz w:val="18"/>
                <w:szCs w:val="18"/>
              </w:rPr>
            </w:pPr>
            <w:r w:rsidRPr="004D0962">
              <w:rPr>
                <w:rFonts w:ascii="Tahoma" w:hAnsi="Tahoma" w:cs="Tahoma"/>
                <w:i/>
                <w:iCs/>
                <w:sz w:val="18"/>
                <w:szCs w:val="18"/>
              </w:rPr>
              <w:t>20</w:t>
            </w:r>
            <w:r w:rsidRPr="004D0962">
              <w:rPr>
                <w:rFonts w:ascii="Tahoma" w:hAnsi="Tahoma" w:cs="Tahoma"/>
                <w:i/>
                <w:iCs/>
                <w:sz w:val="18"/>
                <w:szCs w:val="18"/>
                <w:lang w:val="en-US"/>
              </w:rPr>
              <w:t>11</w:t>
            </w:r>
          </w:p>
        </w:tc>
        <w:tc>
          <w:tcPr>
            <w:tcW w:w="705" w:type="dxa"/>
            <w:tcBorders>
              <w:top w:val="nil"/>
              <w:left w:val="nil"/>
              <w:bottom w:val="single" w:sz="8" w:space="0" w:color="auto"/>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i/>
                <w:iCs/>
                <w:sz w:val="18"/>
                <w:szCs w:val="18"/>
                <w:lang w:val="en-US"/>
              </w:rPr>
            </w:pPr>
            <w:r>
              <w:rPr>
                <w:rFonts w:ascii="Tahoma" w:hAnsi="Tahoma" w:cs="Tahoma"/>
                <w:i/>
                <w:iCs/>
                <w:sz w:val="18"/>
                <w:szCs w:val="18"/>
              </w:rPr>
              <w:t>2012</w:t>
            </w:r>
          </w:p>
        </w:tc>
        <w:tc>
          <w:tcPr>
            <w:tcW w:w="675" w:type="dxa"/>
            <w:tcBorders>
              <w:top w:val="nil"/>
              <w:left w:val="nil"/>
              <w:bottom w:val="single" w:sz="8" w:space="0" w:color="auto"/>
              <w:right w:val="single" w:sz="4" w:space="0" w:color="auto"/>
            </w:tcBorders>
            <w:noWrap/>
            <w:tcMar>
              <w:top w:w="15" w:type="dxa"/>
              <w:left w:w="15" w:type="dxa"/>
              <w:bottom w:w="0" w:type="dxa"/>
              <w:right w:w="15" w:type="dxa"/>
            </w:tcMar>
            <w:vAlign w:val="center"/>
          </w:tcPr>
          <w:p w:rsidR="00D30E57" w:rsidRPr="008B420F" w:rsidRDefault="00D30E57" w:rsidP="000B6769">
            <w:pPr>
              <w:spacing w:before="40" w:after="40"/>
              <w:jc w:val="center"/>
              <w:rPr>
                <w:rFonts w:ascii="Tahoma" w:hAnsi="Tahoma" w:cs="Tahoma"/>
                <w:i/>
                <w:iCs/>
                <w:sz w:val="18"/>
                <w:szCs w:val="18"/>
              </w:rPr>
            </w:pPr>
            <w:r>
              <w:rPr>
                <w:rFonts w:ascii="Tahoma" w:hAnsi="Tahoma" w:cs="Tahoma"/>
                <w:i/>
                <w:iCs/>
                <w:sz w:val="18"/>
                <w:szCs w:val="18"/>
              </w:rPr>
              <w:t>2013</w:t>
            </w:r>
          </w:p>
        </w:tc>
      </w:tr>
      <w:tr w:rsidR="00D30E57" w:rsidRPr="009433A4" w:rsidTr="002A5D2E">
        <w:trPr>
          <w:trHeight w:hRule="exact" w:val="271"/>
          <w:jc w:val="center"/>
        </w:trPr>
        <w:tc>
          <w:tcPr>
            <w:tcW w:w="2254" w:type="dxa"/>
            <w:tcBorders>
              <w:top w:val="single" w:sz="8" w:space="0" w:color="auto"/>
              <w:left w:val="single" w:sz="4" w:space="0" w:color="auto"/>
              <w:bottom w:val="nil"/>
              <w:right w:val="nil"/>
            </w:tcBorders>
            <w:noWrap/>
            <w:tcMar>
              <w:top w:w="15" w:type="dxa"/>
              <w:left w:w="15" w:type="dxa"/>
              <w:bottom w:w="0" w:type="dxa"/>
              <w:right w:w="15" w:type="dxa"/>
            </w:tcMar>
            <w:vAlign w:val="bottom"/>
          </w:tcPr>
          <w:p w:rsidR="00D30E57" w:rsidRPr="004D0962" w:rsidRDefault="00D30E57" w:rsidP="000B6769">
            <w:pPr>
              <w:spacing w:before="40" w:after="40"/>
              <w:rPr>
                <w:rFonts w:ascii="Tahoma" w:hAnsi="Tahoma" w:cs="Tahoma"/>
                <w:sz w:val="18"/>
                <w:szCs w:val="18"/>
              </w:rPr>
            </w:pPr>
            <w:r w:rsidRPr="004D0962">
              <w:rPr>
                <w:rFonts w:ascii="Tahoma" w:hAnsi="Tahoma" w:cs="Tahoma"/>
                <w:sz w:val="18"/>
                <w:szCs w:val="18"/>
              </w:rPr>
              <w:t xml:space="preserve">ΑΕΠ </w:t>
            </w:r>
          </w:p>
        </w:tc>
        <w:tc>
          <w:tcPr>
            <w:tcW w:w="49" w:type="dxa"/>
            <w:tcBorders>
              <w:top w:val="single" w:sz="8" w:space="0" w:color="auto"/>
              <w:left w:val="single" w:sz="8" w:space="0" w:color="auto"/>
              <w:bottom w:val="nil"/>
              <w:right w:val="nil"/>
            </w:tcBorders>
            <w:noWrap/>
            <w:tcMar>
              <w:top w:w="15" w:type="dxa"/>
              <w:left w:w="15" w:type="dxa"/>
              <w:bottom w:w="0" w:type="dxa"/>
              <w:right w:w="15" w:type="dxa"/>
            </w:tcMar>
            <w:vAlign w:val="bottom"/>
          </w:tcPr>
          <w:p w:rsidR="00D30E57" w:rsidRPr="004D0962" w:rsidRDefault="00D30E57" w:rsidP="000B6769">
            <w:pPr>
              <w:spacing w:before="40" w:after="40"/>
              <w:jc w:val="center"/>
              <w:rPr>
                <w:rFonts w:ascii="Tahoma" w:hAnsi="Tahoma" w:cs="Tahoma"/>
                <w:sz w:val="18"/>
                <w:szCs w:val="18"/>
              </w:rPr>
            </w:pPr>
          </w:p>
        </w:tc>
        <w:tc>
          <w:tcPr>
            <w:tcW w:w="698" w:type="dxa"/>
            <w:tcBorders>
              <w:top w:val="single" w:sz="8" w:space="0" w:color="auto"/>
              <w:left w:val="nil"/>
              <w:bottom w:val="nil"/>
              <w:right w:val="nil"/>
            </w:tcBorders>
            <w:noWrap/>
            <w:tcMar>
              <w:top w:w="15" w:type="dxa"/>
              <w:left w:w="15" w:type="dxa"/>
              <w:bottom w:w="0" w:type="dxa"/>
              <w:right w:w="15" w:type="dxa"/>
            </w:tcMar>
            <w:vAlign w:val="center"/>
          </w:tcPr>
          <w:p w:rsidR="00D30E57" w:rsidRPr="004708B2" w:rsidRDefault="00D30E57" w:rsidP="000B6769">
            <w:pPr>
              <w:jc w:val="center"/>
              <w:rPr>
                <w:rFonts w:ascii="Tahoma" w:hAnsi="Tahoma" w:cs="Tahoma"/>
                <w:sz w:val="18"/>
                <w:szCs w:val="18"/>
              </w:rPr>
            </w:pPr>
            <w:r>
              <w:rPr>
                <w:rFonts w:ascii="Tahoma" w:hAnsi="Tahoma" w:cs="Tahoma"/>
                <w:sz w:val="18"/>
                <w:szCs w:val="18"/>
                <w:lang w:val="en-US"/>
              </w:rPr>
              <w:t>-3</w:t>
            </w:r>
            <w:r w:rsidRPr="001E2138">
              <w:rPr>
                <w:rFonts w:ascii="Tahoma" w:hAnsi="Tahoma" w:cs="Tahoma"/>
                <w:sz w:val="18"/>
                <w:szCs w:val="18"/>
                <w:lang w:val="en-US"/>
              </w:rPr>
              <w:t>,</w:t>
            </w:r>
            <w:r>
              <w:rPr>
                <w:rFonts w:ascii="Tahoma" w:hAnsi="Tahoma" w:cs="Tahoma"/>
                <w:sz w:val="18"/>
                <w:szCs w:val="18"/>
              </w:rPr>
              <w:t>5</w:t>
            </w:r>
          </w:p>
        </w:tc>
        <w:tc>
          <w:tcPr>
            <w:tcW w:w="648" w:type="dxa"/>
            <w:tcBorders>
              <w:top w:val="single" w:sz="8" w:space="0" w:color="auto"/>
              <w:left w:val="nil"/>
              <w:bottom w:val="nil"/>
              <w:right w:val="nil"/>
            </w:tcBorders>
            <w:noWrap/>
            <w:tcMar>
              <w:top w:w="15" w:type="dxa"/>
              <w:left w:w="15" w:type="dxa"/>
              <w:bottom w:w="0" w:type="dxa"/>
              <w:right w:w="15" w:type="dxa"/>
            </w:tcMar>
            <w:vAlign w:val="center"/>
          </w:tcPr>
          <w:p w:rsidR="00D30E57" w:rsidRPr="004708B2" w:rsidRDefault="00D30E57" w:rsidP="000B6769">
            <w:pPr>
              <w:jc w:val="center"/>
              <w:rPr>
                <w:rFonts w:ascii="Tahoma" w:hAnsi="Tahoma" w:cs="Tahoma"/>
                <w:sz w:val="18"/>
                <w:szCs w:val="18"/>
              </w:rPr>
            </w:pPr>
            <w:r>
              <w:rPr>
                <w:rFonts w:ascii="Tahoma" w:hAnsi="Tahoma" w:cs="Tahoma"/>
                <w:sz w:val="18"/>
                <w:szCs w:val="18"/>
                <w:lang w:val="en-US"/>
              </w:rPr>
              <w:t>-5,</w:t>
            </w:r>
            <w:r>
              <w:rPr>
                <w:rFonts w:ascii="Tahoma" w:hAnsi="Tahoma" w:cs="Tahoma"/>
                <w:sz w:val="18"/>
                <w:szCs w:val="18"/>
              </w:rPr>
              <w:t>5</w:t>
            </w:r>
          </w:p>
        </w:tc>
        <w:tc>
          <w:tcPr>
            <w:tcW w:w="739" w:type="dxa"/>
            <w:tcBorders>
              <w:top w:val="single" w:sz="8" w:space="0" w:color="auto"/>
              <w:left w:val="nil"/>
              <w:bottom w:val="nil"/>
              <w:right w:val="single" w:sz="8" w:space="0" w:color="auto"/>
            </w:tcBorders>
            <w:tcMar>
              <w:top w:w="15" w:type="dxa"/>
              <w:left w:w="15" w:type="dxa"/>
              <w:bottom w:w="0" w:type="dxa"/>
              <w:right w:w="15" w:type="dxa"/>
            </w:tcMar>
            <w:vAlign w:val="center"/>
          </w:tcPr>
          <w:p w:rsidR="00D30E57" w:rsidRPr="004708B2" w:rsidRDefault="00D30E57" w:rsidP="000B6769">
            <w:pPr>
              <w:jc w:val="center"/>
              <w:rPr>
                <w:rFonts w:ascii="Tahoma" w:hAnsi="Tahoma" w:cs="Tahoma"/>
                <w:sz w:val="18"/>
                <w:szCs w:val="18"/>
              </w:rPr>
            </w:pPr>
            <w:r>
              <w:rPr>
                <w:rFonts w:ascii="Tahoma" w:hAnsi="Tahoma" w:cs="Tahoma"/>
                <w:sz w:val="18"/>
                <w:szCs w:val="18"/>
              </w:rPr>
              <w:t>-2</w:t>
            </w:r>
            <w:r>
              <w:rPr>
                <w:rFonts w:ascii="Tahoma" w:hAnsi="Tahoma" w:cs="Tahoma"/>
                <w:sz w:val="18"/>
                <w:szCs w:val="18"/>
                <w:lang w:val="en-US"/>
              </w:rPr>
              <w:t>,</w:t>
            </w:r>
            <w:r>
              <w:rPr>
                <w:rFonts w:ascii="Tahoma" w:hAnsi="Tahoma" w:cs="Tahoma"/>
                <w:sz w:val="18"/>
                <w:szCs w:val="18"/>
              </w:rPr>
              <w:t>8</w:t>
            </w:r>
          </w:p>
        </w:tc>
        <w:tc>
          <w:tcPr>
            <w:tcW w:w="49" w:type="dxa"/>
            <w:tcBorders>
              <w:top w:val="nil"/>
              <w:left w:val="nil"/>
              <w:bottom w:val="nil"/>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sz w:val="18"/>
                <w:szCs w:val="18"/>
              </w:rPr>
            </w:pPr>
          </w:p>
        </w:tc>
        <w:tc>
          <w:tcPr>
            <w:tcW w:w="632" w:type="dxa"/>
            <w:tcBorders>
              <w:top w:val="nil"/>
              <w:left w:val="nil"/>
              <w:bottom w:val="nil"/>
              <w:right w:val="nil"/>
            </w:tcBorders>
            <w:noWrap/>
            <w:tcMar>
              <w:top w:w="15" w:type="dxa"/>
              <w:left w:w="15" w:type="dxa"/>
              <w:bottom w:w="0" w:type="dxa"/>
              <w:right w:w="15" w:type="dxa"/>
            </w:tcMar>
            <w:vAlign w:val="center"/>
          </w:tcPr>
          <w:p w:rsidR="00D30E57" w:rsidRPr="00D13897" w:rsidRDefault="00D30E57" w:rsidP="000B6769">
            <w:pPr>
              <w:jc w:val="center"/>
              <w:rPr>
                <w:rFonts w:ascii="Tahoma" w:hAnsi="Tahoma" w:cs="Tahoma"/>
                <w:sz w:val="18"/>
                <w:szCs w:val="18"/>
                <w:lang w:val="en-US"/>
              </w:rPr>
            </w:pPr>
            <w:r w:rsidRPr="00D13897">
              <w:rPr>
                <w:rFonts w:ascii="Tahoma" w:hAnsi="Tahoma" w:cs="Tahoma"/>
                <w:sz w:val="18"/>
                <w:szCs w:val="18"/>
                <w:lang w:val="en-US"/>
              </w:rPr>
              <w:t>-6,</w:t>
            </w:r>
            <w:r w:rsidRPr="00D13897">
              <w:rPr>
                <w:rFonts w:ascii="Tahoma" w:hAnsi="Tahoma" w:cs="Tahoma"/>
                <w:sz w:val="18"/>
                <w:szCs w:val="18"/>
              </w:rPr>
              <w:t>9</w:t>
            </w:r>
          </w:p>
        </w:tc>
        <w:tc>
          <w:tcPr>
            <w:tcW w:w="638" w:type="dxa"/>
            <w:tcBorders>
              <w:top w:val="nil"/>
              <w:left w:val="nil"/>
              <w:bottom w:val="nil"/>
              <w:right w:val="nil"/>
            </w:tcBorders>
            <w:noWrap/>
            <w:tcMar>
              <w:top w:w="15" w:type="dxa"/>
              <w:left w:w="15" w:type="dxa"/>
              <w:bottom w:w="0" w:type="dxa"/>
              <w:right w:w="15" w:type="dxa"/>
            </w:tcMar>
            <w:vAlign w:val="center"/>
          </w:tcPr>
          <w:p w:rsidR="00D30E57" w:rsidRPr="00D13897" w:rsidRDefault="00D30E57" w:rsidP="000B6769">
            <w:pPr>
              <w:jc w:val="center"/>
              <w:rPr>
                <w:rFonts w:ascii="Tahoma" w:hAnsi="Tahoma" w:cs="Tahoma"/>
                <w:sz w:val="18"/>
                <w:szCs w:val="18"/>
                <w:lang w:val="en-US"/>
              </w:rPr>
            </w:pPr>
            <w:r w:rsidRPr="00D13897">
              <w:rPr>
                <w:rFonts w:ascii="Tahoma" w:hAnsi="Tahoma" w:cs="Tahoma"/>
                <w:sz w:val="18"/>
                <w:szCs w:val="18"/>
                <w:lang w:val="en-US"/>
              </w:rPr>
              <w:t>-4,</w:t>
            </w:r>
            <w:r w:rsidRPr="00D13897">
              <w:rPr>
                <w:rFonts w:ascii="Tahoma" w:hAnsi="Tahoma" w:cs="Tahoma"/>
                <w:sz w:val="18"/>
                <w:szCs w:val="18"/>
              </w:rPr>
              <w:t>7</w:t>
            </w:r>
          </w:p>
        </w:tc>
        <w:tc>
          <w:tcPr>
            <w:tcW w:w="574" w:type="dxa"/>
            <w:tcBorders>
              <w:top w:val="nil"/>
              <w:left w:val="nil"/>
              <w:bottom w:val="nil"/>
              <w:right w:val="single" w:sz="8" w:space="0" w:color="auto"/>
            </w:tcBorders>
            <w:noWrap/>
            <w:tcMar>
              <w:top w:w="15" w:type="dxa"/>
              <w:left w:w="15" w:type="dxa"/>
              <w:bottom w:w="0" w:type="dxa"/>
              <w:right w:w="15" w:type="dxa"/>
            </w:tcMar>
            <w:vAlign w:val="center"/>
          </w:tcPr>
          <w:p w:rsidR="00D30E57" w:rsidRPr="002449EC" w:rsidRDefault="00D30E57" w:rsidP="000B6769">
            <w:pPr>
              <w:jc w:val="center"/>
              <w:rPr>
                <w:rFonts w:ascii="Tahoma" w:hAnsi="Tahoma" w:cs="Tahoma"/>
                <w:sz w:val="18"/>
                <w:szCs w:val="18"/>
              </w:rPr>
            </w:pPr>
            <w:r>
              <w:rPr>
                <w:rFonts w:ascii="Tahoma" w:hAnsi="Tahoma" w:cs="Tahoma"/>
                <w:sz w:val="18"/>
                <w:szCs w:val="18"/>
                <w:lang w:val="en-US"/>
              </w:rPr>
              <w:t>-</w:t>
            </w:r>
            <w:r>
              <w:rPr>
                <w:rFonts w:ascii="Tahoma" w:hAnsi="Tahoma" w:cs="Tahoma"/>
                <w:sz w:val="18"/>
                <w:szCs w:val="18"/>
              </w:rPr>
              <w:t>0</w:t>
            </w:r>
            <w:r>
              <w:rPr>
                <w:rFonts w:ascii="Tahoma" w:hAnsi="Tahoma" w:cs="Tahoma"/>
                <w:sz w:val="18"/>
                <w:szCs w:val="18"/>
                <w:lang w:val="en-US"/>
              </w:rPr>
              <w:t>,</w:t>
            </w:r>
            <w:r>
              <w:rPr>
                <w:rFonts w:ascii="Tahoma" w:hAnsi="Tahoma" w:cs="Tahoma"/>
                <w:sz w:val="18"/>
                <w:szCs w:val="18"/>
              </w:rPr>
              <w:t>0</w:t>
            </w:r>
          </w:p>
        </w:tc>
        <w:tc>
          <w:tcPr>
            <w:tcW w:w="49" w:type="dxa"/>
            <w:tcBorders>
              <w:top w:val="nil"/>
              <w:left w:val="nil"/>
              <w:bottom w:val="nil"/>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sz w:val="18"/>
                <w:szCs w:val="18"/>
              </w:rPr>
            </w:pPr>
          </w:p>
        </w:tc>
        <w:tc>
          <w:tcPr>
            <w:tcW w:w="533" w:type="dxa"/>
            <w:tcBorders>
              <w:top w:val="nil"/>
              <w:left w:val="nil"/>
              <w:bottom w:val="nil"/>
              <w:right w:val="nil"/>
            </w:tcBorders>
            <w:noWrap/>
            <w:tcMar>
              <w:top w:w="15" w:type="dxa"/>
              <w:left w:w="15" w:type="dxa"/>
              <w:bottom w:w="0" w:type="dxa"/>
              <w:right w:w="15" w:type="dxa"/>
            </w:tcMar>
            <w:vAlign w:val="center"/>
          </w:tcPr>
          <w:p w:rsidR="00D30E57" w:rsidRPr="00F53C39" w:rsidRDefault="00D30E57" w:rsidP="000B6769">
            <w:pPr>
              <w:jc w:val="center"/>
              <w:rPr>
                <w:rFonts w:ascii="Tahoma" w:hAnsi="Tahoma" w:cs="Tahoma"/>
                <w:sz w:val="18"/>
                <w:szCs w:val="18"/>
                <w:lang w:val="en-US"/>
              </w:rPr>
            </w:pPr>
            <w:r>
              <w:rPr>
                <w:rFonts w:ascii="Tahoma" w:hAnsi="Tahoma" w:cs="Tahoma"/>
                <w:sz w:val="18"/>
                <w:szCs w:val="18"/>
                <w:lang w:val="en-US"/>
              </w:rPr>
              <w:t>-6,1</w:t>
            </w:r>
          </w:p>
        </w:tc>
        <w:tc>
          <w:tcPr>
            <w:tcW w:w="587" w:type="dxa"/>
            <w:tcBorders>
              <w:top w:val="nil"/>
              <w:left w:val="nil"/>
              <w:bottom w:val="nil"/>
              <w:right w:val="nil"/>
            </w:tcBorders>
            <w:noWrap/>
            <w:tcMar>
              <w:top w:w="15" w:type="dxa"/>
              <w:left w:w="15" w:type="dxa"/>
              <w:bottom w:w="0" w:type="dxa"/>
              <w:right w:w="15" w:type="dxa"/>
            </w:tcMar>
            <w:vAlign w:val="center"/>
          </w:tcPr>
          <w:p w:rsidR="00D30E57" w:rsidRPr="003338D4" w:rsidRDefault="00D30E57" w:rsidP="000B6769">
            <w:pPr>
              <w:jc w:val="center"/>
              <w:rPr>
                <w:rFonts w:ascii="Tahoma" w:hAnsi="Tahoma" w:cs="Tahoma"/>
                <w:sz w:val="18"/>
                <w:szCs w:val="18"/>
                <w:lang w:val="en-US"/>
              </w:rPr>
            </w:pPr>
            <w:r>
              <w:rPr>
                <w:rFonts w:ascii="Tahoma" w:hAnsi="Tahoma" w:cs="Tahoma"/>
                <w:sz w:val="18"/>
                <w:szCs w:val="18"/>
                <w:lang w:val="en-US"/>
              </w:rPr>
              <w:t>-3,0</w:t>
            </w:r>
          </w:p>
        </w:tc>
        <w:tc>
          <w:tcPr>
            <w:tcW w:w="623" w:type="dxa"/>
            <w:tcBorders>
              <w:top w:val="nil"/>
              <w:left w:val="nil"/>
              <w:bottom w:val="nil"/>
              <w:right w:val="single" w:sz="8" w:space="0" w:color="auto"/>
            </w:tcBorders>
            <w:noWrap/>
            <w:tcMar>
              <w:top w:w="15" w:type="dxa"/>
              <w:left w:w="15" w:type="dxa"/>
              <w:bottom w:w="0" w:type="dxa"/>
              <w:right w:w="15" w:type="dxa"/>
            </w:tcMar>
            <w:vAlign w:val="center"/>
          </w:tcPr>
          <w:p w:rsidR="00D30E57" w:rsidRPr="008C434D" w:rsidRDefault="00D30E57" w:rsidP="000B6769">
            <w:pPr>
              <w:jc w:val="center"/>
              <w:rPr>
                <w:rFonts w:ascii="Tahoma" w:hAnsi="Tahoma" w:cs="Tahoma"/>
                <w:sz w:val="18"/>
                <w:szCs w:val="18"/>
              </w:rPr>
            </w:pPr>
            <w:r>
              <w:rPr>
                <w:rFonts w:ascii="Tahoma" w:hAnsi="Tahoma" w:cs="Tahoma"/>
                <w:sz w:val="18"/>
                <w:szCs w:val="18"/>
              </w:rPr>
              <w:t>0,5</w:t>
            </w:r>
          </w:p>
        </w:tc>
        <w:tc>
          <w:tcPr>
            <w:tcW w:w="49" w:type="dxa"/>
            <w:tcBorders>
              <w:top w:val="nil"/>
              <w:left w:val="nil"/>
              <w:bottom w:val="nil"/>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sz w:val="18"/>
                <w:szCs w:val="18"/>
              </w:rPr>
            </w:pPr>
          </w:p>
        </w:tc>
        <w:tc>
          <w:tcPr>
            <w:tcW w:w="587" w:type="dxa"/>
            <w:tcBorders>
              <w:top w:val="nil"/>
              <w:left w:val="nil"/>
              <w:bottom w:val="nil"/>
              <w:right w:val="nil"/>
            </w:tcBorders>
            <w:noWrap/>
            <w:tcMar>
              <w:top w:w="15" w:type="dxa"/>
              <w:left w:w="15" w:type="dxa"/>
              <w:bottom w:w="0" w:type="dxa"/>
              <w:right w:w="15" w:type="dxa"/>
            </w:tcMar>
            <w:vAlign w:val="center"/>
          </w:tcPr>
          <w:p w:rsidR="00D30E57" w:rsidRPr="00394C6B" w:rsidRDefault="00D30E57" w:rsidP="000B6769">
            <w:pPr>
              <w:jc w:val="center"/>
              <w:rPr>
                <w:rFonts w:ascii="Tahoma" w:hAnsi="Tahoma" w:cs="Tahoma"/>
                <w:sz w:val="18"/>
                <w:szCs w:val="18"/>
              </w:rPr>
            </w:pPr>
            <w:r>
              <w:rPr>
                <w:rFonts w:ascii="Tahoma" w:hAnsi="Tahoma" w:cs="Tahoma"/>
                <w:sz w:val="18"/>
                <w:szCs w:val="18"/>
                <w:lang w:val="en-US"/>
              </w:rPr>
              <w:t>-</w:t>
            </w:r>
            <w:r>
              <w:rPr>
                <w:rFonts w:ascii="Tahoma" w:hAnsi="Tahoma" w:cs="Tahoma"/>
                <w:sz w:val="18"/>
                <w:szCs w:val="18"/>
              </w:rPr>
              <w:t>6</w:t>
            </w:r>
            <w:r w:rsidRPr="008B420F">
              <w:rPr>
                <w:rFonts w:ascii="Tahoma" w:hAnsi="Tahoma" w:cs="Tahoma"/>
                <w:sz w:val="18"/>
                <w:szCs w:val="18"/>
                <w:lang w:val="en-US"/>
              </w:rPr>
              <w:t>,</w:t>
            </w:r>
            <w:r>
              <w:rPr>
                <w:rFonts w:ascii="Tahoma" w:hAnsi="Tahoma" w:cs="Tahoma"/>
                <w:sz w:val="18"/>
                <w:szCs w:val="18"/>
              </w:rPr>
              <w:t>9</w:t>
            </w:r>
          </w:p>
        </w:tc>
        <w:tc>
          <w:tcPr>
            <w:tcW w:w="705" w:type="dxa"/>
            <w:tcBorders>
              <w:top w:val="nil"/>
              <w:left w:val="nil"/>
              <w:bottom w:val="nil"/>
              <w:right w:val="nil"/>
            </w:tcBorders>
            <w:noWrap/>
            <w:tcMar>
              <w:top w:w="15" w:type="dxa"/>
              <w:left w:w="15" w:type="dxa"/>
              <w:bottom w:w="0" w:type="dxa"/>
              <w:right w:w="15" w:type="dxa"/>
            </w:tcMar>
            <w:vAlign w:val="center"/>
          </w:tcPr>
          <w:p w:rsidR="00D30E57" w:rsidRPr="00B80788" w:rsidRDefault="00D30E57" w:rsidP="000B6769">
            <w:pPr>
              <w:jc w:val="center"/>
              <w:rPr>
                <w:rFonts w:ascii="Tahoma" w:hAnsi="Tahoma" w:cs="Tahoma"/>
                <w:sz w:val="18"/>
                <w:szCs w:val="18"/>
                <w:lang w:val="en-US"/>
              </w:rPr>
            </w:pPr>
            <w:r>
              <w:rPr>
                <w:rFonts w:ascii="Tahoma" w:hAnsi="Tahoma" w:cs="Tahoma"/>
                <w:sz w:val="18"/>
                <w:szCs w:val="18"/>
                <w:lang w:val="en-US"/>
              </w:rPr>
              <w:t>-4</w:t>
            </w:r>
            <w:r w:rsidRPr="008B420F">
              <w:rPr>
                <w:rFonts w:ascii="Tahoma" w:hAnsi="Tahoma" w:cs="Tahoma"/>
                <w:sz w:val="18"/>
                <w:szCs w:val="18"/>
                <w:lang w:val="en-US"/>
              </w:rPr>
              <w:t>,</w:t>
            </w:r>
            <w:r>
              <w:rPr>
                <w:rFonts w:ascii="Tahoma" w:hAnsi="Tahoma" w:cs="Tahoma"/>
                <w:sz w:val="18"/>
                <w:szCs w:val="18"/>
                <w:lang w:val="en-US"/>
              </w:rPr>
              <w:t>8</w:t>
            </w:r>
          </w:p>
        </w:tc>
        <w:tc>
          <w:tcPr>
            <w:tcW w:w="675" w:type="dxa"/>
            <w:tcBorders>
              <w:top w:val="nil"/>
              <w:left w:val="nil"/>
              <w:bottom w:val="nil"/>
              <w:right w:val="single" w:sz="4" w:space="0" w:color="auto"/>
            </w:tcBorders>
            <w:noWrap/>
            <w:tcMar>
              <w:top w:w="15" w:type="dxa"/>
              <w:left w:w="15" w:type="dxa"/>
              <w:bottom w:w="0" w:type="dxa"/>
              <w:right w:w="15" w:type="dxa"/>
            </w:tcMar>
            <w:vAlign w:val="center"/>
          </w:tcPr>
          <w:p w:rsidR="00D30E57" w:rsidRPr="00B80788" w:rsidRDefault="00D30E57" w:rsidP="000B6769">
            <w:pPr>
              <w:jc w:val="center"/>
              <w:rPr>
                <w:rFonts w:ascii="Tahoma" w:hAnsi="Tahoma" w:cs="Tahoma"/>
                <w:sz w:val="18"/>
                <w:szCs w:val="18"/>
                <w:lang w:val="en-US"/>
              </w:rPr>
            </w:pPr>
            <w:r>
              <w:rPr>
                <w:rFonts w:ascii="Tahoma" w:hAnsi="Tahoma" w:cs="Tahoma"/>
                <w:sz w:val="18"/>
                <w:szCs w:val="18"/>
                <w:lang w:val="en-US"/>
              </w:rPr>
              <w:t>0,0</w:t>
            </w:r>
          </w:p>
        </w:tc>
      </w:tr>
      <w:tr w:rsidR="00D30E57" w:rsidRPr="009433A4" w:rsidTr="002A5D2E">
        <w:trPr>
          <w:trHeight w:hRule="exact" w:val="271"/>
          <w:jc w:val="center"/>
        </w:trPr>
        <w:tc>
          <w:tcPr>
            <w:tcW w:w="2254" w:type="dxa"/>
            <w:tcBorders>
              <w:top w:val="nil"/>
              <w:left w:val="single" w:sz="4" w:space="0" w:color="auto"/>
              <w:bottom w:val="nil"/>
              <w:right w:val="nil"/>
            </w:tcBorders>
            <w:noWrap/>
            <w:tcMar>
              <w:top w:w="0" w:type="dxa"/>
              <w:left w:w="15" w:type="dxa"/>
              <w:bottom w:w="0" w:type="dxa"/>
              <w:right w:w="15" w:type="dxa"/>
            </w:tcMar>
            <w:vAlign w:val="bottom"/>
          </w:tcPr>
          <w:p w:rsidR="00D30E57" w:rsidRPr="004D0962" w:rsidRDefault="00D30E57" w:rsidP="000B6769">
            <w:pPr>
              <w:spacing w:before="40" w:after="40"/>
              <w:rPr>
                <w:rFonts w:ascii="Tahoma" w:hAnsi="Tahoma" w:cs="Tahoma"/>
                <w:sz w:val="18"/>
                <w:szCs w:val="18"/>
              </w:rPr>
            </w:pPr>
            <w:r w:rsidRPr="00ED2E85">
              <w:rPr>
                <w:rFonts w:ascii="Tahoma" w:hAnsi="Tahoma" w:cs="Tahoma"/>
                <w:sz w:val="18"/>
                <w:szCs w:val="18"/>
              </w:rPr>
              <w:t>Τελική Ζήτηση</w:t>
            </w:r>
          </w:p>
        </w:tc>
        <w:tc>
          <w:tcPr>
            <w:tcW w:w="49" w:type="dxa"/>
            <w:tcBorders>
              <w:top w:val="nil"/>
              <w:left w:val="single" w:sz="8" w:space="0" w:color="auto"/>
              <w:bottom w:val="nil"/>
              <w:right w:val="nil"/>
            </w:tcBorders>
            <w:noWrap/>
            <w:tcMar>
              <w:top w:w="0" w:type="dxa"/>
              <w:left w:w="15" w:type="dxa"/>
              <w:bottom w:w="0" w:type="dxa"/>
              <w:right w:w="15" w:type="dxa"/>
            </w:tcMar>
            <w:vAlign w:val="bottom"/>
          </w:tcPr>
          <w:p w:rsidR="00D30E57" w:rsidRPr="004D0962" w:rsidRDefault="00D30E57" w:rsidP="000B6769">
            <w:pPr>
              <w:spacing w:before="40" w:after="40"/>
              <w:jc w:val="center"/>
              <w:rPr>
                <w:rFonts w:ascii="Tahoma" w:hAnsi="Tahoma" w:cs="Tahoma"/>
                <w:sz w:val="18"/>
                <w:szCs w:val="18"/>
              </w:rPr>
            </w:pPr>
          </w:p>
        </w:tc>
        <w:tc>
          <w:tcPr>
            <w:tcW w:w="698" w:type="dxa"/>
            <w:tcBorders>
              <w:top w:val="nil"/>
              <w:left w:val="nil"/>
              <w:bottom w:val="nil"/>
              <w:right w:val="nil"/>
            </w:tcBorders>
            <w:noWrap/>
            <w:tcMar>
              <w:top w:w="0" w:type="dxa"/>
              <w:left w:w="15" w:type="dxa"/>
              <w:bottom w:w="0" w:type="dxa"/>
              <w:right w:w="15" w:type="dxa"/>
            </w:tcMar>
            <w:vAlign w:val="center"/>
          </w:tcPr>
          <w:p w:rsidR="00D30E57" w:rsidRPr="00C37A02" w:rsidRDefault="00D30E57" w:rsidP="000B6769">
            <w:pPr>
              <w:spacing w:before="40" w:after="40"/>
              <w:jc w:val="center"/>
              <w:rPr>
                <w:rFonts w:ascii="Tahoma" w:hAnsi="Tahoma" w:cs="Tahoma"/>
                <w:sz w:val="18"/>
                <w:szCs w:val="18"/>
              </w:rPr>
            </w:pPr>
            <w:r w:rsidRPr="00C37A02">
              <w:rPr>
                <w:rFonts w:ascii="Tahoma" w:hAnsi="Tahoma" w:cs="Tahoma"/>
                <w:sz w:val="18"/>
                <w:szCs w:val="18"/>
              </w:rPr>
              <w:t>:</w:t>
            </w:r>
          </w:p>
        </w:tc>
        <w:tc>
          <w:tcPr>
            <w:tcW w:w="648" w:type="dxa"/>
            <w:tcBorders>
              <w:top w:val="nil"/>
              <w:left w:val="nil"/>
              <w:bottom w:val="nil"/>
              <w:right w:val="nil"/>
            </w:tcBorders>
            <w:noWrap/>
            <w:tcMar>
              <w:top w:w="0" w:type="dxa"/>
              <w:left w:w="15" w:type="dxa"/>
              <w:bottom w:w="0" w:type="dxa"/>
              <w:right w:w="15" w:type="dxa"/>
            </w:tcMar>
            <w:vAlign w:val="center"/>
          </w:tcPr>
          <w:p w:rsidR="00D30E57" w:rsidRPr="00C37A02" w:rsidRDefault="00D30E57" w:rsidP="000B6769">
            <w:pPr>
              <w:spacing w:before="40" w:after="40"/>
              <w:jc w:val="center"/>
              <w:rPr>
                <w:rFonts w:ascii="Tahoma" w:hAnsi="Tahoma" w:cs="Tahoma"/>
                <w:sz w:val="18"/>
                <w:szCs w:val="18"/>
              </w:rPr>
            </w:pPr>
            <w:r w:rsidRPr="00C37A02">
              <w:rPr>
                <w:rFonts w:ascii="Tahoma" w:hAnsi="Tahoma" w:cs="Tahoma"/>
                <w:sz w:val="18"/>
                <w:szCs w:val="18"/>
              </w:rPr>
              <w:t>:</w:t>
            </w:r>
          </w:p>
        </w:tc>
        <w:tc>
          <w:tcPr>
            <w:tcW w:w="739" w:type="dxa"/>
            <w:tcBorders>
              <w:top w:val="nil"/>
              <w:left w:val="nil"/>
              <w:bottom w:val="nil"/>
              <w:right w:val="single" w:sz="8" w:space="0" w:color="auto"/>
            </w:tcBorders>
            <w:tcMar>
              <w:top w:w="0" w:type="dxa"/>
              <w:left w:w="15" w:type="dxa"/>
              <w:bottom w:w="0" w:type="dxa"/>
              <w:right w:w="15" w:type="dxa"/>
            </w:tcMar>
            <w:vAlign w:val="center"/>
          </w:tcPr>
          <w:p w:rsidR="00D30E57" w:rsidRPr="00C37A02" w:rsidRDefault="00D30E57" w:rsidP="000B6769">
            <w:pPr>
              <w:spacing w:before="40" w:after="40"/>
              <w:jc w:val="center"/>
              <w:rPr>
                <w:rFonts w:ascii="Tahoma" w:hAnsi="Tahoma" w:cs="Tahoma"/>
                <w:sz w:val="18"/>
                <w:szCs w:val="18"/>
              </w:rPr>
            </w:pPr>
            <w:r w:rsidRPr="00C37A02">
              <w:rPr>
                <w:rFonts w:ascii="Tahoma" w:hAnsi="Tahoma" w:cs="Tahoma"/>
                <w:sz w:val="18"/>
                <w:szCs w:val="18"/>
              </w:rPr>
              <w:t>:</w:t>
            </w:r>
          </w:p>
        </w:tc>
        <w:tc>
          <w:tcPr>
            <w:tcW w:w="49" w:type="dxa"/>
            <w:tcBorders>
              <w:top w:val="nil"/>
              <w:left w:val="nil"/>
              <w:bottom w:val="nil"/>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sz w:val="18"/>
                <w:szCs w:val="18"/>
              </w:rPr>
            </w:pPr>
          </w:p>
        </w:tc>
        <w:tc>
          <w:tcPr>
            <w:tcW w:w="632" w:type="dxa"/>
            <w:tcBorders>
              <w:top w:val="nil"/>
              <w:left w:val="nil"/>
              <w:bottom w:val="nil"/>
              <w:right w:val="nil"/>
            </w:tcBorders>
            <w:noWrap/>
            <w:tcMar>
              <w:top w:w="0" w:type="dxa"/>
              <w:left w:w="15" w:type="dxa"/>
              <w:bottom w:w="0" w:type="dxa"/>
              <w:right w:w="15" w:type="dxa"/>
            </w:tcMar>
            <w:vAlign w:val="center"/>
          </w:tcPr>
          <w:p w:rsidR="00D30E57" w:rsidRPr="006266DC" w:rsidRDefault="00D30E57" w:rsidP="000B6769">
            <w:pPr>
              <w:spacing w:before="40" w:after="40"/>
              <w:jc w:val="center"/>
              <w:rPr>
                <w:rFonts w:ascii="Tahoma" w:hAnsi="Tahoma" w:cs="Tahoma"/>
                <w:sz w:val="18"/>
                <w:szCs w:val="18"/>
              </w:rPr>
            </w:pPr>
            <w:r>
              <w:rPr>
                <w:rFonts w:ascii="Tahoma" w:hAnsi="Tahoma" w:cs="Tahoma"/>
                <w:sz w:val="18"/>
                <w:szCs w:val="18"/>
                <w:lang w:val="en-US"/>
              </w:rPr>
              <w:t>-</w:t>
            </w:r>
            <w:r>
              <w:rPr>
                <w:rFonts w:ascii="Tahoma" w:hAnsi="Tahoma" w:cs="Tahoma"/>
                <w:sz w:val="18"/>
                <w:szCs w:val="18"/>
              </w:rPr>
              <w:t>9</w:t>
            </w:r>
            <w:r>
              <w:rPr>
                <w:rFonts w:ascii="Tahoma" w:hAnsi="Tahoma" w:cs="Tahoma"/>
                <w:sz w:val="18"/>
                <w:szCs w:val="18"/>
                <w:lang w:val="en-US"/>
              </w:rPr>
              <w:t>,</w:t>
            </w:r>
            <w:r>
              <w:rPr>
                <w:rFonts w:ascii="Tahoma" w:hAnsi="Tahoma" w:cs="Tahoma"/>
                <w:sz w:val="18"/>
                <w:szCs w:val="18"/>
              </w:rPr>
              <w:t>1</w:t>
            </w:r>
          </w:p>
        </w:tc>
        <w:tc>
          <w:tcPr>
            <w:tcW w:w="638" w:type="dxa"/>
            <w:tcBorders>
              <w:top w:val="nil"/>
              <w:left w:val="nil"/>
              <w:bottom w:val="nil"/>
              <w:right w:val="nil"/>
            </w:tcBorders>
            <w:noWrap/>
            <w:tcMar>
              <w:top w:w="15" w:type="dxa"/>
              <w:left w:w="15" w:type="dxa"/>
              <w:bottom w:w="0" w:type="dxa"/>
              <w:right w:w="15" w:type="dxa"/>
            </w:tcMar>
            <w:vAlign w:val="center"/>
          </w:tcPr>
          <w:p w:rsidR="00D30E57" w:rsidRPr="002449EC" w:rsidRDefault="00D30E57" w:rsidP="000B6769">
            <w:pPr>
              <w:jc w:val="center"/>
              <w:rPr>
                <w:rFonts w:ascii="Tahoma" w:hAnsi="Tahoma" w:cs="Tahoma"/>
                <w:sz w:val="18"/>
                <w:szCs w:val="18"/>
              </w:rPr>
            </w:pPr>
            <w:r>
              <w:rPr>
                <w:rFonts w:ascii="Tahoma" w:hAnsi="Tahoma" w:cs="Tahoma"/>
                <w:sz w:val="18"/>
                <w:szCs w:val="18"/>
                <w:lang w:val="en-US"/>
              </w:rPr>
              <w:t>-</w:t>
            </w:r>
            <w:r>
              <w:rPr>
                <w:rFonts w:ascii="Tahoma" w:hAnsi="Tahoma" w:cs="Tahoma"/>
                <w:sz w:val="18"/>
                <w:szCs w:val="18"/>
              </w:rPr>
              <w:t>6</w:t>
            </w:r>
            <w:r w:rsidRPr="00D13897">
              <w:rPr>
                <w:rFonts w:ascii="Tahoma" w:hAnsi="Tahoma" w:cs="Tahoma"/>
                <w:sz w:val="18"/>
                <w:szCs w:val="18"/>
              </w:rPr>
              <w:t>,</w:t>
            </w:r>
            <w:r>
              <w:rPr>
                <w:rFonts w:ascii="Tahoma" w:hAnsi="Tahoma" w:cs="Tahoma"/>
                <w:sz w:val="18"/>
                <w:szCs w:val="18"/>
              </w:rPr>
              <w:t>7</w:t>
            </w:r>
          </w:p>
        </w:tc>
        <w:tc>
          <w:tcPr>
            <w:tcW w:w="574" w:type="dxa"/>
            <w:tcBorders>
              <w:top w:val="nil"/>
              <w:left w:val="nil"/>
              <w:bottom w:val="nil"/>
              <w:right w:val="single" w:sz="8" w:space="0" w:color="auto"/>
            </w:tcBorders>
            <w:noWrap/>
            <w:tcMar>
              <w:top w:w="15" w:type="dxa"/>
              <w:left w:w="15" w:type="dxa"/>
              <w:bottom w:w="0" w:type="dxa"/>
              <w:right w:w="15" w:type="dxa"/>
            </w:tcMar>
            <w:vAlign w:val="center"/>
          </w:tcPr>
          <w:p w:rsidR="00D30E57" w:rsidRPr="006266DC" w:rsidRDefault="00D30E57" w:rsidP="000B6769">
            <w:pPr>
              <w:jc w:val="center"/>
              <w:rPr>
                <w:rFonts w:ascii="Tahoma" w:hAnsi="Tahoma" w:cs="Tahoma"/>
                <w:sz w:val="18"/>
                <w:szCs w:val="18"/>
              </w:rPr>
            </w:pPr>
            <w:r>
              <w:rPr>
                <w:rFonts w:ascii="Tahoma" w:hAnsi="Tahoma" w:cs="Tahoma"/>
                <w:sz w:val="18"/>
                <w:szCs w:val="18"/>
              </w:rPr>
              <w:t>-1</w:t>
            </w:r>
            <w:r w:rsidRPr="00D13897">
              <w:rPr>
                <w:rFonts w:ascii="Tahoma" w:hAnsi="Tahoma" w:cs="Tahoma"/>
                <w:sz w:val="18"/>
                <w:szCs w:val="18"/>
              </w:rPr>
              <w:t>,</w:t>
            </w:r>
            <w:r>
              <w:rPr>
                <w:rFonts w:ascii="Tahoma" w:hAnsi="Tahoma" w:cs="Tahoma"/>
                <w:sz w:val="18"/>
                <w:szCs w:val="18"/>
              </w:rPr>
              <w:t>3</w:t>
            </w:r>
          </w:p>
        </w:tc>
        <w:tc>
          <w:tcPr>
            <w:tcW w:w="49" w:type="dxa"/>
            <w:tcBorders>
              <w:top w:val="nil"/>
              <w:left w:val="nil"/>
              <w:bottom w:val="nil"/>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sz w:val="18"/>
                <w:szCs w:val="18"/>
              </w:rPr>
            </w:pPr>
          </w:p>
        </w:tc>
        <w:tc>
          <w:tcPr>
            <w:tcW w:w="533" w:type="dxa"/>
            <w:tcBorders>
              <w:top w:val="nil"/>
              <w:left w:val="nil"/>
              <w:bottom w:val="nil"/>
              <w:right w:val="nil"/>
            </w:tcBorders>
            <w:noWrap/>
            <w:tcMar>
              <w:top w:w="0" w:type="dxa"/>
              <w:left w:w="15" w:type="dxa"/>
              <w:bottom w:w="0" w:type="dxa"/>
              <w:right w:w="15" w:type="dxa"/>
            </w:tcMar>
            <w:vAlign w:val="center"/>
          </w:tcPr>
          <w:p w:rsidR="00D30E57" w:rsidRPr="00F53C39" w:rsidRDefault="00D30E57" w:rsidP="000B6769">
            <w:pPr>
              <w:jc w:val="center"/>
              <w:rPr>
                <w:rFonts w:ascii="Tahoma" w:hAnsi="Tahoma" w:cs="Tahoma"/>
                <w:sz w:val="18"/>
                <w:szCs w:val="18"/>
                <w:lang w:val="en-US"/>
              </w:rPr>
            </w:pPr>
            <w:r>
              <w:rPr>
                <w:rFonts w:ascii="Tahoma" w:hAnsi="Tahoma" w:cs="Tahoma"/>
                <w:sz w:val="18"/>
                <w:szCs w:val="18"/>
                <w:lang w:val="en-US"/>
              </w:rPr>
              <w:t>-7</w:t>
            </w:r>
            <w:r w:rsidRPr="00123969">
              <w:rPr>
                <w:rFonts w:ascii="Tahoma" w:hAnsi="Tahoma" w:cs="Tahoma"/>
                <w:sz w:val="18"/>
                <w:szCs w:val="18"/>
                <w:lang w:val="en-US"/>
              </w:rPr>
              <w:t>,</w:t>
            </w:r>
            <w:r>
              <w:rPr>
                <w:rFonts w:ascii="Tahoma" w:hAnsi="Tahoma" w:cs="Tahoma"/>
                <w:sz w:val="18"/>
                <w:szCs w:val="18"/>
                <w:lang w:val="en-US"/>
              </w:rPr>
              <w:t>5</w:t>
            </w:r>
          </w:p>
        </w:tc>
        <w:tc>
          <w:tcPr>
            <w:tcW w:w="587" w:type="dxa"/>
            <w:tcBorders>
              <w:top w:val="nil"/>
              <w:left w:val="nil"/>
              <w:bottom w:val="nil"/>
              <w:right w:val="nil"/>
            </w:tcBorders>
            <w:noWrap/>
            <w:tcMar>
              <w:top w:w="15" w:type="dxa"/>
              <w:left w:w="15" w:type="dxa"/>
              <w:bottom w:w="0" w:type="dxa"/>
              <w:right w:w="15" w:type="dxa"/>
            </w:tcMar>
            <w:vAlign w:val="center"/>
          </w:tcPr>
          <w:p w:rsidR="00D30E57" w:rsidRPr="003338D4" w:rsidRDefault="00D30E57" w:rsidP="000B6769">
            <w:pPr>
              <w:jc w:val="center"/>
              <w:rPr>
                <w:rFonts w:ascii="Tahoma" w:hAnsi="Tahoma" w:cs="Tahoma"/>
                <w:sz w:val="18"/>
                <w:szCs w:val="18"/>
                <w:lang w:val="en-US"/>
              </w:rPr>
            </w:pPr>
            <w:r>
              <w:rPr>
                <w:rFonts w:ascii="Tahoma" w:hAnsi="Tahoma" w:cs="Tahoma"/>
                <w:sz w:val="18"/>
                <w:szCs w:val="18"/>
                <w:lang w:val="en-US"/>
              </w:rPr>
              <w:t>-5,5</w:t>
            </w:r>
          </w:p>
        </w:tc>
        <w:tc>
          <w:tcPr>
            <w:tcW w:w="623" w:type="dxa"/>
            <w:tcBorders>
              <w:top w:val="nil"/>
              <w:left w:val="nil"/>
              <w:bottom w:val="nil"/>
              <w:right w:val="single" w:sz="8" w:space="0" w:color="auto"/>
            </w:tcBorders>
            <w:noWrap/>
            <w:tcMar>
              <w:top w:w="15" w:type="dxa"/>
              <w:left w:w="15" w:type="dxa"/>
              <w:bottom w:w="0" w:type="dxa"/>
              <w:right w:w="15" w:type="dxa"/>
            </w:tcMar>
            <w:vAlign w:val="center"/>
          </w:tcPr>
          <w:p w:rsidR="00D30E57" w:rsidRPr="008C434D" w:rsidRDefault="00D30E57" w:rsidP="000B6769">
            <w:pPr>
              <w:jc w:val="center"/>
              <w:rPr>
                <w:rFonts w:ascii="Tahoma" w:hAnsi="Tahoma" w:cs="Tahoma"/>
                <w:sz w:val="18"/>
                <w:szCs w:val="18"/>
              </w:rPr>
            </w:pPr>
            <w:r>
              <w:rPr>
                <w:rFonts w:ascii="Tahoma" w:hAnsi="Tahoma" w:cs="Tahoma"/>
                <w:sz w:val="18"/>
                <w:szCs w:val="18"/>
              </w:rPr>
              <w:t>-1,3</w:t>
            </w:r>
          </w:p>
        </w:tc>
        <w:tc>
          <w:tcPr>
            <w:tcW w:w="49" w:type="dxa"/>
            <w:tcBorders>
              <w:top w:val="nil"/>
              <w:left w:val="nil"/>
              <w:bottom w:val="nil"/>
              <w:right w:val="nil"/>
            </w:tcBorders>
            <w:noWrap/>
            <w:tcMar>
              <w:top w:w="15" w:type="dxa"/>
              <w:left w:w="15" w:type="dxa"/>
              <w:bottom w:w="0" w:type="dxa"/>
              <w:right w:w="15" w:type="dxa"/>
            </w:tcMar>
            <w:vAlign w:val="center"/>
          </w:tcPr>
          <w:p w:rsidR="00D30E57" w:rsidRPr="0043284B" w:rsidRDefault="00D30E57" w:rsidP="000B6769">
            <w:pPr>
              <w:spacing w:before="40" w:after="40"/>
              <w:jc w:val="center"/>
              <w:rPr>
                <w:rFonts w:ascii="Tahoma" w:hAnsi="Tahoma" w:cs="Tahoma"/>
                <w:sz w:val="18"/>
                <w:szCs w:val="18"/>
                <w:highlight w:val="yellow"/>
              </w:rPr>
            </w:pPr>
          </w:p>
        </w:tc>
        <w:tc>
          <w:tcPr>
            <w:tcW w:w="587" w:type="dxa"/>
            <w:tcBorders>
              <w:top w:val="nil"/>
              <w:left w:val="nil"/>
              <w:bottom w:val="nil"/>
              <w:right w:val="nil"/>
            </w:tcBorders>
            <w:noWrap/>
            <w:tcMar>
              <w:top w:w="15" w:type="dxa"/>
              <w:left w:w="15" w:type="dxa"/>
              <w:bottom w:w="0" w:type="dxa"/>
              <w:right w:w="15" w:type="dxa"/>
            </w:tcMar>
            <w:vAlign w:val="center"/>
          </w:tcPr>
          <w:p w:rsidR="00D30E57" w:rsidRPr="008B420F" w:rsidRDefault="00D30E57" w:rsidP="000B6769">
            <w:pPr>
              <w:spacing w:before="40" w:after="40"/>
              <w:jc w:val="center"/>
              <w:rPr>
                <w:rFonts w:ascii="Tahoma" w:hAnsi="Tahoma" w:cs="Tahoma"/>
                <w:sz w:val="18"/>
                <w:szCs w:val="18"/>
              </w:rPr>
            </w:pPr>
            <w:r w:rsidRPr="008B420F">
              <w:rPr>
                <w:rFonts w:ascii="Tahoma" w:hAnsi="Tahoma" w:cs="Tahoma"/>
                <w:sz w:val="18"/>
                <w:szCs w:val="18"/>
              </w:rPr>
              <w:t>:</w:t>
            </w:r>
          </w:p>
        </w:tc>
        <w:tc>
          <w:tcPr>
            <w:tcW w:w="705" w:type="dxa"/>
            <w:tcBorders>
              <w:top w:val="nil"/>
              <w:left w:val="nil"/>
              <w:bottom w:val="nil"/>
              <w:right w:val="nil"/>
            </w:tcBorders>
            <w:noWrap/>
            <w:tcMar>
              <w:top w:w="0" w:type="dxa"/>
              <w:left w:w="15" w:type="dxa"/>
              <w:bottom w:w="0" w:type="dxa"/>
              <w:right w:w="15" w:type="dxa"/>
            </w:tcMar>
            <w:vAlign w:val="center"/>
          </w:tcPr>
          <w:p w:rsidR="00D30E57" w:rsidRPr="008B420F" w:rsidRDefault="00D30E57" w:rsidP="000B6769">
            <w:pPr>
              <w:spacing w:before="40" w:after="40"/>
              <w:jc w:val="center"/>
              <w:rPr>
                <w:rFonts w:ascii="Tahoma" w:hAnsi="Tahoma" w:cs="Tahoma"/>
                <w:sz w:val="18"/>
                <w:szCs w:val="18"/>
              </w:rPr>
            </w:pPr>
            <w:r w:rsidRPr="008B420F">
              <w:rPr>
                <w:rFonts w:ascii="Tahoma" w:hAnsi="Tahoma" w:cs="Tahoma"/>
                <w:sz w:val="18"/>
                <w:szCs w:val="18"/>
              </w:rPr>
              <w:t>:</w:t>
            </w:r>
          </w:p>
        </w:tc>
        <w:tc>
          <w:tcPr>
            <w:tcW w:w="675" w:type="dxa"/>
            <w:tcBorders>
              <w:top w:val="nil"/>
              <w:left w:val="nil"/>
              <w:bottom w:val="nil"/>
              <w:right w:val="single" w:sz="4" w:space="0" w:color="auto"/>
            </w:tcBorders>
            <w:noWrap/>
            <w:tcMar>
              <w:top w:w="15" w:type="dxa"/>
              <w:left w:w="15" w:type="dxa"/>
              <w:bottom w:w="0" w:type="dxa"/>
              <w:right w:w="15" w:type="dxa"/>
            </w:tcMar>
            <w:vAlign w:val="center"/>
          </w:tcPr>
          <w:p w:rsidR="00D30E57" w:rsidRPr="008B420F" w:rsidRDefault="00D30E57" w:rsidP="000B6769">
            <w:pPr>
              <w:spacing w:before="40" w:after="40"/>
              <w:jc w:val="center"/>
              <w:rPr>
                <w:rFonts w:ascii="Tahoma" w:hAnsi="Tahoma" w:cs="Tahoma"/>
                <w:sz w:val="18"/>
                <w:szCs w:val="18"/>
              </w:rPr>
            </w:pPr>
            <w:r w:rsidRPr="008B420F">
              <w:rPr>
                <w:rFonts w:ascii="Tahoma" w:hAnsi="Tahoma" w:cs="Tahoma"/>
                <w:sz w:val="18"/>
                <w:szCs w:val="18"/>
              </w:rPr>
              <w:t>:</w:t>
            </w:r>
          </w:p>
        </w:tc>
      </w:tr>
      <w:tr w:rsidR="00D30E57" w:rsidRPr="009433A4" w:rsidTr="002A5D2E">
        <w:trPr>
          <w:trHeight w:hRule="exact" w:val="271"/>
          <w:jc w:val="center"/>
        </w:trPr>
        <w:tc>
          <w:tcPr>
            <w:tcW w:w="2254" w:type="dxa"/>
            <w:tcBorders>
              <w:top w:val="nil"/>
              <w:left w:val="single" w:sz="4" w:space="0" w:color="auto"/>
              <w:bottom w:val="nil"/>
              <w:right w:val="nil"/>
            </w:tcBorders>
            <w:noWrap/>
            <w:tcMar>
              <w:top w:w="0" w:type="dxa"/>
              <w:left w:w="15" w:type="dxa"/>
              <w:bottom w:w="0" w:type="dxa"/>
              <w:right w:w="15" w:type="dxa"/>
            </w:tcMar>
            <w:vAlign w:val="bottom"/>
          </w:tcPr>
          <w:p w:rsidR="00D30E57" w:rsidRPr="004D0962" w:rsidRDefault="00D30E57" w:rsidP="000B6769">
            <w:pPr>
              <w:spacing w:before="40" w:after="40"/>
              <w:rPr>
                <w:rFonts w:ascii="Tahoma" w:hAnsi="Tahoma" w:cs="Tahoma"/>
                <w:sz w:val="18"/>
                <w:szCs w:val="18"/>
              </w:rPr>
            </w:pPr>
            <w:r w:rsidRPr="004D0962">
              <w:rPr>
                <w:rFonts w:ascii="Tahoma" w:hAnsi="Tahoma" w:cs="Tahoma"/>
                <w:sz w:val="18"/>
                <w:szCs w:val="18"/>
              </w:rPr>
              <w:t>Ιδιωτ. Κατανάλωση</w:t>
            </w:r>
          </w:p>
        </w:tc>
        <w:tc>
          <w:tcPr>
            <w:tcW w:w="49" w:type="dxa"/>
            <w:tcBorders>
              <w:top w:val="nil"/>
              <w:left w:val="single" w:sz="8" w:space="0" w:color="auto"/>
              <w:bottom w:val="nil"/>
              <w:right w:val="nil"/>
            </w:tcBorders>
            <w:noWrap/>
            <w:tcMar>
              <w:top w:w="0" w:type="dxa"/>
              <w:left w:w="15" w:type="dxa"/>
              <w:bottom w:w="0" w:type="dxa"/>
              <w:right w:w="15" w:type="dxa"/>
            </w:tcMar>
            <w:vAlign w:val="bottom"/>
          </w:tcPr>
          <w:p w:rsidR="00D30E57" w:rsidRPr="004D0962" w:rsidRDefault="00D30E57" w:rsidP="000B6769">
            <w:pPr>
              <w:spacing w:before="40" w:after="40"/>
              <w:jc w:val="center"/>
              <w:rPr>
                <w:rFonts w:ascii="Tahoma" w:hAnsi="Tahoma" w:cs="Tahoma"/>
                <w:sz w:val="18"/>
                <w:szCs w:val="18"/>
              </w:rPr>
            </w:pPr>
          </w:p>
        </w:tc>
        <w:tc>
          <w:tcPr>
            <w:tcW w:w="698" w:type="dxa"/>
            <w:tcBorders>
              <w:top w:val="nil"/>
              <w:left w:val="nil"/>
              <w:bottom w:val="nil"/>
              <w:right w:val="nil"/>
            </w:tcBorders>
            <w:noWrap/>
            <w:tcMar>
              <w:top w:w="0" w:type="dxa"/>
              <w:left w:w="15" w:type="dxa"/>
              <w:bottom w:w="0" w:type="dxa"/>
              <w:right w:w="15" w:type="dxa"/>
            </w:tcMar>
            <w:vAlign w:val="center"/>
          </w:tcPr>
          <w:p w:rsidR="00D30E57" w:rsidRPr="004708B2" w:rsidRDefault="00D30E57" w:rsidP="000B6769">
            <w:pPr>
              <w:spacing w:before="40" w:after="40"/>
              <w:jc w:val="center"/>
              <w:rPr>
                <w:rFonts w:ascii="Tahoma" w:hAnsi="Tahoma" w:cs="Tahoma"/>
                <w:sz w:val="18"/>
                <w:szCs w:val="18"/>
              </w:rPr>
            </w:pPr>
            <w:r>
              <w:rPr>
                <w:rFonts w:ascii="Tahoma" w:hAnsi="Tahoma" w:cs="Tahoma"/>
                <w:sz w:val="18"/>
                <w:szCs w:val="18"/>
              </w:rPr>
              <w:t>-</w:t>
            </w:r>
            <w:r>
              <w:rPr>
                <w:rFonts w:ascii="Tahoma" w:hAnsi="Tahoma" w:cs="Tahoma"/>
                <w:sz w:val="18"/>
                <w:szCs w:val="18"/>
                <w:lang w:val="en-US"/>
              </w:rPr>
              <w:t>3</w:t>
            </w:r>
            <w:r>
              <w:rPr>
                <w:rFonts w:ascii="Tahoma" w:hAnsi="Tahoma" w:cs="Tahoma"/>
                <w:sz w:val="18"/>
                <w:szCs w:val="18"/>
              </w:rPr>
              <w:t>,6</w:t>
            </w:r>
          </w:p>
        </w:tc>
        <w:tc>
          <w:tcPr>
            <w:tcW w:w="648" w:type="dxa"/>
            <w:tcBorders>
              <w:top w:val="nil"/>
              <w:left w:val="nil"/>
              <w:bottom w:val="nil"/>
              <w:right w:val="nil"/>
            </w:tcBorders>
            <w:noWrap/>
            <w:tcMar>
              <w:top w:w="0" w:type="dxa"/>
              <w:left w:w="15" w:type="dxa"/>
              <w:bottom w:w="0" w:type="dxa"/>
              <w:right w:w="15" w:type="dxa"/>
            </w:tcMar>
            <w:vAlign w:val="center"/>
          </w:tcPr>
          <w:p w:rsidR="00D30E57" w:rsidRPr="004708B2" w:rsidRDefault="00D30E57" w:rsidP="000B6769">
            <w:pPr>
              <w:spacing w:before="40" w:after="40"/>
              <w:jc w:val="center"/>
              <w:rPr>
                <w:rFonts w:ascii="Tahoma" w:hAnsi="Tahoma" w:cs="Tahoma"/>
                <w:sz w:val="18"/>
                <w:szCs w:val="18"/>
              </w:rPr>
            </w:pPr>
            <w:r>
              <w:rPr>
                <w:rFonts w:ascii="Tahoma" w:hAnsi="Tahoma" w:cs="Tahoma"/>
                <w:sz w:val="18"/>
                <w:szCs w:val="18"/>
                <w:lang w:val="en-US"/>
              </w:rPr>
              <w:t>-6</w:t>
            </w:r>
            <w:r>
              <w:rPr>
                <w:rFonts w:ascii="Tahoma" w:hAnsi="Tahoma" w:cs="Tahoma"/>
                <w:sz w:val="18"/>
                <w:szCs w:val="18"/>
              </w:rPr>
              <w:t>,2</w:t>
            </w:r>
          </w:p>
        </w:tc>
        <w:tc>
          <w:tcPr>
            <w:tcW w:w="739" w:type="dxa"/>
            <w:tcBorders>
              <w:top w:val="nil"/>
              <w:left w:val="nil"/>
              <w:bottom w:val="nil"/>
              <w:right w:val="single" w:sz="8" w:space="0" w:color="auto"/>
            </w:tcBorders>
            <w:tcMar>
              <w:top w:w="15" w:type="dxa"/>
              <w:left w:w="15" w:type="dxa"/>
              <w:bottom w:w="0" w:type="dxa"/>
              <w:right w:w="15" w:type="dxa"/>
            </w:tcMar>
            <w:vAlign w:val="center"/>
          </w:tcPr>
          <w:p w:rsidR="00D30E57" w:rsidRPr="004708B2" w:rsidRDefault="00D30E57" w:rsidP="000B6769">
            <w:pPr>
              <w:spacing w:before="40" w:after="40"/>
              <w:jc w:val="center"/>
              <w:rPr>
                <w:rFonts w:ascii="Tahoma" w:hAnsi="Tahoma" w:cs="Tahoma"/>
                <w:sz w:val="18"/>
                <w:szCs w:val="18"/>
              </w:rPr>
            </w:pPr>
            <w:r>
              <w:rPr>
                <w:rFonts w:ascii="Tahoma" w:hAnsi="Tahoma" w:cs="Tahoma"/>
                <w:sz w:val="18"/>
                <w:szCs w:val="18"/>
              </w:rPr>
              <w:t>-4</w:t>
            </w:r>
            <w:r>
              <w:rPr>
                <w:rFonts w:ascii="Tahoma" w:hAnsi="Tahoma" w:cs="Tahoma"/>
                <w:sz w:val="18"/>
                <w:szCs w:val="18"/>
                <w:lang w:val="en-US"/>
              </w:rPr>
              <w:t>,</w:t>
            </w:r>
            <w:r>
              <w:rPr>
                <w:rFonts w:ascii="Tahoma" w:hAnsi="Tahoma" w:cs="Tahoma"/>
                <w:sz w:val="18"/>
                <w:szCs w:val="18"/>
              </w:rPr>
              <w:t>1</w:t>
            </w:r>
          </w:p>
        </w:tc>
        <w:tc>
          <w:tcPr>
            <w:tcW w:w="49" w:type="dxa"/>
            <w:tcBorders>
              <w:top w:val="nil"/>
              <w:left w:val="nil"/>
              <w:bottom w:val="nil"/>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sz w:val="18"/>
                <w:szCs w:val="18"/>
              </w:rPr>
            </w:pPr>
          </w:p>
        </w:tc>
        <w:tc>
          <w:tcPr>
            <w:tcW w:w="632" w:type="dxa"/>
            <w:tcBorders>
              <w:top w:val="nil"/>
              <w:left w:val="nil"/>
              <w:bottom w:val="nil"/>
              <w:right w:val="nil"/>
            </w:tcBorders>
            <w:noWrap/>
            <w:tcMar>
              <w:top w:w="0" w:type="dxa"/>
              <w:left w:w="15" w:type="dxa"/>
              <w:bottom w:w="0" w:type="dxa"/>
              <w:right w:w="15" w:type="dxa"/>
            </w:tcMar>
            <w:vAlign w:val="center"/>
          </w:tcPr>
          <w:p w:rsidR="00D30E57" w:rsidRPr="004225B0" w:rsidRDefault="00D30E57" w:rsidP="000B6769">
            <w:pPr>
              <w:jc w:val="center"/>
              <w:rPr>
                <w:rFonts w:ascii="Tahoma" w:hAnsi="Tahoma" w:cs="Tahoma"/>
                <w:sz w:val="18"/>
                <w:szCs w:val="18"/>
                <w:lang w:val="en-US"/>
              </w:rPr>
            </w:pPr>
            <w:r>
              <w:rPr>
                <w:rFonts w:ascii="Tahoma" w:hAnsi="Tahoma" w:cs="Tahoma"/>
                <w:sz w:val="18"/>
                <w:szCs w:val="18"/>
                <w:lang w:val="en-US"/>
              </w:rPr>
              <w:t>-</w:t>
            </w:r>
            <w:r>
              <w:rPr>
                <w:rFonts w:ascii="Tahoma" w:hAnsi="Tahoma" w:cs="Tahoma"/>
                <w:sz w:val="18"/>
                <w:szCs w:val="18"/>
              </w:rPr>
              <w:t>7,</w:t>
            </w:r>
            <w:r>
              <w:rPr>
                <w:rFonts w:ascii="Tahoma" w:hAnsi="Tahoma" w:cs="Tahoma"/>
                <w:sz w:val="18"/>
                <w:szCs w:val="18"/>
                <w:lang w:val="en-US"/>
              </w:rPr>
              <w:t>2</w:t>
            </w:r>
          </w:p>
        </w:tc>
        <w:tc>
          <w:tcPr>
            <w:tcW w:w="638" w:type="dxa"/>
            <w:tcBorders>
              <w:top w:val="nil"/>
              <w:left w:val="nil"/>
              <w:bottom w:val="nil"/>
              <w:right w:val="nil"/>
            </w:tcBorders>
            <w:noWrap/>
            <w:tcMar>
              <w:top w:w="15" w:type="dxa"/>
              <w:left w:w="15" w:type="dxa"/>
              <w:bottom w:w="0" w:type="dxa"/>
              <w:right w:w="15" w:type="dxa"/>
            </w:tcMar>
            <w:vAlign w:val="center"/>
          </w:tcPr>
          <w:p w:rsidR="00D30E57" w:rsidRPr="004225B0" w:rsidRDefault="00D30E57" w:rsidP="000B6769">
            <w:pPr>
              <w:jc w:val="center"/>
              <w:rPr>
                <w:rFonts w:ascii="Tahoma" w:hAnsi="Tahoma" w:cs="Tahoma"/>
                <w:sz w:val="18"/>
                <w:szCs w:val="18"/>
                <w:lang w:val="en-US"/>
              </w:rPr>
            </w:pPr>
            <w:r>
              <w:rPr>
                <w:rFonts w:ascii="Tahoma" w:hAnsi="Tahoma" w:cs="Tahoma"/>
                <w:sz w:val="18"/>
                <w:szCs w:val="18"/>
                <w:lang w:val="en-US"/>
              </w:rPr>
              <w:t>-5</w:t>
            </w:r>
            <w:r>
              <w:rPr>
                <w:rFonts w:ascii="Tahoma" w:hAnsi="Tahoma" w:cs="Tahoma"/>
                <w:sz w:val="18"/>
                <w:szCs w:val="18"/>
              </w:rPr>
              <w:t>,</w:t>
            </w:r>
            <w:r>
              <w:rPr>
                <w:rFonts w:ascii="Tahoma" w:hAnsi="Tahoma" w:cs="Tahoma"/>
                <w:sz w:val="18"/>
                <w:szCs w:val="18"/>
                <w:lang w:val="en-US"/>
              </w:rPr>
              <w:t>7</w:t>
            </w:r>
          </w:p>
        </w:tc>
        <w:tc>
          <w:tcPr>
            <w:tcW w:w="574" w:type="dxa"/>
            <w:tcBorders>
              <w:top w:val="nil"/>
              <w:left w:val="nil"/>
              <w:bottom w:val="nil"/>
              <w:right w:val="single" w:sz="8" w:space="0" w:color="auto"/>
            </w:tcBorders>
            <w:noWrap/>
            <w:tcMar>
              <w:top w:w="15" w:type="dxa"/>
              <w:left w:w="15" w:type="dxa"/>
              <w:bottom w:w="0" w:type="dxa"/>
              <w:right w:w="15" w:type="dxa"/>
            </w:tcMar>
            <w:vAlign w:val="center"/>
          </w:tcPr>
          <w:p w:rsidR="00D30E57" w:rsidRPr="002449EC" w:rsidRDefault="00D30E57" w:rsidP="000B6769">
            <w:pPr>
              <w:jc w:val="center"/>
              <w:rPr>
                <w:rFonts w:ascii="Tahoma" w:hAnsi="Tahoma" w:cs="Tahoma"/>
                <w:sz w:val="18"/>
                <w:szCs w:val="18"/>
              </w:rPr>
            </w:pPr>
            <w:r>
              <w:rPr>
                <w:rFonts w:ascii="Tahoma" w:hAnsi="Tahoma" w:cs="Tahoma"/>
                <w:sz w:val="18"/>
                <w:szCs w:val="18"/>
                <w:lang w:val="en-US"/>
              </w:rPr>
              <w:t>-</w:t>
            </w:r>
            <w:r>
              <w:rPr>
                <w:rFonts w:ascii="Tahoma" w:hAnsi="Tahoma" w:cs="Tahoma"/>
                <w:sz w:val="18"/>
                <w:szCs w:val="18"/>
              </w:rPr>
              <w:t>1,1</w:t>
            </w:r>
          </w:p>
        </w:tc>
        <w:tc>
          <w:tcPr>
            <w:tcW w:w="49" w:type="dxa"/>
            <w:tcBorders>
              <w:top w:val="nil"/>
              <w:left w:val="nil"/>
              <w:bottom w:val="nil"/>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sz w:val="18"/>
                <w:szCs w:val="18"/>
              </w:rPr>
            </w:pPr>
          </w:p>
        </w:tc>
        <w:tc>
          <w:tcPr>
            <w:tcW w:w="533" w:type="dxa"/>
            <w:tcBorders>
              <w:top w:val="nil"/>
              <w:left w:val="nil"/>
              <w:bottom w:val="nil"/>
              <w:right w:val="nil"/>
            </w:tcBorders>
            <w:noWrap/>
            <w:tcMar>
              <w:top w:w="0" w:type="dxa"/>
              <w:left w:w="15" w:type="dxa"/>
              <w:bottom w:w="0" w:type="dxa"/>
              <w:right w:w="15" w:type="dxa"/>
            </w:tcMar>
            <w:vAlign w:val="center"/>
          </w:tcPr>
          <w:p w:rsidR="00D30E57" w:rsidRPr="00D13897" w:rsidRDefault="00D30E57" w:rsidP="000B6769">
            <w:pPr>
              <w:jc w:val="center"/>
              <w:rPr>
                <w:rFonts w:ascii="Tahoma" w:hAnsi="Tahoma" w:cs="Tahoma"/>
                <w:sz w:val="18"/>
                <w:szCs w:val="18"/>
                <w:lang w:val="en-US"/>
              </w:rPr>
            </w:pPr>
            <w:r>
              <w:rPr>
                <w:rFonts w:ascii="Tahoma" w:hAnsi="Tahoma" w:cs="Tahoma"/>
                <w:sz w:val="18"/>
                <w:szCs w:val="18"/>
                <w:lang w:val="en-US"/>
              </w:rPr>
              <w:t>-</w:t>
            </w:r>
            <w:r>
              <w:rPr>
                <w:rFonts w:ascii="Tahoma" w:hAnsi="Tahoma" w:cs="Tahoma"/>
                <w:sz w:val="18"/>
                <w:szCs w:val="18"/>
              </w:rPr>
              <w:t>5</w:t>
            </w:r>
            <w:r>
              <w:rPr>
                <w:rFonts w:ascii="Tahoma" w:hAnsi="Tahoma" w:cs="Tahoma"/>
                <w:sz w:val="18"/>
                <w:szCs w:val="18"/>
                <w:lang w:val="en-US"/>
              </w:rPr>
              <w:t>,3</w:t>
            </w:r>
          </w:p>
        </w:tc>
        <w:tc>
          <w:tcPr>
            <w:tcW w:w="587" w:type="dxa"/>
            <w:tcBorders>
              <w:top w:val="nil"/>
              <w:left w:val="nil"/>
              <w:bottom w:val="nil"/>
              <w:right w:val="nil"/>
            </w:tcBorders>
            <w:noWrap/>
            <w:tcMar>
              <w:top w:w="15" w:type="dxa"/>
              <w:left w:w="15" w:type="dxa"/>
              <w:bottom w:w="0" w:type="dxa"/>
              <w:right w:w="15" w:type="dxa"/>
            </w:tcMar>
            <w:vAlign w:val="center"/>
          </w:tcPr>
          <w:p w:rsidR="00D30E57" w:rsidRPr="00EF1BEE" w:rsidRDefault="00D30E57" w:rsidP="000B6769">
            <w:pPr>
              <w:jc w:val="center"/>
              <w:rPr>
                <w:rFonts w:ascii="Tahoma" w:hAnsi="Tahoma" w:cs="Tahoma"/>
                <w:sz w:val="18"/>
                <w:szCs w:val="18"/>
              </w:rPr>
            </w:pPr>
            <w:r>
              <w:rPr>
                <w:rFonts w:ascii="Tahoma" w:hAnsi="Tahoma" w:cs="Tahoma"/>
                <w:sz w:val="18"/>
                <w:szCs w:val="18"/>
                <w:lang w:val="en-US"/>
              </w:rPr>
              <w:t>-5,</w:t>
            </w:r>
            <w:r>
              <w:rPr>
                <w:rFonts w:ascii="Tahoma" w:hAnsi="Tahoma" w:cs="Tahoma"/>
                <w:sz w:val="18"/>
                <w:szCs w:val="18"/>
              </w:rPr>
              <w:t>2</w:t>
            </w:r>
          </w:p>
        </w:tc>
        <w:tc>
          <w:tcPr>
            <w:tcW w:w="623" w:type="dxa"/>
            <w:tcBorders>
              <w:top w:val="nil"/>
              <w:left w:val="nil"/>
              <w:bottom w:val="nil"/>
              <w:right w:val="single" w:sz="8" w:space="0" w:color="auto"/>
            </w:tcBorders>
            <w:noWrap/>
            <w:tcMar>
              <w:top w:w="15" w:type="dxa"/>
              <w:left w:w="15" w:type="dxa"/>
              <w:bottom w:w="0" w:type="dxa"/>
              <w:right w:w="15" w:type="dxa"/>
            </w:tcMar>
            <w:vAlign w:val="center"/>
          </w:tcPr>
          <w:p w:rsidR="00D30E57" w:rsidRPr="00EF1BEE" w:rsidRDefault="00D30E57" w:rsidP="000B6769">
            <w:pPr>
              <w:jc w:val="center"/>
              <w:rPr>
                <w:rFonts w:ascii="Tahoma" w:hAnsi="Tahoma" w:cs="Tahoma"/>
                <w:sz w:val="18"/>
                <w:szCs w:val="18"/>
              </w:rPr>
            </w:pPr>
            <w:r>
              <w:rPr>
                <w:rFonts w:ascii="Tahoma" w:hAnsi="Tahoma" w:cs="Tahoma"/>
                <w:sz w:val="18"/>
                <w:szCs w:val="18"/>
              </w:rPr>
              <w:t>-0,8</w:t>
            </w:r>
          </w:p>
        </w:tc>
        <w:tc>
          <w:tcPr>
            <w:tcW w:w="49" w:type="dxa"/>
            <w:tcBorders>
              <w:top w:val="nil"/>
              <w:left w:val="nil"/>
              <w:bottom w:val="nil"/>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sz w:val="18"/>
                <w:szCs w:val="18"/>
              </w:rPr>
            </w:pPr>
          </w:p>
        </w:tc>
        <w:tc>
          <w:tcPr>
            <w:tcW w:w="587" w:type="dxa"/>
            <w:tcBorders>
              <w:top w:val="nil"/>
              <w:left w:val="nil"/>
              <w:bottom w:val="nil"/>
              <w:right w:val="nil"/>
            </w:tcBorders>
            <w:noWrap/>
            <w:tcMar>
              <w:top w:w="15" w:type="dxa"/>
              <w:left w:w="15" w:type="dxa"/>
              <w:bottom w:w="0" w:type="dxa"/>
              <w:right w:w="15" w:type="dxa"/>
            </w:tcMar>
            <w:vAlign w:val="center"/>
          </w:tcPr>
          <w:p w:rsidR="00D30E57" w:rsidRPr="003F6957" w:rsidRDefault="00D30E57" w:rsidP="000B6769">
            <w:pPr>
              <w:spacing w:before="40" w:after="40"/>
              <w:jc w:val="center"/>
              <w:rPr>
                <w:rFonts w:ascii="Tahoma" w:hAnsi="Tahoma" w:cs="Tahoma"/>
                <w:sz w:val="18"/>
                <w:szCs w:val="18"/>
              </w:rPr>
            </w:pPr>
            <w:r>
              <w:rPr>
                <w:rFonts w:ascii="Tahoma" w:hAnsi="Tahoma" w:cs="Tahoma"/>
                <w:sz w:val="18"/>
                <w:szCs w:val="18"/>
                <w:lang w:val="en-US"/>
              </w:rPr>
              <w:t>-</w:t>
            </w:r>
            <w:r>
              <w:rPr>
                <w:rFonts w:ascii="Tahoma" w:hAnsi="Tahoma" w:cs="Tahoma"/>
                <w:sz w:val="18"/>
                <w:szCs w:val="18"/>
              </w:rPr>
              <w:t>7,2</w:t>
            </w:r>
          </w:p>
        </w:tc>
        <w:tc>
          <w:tcPr>
            <w:tcW w:w="705" w:type="dxa"/>
            <w:tcBorders>
              <w:top w:val="nil"/>
              <w:left w:val="nil"/>
              <w:bottom w:val="nil"/>
              <w:right w:val="nil"/>
            </w:tcBorders>
            <w:noWrap/>
            <w:tcMar>
              <w:top w:w="0" w:type="dxa"/>
              <w:left w:w="15" w:type="dxa"/>
              <w:bottom w:w="0" w:type="dxa"/>
              <w:right w:w="15" w:type="dxa"/>
            </w:tcMar>
            <w:vAlign w:val="center"/>
          </w:tcPr>
          <w:p w:rsidR="00D30E57" w:rsidRPr="00B80788" w:rsidRDefault="00D30E57" w:rsidP="000B6769">
            <w:pPr>
              <w:spacing w:before="40" w:after="40"/>
              <w:jc w:val="center"/>
              <w:rPr>
                <w:rFonts w:ascii="Tahoma" w:hAnsi="Tahoma" w:cs="Tahoma"/>
                <w:sz w:val="18"/>
                <w:szCs w:val="18"/>
                <w:lang w:val="en-US"/>
              </w:rPr>
            </w:pPr>
            <w:r>
              <w:rPr>
                <w:rFonts w:ascii="Tahoma" w:hAnsi="Tahoma" w:cs="Tahoma"/>
                <w:sz w:val="18"/>
                <w:szCs w:val="18"/>
                <w:lang w:val="en-US"/>
              </w:rPr>
              <w:t>-5,7</w:t>
            </w:r>
          </w:p>
        </w:tc>
        <w:tc>
          <w:tcPr>
            <w:tcW w:w="675" w:type="dxa"/>
            <w:tcBorders>
              <w:top w:val="nil"/>
              <w:left w:val="nil"/>
              <w:bottom w:val="nil"/>
              <w:right w:val="single" w:sz="4" w:space="0" w:color="auto"/>
            </w:tcBorders>
            <w:noWrap/>
            <w:tcMar>
              <w:top w:w="15" w:type="dxa"/>
              <w:left w:w="15" w:type="dxa"/>
              <w:bottom w:w="0" w:type="dxa"/>
              <w:right w:w="15" w:type="dxa"/>
            </w:tcMar>
            <w:vAlign w:val="center"/>
          </w:tcPr>
          <w:p w:rsidR="00D30E57" w:rsidRPr="00B80788" w:rsidRDefault="00D30E57" w:rsidP="000B6769">
            <w:pPr>
              <w:spacing w:before="40" w:after="40"/>
              <w:jc w:val="center"/>
              <w:rPr>
                <w:rFonts w:ascii="Tahoma" w:hAnsi="Tahoma" w:cs="Tahoma"/>
                <w:sz w:val="18"/>
                <w:szCs w:val="18"/>
                <w:lang w:val="en-US"/>
              </w:rPr>
            </w:pPr>
            <w:r>
              <w:rPr>
                <w:rFonts w:ascii="Tahoma" w:hAnsi="Tahoma" w:cs="Tahoma"/>
                <w:sz w:val="18"/>
                <w:szCs w:val="18"/>
                <w:lang w:val="en-US"/>
              </w:rPr>
              <w:t>-1,1</w:t>
            </w:r>
          </w:p>
        </w:tc>
      </w:tr>
      <w:tr w:rsidR="00D30E57" w:rsidRPr="009433A4" w:rsidTr="002A5D2E">
        <w:trPr>
          <w:trHeight w:val="271"/>
          <w:jc w:val="center"/>
        </w:trPr>
        <w:tc>
          <w:tcPr>
            <w:tcW w:w="2254" w:type="dxa"/>
            <w:tcBorders>
              <w:top w:val="nil"/>
              <w:left w:val="single" w:sz="4" w:space="0" w:color="auto"/>
              <w:bottom w:val="nil"/>
              <w:right w:val="nil"/>
            </w:tcBorders>
            <w:noWrap/>
            <w:tcMar>
              <w:top w:w="0" w:type="dxa"/>
              <w:left w:w="15" w:type="dxa"/>
              <w:bottom w:w="0" w:type="dxa"/>
              <w:right w:w="15" w:type="dxa"/>
            </w:tcMar>
            <w:vAlign w:val="bottom"/>
          </w:tcPr>
          <w:p w:rsidR="00D30E57" w:rsidRPr="004D0962" w:rsidRDefault="00D30E57" w:rsidP="000B6769">
            <w:pPr>
              <w:spacing w:before="40" w:after="40"/>
              <w:rPr>
                <w:rFonts w:ascii="Tahoma" w:hAnsi="Tahoma" w:cs="Tahoma"/>
                <w:sz w:val="18"/>
                <w:szCs w:val="18"/>
              </w:rPr>
            </w:pPr>
            <w:r w:rsidRPr="004D0962">
              <w:rPr>
                <w:rFonts w:ascii="Tahoma" w:hAnsi="Tahoma" w:cs="Tahoma"/>
                <w:sz w:val="18"/>
                <w:szCs w:val="18"/>
              </w:rPr>
              <w:t>Εναρμονισμένος Δείκτης Τιμών Καταναλωτή (%)</w:t>
            </w:r>
          </w:p>
        </w:tc>
        <w:tc>
          <w:tcPr>
            <w:tcW w:w="49" w:type="dxa"/>
            <w:tcBorders>
              <w:top w:val="nil"/>
              <w:left w:val="single" w:sz="8" w:space="0" w:color="auto"/>
              <w:bottom w:val="nil"/>
              <w:right w:val="nil"/>
            </w:tcBorders>
            <w:noWrap/>
            <w:tcMar>
              <w:top w:w="0" w:type="dxa"/>
              <w:left w:w="15" w:type="dxa"/>
              <w:bottom w:w="0" w:type="dxa"/>
              <w:right w:w="15" w:type="dxa"/>
            </w:tcMar>
            <w:vAlign w:val="bottom"/>
          </w:tcPr>
          <w:p w:rsidR="00D30E57" w:rsidRPr="004D0962" w:rsidRDefault="00D30E57" w:rsidP="000B6769">
            <w:pPr>
              <w:spacing w:before="40" w:after="40"/>
              <w:jc w:val="center"/>
              <w:rPr>
                <w:rFonts w:ascii="Tahoma" w:hAnsi="Tahoma" w:cs="Tahoma"/>
                <w:sz w:val="18"/>
                <w:szCs w:val="18"/>
              </w:rPr>
            </w:pPr>
          </w:p>
        </w:tc>
        <w:tc>
          <w:tcPr>
            <w:tcW w:w="698" w:type="dxa"/>
            <w:tcBorders>
              <w:top w:val="nil"/>
              <w:left w:val="nil"/>
              <w:bottom w:val="nil"/>
              <w:right w:val="nil"/>
            </w:tcBorders>
            <w:noWrap/>
            <w:tcMar>
              <w:top w:w="0" w:type="dxa"/>
              <w:left w:w="15" w:type="dxa"/>
              <w:bottom w:w="0" w:type="dxa"/>
              <w:right w:w="15" w:type="dxa"/>
            </w:tcMar>
            <w:vAlign w:val="center"/>
          </w:tcPr>
          <w:p w:rsidR="00D30E57" w:rsidRPr="004708B2" w:rsidRDefault="00D30E57" w:rsidP="000B6769">
            <w:pPr>
              <w:spacing w:before="40" w:after="40"/>
              <w:jc w:val="center"/>
              <w:rPr>
                <w:rFonts w:ascii="Tahoma" w:hAnsi="Tahoma" w:cs="Tahoma"/>
                <w:sz w:val="18"/>
                <w:szCs w:val="18"/>
              </w:rPr>
            </w:pPr>
            <w:r>
              <w:rPr>
                <w:rFonts w:ascii="Tahoma" w:hAnsi="Tahoma" w:cs="Tahoma"/>
                <w:sz w:val="18"/>
                <w:szCs w:val="18"/>
                <w:lang w:val="en-US"/>
              </w:rPr>
              <w:t>4</w:t>
            </w:r>
            <w:r w:rsidRPr="001E2138">
              <w:rPr>
                <w:rFonts w:ascii="Tahoma" w:hAnsi="Tahoma" w:cs="Tahoma"/>
                <w:sz w:val="18"/>
                <w:szCs w:val="18"/>
                <w:lang w:val="en-US"/>
              </w:rPr>
              <w:t>,</w:t>
            </w:r>
            <w:r>
              <w:rPr>
                <w:rFonts w:ascii="Tahoma" w:hAnsi="Tahoma" w:cs="Tahoma"/>
                <w:sz w:val="18"/>
                <w:szCs w:val="18"/>
                <w:lang w:val="en-US"/>
              </w:rPr>
              <w:t>7</w:t>
            </w:r>
          </w:p>
        </w:tc>
        <w:tc>
          <w:tcPr>
            <w:tcW w:w="648" w:type="dxa"/>
            <w:tcBorders>
              <w:top w:val="nil"/>
              <w:left w:val="nil"/>
              <w:bottom w:val="nil"/>
              <w:right w:val="nil"/>
            </w:tcBorders>
            <w:noWrap/>
            <w:tcMar>
              <w:top w:w="0" w:type="dxa"/>
              <w:left w:w="15" w:type="dxa"/>
              <w:bottom w:w="0" w:type="dxa"/>
              <w:right w:w="15" w:type="dxa"/>
            </w:tcMar>
            <w:vAlign w:val="center"/>
          </w:tcPr>
          <w:p w:rsidR="00D30E57" w:rsidRPr="004708B2" w:rsidRDefault="00D30E57" w:rsidP="000B6769">
            <w:pPr>
              <w:spacing w:before="40" w:after="40"/>
              <w:jc w:val="center"/>
              <w:rPr>
                <w:rFonts w:ascii="Tahoma" w:hAnsi="Tahoma" w:cs="Tahoma"/>
                <w:sz w:val="18"/>
                <w:szCs w:val="18"/>
              </w:rPr>
            </w:pPr>
            <w:r>
              <w:rPr>
                <w:rFonts w:ascii="Tahoma" w:hAnsi="Tahoma" w:cs="Tahoma"/>
                <w:sz w:val="18"/>
                <w:szCs w:val="18"/>
                <w:lang w:val="en-US"/>
              </w:rPr>
              <w:t>2,</w:t>
            </w:r>
            <w:r>
              <w:rPr>
                <w:rFonts w:ascii="Tahoma" w:hAnsi="Tahoma" w:cs="Tahoma"/>
                <w:sz w:val="18"/>
                <w:szCs w:val="18"/>
              </w:rPr>
              <w:t>8</w:t>
            </w:r>
          </w:p>
        </w:tc>
        <w:tc>
          <w:tcPr>
            <w:tcW w:w="739" w:type="dxa"/>
            <w:tcBorders>
              <w:top w:val="nil"/>
              <w:left w:val="nil"/>
              <w:bottom w:val="nil"/>
              <w:right w:val="single" w:sz="8" w:space="0" w:color="auto"/>
            </w:tcBorders>
            <w:tcMar>
              <w:top w:w="0" w:type="dxa"/>
              <w:left w:w="15" w:type="dxa"/>
              <w:bottom w:w="0" w:type="dxa"/>
              <w:right w:w="15" w:type="dxa"/>
            </w:tcMar>
            <w:vAlign w:val="center"/>
          </w:tcPr>
          <w:p w:rsidR="00D30E57" w:rsidRPr="00AC0DA3" w:rsidRDefault="00D30E57" w:rsidP="000B6769">
            <w:pPr>
              <w:spacing w:before="40" w:after="40"/>
              <w:jc w:val="center"/>
              <w:rPr>
                <w:rFonts w:ascii="Tahoma" w:hAnsi="Tahoma" w:cs="Tahoma"/>
                <w:sz w:val="18"/>
                <w:szCs w:val="18"/>
                <w:lang w:val="en-US"/>
              </w:rPr>
            </w:pPr>
            <w:r>
              <w:rPr>
                <w:rFonts w:ascii="Tahoma" w:hAnsi="Tahoma" w:cs="Tahoma"/>
                <w:sz w:val="18"/>
                <w:szCs w:val="18"/>
              </w:rPr>
              <w:t>0,6</w:t>
            </w:r>
          </w:p>
        </w:tc>
        <w:tc>
          <w:tcPr>
            <w:tcW w:w="49" w:type="dxa"/>
            <w:tcBorders>
              <w:top w:val="nil"/>
              <w:left w:val="nil"/>
              <w:bottom w:val="nil"/>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sz w:val="18"/>
                <w:szCs w:val="18"/>
              </w:rPr>
            </w:pPr>
          </w:p>
        </w:tc>
        <w:tc>
          <w:tcPr>
            <w:tcW w:w="632" w:type="dxa"/>
            <w:tcBorders>
              <w:top w:val="nil"/>
              <w:left w:val="nil"/>
              <w:bottom w:val="nil"/>
              <w:right w:val="nil"/>
            </w:tcBorders>
            <w:noWrap/>
            <w:tcMar>
              <w:top w:w="0" w:type="dxa"/>
              <w:left w:w="15" w:type="dxa"/>
              <w:bottom w:w="0" w:type="dxa"/>
              <w:right w:w="15" w:type="dxa"/>
            </w:tcMar>
            <w:vAlign w:val="center"/>
          </w:tcPr>
          <w:p w:rsidR="00D30E57" w:rsidRPr="00A43422" w:rsidRDefault="00D30E57" w:rsidP="000B6769">
            <w:pPr>
              <w:spacing w:before="40" w:after="40"/>
              <w:jc w:val="center"/>
              <w:rPr>
                <w:rFonts w:ascii="Tahoma" w:hAnsi="Tahoma" w:cs="Tahoma"/>
                <w:sz w:val="18"/>
                <w:szCs w:val="18"/>
                <w:lang w:val="en-US"/>
              </w:rPr>
            </w:pPr>
            <w:r>
              <w:rPr>
                <w:rFonts w:ascii="Tahoma" w:hAnsi="Tahoma" w:cs="Tahoma"/>
                <w:sz w:val="18"/>
                <w:szCs w:val="18"/>
                <w:lang w:val="en-US"/>
              </w:rPr>
              <w:t>3,1</w:t>
            </w:r>
          </w:p>
        </w:tc>
        <w:tc>
          <w:tcPr>
            <w:tcW w:w="638" w:type="dxa"/>
            <w:tcBorders>
              <w:top w:val="nil"/>
              <w:left w:val="nil"/>
              <w:bottom w:val="nil"/>
              <w:right w:val="nil"/>
            </w:tcBorders>
            <w:noWrap/>
            <w:tcMar>
              <w:top w:w="15" w:type="dxa"/>
              <w:left w:w="15" w:type="dxa"/>
              <w:bottom w:w="0" w:type="dxa"/>
              <w:right w:w="15" w:type="dxa"/>
            </w:tcMar>
            <w:vAlign w:val="center"/>
          </w:tcPr>
          <w:p w:rsidR="00D30E57" w:rsidRPr="00A43422" w:rsidRDefault="00D30E57" w:rsidP="000B6769">
            <w:pPr>
              <w:spacing w:before="40" w:after="40"/>
              <w:jc w:val="center"/>
              <w:rPr>
                <w:rFonts w:ascii="Tahoma" w:hAnsi="Tahoma" w:cs="Tahoma"/>
                <w:sz w:val="18"/>
                <w:szCs w:val="18"/>
                <w:lang w:val="en-US"/>
              </w:rPr>
            </w:pPr>
            <w:r>
              <w:rPr>
                <w:rFonts w:ascii="Tahoma" w:hAnsi="Tahoma" w:cs="Tahoma"/>
                <w:sz w:val="18"/>
                <w:szCs w:val="18"/>
                <w:lang w:val="en-US"/>
              </w:rPr>
              <w:t>-0,5</w:t>
            </w:r>
          </w:p>
        </w:tc>
        <w:tc>
          <w:tcPr>
            <w:tcW w:w="574" w:type="dxa"/>
            <w:tcBorders>
              <w:top w:val="nil"/>
              <w:left w:val="nil"/>
              <w:bottom w:val="nil"/>
              <w:right w:val="single" w:sz="8" w:space="0" w:color="auto"/>
            </w:tcBorders>
            <w:noWrap/>
            <w:tcMar>
              <w:top w:w="15" w:type="dxa"/>
              <w:left w:w="15" w:type="dxa"/>
              <w:bottom w:w="0" w:type="dxa"/>
              <w:right w:w="15" w:type="dxa"/>
            </w:tcMar>
            <w:vAlign w:val="center"/>
          </w:tcPr>
          <w:p w:rsidR="00D30E57" w:rsidRPr="00A43422" w:rsidRDefault="00D30E57" w:rsidP="000B6769">
            <w:pPr>
              <w:spacing w:before="40" w:after="40"/>
              <w:jc w:val="center"/>
              <w:rPr>
                <w:rFonts w:ascii="Tahoma" w:hAnsi="Tahoma" w:cs="Tahoma"/>
                <w:sz w:val="18"/>
                <w:szCs w:val="18"/>
                <w:lang w:val="en-US"/>
              </w:rPr>
            </w:pPr>
            <w:r>
              <w:rPr>
                <w:rFonts w:ascii="Tahoma" w:hAnsi="Tahoma" w:cs="Tahoma"/>
                <w:sz w:val="18"/>
                <w:szCs w:val="18"/>
                <w:lang w:val="en-US"/>
              </w:rPr>
              <w:t>-0,3</w:t>
            </w:r>
          </w:p>
        </w:tc>
        <w:tc>
          <w:tcPr>
            <w:tcW w:w="49" w:type="dxa"/>
            <w:tcBorders>
              <w:top w:val="nil"/>
              <w:left w:val="nil"/>
              <w:bottom w:val="nil"/>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sz w:val="18"/>
                <w:szCs w:val="18"/>
              </w:rPr>
            </w:pPr>
          </w:p>
        </w:tc>
        <w:tc>
          <w:tcPr>
            <w:tcW w:w="533" w:type="dxa"/>
            <w:tcBorders>
              <w:top w:val="nil"/>
              <w:left w:val="nil"/>
              <w:bottom w:val="nil"/>
              <w:right w:val="nil"/>
            </w:tcBorders>
            <w:noWrap/>
            <w:tcMar>
              <w:top w:w="0" w:type="dxa"/>
              <w:left w:w="15" w:type="dxa"/>
              <w:bottom w:w="0" w:type="dxa"/>
              <w:right w:w="15" w:type="dxa"/>
            </w:tcMar>
            <w:vAlign w:val="center"/>
          </w:tcPr>
          <w:p w:rsidR="00D30E57" w:rsidRPr="00D13897" w:rsidRDefault="00D30E57" w:rsidP="000B6769">
            <w:pPr>
              <w:jc w:val="center"/>
              <w:rPr>
                <w:rFonts w:ascii="Tahoma" w:hAnsi="Tahoma" w:cs="Tahoma"/>
                <w:sz w:val="18"/>
                <w:szCs w:val="18"/>
                <w:lang w:val="en-US"/>
              </w:rPr>
            </w:pPr>
            <w:r>
              <w:rPr>
                <w:rFonts w:ascii="Tahoma" w:hAnsi="Tahoma" w:cs="Tahoma"/>
                <w:sz w:val="18"/>
                <w:szCs w:val="18"/>
                <w:lang w:val="en-US"/>
              </w:rPr>
              <w:t>3</w:t>
            </w:r>
            <w:r>
              <w:rPr>
                <w:rFonts w:ascii="Tahoma" w:hAnsi="Tahoma" w:cs="Tahoma"/>
                <w:sz w:val="18"/>
                <w:szCs w:val="18"/>
              </w:rPr>
              <w:t>,</w:t>
            </w:r>
            <w:r>
              <w:rPr>
                <w:rFonts w:ascii="Tahoma" w:hAnsi="Tahoma" w:cs="Tahoma"/>
                <w:sz w:val="18"/>
                <w:szCs w:val="18"/>
                <w:lang w:val="en-US"/>
              </w:rPr>
              <w:t>0</w:t>
            </w:r>
          </w:p>
        </w:tc>
        <w:tc>
          <w:tcPr>
            <w:tcW w:w="587" w:type="dxa"/>
            <w:tcBorders>
              <w:top w:val="nil"/>
              <w:left w:val="nil"/>
              <w:bottom w:val="nil"/>
              <w:right w:val="nil"/>
            </w:tcBorders>
            <w:noWrap/>
            <w:tcMar>
              <w:top w:w="15" w:type="dxa"/>
              <w:left w:w="15" w:type="dxa"/>
              <w:bottom w:w="0" w:type="dxa"/>
              <w:right w:w="15" w:type="dxa"/>
            </w:tcMar>
            <w:vAlign w:val="center"/>
          </w:tcPr>
          <w:p w:rsidR="00D30E57" w:rsidRPr="003338D4" w:rsidRDefault="00D30E57" w:rsidP="000B6769">
            <w:pPr>
              <w:jc w:val="center"/>
              <w:rPr>
                <w:rFonts w:ascii="Tahoma" w:hAnsi="Tahoma" w:cs="Tahoma"/>
                <w:sz w:val="18"/>
                <w:szCs w:val="18"/>
                <w:lang w:val="en-US"/>
              </w:rPr>
            </w:pPr>
            <w:r>
              <w:rPr>
                <w:rFonts w:ascii="Tahoma" w:hAnsi="Tahoma" w:cs="Tahoma"/>
                <w:sz w:val="18"/>
                <w:szCs w:val="18"/>
                <w:lang w:val="en-US"/>
              </w:rPr>
              <w:t>1,1</w:t>
            </w:r>
          </w:p>
        </w:tc>
        <w:tc>
          <w:tcPr>
            <w:tcW w:w="623" w:type="dxa"/>
            <w:tcBorders>
              <w:top w:val="nil"/>
              <w:left w:val="nil"/>
              <w:bottom w:val="nil"/>
              <w:right w:val="single" w:sz="8" w:space="0" w:color="auto"/>
            </w:tcBorders>
            <w:noWrap/>
            <w:tcMar>
              <w:top w:w="15" w:type="dxa"/>
              <w:left w:w="15" w:type="dxa"/>
              <w:bottom w:w="0" w:type="dxa"/>
              <w:right w:w="15" w:type="dxa"/>
            </w:tcMar>
            <w:vAlign w:val="center"/>
          </w:tcPr>
          <w:p w:rsidR="00D30E57" w:rsidRPr="00D25702" w:rsidRDefault="00D30E57" w:rsidP="000B6769">
            <w:pPr>
              <w:jc w:val="center"/>
              <w:rPr>
                <w:rFonts w:ascii="Tahoma" w:hAnsi="Tahoma" w:cs="Tahoma"/>
                <w:sz w:val="18"/>
                <w:szCs w:val="18"/>
              </w:rPr>
            </w:pPr>
            <w:r>
              <w:rPr>
                <w:rFonts w:ascii="Tahoma" w:hAnsi="Tahoma" w:cs="Tahoma"/>
                <w:sz w:val="18"/>
                <w:szCs w:val="18"/>
              </w:rPr>
              <w:t>0,2</w:t>
            </w:r>
          </w:p>
        </w:tc>
        <w:tc>
          <w:tcPr>
            <w:tcW w:w="49" w:type="dxa"/>
            <w:tcBorders>
              <w:top w:val="nil"/>
              <w:left w:val="nil"/>
              <w:bottom w:val="nil"/>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sz w:val="18"/>
                <w:szCs w:val="18"/>
              </w:rPr>
            </w:pPr>
          </w:p>
        </w:tc>
        <w:tc>
          <w:tcPr>
            <w:tcW w:w="587" w:type="dxa"/>
            <w:tcBorders>
              <w:top w:val="nil"/>
              <w:left w:val="nil"/>
              <w:bottom w:val="nil"/>
              <w:right w:val="nil"/>
            </w:tcBorders>
            <w:noWrap/>
            <w:tcMar>
              <w:top w:w="15" w:type="dxa"/>
              <w:left w:w="15" w:type="dxa"/>
              <w:bottom w:w="0" w:type="dxa"/>
              <w:right w:w="15" w:type="dxa"/>
            </w:tcMar>
            <w:vAlign w:val="center"/>
          </w:tcPr>
          <w:p w:rsidR="00D30E57" w:rsidRPr="00E45E93" w:rsidRDefault="00D30E57" w:rsidP="000B6769">
            <w:pPr>
              <w:spacing w:before="40" w:after="40"/>
              <w:jc w:val="center"/>
              <w:rPr>
                <w:rFonts w:ascii="Tahoma" w:hAnsi="Tahoma" w:cs="Tahoma"/>
                <w:sz w:val="18"/>
                <w:szCs w:val="18"/>
                <w:lang w:val="en-US"/>
              </w:rPr>
            </w:pPr>
            <w:r>
              <w:rPr>
                <w:rFonts w:ascii="Tahoma" w:hAnsi="Tahoma" w:cs="Tahoma"/>
                <w:sz w:val="18"/>
                <w:szCs w:val="18"/>
              </w:rPr>
              <w:t>3</w:t>
            </w:r>
            <w:r w:rsidRPr="008B420F">
              <w:rPr>
                <w:rFonts w:ascii="Tahoma" w:hAnsi="Tahoma" w:cs="Tahoma"/>
                <w:sz w:val="18"/>
                <w:szCs w:val="18"/>
                <w:lang w:val="en-US"/>
              </w:rPr>
              <w:t>,</w:t>
            </w:r>
            <w:r>
              <w:rPr>
                <w:rFonts w:ascii="Tahoma" w:hAnsi="Tahoma" w:cs="Tahoma"/>
                <w:sz w:val="18"/>
                <w:szCs w:val="18"/>
              </w:rPr>
              <w:t>1</w:t>
            </w:r>
          </w:p>
        </w:tc>
        <w:tc>
          <w:tcPr>
            <w:tcW w:w="705" w:type="dxa"/>
            <w:tcBorders>
              <w:top w:val="nil"/>
              <w:left w:val="nil"/>
              <w:bottom w:val="nil"/>
              <w:right w:val="nil"/>
            </w:tcBorders>
            <w:noWrap/>
            <w:tcMar>
              <w:top w:w="15" w:type="dxa"/>
              <w:left w:w="15" w:type="dxa"/>
              <w:bottom w:w="0" w:type="dxa"/>
              <w:right w:w="15" w:type="dxa"/>
            </w:tcMar>
            <w:vAlign w:val="center"/>
          </w:tcPr>
          <w:p w:rsidR="00D30E57" w:rsidRPr="00B80788" w:rsidRDefault="00D30E57" w:rsidP="000B6769">
            <w:pPr>
              <w:spacing w:before="40" w:after="40"/>
              <w:jc w:val="center"/>
              <w:rPr>
                <w:rFonts w:ascii="Tahoma" w:hAnsi="Tahoma" w:cs="Tahoma"/>
                <w:sz w:val="18"/>
                <w:szCs w:val="18"/>
                <w:lang w:val="en-US"/>
              </w:rPr>
            </w:pPr>
            <w:r>
              <w:rPr>
                <w:rFonts w:ascii="Tahoma" w:hAnsi="Tahoma" w:cs="Tahoma"/>
                <w:sz w:val="18"/>
                <w:szCs w:val="18"/>
                <w:lang w:val="en-US"/>
              </w:rPr>
              <w:t>-0</w:t>
            </w:r>
            <w:r w:rsidRPr="008B420F">
              <w:rPr>
                <w:rFonts w:ascii="Tahoma" w:hAnsi="Tahoma" w:cs="Tahoma"/>
                <w:sz w:val="18"/>
                <w:szCs w:val="18"/>
                <w:lang w:val="en-US"/>
              </w:rPr>
              <w:t>,</w:t>
            </w:r>
            <w:r>
              <w:rPr>
                <w:rFonts w:ascii="Tahoma" w:hAnsi="Tahoma" w:cs="Tahoma"/>
                <w:sz w:val="18"/>
                <w:szCs w:val="18"/>
                <w:lang w:val="en-US"/>
              </w:rPr>
              <w:t>5</w:t>
            </w:r>
          </w:p>
        </w:tc>
        <w:tc>
          <w:tcPr>
            <w:tcW w:w="675" w:type="dxa"/>
            <w:tcBorders>
              <w:top w:val="nil"/>
              <w:left w:val="nil"/>
              <w:bottom w:val="nil"/>
              <w:right w:val="single" w:sz="4" w:space="0" w:color="auto"/>
            </w:tcBorders>
            <w:noWrap/>
            <w:tcMar>
              <w:top w:w="15" w:type="dxa"/>
              <w:left w:w="15" w:type="dxa"/>
              <w:bottom w:w="0" w:type="dxa"/>
              <w:right w:w="15" w:type="dxa"/>
            </w:tcMar>
            <w:vAlign w:val="center"/>
          </w:tcPr>
          <w:p w:rsidR="00D30E57" w:rsidRPr="00B80788" w:rsidRDefault="00D30E57" w:rsidP="000B6769">
            <w:pPr>
              <w:spacing w:before="40" w:after="40"/>
              <w:jc w:val="center"/>
              <w:rPr>
                <w:rFonts w:ascii="Tahoma" w:hAnsi="Tahoma" w:cs="Tahoma"/>
                <w:sz w:val="18"/>
                <w:szCs w:val="18"/>
                <w:lang w:val="en-US"/>
              </w:rPr>
            </w:pPr>
            <w:r>
              <w:rPr>
                <w:rFonts w:ascii="Tahoma" w:hAnsi="Tahoma" w:cs="Tahoma"/>
                <w:sz w:val="18"/>
                <w:szCs w:val="18"/>
                <w:lang w:val="en-US"/>
              </w:rPr>
              <w:t>-</w:t>
            </w:r>
            <w:r>
              <w:rPr>
                <w:rFonts w:ascii="Tahoma" w:hAnsi="Tahoma" w:cs="Tahoma"/>
                <w:sz w:val="18"/>
                <w:szCs w:val="18"/>
              </w:rPr>
              <w:t>0,</w:t>
            </w:r>
            <w:r>
              <w:rPr>
                <w:rFonts w:ascii="Tahoma" w:hAnsi="Tahoma" w:cs="Tahoma"/>
                <w:sz w:val="18"/>
                <w:szCs w:val="18"/>
                <w:lang w:val="en-US"/>
              </w:rPr>
              <w:t>3</w:t>
            </w:r>
          </w:p>
        </w:tc>
      </w:tr>
      <w:tr w:rsidR="00D30E57" w:rsidRPr="009433A4" w:rsidTr="002A5D2E">
        <w:trPr>
          <w:trHeight w:val="269"/>
          <w:jc w:val="center"/>
        </w:trPr>
        <w:tc>
          <w:tcPr>
            <w:tcW w:w="2254" w:type="dxa"/>
            <w:tcBorders>
              <w:top w:val="nil"/>
              <w:left w:val="single" w:sz="4" w:space="0" w:color="auto"/>
              <w:bottom w:val="nil"/>
              <w:right w:val="nil"/>
            </w:tcBorders>
            <w:noWrap/>
            <w:tcMar>
              <w:top w:w="0" w:type="dxa"/>
              <w:left w:w="15" w:type="dxa"/>
              <w:bottom w:w="0" w:type="dxa"/>
              <w:right w:w="15" w:type="dxa"/>
            </w:tcMar>
            <w:vAlign w:val="bottom"/>
          </w:tcPr>
          <w:p w:rsidR="00D30E57" w:rsidRPr="004D0962" w:rsidRDefault="00D30E57" w:rsidP="000B6769">
            <w:pPr>
              <w:spacing w:before="40" w:after="40"/>
              <w:rPr>
                <w:rFonts w:ascii="Tahoma" w:hAnsi="Tahoma" w:cs="Tahoma"/>
                <w:sz w:val="18"/>
                <w:szCs w:val="18"/>
              </w:rPr>
            </w:pPr>
            <w:r w:rsidRPr="004D0962">
              <w:rPr>
                <w:rFonts w:ascii="Tahoma" w:hAnsi="Tahoma" w:cs="Tahoma"/>
                <w:sz w:val="18"/>
                <w:szCs w:val="18"/>
              </w:rPr>
              <w:t>Ακαθ. Επενδ. Παγίου Κεφαλαίου</w:t>
            </w:r>
          </w:p>
        </w:tc>
        <w:tc>
          <w:tcPr>
            <w:tcW w:w="49" w:type="dxa"/>
            <w:tcBorders>
              <w:top w:val="nil"/>
              <w:left w:val="single" w:sz="8" w:space="0" w:color="auto"/>
              <w:bottom w:val="nil"/>
              <w:right w:val="nil"/>
            </w:tcBorders>
            <w:noWrap/>
            <w:tcMar>
              <w:top w:w="0" w:type="dxa"/>
              <w:left w:w="15" w:type="dxa"/>
              <w:bottom w:w="0" w:type="dxa"/>
              <w:right w:w="15" w:type="dxa"/>
            </w:tcMar>
            <w:vAlign w:val="bottom"/>
          </w:tcPr>
          <w:p w:rsidR="00D30E57" w:rsidRPr="004D0962" w:rsidRDefault="00D30E57" w:rsidP="000B6769">
            <w:pPr>
              <w:spacing w:before="40" w:after="40"/>
              <w:jc w:val="center"/>
              <w:rPr>
                <w:rFonts w:ascii="Tahoma" w:hAnsi="Tahoma" w:cs="Tahoma"/>
                <w:sz w:val="18"/>
                <w:szCs w:val="18"/>
              </w:rPr>
            </w:pPr>
          </w:p>
        </w:tc>
        <w:tc>
          <w:tcPr>
            <w:tcW w:w="698" w:type="dxa"/>
            <w:tcBorders>
              <w:top w:val="nil"/>
              <w:left w:val="nil"/>
              <w:bottom w:val="nil"/>
              <w:right w:val="nil"/>
            </w:tcBorders>
            <w:noWrap/>
            <w:tcMar>
              <w:top w:w="0" w:type="dxa"/>
              <w:left w:w="15" w:type="dxa"/>
              <w:bottom w:w="0" w:type="dxa"/>
              <w:right w:w="15" w:type="dxa"/>
            </w:tcMar>
            <w:vAlign w:val="center"/>
          </w:tcPr>
          <w:p w:rsidR="00D30E57" w:rsidRPr="004708B2" w:rsidRDefault="00D30E57" w:rsidP="000B6769">
            <w:pPr>
              <w:spacing w:before="40" w:after="40"/>
              <w:jc w:val="center"/>
              <w:rPr>
                <w:rFonts w:ascii="Tahoma" w:hAnsi="Tahoma" w:cs="Tahoma"/>
                <w:sz w:val="18"/>
                <w:szCs w:val="18"/>
              </w:rPr>
            </w:pPr>
            <w:r>
              <w:rPr>
                <w:rFonts w:ascii="Tahoma" w:hAnsi="Tahoma" w:cs="Tahoma"/>
                <w:sz w:val="18"/>
                <w:szCs w:val="18"/>
              </w:rPr>
              <w:t>-</w:t>
            </w:r>
            <w:r>
              <w:rPr>
                <w:rFonts w:ascii="Tahoma" w:hAnsi="Tahoma" w:cs="Tahoma"/>
                <w:sz w:val="18"/>
                <w:szCs w:val="18"/>
                <w:lang w:val="en-US"/>
              </w:rPr>
              <w:t>1</w:t>
            </w:r>
            <w:r>
              <w:rPr>
                <w:rFonts w:ascii="Tahoma" w:hAnsi="Tahoma" w:cs="Tahoma"/>
                <w:sz w:val="18"/>
                <w:szCs w:val="18"/>
              </w:rPr>
              <w:t>3,3</w:t>
            </w:r>
          </w:p>
        </w:tc>
        <w:tc>
          <w:tcPr>
            <w:tcW w:w="648" w:type="dxa"/>
            <w:tcBorders>
              <w:top w:val="nil"/>
              <w:left w:val="nil"/>
              <w:bottom w:val="nil"/>
              <w:right w:val="nil"/>
            </w:tcBorders>
            <w:noWrap/>
            <w:tcMar>
              <w:top w:w="0" w:type="dxa"/>
              <w:left w:w="15" w:type="dxa"/>
              <w:bottom w:w="0" w:type="dxa"/>
              <w:right w:w="15" w:type="dxa"/>
            </w:tcMar>
            <w:vAlign w:val="center"/>
          </w:tcPr>
          <w:p w:rsidR="00D30E57" w:rsidRPr="004708B2" w:rsidRDefault="00D30E57" w:rsidP="000B6769">
            <w:pPr>
              <w:spacing w:before="40" w:after="40"/>
              <w:jc w:val="center"/>
              <w:rPr>
                <w:rFonts w:ascii="Tahoma" w:hAnsi="Tahoma" w:cs="Tahoma"/>
                <w:sz w:val="18"/>
                <w:szCs w:val="18"/>
              </w:rPr>
            </w:pPr>
            <w:r>
              <w:rPr>
                <w:rFonts w:ascii="Tahoma" w:hAnsi="Tahoma" w:cs="Tahoma"/>
                <w:sz w:val="18"/>
                <w:szCs w:val="18"/>
                <w:lang w:val="en-US"/>
              </w:rPr>
              <w:t>-</w:t>
            </w:r>
            <w:r>
              <w:rPr>
                <w:rFonts w:ascii="Tahoma" w:hAnsi="Tahoma" w:cs="Tahoma"/>
                <w:sz w:val="18"/>
                <w:szCs w:val="18"/>
              </w:rPr>
              <w:t>12,9</w:t>
            </w:r>
          </w:p>
        </w:tc>
        <w:tc>
          <w:tcPr>
            <w:tcW w:w="739" w:type="dxa"/>
            <w:tcBorders>
              <w:top w:val="nil"/>
              <w:left w:val="nil"/>
              <w:bottom w:val="nil"/>
              <w:right w:val="single" w:sz="8" w:space="0" w:color="auto"/>
            </w:tcBorders>
            <w:tcMar>
              <w:top w:w="0" w:type="dxa"/>
              <w:left w:w="15" w:type="dxa"/>
              <w:bottom w:w="0" w:type="dxa"/>
              <w:right w:w="15" w:type="dxa"/>
            </w:tcMar>
            <w:vAlign w:val="center"/>
          </w:tcPr>
          <w:p w:rsidR="00D30E57" w:rsidRPr="004708B2" w:rsidRDefault="00D30E57" w:rsidP="000B6769">
            <w:pPr>
              <w:spacing w:before="40" w:after="40"/>
              <w:jc w:val="center"/>
              <w:rPr>
                <w:rFonts w:ascii="Tahoma" w:hAnsi="Tahoma" w:cs="Tahoma"/>
                <w:sz w:val="18"/>
                <w:szCs w:val="18"/>
              </w:rPr>
            </w:pPr>
            <w:r>
              <w:rPr>
                <w:rFonts w:ascii="Tahoma" w:hAnsi="Tahoma" w:cs="Tahoma"/>
                <w:sz w:val="18"/>
                <w:szCs w:val="18"/>
                <w:lang w:val="en-US"/>
              </w:rPr>
              <w:t>-4,</w:t>
            </w:r>
            <w:r>
              <w:rPr>
                <w:rFonts w:ascii="Tahoma" w:hAnsi="Tahoma" w:cs="Tahoma"/>
                <w:sz w:val="18"/>
                <w:szCs w:val="18"/>
              </w:rPr>
              <w:t>0</w:t>
            </w:r>
          </w:p>
        </w:tc>
        <w:tc>
          <w:tcPr>
            <w:tcW w:w="49" w:type="dxa"/>
            <w:tcBorders>
              <w:top w:val="nil"/>
              <w:left w:val="nil"/>
              <w:bottom w:val="nil"/>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sz w:val="18"/>
                <w:szCs w:val="18"/>
              </w:rPr>
            </w:pPr>
          </w:p>
        </w:tc>
        <w:tc>
          <w:tcPr>
            <w:tcW w:w="632" w:type="dxa"/>
            <w:tcBorders>
              <w:top w:val="nil"/>
              <w:left w:val="nil"/>
              <w:bottom w:val="nil"/>
              <w:right w:val="nil"/>
            </w:tcBorders>
            <w:noWrap/>
            <w:tcMar>
              <w:top w:w="0" w:type="dxa"/>
              <w:left w:w="15" w:type="dxa"/>
              <w:bottom w:w="0" w:type="dxa"/>
              <w:right w:w="15" w:type="dxa"/>
            </w:tcMar>
            <w:vAlign w:val="center"/>
          </w:tcPr>
          <w:p w:rsidR="00D30E57" w:rsidRPr="004225B0" w:rsidRDefault="00D30E57" w:rsidP="000B6769">
            <w:pPr>
              <w:jc w:val="center"/>
              <w:rPr>
                <w:rFonts w:ascii="Tahoma" w:hAnsi="Tahoma" w:cs="Tahoma"/>
                <w:sz w:val="18"/>
                <w:szCs w:val="18"/>
                <w:lang w:val="en-US"/>
              </w:rPr>
            </w:pPr>
            <w:r>
              <w:rPr>
                <w:rFonts w:ascii="Tahoma" w:hAnsi="Tahoma" w:cs="Tahoma"/>
                <w:sz w:val="18"/>
                <w:szCs w:val="18"/>
                <w:lang w:val="en-US"/>
              </w:rPr>
              <w:t>-</w:t>
            </w:r>
            <w:r>
              <w:rPr>
                <w:rFonts w:ascii="Tahoma" w:hAnsi="Tahoma" w:cs="Tahoma"/>
                <w:sz w:val="18"/>
                <w:szCs w:val="18"/>
              </w:rPr>
              <w:t>1</w:t>
            </w:r>
            <w:r>
              <w:rPr>
                <w:rFonts w:ascii="Tahoma" w:hAnsi="Tahoma" w:cs="Tahoma"/>
                <w:sz w:val="18"/>
                <w:szCs w:val="18"/>
                <w:lang w:val="en-US"/>
              </w:rPr>
              <w:t>7,0</w:t>
            </w:r>
          </w:p>
        </w:tc>
        <w:tc>
          <w:tcPr>
            <w:tcW w:w="638" w:type="dxa"/>
            <w:tcBorders>
              <w:top w:val="nil"/>
              <w:left w:val="nil"/>
              <w:bottom w:val="nil"/>
              <w:right w:val="nil"/>
            </w:tcBorders>
            <w:noWrap/>
            <w:tcMar>
              <w:top w:w="15" w:type="dxa"/>
              <w:left w:w="15" w:type="dxa"/>
              <w:bottom w:w="0" w:type="dxa"/>
              <w:right w:w="15" w:type="dxa"/>
            </w:tcMar>
            <w:vAlign w:val="center"/>
          </w:tcPr>
          <w:p w:rsidR="00D30E57" w:rsidRPr="004225B0" w:rsidRDefault="00D30E57" w:rsidP="000B6769">
            <w:pPr>
              <w:jc w:val="center"/>
              <w:rPr>
                <w:rFonts w:ascii="Tahoma" w:hAnsi="Tahoma" w:cs="Tahoma"/>
                <w:sz w:val="18"/>
                <w:szCs w:val="18"/>
                <w:lang w:val="en-US"/>
              </w:rPr>
            </w:pPr>
            <w:r>
              <w:rPr>
                <w:rFonts w:ascii="Tahoma" w:hAnsi="Tahoma" w:cs="Tahoma"/>
                <w:sz w:val="18"/>
                <w:szCs w:val="18"/>
                <w:lang w:val="en-US"/>
              </w:rPr>
              <w:t>-6</w:t>
            </w:r>
            <w:r>
              <w:rPr>
                <w:rFonts w:ascii="Tahoma" w:hAnsi="Tahoma" w:cs="Tahoma"/>
                <w:sz w:val="18"/>
                <w:szCs w:val="18"/>
              </w:rPr>
              <w:t>,</w:t>
            </w:r>
            <w:r>
              <w:rPr>
                <w:rFonts w:ascii="Tahoma" w:hAnsi="Tahoma" w:cs="Tahoma"/>
                <w:sz w:val="18"/>
                <w:szCs w:val="18"/>
                <w:lang w:val="en-US"/>
              </w:rPr>
              <w:t>6</w:t>
            </w:r>
          </w:p>
        </w:tc>
        <w:tc>
          <w:tcPr>
            <w:tcW w:w="574" w:type="dxa"/>
            <w:tcBorders>
              <w:top w:val="nil"/>
              <w:left w:val="nil"/>
              <w:bottom w:val="nil"/>
              <w:right w:val="single" w:sz="8" w:space="0" w:color="auto"/>
            </w:tcBorders>
            <w:noWrap/>
            <w:tcMar>
              <w:top w:w="15" w:type="dxa"/>
              <w:left w:w="15" w:type="dxa"/>
              <w:bottom w:w="0" w:type="dxa"/>
              <w:right w:w="15" w:type="dxa"/>
            </w:tcMar>
            <w:vAlign w:val="center"/>
          </w:tcPr>
          <w:p w:rsidR="00D30E57" w:rsidRPr="002449EC" w:rsidRDefault="00D30E57" w:rsidP="000B6769">
            <w:pPr>
              <w:jc w:val="center"/>
              <w:rPr>
                <w:rFonts w:ascii="Tahoma" w:hAnsi="Tahoma" w:cs="Tahoma"/>
                <w:sz w:val="18"/>
                <w:szCs w:val="18"/>
              </w:rPr>
            </w:pPr>
            <w:r>
              <w:rPr>
                <w:rFonts w:ascii="Tahoma" w:hAnsi="Tahoma" w:cs="Tahoma"/>
                <w:sz w:val="18"/>
                <w:szCs w:val="18"/>
              </w:rPr>
              <w:t>6,7</w:t>
            </w:r>
          </w:p>
        </w:tc>
        <w:tc>
          <w:tcPr>
            <w:tcW w:w="49" w:type="dxa"/>
            <w:tcBorders>
              <w:top w:val="nil"/>
              <w:left w:val="nil"/>
              <w:bottom w:val="nil"/>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sz w:val="18"/>
                <w:szCs w:val="18"/>
              </w:rPr>
            </w:pPr>
          </w:p>
        </w:tc>
        <w:tc>
          <w:tcPr>
            <w:tcW w:w="533" w:type="dxa"/>
            <w:tcBorders>
              <w:top w:val="nil"/>
              <w:left w:val="nil"/>
              <w:bottom w:val="nil"/>
              <w:right w:val="nil"/>
            </w:tcBorders>
            <w:noWrap/>
            <w:tcMar>
              <w:top w:w="0" w:type="dxa"/>
              <w:left w:w="15" w:type="dxa"/>
              <w:bottom w:w="0" w:type="dxa"/>
              <w:right w:w="15" w:type="dxa"/>
            </w:tcMar>
            <w:vAlign w:val="center"/>
          </w:tcPr>
          <w:p w:rsidR="00D30E57" w:rsidRPr="00D13897" w:rsidRDefault="00D30E57" w:rsidP="000B6769">
            <w:pPr>
              <w:jc w:val="center"/>
              <w:rPr>
                <w:rFonts w:ascii="Tahoma" w:hAnsi="Tahoma" w:cs="Tahoma"/>
                <w:sz w:val="18"/>
                <w:szCs w:val="18"/>
                <w:lang w:val="en-US"/>
              </w:rPr>
            </w:pPr>
            <w:r>
              <w:rPr>
                <w:rFonts w:ascii="Tahoma" w:hAnsi="Tahoma" w:cs="Tahoma"/>
                <w:sz w:val="18"/>
                <w:szCs w:val="18"/>
                <w:lang w:val="en-US"/>
              </w:rPr>
              <w:t>-16,1</w:t>
            </w:r>
          </w:p>
        </w:tc>
        <w:tc>
          <w:tcPr>
            <w:tcW w:w="587" w:type="dxa"/>
            <w:tcBorders>
              <w:top w:val="nil"/>
              <w:left w:val="nil"/>
              <w:bottom w:val="nil"/>
              <w:right w:val="nil"/>
            </w:tcBorders>
            <w:noWrap/>
            <w:tcMar>
              <w:top w:w="15" w:type="dxa"/>
              <w:left w:w="15" w:type="dxa"/>
              <w:bottom w:w="0" w:type="dxa"/>
              <w:right w:w="15" w:type="dxa"/>
            </w:tcMar>
            <w:vAlign w:val="center"/>
          </w:tcPr>
          <w:p w:rsidR="00D30E57" w:rsidRPr="00D13897" w:rsidRDefault="00D30E57" w:rsidP="000B6769">
            <w:pPr>
              <w:jc w:val="center"/>
              <w:rPr>
                <w:rFonts w:ascii="Tahoma" w:hAnsi="Tahoma" w:cs="Tahoma"/>
                <w:sz w:val="18"/>
                <w:szCs w:val="18"/>
                <w:lang w:val="en-US"/>
              </w:rPr>
            </w:pPr>
            <w:r>
              <w:rPr>
                <w:rFonts w:ascii="Tahoma" w:hAnsi="Tahoma" w:cs="Tahoma"/>
                <w:sz w:val="18"/>
                <w:szCs w:val="18"/>
                <w:lang w:val="en-US"/>
              </w:rPr>
              <w:t>-5,5</w:t>
            </w:r>
          </w:p>
        </w:tc>
        <w:tc>
          <w:tcPr>
            <w:tcW w:w="623" w:type="dxa"/>
            <w:tcBorders>
              <w:top w:val="nil"/>
              <w:left w:val="nil"/>
              <w:bottom w:val="nil"/>
              <w:right w:val="single" w:sz="8" w:space="0" w:color="auto"/>
            </w:tcBorders>
            <w:noWrap/>
            <w:tcMar>
              <w:top w:w="15" w:type="dxa"/>
              <w:left w:w="15" w:type="dxa"/>
              <w:bottom w:w="0" w:type="dxa"/>
              <w:right w:w="15" w:type="dxa"/>
            </w:tcMar>
            <w:vAlign w:val="center"/>
          </w:tcPr>
          <w:p w:rsidR="00D30E57" w:rsidRPr="00D25702" w:rsidRDefault="00D30E57" w:rsidP="000B6769">
            <w:pPr>
              <w:jc w:val="center"/>
              <w:rPr>
                <w:rFonts w:ascii="Tahoma" w:hAnsi="Tahoma" w:cs="Tahoma"/>
                <w:sz w:val="18"/>
                <w:szCs w:val="18"/>
              </w:rPr>
            </w:pPr>
            <w:r>
              <w:rPr>
                <w:rFonts w:ascii="Tahoma" w:hAnsi="Tahoma" w:cs="Tahoma"/>
                <w:sz w:val="18"/>
                <w:szCs w:val="18"/>
              </w:rPr>
              <w:t>0,9</w:t>
            </w:r>
          </w:p>
        </w:tc>
        <w:tc>
          <w:tcPr>
            <w:tcW w:w="49" w:type="dxa"/>
            <w:tcBorders>
              <w:top w:val="nil"/>
              <w:left w:val="nil"/>
              <w:bottom w:val="nil"/>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sz w:val="18"/>
                <w:szCs w:val="18"/>
              </w:rPr>
            </w:pPr>
          </w:p>
        </w:tc>
        <w:tc>
          <w:tcPr>
            <w:tcW w:w="587" w:type="dxa"/>
            <w:tcBorders>
              <w:top w:val="nil"/>
              <w:left w:val="nil"/>
              <w:bottom w:val="nil"/>
              <w:right w:val="nil"/>
            </w:tcBorders>
            <w:noWrap/>
            <w:tcMar>
              <w:top w:w="15" w:type="dxa"/>
              <w:left w:w="15" w:type="dxa"/>
              <w:bottom w:w="0" w:type="dxa"/>
              <w:right w:w="15" w:type="dxa"/>
            </w:tcMar>
            <w:vAlign w:val="center"/>
          </w:tcPr>
          <w:p w:rsidR="00D30E57" w:rsidRPr="003F6957" w:rsidRDefault="00D30E57" w:rsidP="000B6769">
            <w:pPr>
              <w:spacing w:before="40" w:after="40"/>
              <w:jc w:val="center"/>
              <w:rPr>
                <w:rFonts w:ascii="Tahoma" w:hAnsi="Tahoma" w:cs="Tahoma"/>
                <w:sz w:val="18"/>
                <w:szCs w:val="18"/>
              </w:rPr>
            </w:pPr>
            <w:r w:rsidRPr="008B420F">
              <w:rPr>
                <w:rFonts w:ascii="Tahoma" w:hAnsi="Tahoma" w:cs="Tahoma"/>
                <w:sz w:val="18"/>
                <w:szCs w:val="18"/>
                <w:lang w:val="en-US"/>
              </w:rPr>
              <w:t>-</w:t>
            </w:r>
            <w:r>
              <w:rPr>
                <w:rFonts w:ascii="Tahoma" w:hAnsi="Tahoma" w:cs="Tahoma"/>
                <w:sz w:val="18"/>
                <w:szCs w:val="18"/>
              </w:rPr>
              <w:t>1</w:t>
            </w:r>
            <w:r>
              <w:rPr>
                <w:rFonts w:ascii="Tahoma" w:hAnsi="Tahoma" w:cs="Tahoma"/>
                <w:sz w:val="18"/>
                <w:szCs w:val="18"/>
                <w:lang w:val="en-US"/>
              </w:rPr>
              <w:t>7</w:t>
            </w:r>
            <w:r w:rsidRPr="008B420F">
              <w:rPr>
                <w:rFonts w:ascii="Tahoma" w:hAnsi="Tahoma" w:cs="Tahoma"/>
                <w:sz w:val="18"/>
                <w:szCs w:val="18"/>
              </w:rPr>
              <w:t>,</w:t>
            </w:r>
            <w:r>
              <w:rPr>
                <w:rFonts w:ascii="Tahoma" w:hAnsi="Tahoma" w:cs="Tahoma"/>
                <w:sz w:val="18"/>
                <w:szCs w:val="18"/>
              </w:rPr>
              <w:t>0</w:t>
            </w:r>
          </w:p>
        </w:tc>
        <w:tc>
          <w:tcPr>
            <w:tcW w:w="705" w:type="dxa"/>
            <w:tcBorders>
              <w:top w:val="nil"/>
              <w:left w:val="nil"/>
              <w:bottom w:val="nil"/>
              <w:right w:val="nil"/>
            </w:tcBorders>
            <w:noWrap/>
            <w:tcMar>
              <w:top w:w="15" w:type="dxa"/>
              <w:left w:w="15" w:type="dxa"/>
              <w:bottom w:w="0" w:type="dxa"/>
              <w:right w:w="15" w:type="dxa"/>
            </w:tcMar>
            <w:vAlign w:val="center"/>
          </w:tcPr>
          <w:p w:rsidR="00D30E57" w:rsidRPr="00B80788" w:rsidRDefault="00D30E57" w:rsidP="000B6769">
            <w:pPr>
              <w:spacing w:before="40" w:after="40"/>
              <w:jc w:val="center"/>
              <w:rPr>
                <w:rFonts w:ascii="Tahoma" w:hAnsi="Tahoma" w:cs="Tahoma"/>
                <w:sz w:val="18"/>
                <w:szCs w:val="18"/>
                <w:lang w:val="en-US"/>
              </w:rPr>
            </w:pPr>
            <w:r w:rsidRPr="008B420F">
              <w:rPr>
                <w:rFonts w:ascii="Tahoma" w:hAnsi="Tahoma" w:cs="Tahoma"/>
                <w:sz w:val="18"/>
                <w:szCs w:val="18"/>
                <w:lang w:val="en-US"/>
              </w:rPr>
              <w:t>-</w:t>
            </w:r>
            <w:r>
              <w:rPr>
                <w:rFonts w:ascii="Tahoma" w:hAnsi="Tahoma" w:cs="Tahoma"/>
                <w:sz w:val="18"/>
                <w:szCs w:val="18"/>
              </w:rPr>
              <w:t>6</w:t>
            </w:r>
            <w:r w:rsidRPr="008B420F">
              <w:rPr>
                <w:rFonts w:ascii="Tahoma" w:hAnsi="Tahoma" w:cs="Tahoma"/>
                <w:sz w:val="18"/>
                <w:szCs w:val="18"/>
              </w:rPr>
              <w:t>,</w:t>
            </w:r>
            <w:r>
              <w:rPr>
                <w:rFonts w:ascii="Tahoma" w:hAnsi="Tahoma" w:cs="Tahoma"/>
                <w:sz w:val="18"/>
                <w:szCs w:val="18"/>
                <w:lang w:val="en-US"/>
              </w:rPr>
              <w:t>6</w:t>
            </w:r>
          </w:p>
        </w:tc>
        <w:tc>
          <w:tcPr>
            <w:tcW w:w="675" w:type="dxa"/>
            <w:tcBorders>
              <w:top w:val="nil"/>
              <w:left w:val="nil"/>
              <w:bottom w:val="nil"/>
              <w:right w:val="single" w:sz="4" w:space="0" w:color="auto"/>
            </w:tcBorders>
            <w:noWrap/>
            <w:tcMar>
              <w:top w:w="15" w:type="dxa"/>
              <w:left w:w="15" w:type="dxa"/>
              <w:bottom w:w="0" w:type="dxa"/>
              <w:right w:w="15" w:type="dxa"/>
            </w:tcMar>
            <w:vAlign w:val="center"/>
          </w:tcPr>
          <w:p w:rsidR="00D30E57" w:rsidRPr="00E45E93" w:rsidRDefault="00D30E57" w:rsidP="000B6769">
            <w:pPr>
              <w:spacing w:before="40" w:after="40"/>
              <w:jc w:val="center"/>
              <w:rPr>
                <w:rFonts w:ascii="Tahoma" w:hAnsi="Tahoma" w:cs="Tahoma"/>
                <w:sz w:val="18"/>
                <w:szCs w:val="18"/>
                <w:lang w:val="en-US"/>
              </w:rPr>
            </w:pPr>
            <w:r>
              <w:rPr>
                <w:rFonts w:ascii="Tahoma" w:hAnsi="Tahoma" w:cs="Tahoma"/>
                <w:sz w:val="18"/>
                <w:szCs w:val="18"/>
                <w:lang w:val="en-US"/>
              </w:rPr>
              <w:t>5</w:t>
            </w:r>
            <w:r>
              <w:rPr>
                <w:rFonts w:ascii="Tahoma" w:hAnsi="Tahoma" w:cs="Tahoma"/>
                <w:sz w:val="18"/>
                <w:szCs w:val="18"/>
              </w:rPr>
              <w:t>,</w:t>
            </w:r>
            <w:r>
              <w:rPr>
                <w:rFonts w:ascii="Tahoma" w:hAnsi="Tahoma" w:cs="Tahoma"/>
                <w:sz w:val="18"/>
                <w:szCs w:val="18"/>
                <w:lang w:val="en-US"/>
              </w:rPr>
              <w:t>8</w:t>
            </w:r>
          </w:p>
        </w:tc>
      </w:tr>
      <w:tr w:rsidR="00D30E57" w:rsidRPr="009433A4" w:rsidTr="002A5D2E">
        <w:trPr>
          <w:trHeight w:hRule="exact" w:val="271"/>
          <w:jc w:val="center"/>
        </w:trPr>
        <w:tc>
          <w:tcPr>
            <w:tcW w:w="2254" w:type="dxa"/>
            <w:tcBorders>
              <w:top w:val="nil"/>
              <w:left w:val="single" w:sz="4" w:space="0" w:color="auto"/>
              <w:bottom w:val="nil"/>
              <w:right w:val="nil"/>
            </w:tcBorders>
            <w:noWrap/>
            <w:tcMar>
              <w:top w:w="0" w:type="dxa"/>
              <w:left w:w="15" w:type="dxa"/>
              <w:bottom w:w="0" w:type="dxa"/>
              <w:right w:w="15" w:type="dxa"/>
            </w:tcMar>
            <w:vAlign w:val="bottom"/>
          </w:tcPr>
          <w:p w:rsidR="00D30E57" w:rsidRPr="004D0962" w:rsidRDefault="00D30E57" w:rsidP="000B6769">
            <w:pPr>
              <w:spacing w:before="40" w:after="40"/>
              <w:rPr>
                <w:rFonts w:ascii="Tahoma" w:hAnsi="Tahoma" w:cs="Tahoma"/>
                <w:sz w:val="18"/>
                <w:szCs w:val="18"/>
              </w:rPr>
            </w:pPr>
            <w:r w:rsidRPr="004D0962">
              <w:rPr>
                <w:rFonts w:ascii="Tahoma" w:hAnsi="Tahoma" w:cs="Tahoma"/>
                <w:sz w:val="18"/>
                <w:szCs w:val="18"/>
              </w:rPr>
              <w:t>Ανεργία (%)</w:t>
            </w:r>
          </w:p>
        </w:tc>
        <w:tc>
          <w:tcPr>
            <w:tcW w:w="49" w:type="dxa"/>
            <w:tcBorders>
              <w:top w:val="nil"/>
              <w:left w:val="single" w:sz="8" w:space="0" w:color="auto"/>
              <w:bottom w:val="nil"/>
              <w:right w:val="nil"/>
            </w:tcBorders>
            <w:noWrap/>
            <w:tcMar>
              <w:top w:w="0" w:type="dxa"/>
              <w:left w:w="15" w:type="dxa"/>
              <w:bottom w:w="0" w:type="dxa"/>
              <w:right w:w="15" w:type="dxa"/>
            </w:tcMar>
            <w:vAlign w:val="bottom"/>
          </w:tcPr>
          <w:p w:rsidR="00D30E57" w:rsidRPr="004D0962" w:rsidRDefault="00D30E57" w:rsidP="000B6769">
            <w:pPr>
              <w:spacing w:before="40" w:after="40"/>
              <w:jc w:val="right"/>
              <w:rPr>
                <w:rFonts w:ascii="Tahoma" w:hAnsi="Tahoma" w:cs="Tahoma"/>
                <w:sz w:val="18"/>
                <w:szCs w:val="18"/>
              </w:rPr>
            </w:pPr>
          </w:p>
        </w:tc>
        <w:tc>
          <w:tcPr>
            <w:tcW w:w="698" w:type="dxa"/>
            <w:tcBorders>
              <w:top w:val="nil"/>
              <w:left w:val="nil"/>
              <w:bottom w:val="nil"/>
              <w:right w:val="nil"/>
            </w:tcBorders>
            <w:noWrap/>
            <w:tcMar>
              <w:top w:w="0" w:type="dxa"/>
              <w:left w:w="15" w:type="dxa"/>
              <w:bottom w:w="0" w:type="dxa"/>
              <w:right w:w="15" w:type="dxa"/>
            </w:tcMar>
            <w:vAlign w:val="center"/>
          </w:tcPr>
          <w:p w:rsidR="00D30E57" w:rsidRPr="004708B2" w:rsidRDefault="00D30E57" w:rsidP="000B6769">
            <w:pPr>
              <w:spacing w:before="40" w:after="40"/>
              <w:jc w:val="center"/>
              <w:rPr>
                <w:rFonts w:ascii="Tahoma" w:hAnsi="Tahoma" w:cs="Tahoma"/>
                <w:sz w:val="18"/>
                <w:szCs w:val="18"/>
              </w:rPr>
            </w:pPr>
            <w:r>
              <w:rPr>
                <w:rFonts w:ascii="Tahoma" w:hAnsi="Tahoma" w:cs="Tahoma"/>
                <w:sz w:val="18"/>
                <w:szCs w:val="18"/>
                <w:lang w:val="en-US"/>
              </w:rPr>
              <w:t>1</w:t>
            </w:r>
            <w:r>
              <w:rPr>
                <w:rFonts w:ascii="Tahoma" w:hAnsi="Tahoma" w:cs="Tahoma"/>
                <w:sz w:val="18"/>
                <w:szCs w:val="18"/>
              </w:rPr>
              <w:t>1</w:t>
            </w:r>
            <w:r w:rsidRPr="001E2138">
              <w:rPr>
                <w:rFonts w:ascii="Tahoma" w:hAnsi="Tahoma" w:cs="Tahoma"/>
                <w:sz w:val="18"/>
                <w:szCs w:val="18"/>
                <w:lang w:val="en-US"/>
              </w:rPr>
              <w:t>,</w:t>
            </w:r>
            <w:r>
              <w:rPr>
                <w:rFonts w:ascii="Tahoma" w:hAnsi="Tahoma" w:cs="Tahoma"/>
                <w:sz w:val="18"/>
                <w:szCs w:val="18"/>
              </w:rPr>
              <w:t>9</w:t>
            </w:r>
          </w:p>
        </w:tc>
        <w:tc>
          <w:tcPr>
            <w:tcW w:w="648" w:type="dxa"/>
            <w:tcBorders>
              <w:top w:val="nil"/>
              <w:left w:val="nil"/>
              <w:bottom w:val="nil"/>
              <w:right w:val="nil"/>
            </w:tcBorders>
            <w:noWrap/>
            <w:tcMar>
              <w:top w:w="0" w:type="dxa"/>
              <w:left w:w="15" w:type="dxa"/>
              <w:bottom w:w="0" w:type="dxa"/>
              <w:right w:w="15" w:type="dxa"/>
            </w:tcMar>
            <w:vAlign w:val="center"/>
          </w:tcPr>
          <w:p w:rsidR="00D30E57" w:rsidRPr="004708B2" w:rsidRDefault="00D30E57" w:rsidP="000B6769">
            <w:pPr>
              <w:spacing w:before="40" w:after="40"/>
              <w:jc w:val="center"/>
              <w:rPr>
                <w:rFonts w:ascii="Tahoma" w:hAnsi="Tahoma" w:cs="Tahoma"/>
                <w:sz w:val="18"/>
                <w:szCs w:val="18"/>
              </w:rPr>
            </w:pPr>
            <w:r>
              <w:rPr>
                <w:rFonts w:ascii="Tahoma" w:hAnsi="Tahoma" w:cs="Tahoma"/>
                <w:sz w:val="18"/>
                <w:szCs w:val="18"/>
              </w:rPr>
              <w:t>1</w:t>
            </w:r>
            <w:r>
              <w:rPr>
                <w:rFonts w:ascii="Tahoma" w:hAnsi="Tahoma" w:cs="Tahoma"/>
                <w:sz w:val="18"/>
                <w:szCs w:val="18"/>
                <w:lang w:val="en-US"/>
              </w:rPr>
              <w:t>5</w:t>
            </w:r>
            <w:r>
              <w:rPr>
                <w:rFonts w:ascii="Tahoma" w:hAnsi="Tahoma" w:cs="Tahoma"/>
                <w:sz w:val="18"/>
                <w:szCs w:val="18"/>
              </w:rPr>
              <w:t>,4</w:t>
            </w:r>
          </w:p>
        </w:tc>
        <w:tc>
          <w:tcPr>
            <w:tcW w:w="739" w:type="dxa"/>
            <w:tcBorders>
              <w:top w:val="nil"/>
              <w:left w:val="nil"/>
              <w:bottom w:val="nil"/>
              <w:right w:val="single" w:sz="8" w:space="0" w:color="auto"/>
            </w:tcBorders>
            <w:tcMar>
              <w:top w:w="15" w:type="dxa"/>
              <w:left w:w="15" w:type="dxa"/>
              <w:bottom w:w="0" w:type="dxa"/>
              <w:right w:w="15" w:type="dxa"/>
            </w:tcMar>
            <w:vAlign w:val="center"/>
          </w:tcPr>
          <w:p w:rsidR="00D30E57" w:rsidRPr="004708B2" w:rsidRDefault="00D30E57" w:rsidP="000B6769">
            <w:pPr>
              <w:spacing w:before="40" w:after="40"/>
              <w:jc w:val="center"/>
              <w:rPr>
                <w:rFonts w:ascii="Tahoma" w:hAnsi="Tahoma" w:cs="Tahoma"/>
                <w:sz w:val="18"/>
                <w:szCs w:val="18"/>
              </w:rPr>
            </w:pPr>
            <w:r>
              <w:rPr>
                <w:rFonts w:ascii="Tahoma" w:hAnsi="Tahoma" w:cs="Tahoma"/>
                <w:sz w:val="18"/>
                <w:szCs w:val="18"/>
                <w:lang w:val="en-US"/>
              </w:rPr>
              <w:t>1</w:t>
            </w:r>
            <w:r>
              <w:rPr>
                <w:rFonts w:ascii="Tahoma" w:hAnsi="Tahoma" w:cs="Tahoma"/>
                <w:sz w:val="18"/>
                <w:szCs w:val="18"/>
              </w:rPr>
              <w:t>7</w:t>
            </w:r>
            <w:r>
              <w:rPr>
                <w:rFonts w:ascii="Tahoma" w:hAnsi="Tahoma" w:cs="Tahoma"/>
                <w:sz w:val="18"/>
                <w:szCs w:val="18"/>
                <w:lang w:val="en-US"/>
              </w:rPr>
              <w:t>,</w:t>
            </w:r>
            <w:r>
              <w:rPr>
                <w:rFonts w:ascii="Tahoma" w:hAnsi="Tahoma" w:cs="Tahoma"/>
                <w:sz w:val="18"/>
                <w:szCs w:val="18"/>
              </w:rPr>
              <w:t>1</w:t>
            </w:r>
          </w:p>
        </w:tc>
        <w:tc>
          <w:tcPr>
            <w:tcW w:w="49" w:type="dxa"/>
            <w:tcBorders>
              <w:top w:val="nil"/>
              <w:left w:val="nil"/>
              <w:bottom w:val="nil"/>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sz w:val="18"/>
                <w:szCs w:val="18"/>
              </w:rPr>
            </w:pPr>
          </w:p>
        </w:tc>
        <w:tc>
          <w:tcPr>
            <w:tcW w:w="632" w:type="dxa"/>
            <w:tcBorders>
              <w:top w:val="nil"/>
              <w:left w:val="nil"/>
              <w:bottom w:val="nil"/>
              <w:right w:val="nil"/>
            </w:tcBorders>
            <w:noWrap/>
            <w:tcMar>
              <w:top w:w="0" w:type="dxa"/>
              <w:left w:w="15" w:type="dxa"/>
              <w:bottom w:w="0" w:type="dxa"/>
              <w:right w:w="15" w:type="dxa"/>
            </w:tcMar>
            <w:vAlign w:val="center"/>
          </w:tcPr>
          <w:p w:rsidR="00D30E57" w:rsidRPr="00C80083" w:rsidRDefault="00D30E57" w:rsidP="000B6769">
            <w:pPr>
              <w:spacing w:before="40" w:after="40"/>
              <w:jc w:val="center"/>
              <w:rPr>
                <w:rFonts w:ascii="Tahoma" w:hAnsi="Tahoma" w:cs="Tahoma"/>
                <w:sz w:val="18"/>
                <w:szCs w:val="18"/>
                <w:lang w:val="en-US"/>
              </w:rPr>
            </w:pPr>
            <w:r>
              <w:rPr>
                <w:rFonts w:ascii="Tahoma" w:hAnsi="Tahoma" w:cs="Tahoma"/>
                <w:sz w:val="18"/>
                <w:szCs w:val="18"/>
                <w:lang w:val="en-US"/>
              </w:rPr>
              <w:t>1</w:t>
            </w:r>
            <w:r>
              <w:rPr>
                <w:rFonts w:ascii="Tahoma" w:hAnsi="Tahoma" w:cs="Tahoma"/>
                <w:sz w:val="18"/>
                <w:szCs w:val="18"/>
              </w:rPr>
              <w:t>5</w:t>
            </w:r>
            <w:r w:rsidRPr="008B420F">
              <w:rPr>
                <w:rFonts w:ascii="Tahoma" w:hAnsi="Tahoma" w:cs="Tahoma"/>
                <w:sz w:val="18"/>
                <w:szCs w:val="18"/>
                <w:lang w:val="en-US"/>
              </w:rPr>
              <w:t>,</w:t>
            </w:r>
            <w:r>
              <w:rPr>
                <w:rFonts w:ascii="Tahoma" w:hAnsi="Tahoma" w:cs="Tahoma"/>
                <w:sz w:val="18"/>
                <w:szCs w:val="18"/>
              </w:rPr>
              <w:t>9</w:t>
            </w:r>
          </w:p>
        </w:tc>
        <w:tc>
          <w:tcPr>
            <w:tcW w:w="638" w:type="dxa"/>
            <w:tcBorders>
              <w:top w:val="nil"/>
              <w:left w:val="nil"/>
              <w:bottom w:val="nil"/>
              <w:right w:val="nil"/>
            </w:tcBorders>
            <w:noWrap/>
            <w:tcMar>
              <w:top w:w="15" w:type="dxa"/>
              <w:left w:w="15" w:type="dxa"/>
              <w:bottom w:w="0" w:type="dxa"/>
              <w:right w:w="15" w:type="dxa"/>
            </w:tcMar>
            <w:vAlign w:val="center"/>
          </w:tcPr>
          <w:p w:rsidR="00D30E57" w:rsidRPr="00C80083" w:rsidRDefault="00D30E57" w:rsidP="000B6769">
            <w:pPr>
              <w:spacing w:before="40" w:after="40"/>
              <w:jc w:val="center"/>
              <w:rPr>
                <w:rFonts w:ascii="Tahoma" w:hAnsi="Tahoma" w:cs="Tahoma"/>
                <w:sz w:val="18"/>
                <w:szCs w:val="18"/>
                <w:lang w:val="en-US"/>
              </w:rPr>
            </w:pPr>
            <w:r w:rsidRPr="008B420F">
              <w:rPr>
                <w:rFonts w:ascii="Tahoma" w:hAnsi="Tahoma" w:cs="Tahoma"/>
                <w:sz w:val="18"/>
                <w:szCs w:val="18"/>
              </w:rPr>
              <w:t>1</w:t>
            </w:r>
            <w:r>
              <w:rPr>
                <w:rFonts w:ascii="Tahoma" w:hAnsi="Tahoma" w:cs="Tahoma"/>
                <w:sz w:val="18"/>
                <w:szCs w:val="18"/>
              </w:rPr>
              <w:t>7,9</w:t>
            </w:r>
          </w:p>
        </w:tc>
        <w:tc>
          <w:tcPr>
            <w:tcW w:w="574" w:type="dxa"/>
            <w:tcBorders>
              <w:top w:val="nil"/>
              <w:left w:val="nil"/>
              <w:bottom w:val="nil"/>
              <w:right w:val="single" w:sz="8" w:space="0" w:color="auto"/>
            </w:tcBorders>
            <w:noWrap/>
            <w:tcMar>
              <w:top w:w="15" w:type="dxa"/>
              <w:left w:w="15" w:type="dxa"/>
              <w:bottom w:w="0" w:type="dxa"/>
              <w:right w:w="15" w:type="dxa"/>
            </w:tcMar>
            <w:vAlign w:val="center"/>
          </w:tcPr>
          <w:p w:rsidR="00D30E57" w:rsidRPr="00C80083" w:rsidRDefault="00D30E57" w:rsidP="000B6769">
            <w:pPr>
              <w:spacing w:before="40" w:after="40"/>
              <w:jc w:val="center"/>
              <w:rPr>
                <w:rFonts w:ascii="Tahoma" w:hAnsi="Tahoma" w:cs="Tahoma"/>
                <w:sz w:val="18"/>
                <w:szCs w:val="18"/>
                <w:lang w:val="en-US"/>
              </w:rPr>
            </w:pPr>
            <w:r w:rsidRPr="008B420F">
              <w:rPr>
                <w:rFonts w:ascii="Tahoma" w:hAnsi="Tahoma" w:cs="Tahoma"/>
                <w:sz w:val="18"/>
                <w:szCs w:val="18"/>
              </w:rPr>
              <w:t>17,</w:t>
            </w:r>
            <w:r>
              <w:rPr>
                <w:rFonts w:ascii="Tahoma" w:hAnsi="Tahoma" w:cs="Tahoma"/>
                <w:sz w:val="18"/>
                <w:szCs w:val="18"/>
              </w:rPr>
              <w:t>8</w:t>
            </w:r>
          </w:p>
        </w:tc>
        <w:tc>
          <w:tcPr>
            <w:tcW w:w="49" w:type="dxa"/>
            <w:tcBorders>
              <w:top w:val="nil"/>
              <w:left w:val="nil"/>
              <w:bottom w:val="nil"/>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sz w:val="18"/>
                <w:szCs w:val="18"/>
              </w:rPr>
            </w:pPr>
          </w:p>
        </w:tc>
        <w:tc>
          <w:tcPr>
            <w:tcW w:w="533" w:type="dxa"/>
            <w:tcBorders>
              <w:top w:val="nil"/>
              <w:left w:val="nil"/>
              <w:bottom w:val="nil"/>
              <w:right w:val="nil"/>
            </w:tcBorders>
            <w:noWrap/>
            <w:tcMar>
              <w:top w:w="0" w:type="dxa"/>
              <w:left w:w="15" w:type="dxa"/>
              <w:bottom w:w="0" w:type="dxa"/>
              <w:right w:w="15" w:type="dxa"/>
            </w:tcMar>
            <w:vAlign w:val="center"/>
          </w:tcPr>
          <w:p w:rsidR="00D30E57" w:rsidRPr="00D13897" w:rsidRDefault="00D30E57" w:rsidP="000B6769">
            <w:pPr>
              <w:jc w:val="center"/>
              <w:rPr>
                <w:rFonts w:ascii="Tahoma" w:hAnsi="Tahoma" w:cs="Tahoma"/>
                <w:sz w:val="18"/>
                <w:szCs w:val="18"/>
                <w:lang w:val="en-US"/>
              </w:rPr>
            </w:pPr>
            <w:r>
              <w:rPr>
                <w:rFonts w:ascii="Tahoma" w:hAnsi="Tahoma" w:cs="Tahoma"/>
                <w:sz w:val="18"/>
                <w:szCs w:val="18"/>
              </w:rPr>
              <w:t>16</w:t>
            </w:r>
            <w:r>
              <w:rPr>
                <w:rFonts w:ascii="Tahoma" w:hAnsi="Tahoma" w:cs="Tahoma"/>
                <w:sz w:val="18"/>
                <w:szCs w:val="18"/>
                <w:lang w:val="en-US"/>
              </w:rPr>
              <w:t>,6</w:t>
            </w:r>
          </w:p>
        </w:tc>
        <w:tc>
          <w:tcPr>
            <w:tcW w:w="587" w:type="dxa"/>
            <w:tcBorders>
              <w:top w:val="nil"/>
              <w:left w:val="nil"/>
              <w:bottom w:val="nil"/>
              <w:right w:val="nil"/>
            </w:tcBorders>
            <w:noWrap/>
            <w:tcMar>
              <w:top w:w="15" w:type="dxa"/>
              <w:left w:w="15" w:type="dxa"/>
              <w:bottom w:w="0" w:type="dxa"/>
              <w:right w:w="15" w:type="dxa"/>
            </w:tcMar>
            <w:vAlign w:val="center"/>
          </w:tcPr>
          <w:p w:rsidR="00D30E57" w:rsidRPr="00D13897" w:rsidRDefault="00D30E57" w:rsidP="000B6769">
            <w:pPr>
              <w:jc w:val="center"/>
              <w:rPr>
                <w:rFonts w:ascii="Tahoma" w:hAnsi="Tahoma" w:cs="Tahoma"/>
                <w:sz w:val="18"/>
                <w:szCs w:val="18"/>
                <w:lang w:val="en-US"/>
              </w:rPr>
            </w:pPr>
            <w:r>
              <w:rPr>
                <w:rFonts w:ascii="Tahoma" w:hAnsi="Tahoma" w:cs="Tahoma"/>
                <w:sz w:val="18"/>
                <w:szCs w:val="18"/>
                <w:lang w:val="en-US"/>
              </w:rPr>
              <w:t>18,5</w:t>
            </w:r>
          </w:p>
        </w:tc>
        <w:tc>
          <w:tcPr>
            <w:tcW w:w="623" w:type="dxa"/>
            <w:tcBorders>
              <w:top w:val="nil"/>
              <w:left w:val="nil"/>
              <w:bottom w:val="nil"/>
              <w:right w:val="single" w:sz="8" w:space="0" w:color="auto"/>
            </w:tcBorders>
            <w:noWrap/>
            <w:tcMar>
              <w:top w:w="15" w:type="dxa"/>
              <w:left w:w="15" w:type="dxa"/>
              <w:bottom w:w="0" w:type="dxa"/>
              <w:right w:w="15" w:type="dxa"/>
            </w:tcMar>
            <w:vAlign w:val="center"/>
          </w:tcPr>
          <w:p w:rsidR="00D30E57" w:rsidRPr="00D25702" w:rsidRDefault="00D30E57" w:rsidP="000B6769">
            <w:pPr>
              <w:jc w:val="center"/>
              <w:rPr>
                <w:rFonts w:ascii="Tahoma" w:hAnsi="Tahoma" w:cs="Tahoma"/>
                <w:sz w:val="18"/>
                <w:szCs w:val="18"/>
              </w:rPr>
            </w:pPr>
            <w:r>
              <w:rPr>
                <w:rFonts w:ascii="Tahoma" w:hAnsi="Tahoma" w:cs="Tahoma"/>
                <w:sz w:val="18"/>
                <w:szCs w:val="18"/>
              </w:rPr>
              <w:t>18,7</w:t>
            </w:r>
          </w:p>
        </w:tc>
        <w:tc>
          <w:tcPr>
            <w:tcW w:w="49" w:type="dxa"/>
            <w:tcBorders>
              <w:top w:val="nil"/>
              <w:left w:val="nil"/>
              <w:bottom w:val="nil"/>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sz w:val="18"/>
                <w:szCs w:val="18"/>
              </w:rPr>
            </w:pPr>
          </w:p>
        </w:tc>
        <w:tc>
          <w:tcPr>
            <w:tcW w:w="587" w:type="dxa"/>
            <w:tcBorders>
              <w:top w:val="nil"/>
              <w:left w:val="nil"/>
              <w:bottom w:val="nil"/>
              <w:right w:val="nil"/>
            </w:tcBorders>
            <w:noWrap/>
            <w:tcMar>
              <w:top w:w="15" w:type="dxa"/>
              <w:left w:w="15" w:type="dxa"/>
              <w:bottom w:w="0" w:type="dxa"/>
              <w:right w:w="15" w:type="dxa"/>
            </w:tcMar>
            <w:vAlign w:val="center"/>
          </w:tcPr>
          <w:p w:rsidR="00D30E57" w:rsidRPr="009A181E" w:rsidRDefault="00D30E57" w:rsidP="000B6769">
            <w:pPr>
              <w:spacing w:before="40" w:after="40"/>
              <w:jc w:val="center"/>
              <w:rPr>
                <w:rFonts w:ascii="Tahoma" w:hAnsi="Tahoma" w:cs="Tahoma"/>
                <w:sz w:val="18"/>
                <w:szCs w:val="18"/>
                <w:lang w:val="en-US"/>
              </w:rPr>
            </w:pPr>
            <w:r w:rsidRPr="008B420F">
              <w:rPr>
                <w:rFonts w:ascii="Tahoma" w:hAnsi="Tahoma" w:cs="Tahoma"/>
                <w:sz w:val="18"/>
                <w:szCs w:val="18"/>
              </w:rPr>
              <w:t>1</w:t>
            </w:r>
            <w:r>
              <w:rPr>
                <w:rFonts w:ascii="Tahoma" w:hAnsi="Tahoma" w:cs="Tahoma"/>
                <w:sz w:val="18"/>
                <w:szCs w:val="18"/>
              </w:rPr>
              <w:t>7,</w:t>
            </w:r>
            <w:r>
              <w:rPr>
                <w:rFonts w:ascii="Tahoma" w:hAnsi="Tahoma" w:cs="Tahoma"/>
                <w:sz w:val="18"/>
                <w:szCs w:val="18"/>
                <w:lang w:val="en-US"/>
              </w:rPr>
              <w:t>3</w:t>
            </w:r>
          </w:p>
        </w:tc>
        <w:tc>
          <w:tcPr>
            <w:tcW w:w="705" w:type="dxa"/>
            <w:tcBorders>
              <w:top w:val="nil"/>
              <w:left w:val="nil"/>
              <w:bottom w:val="nil"/>
              <w:right w:val="nil"/>
            </w:tcBorders>
            <w:noWrap/>
            <w:tcMar>
              <w:top w:w="15" w:type="dxa"/>
              <w:left w:w="15" w:type="dxa"/>
              <w:bottom w:w="0" w:type="dxa"/>
              <w:right w:w="15" w:type="dxa"/>
            </w:tcMar>
            <w:vAlign w:val="center"/>
          </w:tcPr>
          <w:p w:rsidR="00D30E57" w:rsidRPr="009A181E" w:rsidRDefault="00D30E57" w:rsidP="000B6769">
            <w:pPr>
              <w:spacing w:before="40" w:after="40"/>
              <w:jc w:val="center"/>
              <w:rPr>
                <w:rFonts w:ascii="Tahoma" w:hAnsi="Tahoma" w:cs="Tahoma"/>
                <w:sz w:val="18"/>
                <w:szCs w:val="18"/>
                <w:lang w:val="en-US"/>
              </w:rPr>
            </w:pPr>
            <w:r w:rsidRPr="008B420F">
              <w:rPr>
                <w:rFonts w:ascii="Tahoma" w:hAnsi="Tahoma" w:cs="Tahoma"/>
                <w:sz w:val="18"/>
                <w:szCs w:val="18"/>
              </w:rPr>
              <w:t>1</w:t>
            </w:r>
            <w:r>
              <w:rPr>
                <w:rFonts w:ascii="Tahoma" w:hAnsi="Tahoma" w:cs="Tahoma"/>
                <w:sz w:val="18"/>
                <w:szCs w:val="18"/>
                <w:lang w:val="en-US"/>
              </w:rPr>
              <w:t>9</w:t>
            </w:r>
            <w:r>
              <w:rPr>
                <w:rFonts w:ascii="Tahoma" w:hAnsi="Tahoma" w:cs="Tahoma"/>
                <w:sz w:val="18"/>
                <w:szCs w:val="18"/>
              </w:rPr>
              <w:t>,</w:t>
            </w:r>
            <w:r>
              <w:rPr>
                <w:rFonts w:ascii="Tahoma" w:hAnsi="Tahoma" w:cs="Tahoma"/>
                <w:sz w:val="18"/>
                <w:szCs w:val="18"/>
                <w:lang w:val="en-US"/>
              </w:rPr>
              <w:t>4</w:t>
            </w:r>
          </w:p>
        </w:tc>
        <w:tc>
          <w:tcPr>
            <w:tcW w:w="675" w:type="dxa"/>
            <w:tcBorders>
              <w:top w:val="nil"/>
              <w:left w:val="nil"/>
              <w:bottom w:val="nil"/>
              <w:right w:val="single" w:sz="4" w:space="0" w:color="auto"/>
            </w:tcBorders>
            <w:noWrap/>
            <w:tcMar>
              <w:top w:w="15" w:type="dxa"/>
              <w:left w:w="15" w:type="dxa"/>
              <w:bottom w:w="0" w:type="dxa"/>
              <w:right w:w="15" w:type="dxa"/>
            </w:tcMar>
            <w:vAlign w:val="center"/>
          </w:tcPr>
          <w:p w:rsidR="00D30E57" w:rsidRPr="009A181E" w:rsidRDefault="00D30E57" w:rsidP="000B6769">
            <w:pPr>
              <w:spacing w:before="40" w:after="40"/>
              <w:jc w:val="center"/>
              <w:rPr>
                <w:rFonts w:ascii="Tahoma" w:hAnsi="Tahoma" w:cs="Tahoma"/>
                <w:sz w:val="18"/>
                <w:szCs w:val="18"/>
                <w:lang w:val="en-US"/>
              </w:rPr>
            </w:pPr>
            <w:r>
              <w:rPr>
                <w:rFonts w:ascii="Tahoma" w:hAnsi="Tahoma" w:cs="Tahoma"/>
                <w:sz w:val="18"/>
                <w:szCs w:val="18"/>
              </w:rPr>
              <w:t>19</w:t>
            </w:r>
            <w:r w:rsidRPr="008B420F">
              <w:rPr>
                <w:rFonts w:ascii="Tahoma" w:hAnsi="Tahoma" w:cs="Tahoma"/>
                <w:sz w:val="18"/>
                <w:szCs w:val="18"/>
              </w:rPr>
              <w:t>,</w:t>
            </w:r>
            <w:r>
              <w:rPr>
                <w:rFonts w:ascii="Tahoma" w:hAnsi="Tahoma" w:cs="Tahoma"/>
                <w:sz w:val="18"/>
                <w:szCs w:val="18"/>
                <w:lang w:val="en-US"/>
              </w:rPr>
              <w:t>4</w:t>
            </w:r>
          </w:p>
        </w:tc>
      </w:tr>
      <w:tr w:rsidR="00D30E57" w:rsidRPr="009433A4" w:rsidTr="002A5D2E">
        <w:trPr>
          <w:trHeight w:val="269"/>
          <w:jc w:val="center"/>
        </w:trPr>
        <w:tc>
          <w:tcPr>
            <w:tcW w:w="2254" w:type="dxa"/>
            <w:tcBorders>
              <w:top w:val="nil"/>
              <w:left w:val="single" w:sz="4" w:space="0" w:color="auto"/>
              <w:right w:val="nil"/>
            </w:tcBorders>
            <w:noWrap/>
            <w:tcMar>
              <w:top w:w="0" w:type="dxa"/>
              <w:left w:w="15" w:type="dxa"/>
              <w:bottom w:w="0" w:type="dxa"/>
              <w:right w:w="15" w:type="dxa"/>
            </w:tcMar>
            <w:vAlign w:val="bottom"/>
          </w:tcPr>
          <w:p w:rsidR="00D30E57" w:rsidRPr="004D0962" w:rsidRDefault="00D30E57" w:rsidP="000B6769">
            <w:pPr>
              <w:spacing w:before="40" w:after="40"/>
              <w:rPr>
                <w:rFonts w:ascii="Tahoma" w:hAnsi="Tahoma" w:cs="Tahoma"/>
                <w:sz w:val="18"/>
                <w:szCs w:val="18"/>
              </w:rPr>
            </w:pPr>
            <w:r w:rsidRPr="004D0962">
              <w:rPr>
                <w:rFonts w:ascii="Tahoma" w:hAnsi="Tahoma" w:cs="Tahoma"/>
                <w:sz w:val="18"/>
                <w:szCs w:val="18"/>
              </w:rPr>
              <w:t>Ισοζύγιο Γενικής Κυβέρνησης (% ΑΕΠ)</w:t>
            </w:r>
          </w:p>
        </w:tc>
        <w:tc>
          <w:tcPr>
            <w:tcW w:w="49" w:type="dxa"/>
            <w:tcBorders>
              <w:top w:val="nil"/>
              <w:left w:val="single" w:sz="8" w:space="0" w:color="auto"/>
              <w:right w:val="nil"/>
            </w:tcBorders>
            <w:noWrap/>
            <w:tcMar>
              <w:top w:w="0" w:type="dxa"/>
              <w:left w:w="15" w:type="dxa"/>
              <w:bottom w:w="0" w:type="dxa"/>
              <w:right w:w="15" w:type="dxa"/>
            </w:tcMar>
            <w:vAlign w:val="bottom"/>
          </w:tcPr>
          <w:p w:rsidR="00D30E57" w:rsidRPr="004D0962" w:rsidRDefault="00D30E57" w:rsidP="000B6769">
            <w:pPr>
              <w:spacing w:before="40" w:after="40"/>
              <w:jc w:val="right"/>
              <w:rPr>
                <w:rFonts w:ascii="Tahoma" w:hAnsi="Tahoma" w:cs="Tahoma"/>
                <w:sz w:val="18"/>
                <w:szCs w:val="18"/>
              </w:rPr>
            </w:pPr>
          </w:p>
        </w:tc>
        <w:tc>
          <w:tcPr>
            <w:tcW w:w="698" w:type="dxa"/>
            <w:tcBorders>
              <w:top w:val="nil"/>
              <w:left w:val="nil"/>
              <w:right w:val="nil"/>
            </w:tcBorders>
            <w:noWrap/>
            <w:tcMar>
              <w:top w:w="0" w:type="dxa"/>
              <w:left w:w="15" w:type="dxa"/>
              <w:bottom w:w="0" w:type="dxa"/>
              <w:right w:w="15" w:type="dxa"/>
            </w:tcMar>
            <w:vAlign w:val="center"/>
          </w:tcPr>
          <w:p w:rsidR="00D30E57" w:rsidRPr="00295107" w:rsidRDefault="00D30E57" w:rsidP="000B6769">
            <w:pPr>
              <w:spacing w:before="40" w:after="40"/>
              <w:jc w:val="center"/>
              <w:rPr>
                <w:rFonts w:ascii="Tahoma" w:hAnsi="Tahoma" w:cs="Tahoma"/>
                <w:sz w:val="18"/>
                <w:szCs w:val="18"/>
                <w:vertAlign w:val="superscript"/>
              </w:rPr>
            </w:pPr>
            <w:r>
              <w:rPr>
                <w:rFonts w:ascii="Tahoma" w:hAnsi="Tahoma" w:cs="Tahoma"/>
                <w:sz w:val="18"/>
                <w:szCs w:val="18"/>
              </w:rPr>
              <w:t>-10,6</w:t>
            </w:r>
          </w:p>
        </w:tc>
        <w:tc>
          <w:tcPr>
            <w:tcW w:w="648" w:type="dxa"/>
            <w:tcBorders>
              <w:top w:val="nil"/>
              <w:left w:val="nil"/>
              <w:right w:val="nil"/>
            </w:tcBorders>
            <w:noWrap/>
            <w:tcMar>
              <w:top w:w="0" w:type="dxa"/>
              <w:left w:w="15" w:type="dxa"/>
              <w:bottom w:w="0" w:type="dxa"/>
              <w:right w:w="15" w:type="dxa"/>
            </w:tcMar>
            <w:vAlign w:val="center"/>
          </w:tcPr>
          <w:p w:rsidR="00D30E57" w:rsidRPr="00295107" w:rsidRDefault="00D30E57" w:rsidP="000B6769">
            <w:pPr>
              <w:spacing w:before="40" w:after="40"/>
              <w:jc w:val="center"/>
              <w:rPr>
                <w:rFonts w:ascii="Tahoma" w:hAnsi="Tahoma" w:cs="Tahoma"/>
                <w:sz w:val="18"/>
                <w:szCs w:val="18"/>
                <w:vertAlign w:val="superscript"/>
              </w:rPr>
            </w:pPr>
            <w:r>
              <w:rPr>
                <w:rFonts w:ascii="Tahoma" w:hAnsi="Tahoma" w:cs="Tahoma"/>
                <w:sz w:val="18"/>
                <w:szCs w:val="18"/>
              </w:rPr>
              <w:t>-9,</w:t>
            </w:r>
            <w:r>
              <w:rPr>
                <w:rFonts w:ascii="Tahoma" w:hAnsi="Tahoma" w:cs="Tahoma"/>
                <w:sz w:val="18"/>
                <w:szCs w:val="18"/>
                <w:lang w:val="en-US"/>
              </w:rPr>
              <w:t>0</w:t>
            </w:r>
          </w:p>
        </w:tc>
        <w:tc>
          <w:tcPr>
            <w:tcW w:w="739" w:type="dxa"/>
            <w:tcBorders>
              <w:top w:val="nil"/>
              <w:left w:val="nil"/>
              <w:right w:val="single" w:sz="8" w:space="0" w:color="auto"/>
            </w:tcBorders>
            <w:tcMar>
              <w:top w:w="0" w:type="dxa"/>
              <w:left w:w="15" w:type="dxa"/>
              <w:bottom w:w="0" w:type="dxa"/>
              <w:right w:w="15" w:type="dxa"/>
            </w:tcMar>
            <w:vAlign w:val="center"/>
          </w:tcPr>
          <w:p w:rsidR="00D30E57" w:rsidRPr="00295107" w:rsidRDefault="00D30E57" w:rsidP="000B6769">
            <w:pPr>
              <w:spacing w:before="40" w:after="40"/>
              <w:jc w:val="center"/>
              <w:rPr>
                <w:rFonts w:ascii="Tahoma" w:hAnsi="Tahoma" w:cs="Tahoma"/>
                <w:sz w:val="18"/>
                <w:szCs w:val="18"/>
                <w:vertAlign w:val="superscript"/>
              </w:rPr>
            </w:pPr>
            <w:r>
              <w:rPr>
                <w:rFonts w:ascii="Tahoma" w:hAnsi="Tahoma" w:cs="Tahoma"/>
                <w:sz w:val="18"/>
                <w:szCs w:val="18"/>
                <w:lang w:val="en-US"/>
              </w:rPr>
              <w:t>-</w:t>
            </w:r>
            <w:r>
              <w:rPr>
                <w:rFonts w:ascii="Tahoma" w:hAnsi="Tahoma" w:cs="Tahoma"/>
                <w:sz w:val="18"/>
                <w:szCs w:val="18"/>
              </w:rPr>
              <w:t>5</w:t>
            </w:r>
            <w:r>
              <w:rPr>
                <w:rFonts w:ascii="Tahoma" w:hAnsi="Tahoma" w:cs="Tahoma"/>
                <w:sz w:val="18"/>
                <w:szCs w:val="18"/>
                <w:lang w:val="en-US"/>
              </w:rPr>
              <w:t>,</w:t>
            </w:r>
            <w:r>
              <w:rPr>
                <w:rFonts w:ascii="Tahoma" w:hAnsi="Tahoma" w:cs="Tahoma"/>
                <w:sz w:val="18"/>
                <w:szCs w:val="18"/>
              </w:rPr>
              <w:t>5</w:t>
            </w:r>
            <w:r>
              <w:rPr>
                <w:rFonts w:ascii="Tahoma" w:hAnsi="Tahoma" w:cs="Tahoma"/>
                <w:sz w:val="18"/>
                <w:szCs w:val="18"/>
                <w:vertAlign w:val="superscript"/>
              </w:rPr>
              <w:t>1</w:t>
            </w:r>
          </w:p>
        </w:tc>
        <w:tc>
          <w:tcPr>
            <w:tcW w:w="49" w:type="dxa"/>
            <w:tcBorders>
              <w:top w:val="nil"/>
              <w:left w:val="nil"/>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sz w:val="18"/>
                <w:szCs w:val="18"/>
              </w:rPr>
            </w:pPr>
          </w:p>
        </w:tc>
        <w:tc>
          <w:tcPr>
            <w:tcW w:w="632" w:type="dxa"/>
            <w:tcBorders>
              <w:top w:val="nil"/>
              <w:left w:val="nil"/>
              <w:right w:val="nil"/>
            </w:tcBorders>
            <w:noWrap/>
            <w:tcMar>
              <w:top w:w="0" w:type="dxa"/>
              <w:left w:w="15" w:type="dxa"/>
              <w:bottom w:w="0" w:type="dxa"/>
              <w:right w:w="15" w:type="dxa"/>
            </w:tcMar>
            <w:vAlign w:val="center"/>
          </w:tcPr>
          <w:p w:rsidR="00D30E57" w:rsidRPr="00A43422" w:rsidRDefault="00D30E57" w:rsidP="000B6769">
            <w:pPr>
              <w:jc w:val="center"/>
              <w:rPr>
                <w:rFonts w:ascii="Tahoma" w:hAnsi="Tahoma" w:cs="Tahoma"/>
                <w:sz w:val="18"/>
                <w:szCs w:val="18"/>
                <w:lang w:val="en-US"/>
              </w:rPr>
            </w:pPr>
            <w:r>
              <w:rPr>
                <w:rFonts w:ascii="Tahoma" w:hAnsi="Tahoma" w:cs="Tahoma"/>
                <w:sz w:val="18"/>
                <w:szCs w:val="18"/>
              </w:rPr>
              <w:t>-</w:t>
            </w:r>
            <w:r>
              <w:rPr>
                <w:rFonts w:ascii="Tahoma" w:hAnsi="Tahoma" w:cs="Tahoma"/>
                <w:sz w:val="18"/>
                <w:szCs w:val="18"/>
                <w:lang w:val="en-US"/>
              </w:rPr>
              <w:t>9</w:t>
            </w:r>
            <w:r>
              <w:rPr>
                <w:rFonts w:ascii="Tahoma" w:hAnsi="Tahoma" w:cs="Tahoma"/>
                <w:sz w:val="18"/>
                <w:szCs w:val="18"/>
              </w:rPr>
              <w:t>,</w:t>
            </w:r>
            <w:r>
              <w:rPr>
                <w:rFonts w:ascii="Tahoma" w:hAnsi="Tahoma" w:cs="Tahoma"/>
                <w:sz w:val="18"/>
                <w:szCs w:val="18"/>
                <w:lang w:val="en-US"/>
              </w:rPr>
              <w:t>3</w:t>
            </w:r>
          </w:p>
        </w:tc>
        <w:tc>
          <w:tcPr>
            <w:tcW w:w="638" w:type="dxa"/>
            <w:tcBorders>
              <w:top w:val="nil"/>
              <w:left w:val="nil"/>
              <w:right w:val="nil"/>
            </w:tcBorders>
            <w:noWrap/>
            <w:tcMar>
              <w:top w:w="15" w:type="dxa"/>
              <w:left w:w="15" w:type="dxa"/>
              <w:bottom w:w="0" w:type="dxa"/>
              <w:right w:w="15" w:type="dxa"/>
            </w:tcMar>
            <w:vAlign w:val="center"/>
          </w:tcPr>
          <w:p w:rsidR="00D30E57" w:rsidRPr="00A43422" w:rsidRDefault="00D30E57" w:rsidP="000B6769">
            <w:pPr>
              <w:jc w:val="center"/>
              <w:rPr>
                <w:rFonts w:ascii="Tahoma" w:hAnsi="Tahoma" w:cs="Tahoma"/>
                <w:sz w:val="18"/>
                <w:szCs w:val="18"/>
                <w:lang w:val="en-US"/>
              </w:rPr>
            </w:pPr>
            <w:r>
              <w:rPr>
                <w:rFonts w:ascii="Tahoma" w:hAnsi="Tahoma" w:cs="Tahoma"/>
                <w:sz w:val="18"/>
                <w:szCs w:val="18"/>
              </w:rPr>
              <w:t>-7,3</w:t>
            </w:r>
          </w:p>
        </w:tc>
        <w:tc>
          <w:tcPr>
            <w:tcW w:w="574" w:type="dxa"/>
            <w:tcBorders>
              <w:top w:val="nil"/>
              <w:left w:val="nil"/>
              <w:right w:val="single" w:sz="8" w:space="0" w:color="auto"/>
            </w:tcBorders>
            <w:noWrap/>
            <w:tcMar>
              <w:top w:w="15" w:type="dxa"/>
              <w:left w:w="15" w:type="dxa"/>
              <w:bottom w:w="0" w:type="dxa"/>
              <w:right w:w="15" w:type="dxa"/>
            </w:tcMar>
            <w:vAlign w:val="center"/>
          </w:tcPr>
          <w:p w:rsidR="00D30E57" w:rsidRPr="00A43422" w:rsidRDefault="00D30E57" w:rsidP="000B6769">
            <w:pPr>
              <w:jc w:val="center"/>
              <w:rPr>
                <w:rFonts w:ascii="Tahoma" w:hAnsi="Tahoma" w:cs="Tahoma"/>
                <w:sz w:val="18"/>
                <w:szCs w:val="18"/>
                <w:lang w:val="en-US"/>
              </w:rPr>
            </w:pPr>
            <w:r>
              <w:rPr>
                <w:rFonts w:ascii="Tahoma" w:hAnsi="Tahoma" w:cs="Tahoma"/>
                <w:sz w:val="18"/>
                <w:szCs w:val="18"/>
              </w:rPr>
              <w:t>-4,6</w:t>
            </w:r>
          </w:p>
        </w:tc>
        <w:tc>
          <w:tcPr>
            <w:tcW w:w="49" w:type="dxa"/>
            <w:tcBorders>
              <w:top w:val="nil"/>
              <w:left w:val="nil"/>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sz w:val="18"/>
                <w:szCs w:val="18"/>
              </w:rPr>
            </w:pPr>
          </w:p>
        </w:tc>
        <w:tc>
          <w:tcPr>
            <w:tcW w:w="533" w:type="dxa"/>
            <w:tcBorders>
              <w:top w:val="nil"/>
              <w:left w:val="nil"/>
              <w:right w:val="nil"/>
            </w:tcBorders>
            <w:noWrap/>
            <w:tcMar>
              <w:top w:w="0" w:type="dxa"/>
              <w:left w:w="15" w:type="dxa"/>
              <w:bottom w:w="0" w:type="dxa"/>
              <w:right w:w="15" w:type="dxa"/>
            </w:tcMar>
            <w:vAlign w:val="center"/>
          </w:tcPr>
          <w:p w:rsidR="00D30E57" w:rsidRPr="00D13897" w:rsidRDefault="00D30E57" w:rsidP="000B6769">
            <w:pPr>
              <w:jc w:val="center"/>
              <w:rPr>
                <w:rFonts w:ascii="Tahoma" w:hAnsi="Tahoma" w:cs="Tahoma"/>
                <w:sz w:val="18"/>
                <w:szCs w:val="18"/>
                <w:lang w:val="en-US"/>
              </w:rPr>
            </w:pPr>
            <w:r>
              <w:rPr>
                <w:rFonts w:ascii="Tahoma" w:hAnsi="Tahoma" w:cs="Tahoma"/>
                <w:sz w:val="18"/>
                <w:szCs w:val="18"/>
                <w:lang w:val="en-US"/>
              </w:rPr>
              <w:t>-9,0</w:t>
            </w:r>
          </w:p>
        </w:tc>
        <w:tc>
          <w:tcPr>
            <w:tcW w:w="587" w:type="dxa"/>
            <w:tcBorders>
              <w:top w:val="nil"/>
              <w:left w:val="nil"/>
              <w:right w:val="nil"/>
            </w:tcBorders>
            <w:noWrap/>
            <w:tcMar>
              <w:top w:w="15" w:type="dxa"/>
              <w:left w:w="15" w:type="dxa"/>
              <w:bottom w:w="0" w:type="dxa"/>
              <w:right w:w="15" w:type="dxa"/>
            </w:tcMar>
            <w:vAlign w:val="center"/>
          </w:tcPr>
          <w:p w:rsidR="00D30E57" w:rsidRPr="003338D4" w:rsidRDefault="00D30E57" w:rsidP="000B6769">
            <w:pPr>
              <w:jc w:val="center"/>
              <w:rPr>
                <w:rFonts w:ascii="Tahoma" w:hAnsi="Tahoma" w:cs="Tahoma"/>
                <w:sz w:val="18"/>
                <w:szCs w:val="18"/>
                <w:lang w:val="en-US"/>
              </w:rPr>
            </w:pPr>
            <w:r>
              <w:rPr>
                <w:rFonts w:ascii="Tahoma" w:hAnsi="Tahoma" w:cs="Tahoma"/>
                <w:sz w:val="18"/>
                <w:szCs w:val="18"/>
                <w:lang w:val="en-US"/>
              </w:rPr>
              <w:t>-7,0</w:t>
            </w:r>
          </w:p>
        </w:tc>
        <w:tc>
          <w:tcPr>
            <w:tcW w:w="623" w:type="dxa"/>
            <w:tcBorders>
              <w:top w:val="nil"/>
              <w:left w:val="nil"/>
              <w:right w:val="single" w:sz="8" w:space="0" w:color="auto"/>
            </w:tcBorders>
            <w:noWrap/>
            <w:tcMar>
              <w:top w:w="15" w:type="dxa"/>
              <w:left w:w="15" w:type="dxa"/>
              <w:bottom w:w="0" w:type="dxa"/>
              <w:right w:w="15" w:type="dxa"/>
            </w:tcMar>
            <w:vAlign w:val="center"/>
          </w:tcPr>
          <w:p w:rsidR="00D30E57" w:rsidRPr="00D25702" w:rsidRDefault="00D30E57" w:rsidP="000B6769">
            <w:pPr>
              <w:jc w:val="center"/>
              <w:rPr>
                <w:rFonts w:ascii="Tahoma" w:hAnsi="Tahoma" w:cs="Tahoma"/>
                <w:sz w:val="18"/>
                <w:szCs w:val="18"/>
              </w:rPr>
            </w:pPr>
            <w:r>
              <w:rPr>
                <w:rFonts w:ascii="Tahoma" w:hAnsi="Tahoma" w:cs="Tahoma"/>
                <w:sz w:val="18"/>
                <w:szCs w:val="18"/>
              </w:rPr>
              <w:t>-5,3</w:t>
            </w:r>
          </w:p>
        </w:tc>
        <w:tc>
          <w:tcPr>
            <w:tcW w:w="49" w:type="dxa"/>
            <w:tcBorders>
              <w:top w:val="nil"/>
              <w:left w:val="nil"/>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sz w:val="18"/>
                <w:szCs w:val="18"/>
              </w:rPr>
            </w:pPr>
          </w:p>
        </w:tc>
        <w:tc>
          <w:tcPr>
            <w:tcW w:w="587" w:type="dxa"/>
            <w:tcBorders>
              <w:top w:val="nil"/>
              <w:left w:val="nil"/>
              <w:right w:val="nil"/>
            </w:tcBorders>
            <w:noWrap/>
            <w:tcMar>
              <w:top w:w="15" w:type="dxa"/>
              <w:left w:w="15" w:type="dxa"/>
              <w:bottom w:w="0" w:type="dxa"/>
              <w:right w:w="15" w:type="dxa"/>
            </w:tcMar>
            <w:vAlign w:val="center"/>
          </w:tcPr>
          <w:p w:rsidR="00D30E57" w:rsidRPr="00B80788" w:rsidRDefault="00D30E57" w:rsidP="000B6769">
            <w:pPr>
              <w:spacing w:before="40" w:after="40"/>
              <w:jc w:val="center"/>
              <w:rPr>
                <w:rFonts w:ascii="Tahoma" w:hAnsi="Tahoma" w:cs="Tahoma"/>
                <w:sz w:val="18"/>
                <w:szCs w:val="18"/>
                <w:lang w:val="en-US"/>
              </w:rPr>
            </w:pPr>
            <w:r>
              <w:rPr>
                <w:rFonts w:ascii="Tahoma" w:hAnsi="Tahoma" w:cs="Tahoma"/>
                <w:sz w:val="18"/>
                <w:szCs w:val="18"/>
              </w:rPr>
              <w:t>-9,</w:t>
            </w:r>
            <w:r>
              <w:rPr>
                <w:rFonts w:ascii="Tahoma" w:hAnsi="Tahoma" w:cs="Tahoma"/>
                <w:sz w:val="18"/>
                <w:szCs w:val="18"/>
                <w:lang w:val="en-US"/>
              </w:rPr>
              <w:t>3</w:t>
            </w:r>
          </w:p>
        </w:tc>
        <w:tc>
          <w:tcPr>
            <w:tcW w:w="705" w:type="dxa"/>
            <w:tcBorders>
              <w:top w:val="nil"/>
              <w:left w:val="nil"/>
              <w:right w:val="nil"/>
            </w:tcBorders>
            <w:noWrap/>
            <w:tcMar>
              <w:top w:w="0" w:type="dxa"/>
              <w:left w:w="15" w:type="dxa"/>
              <w:bottom w:w="0" w:type="dxa"/>
              <w:right w:w="15" w:type="dxa"/>
            </w:tcMar>
            <w:vAlign w:val="center"/>
          </w:tcPr>
          <w:p w:rsidR="00D30E57" w:rsidRPr="00B80788" w:rsidRDefault="00D30E57" w:rsidP="000B6769">
            <w:pPr>
              <w:spacing w:before="40" w:after="40"/>
              <w:jc w:val="center"/>
              <w:rPr>
                <w:rFonts w:ascii="Tahoma" w:hAnsi="Tahoma" w:cs="Tahoma"/>
                <w:sz w:val="18"/>
                <w:szCs w:val="18"/>
                <w:lang w:val="en-US"/>
              </w:rPr>
            </w:pPr>
            <w:r>
              <w:rPr>
                <w:rFonts w:ascii="Tahoma" w:hAnsi="Tahoma" w:cs="Tahoma"/>
                <w:sz w:val="18"/>
                <w:szCs w:val="18"/>
              </w:rPr>
              <w:t>-</w:t>
            </w:r>
            <w:r>
              <w:rPr>
                <w:rFonts w:ascii="Tahoma" w:hAnsi="Tahoma" w:cs="Tahoma"/>
                <w:sz w:val="18"/>
                <w:szCs w:val="18"/>
                <w:lang w:val="en-US"/>
              </w:rPr>
              <w:t>7</w:t>
            </w:r>
            <w:r>
              <w:rPr>
                <w:rFonts w:ascii="Tahoma" w:hAnsi="Tahoma" w:cs="Tahoma"/>
                <w:sz w:val="18"/>
                <w:szCs w:val="18"/>
              </w:rPr>
              <w:t>,</w:t>
            </w:r>
            <w:r>
              <w:rPr>
                <w:rFonts w:ascii="Tahoma" w:hAnsi="Tahoma" w:cs="Tahoma"/>
                <w:sz w:val="18"/>
                <w:szCs w:val="18"/>
                <w:lang w:val="en-US"/>
              </w:rPr>
              <w:t>3</w:t>
            </w:r>
          </w:p>
        </w:tc>
        <w:tc>
          <w:tcPr>
            <w:tcW w:w="675" w:type="dxa"/>
            <w:tcBorders>
              <w:top w:val="nil"/>
              <w:left w:val="nil"/>
              <w:right w:val="single" w:sz="4" w:space="0" w:color="auto"/>
            </w:tcBorders>
            <w:noWrap/>
            <w:tcMar>
              <w:top w:w="15" w:type="dxa"/>
              <w:left w:w="15" w:type="dxa"/>
              <w:bottom w:w="0" w:type="dxa"/>
              <w:right w:w="15" w:type="dxa"/>
            </w:tcMar>
            <w:vAlign w:val="center"/>
          </w:tcPr>
          <w:p w:rsidR="00D30E57" w:rsidRPr="009A181E" w:rsidRDefault="00D30E57" w:rsidP="000B6769">
            <w:pPr>
              <w:spacing w:before="40" w:after="40"/>
              <w:jc w:val="center"/>
              <w:rPr>
                <w:rFonts w:ascii="Tahoma" w:hAnsi="Tahoma" w:cs="Tahoma"/>
                <w:sz w:val="18"/>
                <w:szCs w:val="18"/>
                <w:lang w:val="en-US"/>
              </w:rPr>
            </w:pPr>
            <w:r>
              <w:rPr>
                <w:rFonts w:ascii="Tahoma" w:hAnsi="Tahoma" w:cs="Tahoma"/>
                <w:sz w:val="18"/>
                <w:szCs w:val="18"/>
              </w:rPr>
              <w:t>-4</w:t>
            </w:r>
            <w:r w:rsidRPr="008B420F">
              <w:rPr>
                <w:rFonts w:ascii="Tahoma" w:hAnsi="Tahoma" w:cs="Tahoma"/>
                <w:sz w:val="18"/>
                <w:szCs w:val="18"/>
              </w:rPr>
              <w:t>,</w:t>
            </w:r>
            <w:r>
              <w:rPr>
                <w:rFonts w:ascii="Tahoma" w:hAnsi="Tahoma" w:cs="Tahoma"/>
                <w:sz w:val="18"/>
                <w:szCs w:val="18"/>
                <w:lang w:val="en-US"/>
              </w:rPr>
              <w:t>6</w:t>
            </w:r>
          </w:p>
        </w:tc>
      </w:tr>
      <w:tr w:rsidR="00D30E57" w:rsidRPr="009433A4" w:rsidTr="002A5D2E">
        <w:trPr>
          <w:trHeight w:val="269"/>
          <w:jc w:val="center"/>
        </w:trPr>
        <w:tc>
          <w:tcPr>
            <w:tcW w:w="2254" w:type="dxa"/>
            <w:tcBorders>
              <w:top w:val="nil"/>
              <w:left w:val="single" w:sz="4" w:space="0" w:color="auto"/>
              <w:right w:val="nil"/>
            </w:tcBorders>
            <w:noWrap/>
            <w:tcMar>
              <w:top w:w="0" w:type="dxa"/>
              <w:left w:w="15" w:type="dxa"/>
              <w:bottom w:w="0" w:type="dxa"/>
              <w:right w:w="15" w:type="dxa"/>
            </w:tcMar>
            <w:vAlign w:val="bottom"/>
          </w:tcPr>
          <w:p w:rsidR="00D30E57" w:rsidRPr="004D0962" w:rsidRDefault="00D30E57" w:rsidP="000B6769">
            <w:pPr>
              <w:spacing w:before="40" w:after="40"/>
              <w:rPr>
                <w:rFonts w:ascii="Tahoma" w:hAnsi="Tahoma" w:cs="Tahoma"/>
                <w:sz w:val="18"/>
                <w:szCs w:val="18"/>
              </w:rPr>
            </w:pPr>
            <w:r w:rsidRPr="004D0962">
              <w:rPr>
                <w:rFonts w:ascii="Tahoma" w:hAnsi="Tahoma" w:cs="Tahoma"/>
                <w:sz w:val="18"/>
                <w:szCs w:val="18"/>
              </w:rPr>
              <w:t>Ισοζύγιο Τρεχουσών Συναλλαγών (% ΑΕΠ)</w:t>
            </w:r>
          </w:p>
        </w:tc>
        <w:tc>
          <w:tcPr>
            <w:tcW w:w="49" w:type="dxa"/>
            <w:tcBorders>
              <w:top w:val="nil"/>
              <w:left w:val="single" w:sz="8" w:space="0" w:color="auto"/>
              <w:right w:val="nil"/>
            </w:tcBorders>
            <w:noWrap/>
            <w:tcMar>
              <w:top w:w="0" w:type="dxa"/>
              <w:left w:w="15" w:type="dxa"/>
              <w:bottom w:w="0" w:type="dxa"/>
              <w:right w:w="15" w:type="dxa"/>
            </w:tcMar>
            <w:vAlign w:val="bottom"/>
          </w:tcPr>
          <w:p w:rsidR="00D30E57" w:rsidRPr="004D0962" w:rsidRDefault="00D30E57" w:rsidP="000B6769">
            <w:pPr>
              <w:spacing w:before="40" w:after="40"/>
              <w:jc w:val="right"/>
              <w:rPr>
                <w:rFonts w:ascii="Tahoma" w:hAnsi="Tahoma" w:cs="Tahoma"/>
                <w:sz w:val="18"/>
                <w:szCs w:val="18"/>
              </w:rPr>
            </w:pPr>
          </w:p>
        </w:tc>
        <w:tc>
          <w:tcPr>
            <w:tcW w:w="698" w:type="dxa"/>
            <w:tcBorders>
              <w:top w:val="nil"/>
              <w:left w:val="nil"/>
              <w:right w:val="nil"/>
            </w:tcBorders>
            <w:noWrap/>
            <w:tcMar>
              <w:top w:w="0" w:type="dxa"/>
              <w:left w:w="15" w:type="dxa"/>
              <w:bottom w:w="0" w:type="dxa"/>
              <w:right w:w="15" w:type="dxa"/>
            </w:tcMar>
            <w:vAlign w:val="center"/>
          </w:tcPr>
          <w:p w:rsidR="00D30E57" w:rsidRPr="00C37A02" w:rsidRDefault="00D30E57" w:rsidP="000B6769">
            <w:pPr>
              <w:spacing w:before="40" w:after="40"/>
              <w:jc w:val="center"/>
              <w:rPr>
                <w:rFonts w:ascii="Tahoma" w:hAnsi="Tahoma" w:cs="Tahoma"/>
                <w:sz w:val="18"/>
                <w:szCs w:val="18"/>
              </w:rPr>
            </w:pPr>
            <w:r w:rsidRPr="00C37A02">
              <w:rPr>
                <w:rFonts w:ascii="Tahoma" w:hAnsi="Tahoma" w:cs="Tahoma"/>
                <w:sz w:val="18"/>
                <w:szCs w:val="18"/>
              </w:rPr>
              <w:t>:</w:t>
            </w:r>
          </w:p>
        </w:tc>
        <w:tc>
          <w:tcPr>
            <w:tcW w:w="648" w:type="dxa"/>
            <w:tcBorders>
              <w:top w:val="nil"/>
              <w:left w:val="nil"/>
              <w:right w:val="nil"/>
            </w:tcBorders>
            <w:noWrap/>
            <w:tcMar>
              <w:top w:w="0" w:type="dxa"/>
              <w:left w:w="15" w:type="dxa"/>
              <w:bottom w:w="0" w:type="dxa"/>
              <w:right w:w="15" w:type="dxa"/>
            </w:tcMar>
            <w:vAlign w:val="center"/>
          </w:tcPr>
          <w:p w:rsidR="00D30E57" w:rsidRPr="00C37A02" w:rsidRDefault="00D30E57" w:rsidP="000B6769">
            <w:pPr>
              <w:spacing w:before="40" w:after="40"/>
              <w:jc w:val="center"/>
              <w:rPr>
                <w:rFonts w:ascii="Tahoma" w:hAnsi="Tahoma" w:cs="Tahoma"/>
                <w:sz w:val="18"/>
                <w:szCs w:val="18"/>
              </w:rPr>
            </w:pPr>
            <w:r w:rsidRPr="00C37A02">
              <w:rPr>
                <w:rFonts w:ascii="Tahoma" w:hAnsi="Tahoma" w:cs="Tahoma"/>
                <w:sz w:val="18"/>
                <w:szCs w:val="18"/>
              </w:rPr>
              <w:t>:</w:t>
            </w:r>
          </w:p>
        </w:tc>
        <w:tc>
          <w:tcPr>
            <w:tcW w:w="739" w:type="dxa"/>
            <w:tcBorders>
              <w:top w:val="nil"/>
              <w:left w:val="nil"/>
              <w:right w:val="single" w:sz="8" w:space="0" w:color="auto"/>
            </w:tcBorders>
            <w:tcMar>
              <w:top w:w="0" w:type="dxa"/>
              <w:left w:w="15" w:type="dxa"/>
              <w:bottom w:w="0" w:type="dxa"/>
              <w:right w:w="15" w:type="dxa"/>
            </w:tcMar>
            <w:vAlign w:val="center"/>
          </w:tcPr>
          <w:p w:rsidR="00D30E57" w:rsidRPr="00C37A02" w:rsidRDefault="00D30E57" w:rsidP="000B6769">
            <w:pPr>
              <w:spacing w:before="40" w:after="40"/>
              <w:jc w:val="center"/>
              <w:rPr>
                <w:rFonts w:ascii="Tahoma" w:hAnsi="Tahoma" w:cs="Tahoma"/>
                <w:sz w:val="18"/>
                <w:szCs w:val="18"/>
              </w:rPr>
            </w:pPr>
            <w:r w:rsidRPr="00C37A02">
              <w:rPr>
                <w:rFonts w:ascii="Tahoma" w:hAnsi="Tahoma" w:cs="Tahoma"/>
                <w:sz w:val="18"/>
                <w:szCs w:val="18"/>
              </w:rPr>
              <w:t>:</w:t>
            </w:r>
          </w:p>
        </w:tc>
        <w:tc>
          <w:tcPr>
            <w:tcW w:w="49" w:type="dxa"/>
            <w:tcBorders>
              <w:top w:val="nil"/>
              <w:left w:val="nil"/>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sz w:val="18"/>
                <w:szCs w:val="18"/>
              </w:rPr>
            </w:pPr>
          </w:p>
        </w:tc>
        <w:tc>
          <w:tcPr>
            <w:tcW w:w="632" w:type="dxa"/>
            <w:tcBorders>
              <w:top w:val="nil"/>
              <w:left w:val="nil"/>
              <w:right w:val="nil"/>
            </w:tcBorders>
            <w:noWrap/>
            <w:tcMar>
              <w:top w:w="0" w:type="dxa"/>
              <w:left w:w="15" w:type="dxa"/>
              <w:bottom w:w="0" w:type="dxa"/>
              <w:right w:w="15" w:type="dxa"/>
            </w:tcMar>
            <w:vAlign w:val="center"/>
          </w:tcPr>
          <w:p w:rsidR="00D30E57" w:rsidRPr="00A43422" w:rsidRDefault="00D30E57" w:rsidP="000B6769">
            <w:pPr>
              <w:jc w:val="center"/>
              <w:rPr>
                <w:rFonts w:ascii="Tahoma" w:hAnsi="Tahoma" w:cs="Tahoma"/>
                <w:sz w:val="18"/>
                <w:szCs w:val="18"/>
                <w:lang w:val="en-US"/>
              </w:rPr>
            </w:pPr>
            <w:r>
              <w:rPr>
                <w:rFonts w:ascii="Tahoma" w:hAnsi="Tahoma" w:cs="Tahoma"/>
                <w:sz w:val="18"/>
                <w:szCs w:val="18"/>
                <w:lang w:val="en-US"/>
              </w:rPr>
              <w:t>-10</w:t>
            </w:r>
            <w:r w:rsidRPr="00FC66C4">
              <w:rPr>
                <w:rFonts w:ascii="Tahoma" w:hAnsi="Tahoma" w:cs="Tahoma"/>
                <w:sz w:val="18"/>
                <w:szCs w:val="18"/>
                <w:lang w:val="en-US"/>
              </w:rPr>
              <w:t>,</w:t>
            </w:r>
            <w:r>
              <w:rPr>
                <w:rFonts w:ascii="Tahoma" w:hAnsi="Tahoma" w:cs="Tahoma"/>
                <w:sz w:val="18"/>
                <w:szCs w:val="18"/>
                <w:lang w:val="en-US"/>
              </w:rPr>
              <w:t>3</w:t>
            </w:r>
          </w:p>
        </w:tc>
        <w:tc>
          <w:tcPr>
            <w:tcW w:w="638" w:type="dxa"/>
            <w:tcBorders>
              <w:top w:val="nil"/>
              <w:left w:val="nil"/>
              <w:right w:val="nil"/>
            </w:tcBorders>
            <w:noWrap/>
            <w:tcMar>
              <w:top w:w="15" w:type="dxa"/>
              <w:left w:w="15" w:type="dxa"/>
              <w:bottom w:w="0" w:type="dxa"/>
              <w:right w:w="15" w:type="dxa"/>
            </w:tcMar>
            <w:vAlign w:val="center"/>
          </w:tcPr>
          <w:p w:rsidR="00D30E57" w:rsidRPr="00A43422" w:rsidRDefault="00D30E57" w:rsidP="000B6769">
            <w:pPr>
              <w:jc w:val="center"/>
              <w:rPr>
                <w:rFonts w:ascii="Tahoma" w:hAnsi="Tahoma" w:cs="Tahoma"/>
                <w:sz w:val="18"/>
                <w:szCs w:val="18"/>
                <w:lang w:val="en-US"/>
              </w:rPr>
            </w:pPr>
            <w:r>
              <w:rPr>
                <w:rFonts w:ascii="Tahoma" w:hAnsi="Tahoma" w:cs="Tahoma"/>
                <w:sz w:val="18"/>
                <w:szCs w:val="18"/>
              </w:rPr>
              <w:t>-6,9</w:t>
            </w:r>
          </w:p>
        </w:tc>
        <w:tc>
          <w:tcPr>
            <w:tcW w:w="574" w:type="dxa"/>
            <w:tcBorders>
              <w:top w:val="nil"/>
              <w:left w:val="nil"/>
              <w:right w:val="single" w:sz="8" w:space="0" w:color="auto"/>
            </w:tcBorders>
            <w:noWrap/>
            <w:tcMar>
              <w:top w:w="15" w:type="dxa"/>
              <w:left w:w="15" w:type="dxa"/>
              <w:bottom w:w="0" w:type="dxa"/>
              <w:right w:w="15" w:type="dxa"/>
            </w:tcMar>
            <w:vAlign w:val="center"/>
          </w:tcPr>
          <w:p w:rsidR="00D30E57" w:rsidRPr="00A43422" w:rsidRDefault="00D30E57" w:rsidP="000B6769">
            <w:pPr>
              <w:jc w:val="center"/>
              <w:rPr>
                <w:rFonts w:ascii="Tahoma" w:hAnsi="Tahoma" w:cs="Tahoma"/>
                <w:sz w:val="18"/>
                <w:szCs w:val="18"/>
                <w:lang w:val="en-US"/>
              </w:rPr>
            </w:pPr>
            <w:r>
              <w:rPr>
                <w:rFonts w:ascii="Tahoma" w:hAnsi="Tahoma" w:cs="Tahoma"/>
                <w:sz w:val="18"/>
                <w:szCs w:val="18"/>
              </w:rPr>
              <w:t>-5,3</w:t>
            </w:r>
          </w:p>
        </w:tc>
        <w:tc>
          <w:tcPr>
            <w:tcW w:w="49" w:type="dxa"/>
            <w:tcBorders>
              <w:top w:val="nil"/>
              <w:left w:val="nil"/>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sz w:val="18"/>
                <w:szCs w:val="18"/>
              </w:rPr>
            </w:pPr>
          </w:p>
        </w:tc>
        <w:tc>
          <w:tcPr>
            <w:tcW w:w="533" w:type="dxa"/>
            <w:tcBorders>
              <w:top w:val="nil"/>
              <w:left w:val="nil"/>
              <w:right w:val="nil"/>
            </w:tcBorders>
            <w:noWrap/>
            <w:tcMar>
              <w:top w:w="0" w:type="dxa"/>
              <w:left w:w="15" w:type="dxa"/>
              <w:bottom w:w="0" w:type="dxa"/>
              <w:right w:w="15" w:type="dxa"/>
            </w:tcMar>
            <w:vAlign w:val="center"/>
          </w:tcPr>
          <w:p w:rsidR="00D30E57" w:rsidRPr="00C17A36" w:rsidRDefault="00D30E57" w:rsidP="000B6769">
            <w:pPr>
              <w:jc w:val="center"/>
              <w:rPr>
                <w:rFonts w:ascii="Tahoma" w:hAnsi="Tahoma" w:cs="Tahoma"/>
                <w:sz w:val="18"/>
                <w:szCs w:val="18"/>
              </w:rPr>
            </w:pPr>
            <w:r>
              <w:rPr>
                <w:rFonts w:ascii="Tahoma" w:hAnsi="Tahoma" w:cs="Tahoma"/>
                <w:sz w:val="18"/>
                <w:szCs w:val="18"/>
              </w:rPr>
              <w:t>-8,6</w:t>
            </w:r>
          </w:p>
        </w:tc>
        <w:tc>
          <w:tcPr>
            <w:tcW w:w="587" w:type="dxa"/>
            <w:tcBorders>
              <w:top w:val="nil"/>
              <w:left w:val="nil"/>
              <w:right w:val="nil"/>
            </w:tcBorders>
            <w:noWrap/>
            <w:tcMar>
              <w:top w:w="15" w:type="dxa"/>
              <w:left w:w="15" w:type="dxa"/>
              <w:bottom w:w="0" w:type="dxa"/>
              <w:right w:w="15" w:type="dxa"/>
            </w:tcMar>
            <w:vAlign w:val="center"/>
          </w:tcPr>
          <w:p w:rsidR="00D30E57" w:rsidRPr="00D13897" w:rsidRDefault="00D30E57" w:rsidP="000B6769">
            <w:pPr>
              <w:jc w:val="center"/>
              <w:rPr>
                <w:rFonts w:ascii="Tahoma" w:hAnsi="Tahoma" w:cs="Tahoma"/>
                <w:sz w:val="18"/>
                <w:szCs w:val="18"/>
                <w:lang w:val="en-US"/>
              </w:rPr>
            </w:pPr>
            <w:r>
              <w:rPr>
                <w:rFonts w:ascii="Tahoma" w:hAnsi="Tahoma" w:cs="Tahoma"/>
                <w:sz w:val="18"/>
                <w:szCs w:val="18"/>
                <w:lang w:val="en-US"/>
              </w:rPr>
              <w:t>-6,3</w:t>
            </w:r>
          </w:p>
        </w:tc>
        <w:tc>
          <w:tcPr>
            <w:tcW w:w="623" w:type="dxa"/>
            <w:tcBorders>
              <w:top w:val="nil"/>
              <w:left w:val="nil"/>
              <w:right w:val="single" w:sz="8" w:space="0" w:color="auto"/>
            </w:tcBorders>
            <w:noWrap/>
            <w:tcMar>
              <w:top w:w="15" w:type="dxa"/>
              <w:left w:w="15" w:type="dxa"/>
              <w:bottom w:w="0" w:type="dxa"/>
              <w:right w:w="15" w:type="dxa"/>
            </w:tcMar>
            <w:vAlign w:val="center"/>
          </w:tcPr>
          <w:p w:rsidR="00D30E57" w:rsidRPr="00D25702" w:rsidRDefault="00D30E57" w:rsidP="000B6769">
            <w:pPr>
              <w:jc w:val="center"/>
              <w:rPr>
                <w:rFonts w:ascii="Tahoma" w:hAnsi="Tahoma" w:cs="Tahoma"/>
                <w:sz w:val="18"/>
                <w:szCs w:val="18"/>
              </w:rPr>
            </w:pPr>
            <w:r>
              <w:rPr>
                <w:rFonts w:ascii="Tahoma" w:hAnsi="Tahoma" w:cs="Tahoma"/>
                <w:sz w:val="18"/>
                <w:szCs w:val="18"/>
              </w:rPr>
              <w:t>-5,4</w:t>
            </w:r>
          </w:p>
        </w:tc>
        <w:tc>
          <w:tcPr>
            <w:tcW w:w="49" w:type="dxa"/>
            <w:tcBorders>
              <w:top w:val="nil"/>
              <w:left w:val="nil"/>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sz w:val="18"/>
                <w:szCs w:val="18"/>
              </w:rPr>
            </w:pPr>
          </w:p>
        </w:tc>
        <w:tc>
          <w:tcPr>
            <w:tcW w:w="587" w:type="dxa"/>
            <w:tcBorders>
              <w:top w:val="nil"/>
              <w:left w:val="nil"/>
              <w:right w:val="nil"/>
            </w:tcBorders>
            <w:noWrap/>
            <w:tcMar>
              <w:top w:w="15" w:type="dxa"/>
              <w:left w:w="15" w:type="dxa"/>
              <w:bottom w:w="0" w:type="dxa"/>
              <w:right w:w="15" w:type="dxa"/>
            </w:tcMar>
            <w:vAlign w:val="center"/>
          </w:tcPr>
          <w:p w:rsidR="00D30E57" w:rsidRPr="00E45E93" w:rsidRDefault="00D30E57" w:rsidP="000B6769">
            <w:pPr>
              <w:jc w:val="center"/>
              <w:rPr>
                <w:rFonts w:ascii="Tahoma" w:hAnsi="Tahoma" w:cs="Tahoma"/>
                <w:sz w:val="18"/>
                <w:szCs w:val="18"/>
                <w:lang w:val="en-US"/>
              </w:rPr>
            </w:pPr>
            <w:r>
              <w:rPr>
                <w:rFonts w:ascii="Tahoma" w:hAnsi="Tahoma" w:cs="Tahoma"/>
                <w:sz w:val="18"/>
                <w:szCs w:val="18"/>
              </w:rPr>
              <w:t>-</w:t>
            </w:r>
            <w:r>
              <w:rPr>
                <w:rFonts w:ascii="Tahoma" w:hAnsi="Tahoma" w:cs="Tahoma"/>
                <w:sz w:val="18"/>
                <w:szCs w:val="18"/>
                <w:lang w:val="en-US"/>
              </w:rPr>
              <w:t>9</w:t>
            </w:r>
            <w:r>
              <w:rPr>
                <w:rFonts w:ascii="Tahoma" w:hAnsi="Tahoma" w:cs="Tahoma"/>
                <w:sz w:val="18"/>
                <w:szCs w:val="18"/>
              </w:rPr>
              <w:t>,</w:t>
            </w:r>
            <w:r>
              <w:rPr>
                <w:rFonts w:ascii="Tahoma" w:hAnsi="Tahoma" w:cs="Tahoma"/>
                <w:sz w:val="18"/>
                <w:szCs w:val="18"/>
                <w:lang w:val="en-US"/>
              </w:rPr>
              <w:t>8</w:t>
            </w:r>
          </w:p>
        </w:tc>
        <w:tc>
          <w:tcPr>
            <w:tcW w:w="705" w:type="dxa"/>
            <w:tcBorders>
              <w:top w:val="nil"/>
              <w:left w:val="nil"/>
              <w:right w:val="nil"/>
            </w:tcBorders>
            <w:noWrap/>
            <w:tcMar>
              <w:top w:w="0" w:type="dxa"/>
              <w:left w:w="15" w:type="dxa"/>
              <w:bottom w:w="0" w:type="dxa"/>
              <w:right w:w="15" w:type="dxa"/>
            </w:tcMar>
            <w:vAlign w:val="center"/>
          </w:tcPr>
          <w:p w:rsidR="00D30E57" w:rsidRPr="00E45E93" w:rsidRDefault="00D30E57" w:rsidP="000B6769">
            <w:pPr>
              <w:jc w:val="center"/>
              <w:rPr>
                <w:rFonts w:ascii="Tahoma" w:hAnsi="Tahoma" w:cs="Tahoma"/>
                <w:sz w:val="18"/>
                <w:szCs w:val="18"/>
                <w:lang w:val="en-US"/>
              </w:rPr>
            </w:pPr>
            <w:r>
              <w:rPr>
                <w:rFonts w:ascii="Tahoma" w:hAnsi="Tahoma" w:cs="Tahoma"/>
                <w:sz w:val="18"/>
                <w:szCs w:val="18"/>
              </w:rPr>
              <w:t>-</w:t>
            </w:r>
            <w:r>
              <w:rPr>
                <w:rFonts w:ascii="Tahoma" w:hAnsi="Tahoma" w:cs="Tahoma"/>
                <w:sz w:val="18"/>
                <w:szCs w:val="18"/>
                <w:lang w:val="en-US"/>
              </w:rPr>
              <w:t>7</w:t>
            </w:r>
            <w:r>
              <w:rPr>
                <w:rFonts w:ascii="Tahoma" w:hAnsi="Tahoma" w:cs="Tahoma"/>
                <w:sz w:val="18"/>
                <w:szCs w:val="18"/>
              </w:rPr>
              <w:t>,</w:t>
            </w:r>
            <w:r>
              <w:rPr>
                <w:rFonts w:ascii="Tahoma" w:hAnsi="Tahoma" w:cs="Tahoma"/>
                <w:sz w:val="18"/>
                <w:szCs w:val="18"/>
                <w:lang w:val="en-US"/>
              </w:rPr>
              <w:t>5</w:t>
            </w:r>
          </w:p>
        </w:tc>
        <w:tc>
          <w:tcPr>
            <w:tcW w:w="675" w:type="dxa"/>
            <w:tcBorders>
              <w:top w:val="nil"/>
              <w:left w:val="nil"/>
              <w:right w:val="single" w:sz="4" w:space="0" w:color="auto"/>
            </w:tcBorders>
            <w:noWrap/>
            <w:tcMar>
              <w:top w:w="15" w:type="dxa"/>
              <w:left w:w="15" w:type="dxa"/>
              <w:bottom w:w="0" w:type="dxa"/>
              <w:right w:w="15" w:type="dxa"/>
            </w:tcMar>
            <w:vAlign w:val="center"/>
          </w:tcPr>
          <w:p w:rsidR="00D30E57" w:rsidRPr="009A181E" w:rsidRDefault="00D30E57" w:rsidP="000B6769">
            <w:pPr>
              <w:jc w:val="center"/>
              <w:rPr>
                <w:rFonts w:ascii="Tahoma" w:hAnsi="Tahoma" w:cs="Tahoma"/>
                <w:sz w:val="18"/>
                <w:szCs w:val="18"/>
                <w:lang w:val="en-US"/>
              </w:rPr>
            </w:pPr>
            <w:r>
              <w:rPr>
                <w:rFonts w:ascii="Tahoma" w:hAnsi="Tahoma" w:cs="Tahoma"/>
                <w:sz w:val="18"/>
                <w:szCs w:val="18"/>
              </w:rPr>
              <w:t>-6,</w:t>
            </w:r>
            <w:r>
              <w:rPr>
                <w:rFonts w:ascii="Tahoma" w:hAnsi="Tahoma" w:cs="Tahoma"/>
                <w:sz w:val="18"/>
                <w:szCs w:val="18"/>
                <w:lang w:val="en-US"/>
              </w:rPr>
              <w:t>7</w:t>
            </w:r>
          </w:p>
        </w:tc>
      </w:tr>
      <w:tr w:rsidR="00D30E57" w:rsidRPr="009433A4" w:rsidTr="002A5D2E">
        <w:trPr>
          <w:trHeight w:val="269"/>
          <w:jc w:val="center"/>
        </w:trPr>
        <w:tc>
          <w:tcPr>
            <w:tcW w:w="2254" w:type="dxa"/>
            <w:tcBorders>
              <w:left w:val="single" w:sz="4" w:space="0" w:color="auto"/>
              <w:bottom w:val="single" w:sz="12" w:space="0" w:color="008000"/>
              <w:right w:val="nil"/>
            </w:tcBorders>
            <w:noWrap/>
            <w:tcMar>
              <w:top w:w="0" w:type="dxa"/>
              <w:left w:w="15" w:type="dxa"/>
              <w:bottom w:w="0" w:type="dxa"/>
              <w:right w:w="15" w:type="dxa"/>
            </w:tcMar>
            <w:vAlign w:val="bottom"/>
          </w:tcPr>
          <w:p w:rsidR="00D30E57" w:rsidRPr="004D0962" w:rsidRDefault="00D30E57" w:rsidP="000B6769">
            <w:pPr>
              <w:spacing w:before="40" w:after="40"/>
              <w:rPr>
                <w:rFonts w:ascii="Tahoma" w:hAnsi="Tahoma" w:cs="Tahoma"/>
                <w:sz w:val="18"/>
                <w:szCs w:val="18"/>
              </w:rPr>
            </w:pPr>
            <w:r w:rsidRPr="004D0962">
              <w:rPr>
                <w:rFonts w:ascii="Tahoma" w:hAnsi="Tahoma" w:cs="Tahoma"/>
                <w:sz w:val="18"/>
                <w:szCs w:val="18"/>
              </w:rPr>
              <w:t>Ακαθ. Δημόσιο Χρέος (% ΑΕΠ)</w:t>
            </w:r>
          </w:p>
        </w:tc>
        <w:tc>
          <w:tcPr>
            <w:tcW w:w="49" w:type="dxa"/>
            <w:tcBorders>
              <w:left w:val="single" w:sz="8" w:space="0" w:color="auto"/>
              <w:bottom w:val="single" w:sz="12" w:space="0" w:color="008000"/>
              <w:right w:val="nil"/>
            </w:tcBorders>
            <w:noWrap/>
            <w:tcMar>
              <w:top w:w="0" w:type="dxa"/>
              <w:left w:w="15" w:type="dxa"/>
              <w:bottom w:w="0" w:type="dxa"/>
              <w:right w:w="15" w:type="dxa"/>
            </w:tcMar>
            <w:vAlign w:val="bottom"/>
          </w:tcPr>
          <w:p w:rsidR="00D30E57" w:rsidRPr="004D0962" w:rsidRDefault="00D30E57" w:rsidP="000B6769">
            <w:pPr>
              <w:spacing w:before="40" w:after="40"/>
              <w:jc w:val="right"/>
              <w:rPr>
                <w:rFonts w:ascii="Tahoma" w:hAnsi="Tahoma" w:cs="Tahoma"/>
                <w:sz w:val="18"/>
                <w:szCs w:val="18"/>
              </w:rPr>
            </w:pPr>
          </w:p>
        </w:tc>
        <w:tc>
          <w:tcPr>
            <w:tcW w:w="698" w:type="dxa"/>
            <w:tcBorders>
              <w:left w:val="nil"/>
              <w:bottom w:val="single" w:sz="12" w:space="0" w:color="008000"/>
              <w:right w:val="nil"/>
            </w:tcBorders>
            <w:noWrap/>
            <w:tcMar>
              <w:top w:w="0" w:type="dxa"/>
              <w:left w:w="15" w:type="dxa"/>
              <w:bottom w:w="0" w:type="dxa"/>
              <w:right w:w="15" w:type="dxa"/>
            </w:tcMar>
            <w:vAlign w:val="center"/>
          </w:tcPr>
          <w:p w:rsidR="00D30E57" w:rsidRPr="00295107" w:rsidRDefault="00D30E57" w:rsidP="000B6769">
            <w:pPr>
              <w:spacing w:before="40" w:after="40"/>
              <w:jc w:val="center"/>
              <w:rPr>
                <w:rFonts w:ascii="Tahoma" w:hAnsi="Tahoma" w:cs="Tahoma"/>
                <w:sz w:val="18"/>
                <w:szCs w:val="18"/>
                <w:vertAlign w:val="superscript"/>
              </w:rPr>
            </w:pPr>
            <w:r w:rsidRPr="00C37A02">
              <w:rPr>
                <w:rFonts w:ascii="Tahoma" w:hAnsi="Tahoma" w:cs="Tahoma"/>
                <w:sz w:val="18"/>
                <w:szCs w:val="18"/>
              </w:rPr>
              <w:t>1</w:t>
            </w:r>
            <w:r>
              <w:rPr>
                <w:rFonts w:ascii="Tahoma" w:hAnsi="Tahoma" w:cs="Tahoma"/>
                <w:sz w:val="18"/>
                <w:szCs w:val="18"/>
                <w:lang w:val="en-US"/>
              </w:rPr>
              <w:t>44,</w:t>
            </w:r>
            <w:r>
              <w:rPr>
                <w:rFonts w:ascii="Tahoma" w:hAnsi="Tahoma" w:cs="Tahoma"/>
                <w:sz w:val="18"/>
                <w:szCs w:val="18"/>
              </w:rPr>
              <w:t>9</w:t>
            </w:r>
          </w:p>
        </w:tc>
        <w:tc>
          <w:tcPr>
            <w:tcW w:w="648" w:type="dxa"/>
            <w:tcBorders>
              <w:left w:val="nil"/>
              <w:bottom w:val="single" w:sz="12" w:space="0" w:color="008000"/>
              <w:right w:val="nil"/>
            </w:tcBorders>
            <w:noWrap/>
            <w:tcMar>
              <w:top w:w="0" w:type="dxa"/>
              <w:left w:w="15" w:type="dxa"/>
              <w:bottom w:w="0" w:type="dxa"/>
              <w:right w:w="15" w:type="dxa"/>
            </w:tcMar>
            <w:vAlign w:val="center"/>
          </w:tcPr>
          <w:p w:rsidR="00D30E57" w:rsidRPr="00295107" w:rsidRDefault="00D30E57" w:rsidP="000B6769">
            <w:pPr>
              <w:spacing w:before="40" w:after="40"/>
              <w:jc w:val="center"/>
              <w:rPr>
                <w:rFonts w:ascii="Tahoma" w:hAnsi="Tahoma" w:cs="Tahoma"/>
                <w:sz w:val="18"/>
                <w:szCs w:val="18"/>
                <w:vertAlign w:val="superscript"/>
              </w:rPr>
            </w:pPr>
            <w:r>
              <w:rPr>
                <w:rFonts w:ascii="Tahoma" w:hAnsi="Tahoma" w:cs="Tahoma"/>
                <w:sz w:val="18"/>
                <w:szCs w:val="18"/>
              </w:rPr>
              <w:t>1</w:t>
            </w:r>
            <w:r>
              <w:rPr>
                <w:rFonts w:ascii="Tahoma" w:hAnsi="Tahoma" w:cs="Tahoma"/>
                <w:sz w:val="18"/>
                <w:szCs w:val="18"/>
                <w:lang w:val="en-US"/>
              </w:rPr>
              <w:t>61,</w:t>
            </w:r>
            <w:r>
              <w:rPr>
                <w:rFonts w:ascii="Tahoma" w:hAnsi="Tahoma" w:cs="Tahoma"/>
                <w:sz w:val="18"/>
                <w:szCs w:val="18"/>
              </w:rPr>
              <w:t>7</w:t>
            </w:r>
          </w:p>
        </w:tc>
        <w:tc>
          <w:tcPr>
            <w:tcW w:w="739" w:type="dxa"/>
            <w:tcBorders>
              <w:left w:val="nil"/>
              <w:bottom w:val="single" w:sz="12" w:space="0" w:color="008000"/>
              <w:right w:val="single" w:sz="8" w:space="0" w:color="auto"/>
            </w:tcBorders>
            <w:tcMar>
              <w:top w:w="0" w:type="dxa"/>
              <w:left w:w="15" w:type="dxa"/>
              <w:bottom w:w="0" w:type="dxa"/>
              <w:right w:w="15" w:type="dxa"/>
            </w:tcMar>
            <w:vAlign w:val="center"/>
          </w:tcPr>
          <w:p w:rsidR="00D30E57" w:rsidRPr="00295107" w:rsidRDefault="00D30E57" w:rsidP="000B6769">
            <w:pPr>
              <w:spacing w:before="40" w:after="40"/>
              <w:jc w:val="center"/>
              <w:rPr>
                <w:rFonts w:ascii="Tahoma" w:hAnsi="Tahoma" w:cs="Tahoma"/>
                <w:sz w:val="18"/>
                <w:szCs w:val="18"/>
                <w:vertAlign w:val="superscript"/>
                <w:lang w:val="en-US"/>
              </w:rPr>
            </w:pPr>
            <w:r>
              <w:rPr>
                <w:rFonts w:ascii="Tahoma" w:hAnsi="Tahoma" w:cs="Tahoma"/>
                <w:sz w:val="18"/>
                <w:szCs w:val="18"/>
              </w:rPr>
              <w:t>145,5</w:t>
            </w:r>
            <w:r>
              <w:rPr>
                <w:rFonts w:ascii="Tahoma" w:hAnsi="Tahoma" w:cs="Tahoma"/>
                <w:sz w:val="18"/>
                <w:szCs w:val="18"/>
                <w:vertAlign w:val="superscript"/>
              </w:rPr>
              <w:t>1</w:t>
            </w:r>
          </w:p>
        </w:tc>
        <w:tc>
          <w:tcPr>
            <w:tcW w:w="49" w:type="dxa"/>
            <w:tcBorders>
              <w:left w:val="nil"/>
              <w:bottom w:val="single" w:sz="12" w:space="0" w:color="008000"/>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sz w:val="18"/>
                <w:szCs w:val="18"/>
              </w:rPr>
            </w:pPr>
          </w:p>
        </w:tc>
        <w:tc>
          <w:tcPr>
            <w:tcW w:w="632" w:type="dxa"/>
            <w:tcBorders>
              <w:left w:val="nil"/>
              <w:bottom w:val="single" w:sz="12" w:space="0" w:color="008000"/>
              <w:right w:val="nil"/>
            </w:tcBorders>
            <w:noWrap/>
            <w:tcMar>
              <w:top w:w="0" w:type="dxa"/>
              <w:left w:w="15" w:type="dxa"/>
              <w:bottom w:w="0" w:type="dxa"/>
              <w:right w:w="15" w:type="dxa"/>
            </w:tcMar>
            <w:vAlign w:val="center"/>
          </w:tcPr>
          <w:p w:rsidR="00D30E57" w:rsidRPr="00A43422" w:rsidRDefault="00D30E57" w:rsidP="000B6769">
            <w:pPr>
              <w:spacing w:before="40" w:after="40"/>
              <w:jc w:val="center"/>
              <w:rPr>
                <w:rFonts w:ascii="Tahoma" w:hAnsi="Tahoma" w:cs="Tahoma"/>
                <w:sz w:val="18"/>
                <w:szCs w:val="18"/>
                <w:lang w:val="en-US"/>
              </w:rPr>
            </w:pPr>
            <w:r w:rsidRPr="008B420F">
              <w:rPr>
                <w:rFonts w:ascii="Tahoma" w:hAnsi="Tahoma" w:cs="Tahoma"/>
                <w:sz w:val="18"/>
                <w:szCs w:val="18"/>
              </w:rPr>
              <w:t>1</w:t>
            </w:r>
            <w:r w:rsidRPr="008B420F">
              <w:rPr>
                <w:rFonts w:ascii="Tahoma" w:hAnsi="Tahoma" w:cs="Tahoma"/>
                <w:sz w:val="18"/>
                <w:szCs w:val="18"/>
                <w:lang w:val="en-US"/>
              </w:rPr>
              <w:t>65</w:t>
            </w:r>
            <w:r>
              <w:rPr>
                <w:rFonts w:ascii="Tahoma" w:hAnsi="Tahoma" w:cs="Tahoma"/>
                <w:sz w:val="18"/>
                <w:szCs w:val="18"/>
              </w:rPr>
              <w:t>,3</w:t>
            </w:r>
          </w:p>
        </w:tc>
        <w:tc>
          <w:tcPr>
            <w:tcW w:w="638" w:type="dxa"/>
            <w:tcBorders>
              <w:left w:val="nil"/>
              <w:bottom w:val="single" w:sz="12" w:space="0" w:color="008000"/>
              <w:right w:val="nil"/>
            </w:tcBorders>
            <w:noWrap/>
            <w:tcMar>
              <w:top w:w="15" w:type="dxa"/>
              <w:left w:w="15" w:type="dxa"/>
              <w:bottom w:w="0" w:type="dxa"/>
              <w:right w:w="15" w:type="dxa"/>
            </w:tcMar>
            <w:vAlign w:val="center"/>
          </w:tcPr>
          <w:p w:rsidR="00D30E57" w:rsidRPr="00A43422" w:rsidRDefault="00D30E57" w:rsidP="000B6769">
            <w:pPr>
              <w:spacing w:before="40" w:after="40"/>
              <w:jc w:val="center"/>
              <w:rPr>
                <w:rFonts w:ascii="Tahoma" w:hAnsi="Tahoma" w:cs="Tahoma"/>
                <w:sz w:val="18"/>
                <w:szCs w:val="18"/>
                <w:lang w:val="en-US"/>
              </w:rPr>
            </w:pPr>
            <w:r w:rsidRPr="008B420F">
              <w:rPr>
                <w:rFonts w:ascii="Tahoma" w:hAnsi="Tahoma" w:cs="Tahoma"/>
                <w:sz w:val="18"/>
                <w:szCs w:val="18"/>
              </w:rPr>
              <w:t>1</w:t>
            </w:r>
            <w:r>
              <w:rPr>
                <w:rFonts w:ascii="Tahoma" w:hAnsi="Tahoma" w:cs="Tahoma"/>
                <w:sz w:val="18"/>
                <w:szCs w:val="18"/>
                <w:lang w:val="en-US"/>
              </w:rPr>
              <w:t>60</w:t>
            </w:r>
            <w:r>
              <w:rPr>
                <w:rFonts w:ascii="Tahoma" w:hAnsi="Tahoma" w:cs="Tahoma"/>
                <w:sz w:val="18"/>
                <w:szCs w:val="18"/>
              </w:rPr>
              <w:t>,</w:t>
            </w:r>
            <w:r>
              <w:rPr>
                <w:rFonts w:ascii="Tahoma" w:hAnsi="Tahoma" w:cs="Tahoma"/>
                <w:sz w:val="18"/>
                <w:szCs w:val="18"/>
                <w:lang w:val="en-US"/>
              </w:rPr>
              <w:t>5</w:t>
            </w:r>
          </w:p>
        </w:tc>
        <w:tc>
          <w:tcPr>
            <w:tcW w:w="574" w:type="dxa"/>
            <w:tcBorders>
              <w:left w:val="nil"/>
              <w:bottom w:val="single" w:sz="12" w:space="0" w:color="008000"/>
              <w:right w:val="single" w:sz="8" w:space="0" w:color="auto"/>
            </w:tcBorders>
            <w:noWrap/>
            <w:tcMar>
              <w:top w:w="15" w:type="dxa"/>
              <w:left w:w="15" w:type="dxa"/>
              <w:bottom w:w="0" w:type="dxa"/>
              <w:right w:w="15" w:type="dxa"/>
            </w:tcMar>
            <w:vAlign w:val="center"/>
          </w:tcPr>
          <w:p w:rsidR="00D30E57" w:rsidRPr="00A43422" w:rsidRDefault="00D30E57" w:rsidP="000B6769">
            <w:pPr>
              <w:spacing w:before="40" w:after="40"/>
              <w:jc w:val="center"/>
              <w:rPr>
                <w:rFonts w:ascii="Tahoma" w:hAnsi="Tahoma" w:cs="Tahoma"/>
                <w:sz w:val="18"/>
                <w:szCs w:val="18"/>
                <w:lang w:val="en-US"/>
              </w:rPr>
            </w:pPr>
            <w:r>
              <w:rPr>
                <w:rFonts w:ascii="Tahoma" w:hAnsi="Tahoma" w:cs="Tahoma"/>
                <w:sz w:val="18"/>
                <w:szCs w:val="18"/>
              </w:rPr>
              <w:t>1</w:t>
            </w:r>
            <w:r>
              <w:rPr>
                <w:rFonts w:ascii="Tahoma" w:hAnsi="Tahoma" w:cs="Tahoma"/>
                <w:sz w:val="18"/>
                <w:szCs w:val="18"/>
                <w:lang w:val="en-US"/>
              </w:rPr>
              <w:t>64</w:t>
            </w:r>
            <w:r>
              <w:rPr>
                <w:rFonts w:ascii="Tahoma" w:hAnsi="Tahoma" w:cs="Tahoma"/>
                <w:sz w:val="18"/>
                <w:szCs w:val="18"/>
              </w:rPr>
              <w:t>,2</w:t>
            </w:r>
          </w:p>
        </w:tc>
        <w:tc>
          <w:tcPr>
            <w:tcW w:w="49" w:type="dxa"/>
            <w:tcBorders>
              <w:left w:val="nil"/>
              <w:bottom w:val="single" w:sz="12" w:space="0" w:color="008000"/>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sz w:val="18"/>
                <w:szCs w:val="18"/>
              </w:rPr>
            </w:pPr>
          </w:p>
        </w:tc>
        <w:tc>
          <w:tcPr>
            <w:tcW w:w="533" w:type="dxa"/>
            <w:tcBorders>
              <w:left w:val="nil"/>
              <w:bottom w:val="single" w:sz="12" w:space="0" w:color="008000"/>
              <w:right w:val="nil"/>
            </w:tcBorders>
            <w:noWrap/>
            <w:tcMar>
              <w:top w:w="0" w:type="dxa"/>
              <w:left w:w="15" w:type="dxa"/>
              <w:bottom w:w="0" w:type="dxa"/>
              <w:right w:w="15" w:type="dxa"/>
            </w:tcMar>
            <w:vAlign w:val="center"/>
          </w:tcPr>
          <w:p w:rsidR="00D30E57" w:rsidRPr="00D13897" w:rsidRDefault="00D30E57" w:rsidP="000B6769">
            <w:pPr>
              <w:spacing w:before="40" w:after="40"/>
              <w:jc w:val="center"/>
              <w:rPr>
                <w:rFonts w:ascii="Tahoma" w:hAnsi="Tahoma" w:cs="Tahoma"/>
                <w:sz w:val="18"/>
                <w:szCs w:val="18"/>
                <w:lang w:val="en-US"/>
              </w:rPr>
            </w:pPr>
            <w:r>
              <w:rPr>
                <w:rFonts w:ascii="Tahoma" w:hAnsi="Tahoma" w:cs="Tahoma"/>
                <w:sz w:val="18"/>
                <w:szCs w:val="18"/>
                <w:lang w:val="en-US"/>
              </w:rPr>
              <w:t>160,9</w:t>
            </w:r>
          </w:p>
        </w:tc>
        <w:tc>
          <w:tcPr>
            <w:tcW w:w="587" w:type="dxa"/>
            <w:tcBorders>
              <w:left w:val="nil"/>
              <w:bottom w:val="single" w:sz="12" w:space="0" w:color="008000"/>
              <w:right w:val="nil"/>
            </w:tcBorders>
            <w:noWrap/>
            <w:tcMar>
              <w:top w:w="15" w:type="dxa"/>
              <w:left w:w="15" w:type="dxa"/>
              <w:bottom w:w="0" w:type="dxa"/>
              <w:right w:w="15" w:type="dxa"/>
            </w:tcMar>
            <w:vAlign w:val="center"/>
          </w:tcPr>
          <w:p w:rsidR="00D30E57" w:rsidRPr="00D13897" w:rsidRDefault="00D30E57" w:rsidP="000B6769">
            <w:pPr>
              <w:spacing w:before="40" w:after="40"/>
              <w:jc w:val="center"/>
              <w:rPr>
                <w:rFonts w:ascii="Tahoma" w:hAnsi="Tahoma" w:cs="Tahoma"/>
                <w:sz w:val="18"/>
                <w:szCs w:val="18"/>
                <w:lang w:val="en-US"/>
              </w:rPr>
            </w:pPr>
            <w:r>
              <w:rPr>
                <w:rFonts w:ascii="Tahoma" w:hAnsi="Tahoma" w:cs="Tahoma"/>
                <w:sz w:val="18"/>
                <w:szCs w:val="18"/>
                <w:lang w:val="en-US"/>
              </w:rPr>
              <w:t>177,1</w:t>
            </w:r>
          </w:p>
        </w:tc>
        <w:tc>
          <w:tcPr>
            <w:tcW w:w="623" w:type="dxa"/>
            <w:tcBorders>
              <w:left w:val="nil"/>
              <w:bottom w:val="single" w:sz="12" w:space="0" w:color="008000"/>
              <w:right w:val="single" w:sz="8" w:space="0" w:color="auto"/>
            </w:tcBorders>
            <w:noWrap/>
            <w:tcMar>
              <w:top w:w="15" w:type="dxa"/>
              <w:left w:w="15" w:type="dxa"/>
              <w:bottom w:w="0" w:type="dxa"/>
              <w:right w:w="15" w:type="dxa"/>
            </w:tcMar>
            <w:vAlign w:val="center"/>
          </w:tcPr>
          <w:p w:rsidR="00D30E57" w:rsidRPr="00D25702" w:rsidRDefault="00D30E57" w:rsidP="000B6769">
            <w:pPr>
              <w:spacing w:before="40" w:after="40"/>
              <w:jc w:val="center"/>
              <w:rPr>
                <w:rFonts w:ascii="Tahoma" w:hAnsi="Tahoma" w:cs="Tahoma"/>
                <w:sz w:val="18"/>
                <w:szCs w:val="18"/>
              </w:rPr>
            </w:pPr>
            <w:r>
              <w:rPr>
                <w:rFonts w:ascii="Tahoma" w:hAnsi="Tahoma" w:cs="Tahoma"/>
                <w:sz w:val="18"/>
                <w:szCs w:val="18"/>
              </w:rPr>
              <w:t>179,7</w:t>
            </w:r>
          </w:p>
        </w:tc>
        <w:tc>
          <w:tcPr>
            <w:tcW w:w="49" w:type="dxa"/>
            <w:tcBorders>
              <w:left w:val="nil"/>
              <w:bottom w:val="single" w:sz="12" w:space="0" w:color="008000"/>
              <w:right w:val="nil"/>
            </w:tcBorders>
            <w:noWrap/>
            <w:tcMar>
              <w:top w:w="15" w:type="dxa"/>
              <w:left w:w="15" w:type="dxa"/>
              <w:bottom w:w="0" w:type="dxa"/>
              <w:right w:w="15" w:type="dxa"/>
            </w:tcMar>
            <w:vAlign w:val="center"/>
          </w:tcPr>
          <w:p w:rsidR="00D30E57" w:rsidRPr="004D0962" w:rsidRDefault="00D30E57" w:rsidP="000B6769">
            <w:pPr>
              <w:spacing w:before="40" w:after="40"/>
              <w:jc w:val="center"/>
              <w:rPr>
                <w:rFonts w:ascii="Tahoma" w:hAnsi="Tahoma" w:cs="Tahoma"/>
                <w:sz w:val="18"/>
                <w:szCs w:val="18"/>
              </w:rPr>
            </w:pPr>
          </w:p>
        </w:tc>
        <w:tc>
          <w:tcPr>
            <w:tcW w:w="587" w:type="dxa"/>
            <w:tcBorders>
              <w:left w:val="nil"/>
              <w:bottom w:val="single" w:sz="12" w:space="0" w:color="008000"/>
              <w:right w:val="nil"/>
            </w:tcBorders>
            <w:noWrap/>
            <w:tcMar>
              <w:top w:w="15" w:type="dxa"/>
              <w:left w:w="15" w:type="dxa"/>
              <w:bottom w:w="0" w:type="dxa"/>
              <w:right w:w="15" w:type="dxa"/>
            </w:tcMar>
            <w:vAlign w:val="center"/>
          </w:tcPr>
          <w:p w:rsidR="00D30E57" w:rsidRPr="00B80788" w:rsidRDefault="00D30E57" w:rsidP="000B6769">
            <w:pPr>
              <w:spacing w:before="40" w:after="40"/>
              <w:jc w:val="center"/>
              <w:rPr>
                <w:rFonts w:ascii="Tahoma" w:hAnsi="Tahoma" w:cs="Tahoma"/>
                <w:sz w:val="18"/>
                <w:szCs w:val="18"/>
                <w:lang w:val="en-US"/>
              </w:rPr>
            </w:pPr>
            <w:r w:rsidRPr="008B420F">
              <w:rPr>
                <w:rFonts w:ascii="Tahoma" w:hAnsi="Tahoma" w:cs="Tahoma"/>
                <w:sz w:val="18"/>
                <w:szCs w:val="18"/>
              </w:rPr>
              <w:t>1</w:t>
            </w:r>
            <w:r>
              <w:rPr>
                <w:rFonts w:ascii="Tahoma" w:hAnsi="Tahoma" w:cs="Tahoma"/>
                <w:sz w:val="18"/>
                <w:szCs w:val="18"/>
                <w:lang w:val="en-US"/>
              </w:rPr>
              <w:t>65</w:t>
            </w:r>
          </w:p>
        </w:tc>
        <w:tc>
          <w:tcPr>
            <w:tcW w:w="705" w:type="dxa"/>
            <w:tcBorders>
              <w:left w:val="nil"/>
              <w:bottom w:val="single" w:sz="12" w:space="0" w:color="008000"/>
              <w:right w:val="nil"/>
            </w:tcBorders>
            <w:noWrap/>
            <w:tcMar>
              <w:top w:w="0" w:type="dxa"/>
              <w:left w:w="15" w:type="dxa"/>
              <w:bottom w:w="0" w:type="dxa"/>
              <w:right w:w="15" w:type="dxa"/>
            </w:tcMar>
            <w:vAlign w:val="center"/>
          </w:tcPr>
          <w:p w:rsidR="00D30E57" w:rsidRPr="00B80788" w:rsidRDefault="00D30E57" w:rsidP="000B6769">
            <w:pPr>
              <w:spacing w:before="40" w:after="40"/>
              <w:jc w:val="center"/>
              <w:rPr>
                <w:rFonts w:ascii="Tahoma" w:hAnsi="Tahoma" w:cs="Tahoma"/>
                <w:sz w:val="18"/>
                <w:szCs w:val="18"/>
                <w:lang w:val="en-US"/>
              </w:rPr>
            </w:pPr>
            <w:r w:rsidRPr="008B420F">
              <w:rPr>
                <w:rFonts w:ascii="Tahoma" w:hAnsi="Tahoma" w:cs="Tahoma"/>
                <w:sz w:val="18"/>
                <w:szCs w:val="18"/>
              </w:rPr>
              <w:t>1</w:t>
            </w:r>
            <w:r>
              <w:rPr>
                <w:rFonts w:ascii="Tahoma" w:hAnsi="Tahoma" w:cs="Tahoma"/>
                <w:sz w:val="18"/>
                <w:szCs w:val="18"/>
                <w:lang w:val="en-US"/>
              </w:rPr>
              <w:t>63</w:t>
            </w:r>
          </w:p>
        </w:tc>
        <w:tc>
          <w:tcPr>
            <w:tcW w:w="675" w:type="dxa"/>
            <w:tcBorders>
              <w:left w:val="nil"/>
              <w:bottom w:val="single" w:sz="12" w:space="0" w:color="008000"/>
              <w:right w:val="single" w:sz="4" w:space="0" w:color="auto"/>
            </w:tcBorders>
            <w:noWrap/>
            <w:tcMar>
              <w:top w:w="15" w:type="dxa"/>
              <w:left w:w="15" w:type="dxa"/>
              <w:bottom w:w="0" w:type="dxa"/>
              <w:right w:w="15" w:type="dxa"/>
            </w:tcMar>
            <w:vAlign w:val="center"/>
          </w:tcPr>
          <w:p w:rsidR="00D30E57" w:rsidRPr="00B80788" w:rsidRDefault="00D30E57" w:rsidP="000B6769">
            <w:pPr>
              <w:spacing w:before="40" w:after="40"/>
              <w:jc w:val="center"/>
              <w:rPr>
                <w:rFonts w:ascii="Tahoma" w:hAnsi="Tahoma" w:cs="Tahoma"/>
                <w:sz w:val="18"/>
                <w:szCs w:val="18"/>
                <w:vertAlign w:val="superscript"/>
                <w:lang w:val="en-US"/>
              </w:rPr>
            </w:pPr>
            <w:r>
              <w:rPr>
                <w:rFonts w:ascii="Tahoma" w:hAnsi="Tahoma" w:cs="Tahoma"/>
                <w:sz w:val="18"/>
                <w:szCs w:val="18"/>
              </w:rPr>
              <w:t>1</w:t>
            </w:r>
            <w:r>
              <w:rPr>
                <w:rFonts w:ascii="Tahoma" w:hAnsi="Tahoma" w:cs="Tahoma"/>
                <w:sz w:val="18"/>
                <w:szCs w:val="18"/>
                <w:lang w:val="en-US"/>
              </w:rPr>
              <w:t>67</w:t>
            </w:r>
          </w:p>
        </w:tc>
      </w:tr>
    </w:tbl>
    <w:p w:rsidR="00D30E57" w:rsidRPr="002A5D2E" w:rsidRDefault="00D30E57" w:rsidP="00D30E57">
      <w:pPr>
        <w:autoSpaceDE w:val="0"/>
        <w:autoSpaceDN w:val="0"/>
        <w:adjustRightInd w:val="0"/>
        <w:ind w:left="-357"/>
        <w:jc w:val="both"/>
        <w:rPr>
          <w:rFonts w:ascii="Tahoma" w:hAnsi="Tahoma" w:cs="Tahoma"/>
          <w:sz w:val="16"/>
          <w:szCs w:val="18"/>
        </w:rPr>
      </w:pPr>
      <w:r w:rsidRPr="002A5D2E">
        <w:rPr>
          <w:rFonts w:ascii="Tahoma" w:hAnsi="Tahoma" w:cs="Tahoma"/>
          <w:sz w:val="16"/>
          <w:szCs w:val="18"/>
        </w:rPr>
        <w:t xml:space="preserve">*Οι τιμές για αυτά τα μεγέθη προέρχονται από </w:t>
      </w:r>
      <w:r w:rsidRPr="002A5D2E">
        <w:rPr>
          <w:rFonts w:ascii="Tahoma" w:hAnsi="Tahoma" w:cs="Tahoma"/>
          <w:sz w:val="16"/>
          <w:szCs w:val="18"/>
          <w:lang w:val="en-US"/>
        </w:rPr>
        <w:t>World</w:t>
      </w:r>
      <w:r w:rsidRPr="002A5D2E">
        <w:rPr>
          <w:rFonts w:ascii="Tahoma" w:hAnsi="Tahoma" w:cs="Tahoma"/>
          <w:sz w:val="16"/>
          <w:szCs w:val="18"/>
        </w:rPr>
        <w:t xml:space="preserve"> </w:t>
      </w:r>
      <w:r w:rsidRPr="002A5D2E">
        <w:rPr>
          <w:rFonts w:ascii="Tahoma" w:hAnsi="Tahoma" w:cs="Tahoma"/>
          <w:sz w:val="16"/>
          <w:szCs w:val="18"/>
          <w:lang w:val="en-US"/>
        </w:rPr>
        <w:t>Economic</w:t>
      </w:r>
      <w:r w:rsidRPr="002A5D2E">
        <w:rPr>
          <w:rFonts w:ascii="Tahoma" w:hAnsi="Tahoma" w:cs="Tahoma"/>
          <w:sz w:val="16"/>
          <w:szCs w:val="18"/>
        </w:rPr>
        <w:t xml:space="preserve"> </w:t>
      </w:r>
      <w:r w:rsidRPr="002A5D2E">
        <w:rPr>
          <w:rFonts w:ascii="Tahoma" w:hAnsi="Tahoma" w:cs="Tahoma"/>
          <w:sz w:val="16"/>
          <w:szCs w:val="18"/>
          <w:lang w:val="en-US"/>
        </w:rPr>
        <w:t>Outlook</w:t>
      </w:r>
      <w:r w:rsidRPr="002A5D2E">
        <w:rPr>
          <w:rFonts w:ascii="Tahoma" w:hAnsi="Tahoma" w:cs="Tahoma"/>
          <w:sz w:val="16"/>
          <w:szCs w:val="18"/>
        </w:rPr>
        <w:t xml:space="preserve">, </w:t>
      </w:r>
      <w:r w:rsidRPr="002A5D2E">
        <w:rPr>
          <w:rFonts w:ascii="Tahoma" w:hAnsi="Tahoma" w:cs="Tahoma"/>
          <w:sz w:val="16"/>
          <w:szCs w:val="18"/>
          <w:lang w:val="en-US"/>
        </w:rPr>
        <w:t>IMF</w:t>
      </w:r>
      <w:r w:rsidRPr="002A5D2E">
        <w:rPr>
          <w:rFonts w:ascii="Tahoma" w:hAnsi="Tahoma" w:cs="Tahoma"/>
          <w:sz w:val="16"/>
          <w:szCs w:val="18"/>
        </w:rPr>
        <w:t xml:space="preserve">, </w:t>
      </w:r>
      <w:r w:rsidRPr="002A5D2E">
        <w:rPr>
          <w:rFonts w:ascii="Tahoma" w:hAnsi="Tahoma" w:cs="Tahoma"/>
          <w:sz w:val="16"/>
          <w:szCs w:val="18"/>
          <w:lang w:val="en-US"/>
        </w:rPr>
        <w:t>September</w:t>
      </w:r>
      <w:r w:rsidRPr="002A5D2E">
        <w:rPr>
          <w:rFonts w:ascii="Tahoma" w:hAnsi="Tahoma" w:cs="Tahoma"/>
          <w:sz w:val="16"/>
          <w:szCs w:val="18"/>
        </w:rPr>
        <w:t xml:space="preserve"> 2011 </w:t>
      </w:r>
    </w:p>
    <w:p w:rsidR="00D30E57" w:rsidRPr="002A5D2E" w:rsidRDefault="00D30E57" w:rsidP="00D30E57">
      <w:pPr>
        <w:autoSpaceDE w:val="0"/>
        <w:autoSpaceDN w:val="0"/>
        <w:adjustRightInd w:val="0"/>
        <w:ind w:left="-357"/>
        <w:jc w:val="both"/>
        <w:rPr>
          <w:rFonts w:ascii="Tahoma" w:hAnsi="Tahoma" w:cs="Tahoma"/>
          <w:sz w:val="16"/>
          <w:szCs w:val="18"/>
        </w:rPr>
      </w:pPr>
      <w:r w:rsidRPr="002A5D2E">
        <w:rPr>
          <w:rFonts w:ascii="Tahoma" w:hAnsi="Tahoma" w:cs="Tahoma"/>
          <w:sz w:val="16"/>
          <w:szCs w:val="18"/>
          <w:vertAlign w:val="superscript"/>
        </w:rPr>
        <w:t xml:space="preserve">1 </w:t>
      </w:r>
      <w:r w:rsidRPr="002A5D2E">
        <w:rPr>
          <w:rFonts w:ascii="Tahoma" w:hAnsi="Tahoma" w:cs="Tahoma"/>
          <w:sz w:val="16"/>
          <w:szCs w:val="18"/>
        </w:rPr>
        <w:t>Σενάριο χρέους με τη συμμετοχή ιδιωτών στο PSI</w:t>
      </w:r>
    </w:p>
    <w:p w:rsidR="00D30E57" w:rsidRPr="009C55C0" w:rsidRDefault="00D30E57" w:rsidP="00D30E57">
      <w:pPr>
        <w:autoSpaceDE w:val="0"/>
        <w:autoSpaceDN w:val="0"/>
        <w:adjustRightInd w:val="0"/>
        <w:ind w:left="-357"/>
        <w:jc w:val="both"/>
        <w:rPr>
          <w:rFonts w:ascii="Tahoma" w:hAnsi="Tahoma" w:cs="Tahoma"/>
          <w:sz w:val="16"/>
          <w:szCs w:val="18"/>
          <w:lang w:val="en-US"/>
        </w:rPr>
      </w:pPr>
      <w:r w:rsidRPr="002A5D2E">
        <w:rPr>
          <w:rFonts w:ascii="Tahoma" w:hAnsi="Tahoma" w:cs="Tahoma"/>
          <w:b/>
          <w:bCs/>
          <w:sz w:val="16"/>
          <w:szCs w:val="18"/>
        </w:rPr>
        <w:t>Πηγές</w:t>
      </w:r>
      <w:r w:rsidRPr="002A5D2E">
        <w:rPr>
          <w:rFonts w:ascii="Tahoma" w:hAnsi="Tahoma" w:cs="Tahoma"/>
          <w:sz w:val="16"/>
          <w:szCs w:val="18"/>
          <w:lang w:val="en-US"/>
        </w:rPr>
        <w:t xml:space="preserve">: </w:t>
      </w:r>
      <w:r w:rsidRPr="002A5D2E">
        <w:rPr>
          <w:rFonts w:ascii="Tahoma" w:hAnsi="Tahoma" w:cs="Tahoma"/>
          <w:sz w:val="16"/>
          <w:szCs w:val="18"/>
        </w:rPr>
        <w:t>Εισηγητική</w:t>
      </w:r>
      <w:r w:rsidRPr="002A5D2E">
        <w:rPr>
          <w:rFonts w:ascii="Tahoma" w:hAnsi="Tahoma" w:cs="Tahoma"/>
          <w:sz w:val="16"/>
          <w:szCs w:val="18"/>
          <w:lang w:val="en-GB"/>
        </w:rPr>
        <w:t xml:space="preserve"> </w:t>
      </w:r>
      <w:r w:rsidRPr="002A5D2E">
        <w:rPr>
          <w:rFonts w:ascii="Tahoma" w:hAnsi="Tahoma" w:cs="Tahoma"/>
          <w:sz w:val="16"/>
          <w:szCs w:val="18"/>
        </w:rPr>
        <w:t>Έκθεση</w:t>
      </w:r>
      <w:r w:rsidRPr="002A5D2E">
        <w:rPr>
          <w:rFonts w:ascii="Tahoma" w:hAnsi="Tahoma" w:cs="Tahoma"/>
          <w:sz w:val="16"/>
          <w:szCs w:val="18"/>
          <w:lang w:val="en-GB"/>
        </w:rPr>
        <w:t xml:space="preserve"> </w:t>
      </w:r>
      <w:r w:rsidRPr="002A5D2E">
        <w:rPr>
          <w:rFonts w:ascii="Tahoma" w:hAnsi="Tahoma" w:cs="Tahoma"/>
          <w:sz w:val="16"/>
          <w:szCs w:val="18"/>
        </w:rPr>
        <w:t>Προϋπολογισμού</w:t>
      </w:r>
      <w:r w:rsidRPr="002A5D2E">
        <w:rPr>
          <w:rFonts w:ascii="Tahoma" w:hAnsi="Tahoma" w:cs="Tahoma"/>
          <w:sz w:val="16"/>
          <w:szCs w:val="18"/>
          <w:lang w:val="en-GB"/>
        </w:rPr>
        <w:t xml:space="preserve"> 2012</w:t>
      </w:r>
      <w:r w:rsidRPr="002A5D2E">
        <w:rPr>
          <w:rFonts w:ascii="Tahoma" w:hAnsi="Tahoma" w:cs="Tahoma"/>
          <w:sz w:val="16"/>
          <w:szCs w:val="18"/>
          <w:lang w:val="en-US"/>
        </w:rPr>
        <w:t xml:space="preserve">, </w:t>
      </w:r>
      <w:r w:rsidRPr="002A5D2E">
        <w:rPr>
          <w:rFonts w:ascii="Tahoma" w:hAnsi="Tahoma" w:cs="Tahoma"/>
          <w:sz w:val="16"/>
          <w:szCs w:val="18"/>
        </w:rPr>
        <w:t>Υπουργείο</w:t>
      </w:r>
      <w:r w:rsidRPr="002A5D2E">
        <w:rPr>
          <w:rFonts w:ascii="Tahoma" w:hAnsi="Tahoma" w:cs="Tahoma"/>
          <w:sz w:val="16"/>
          <w:szCs w:val="18"/>
          <w:lang w:val="en-US"/>
        </w:rPr>
        <w:t xml:space="preserve"> </w:t>
      </w:r>
      <w:r w:rsidRPr="002A5D2E">
        <w:rPr>
          <w:rFonts w:ascii="Tahoma" w:hAnsi="Tahoma" w:cs="Tahoma"/>
          <w:sz w:val="16"/>
          <w:szCs w:val="18"/>
        </w:rPr>
        <w:t>Οικονομικών</w:t>
      </w:r>
      <w:r w:rsidRPr="002A5D2E">
        <w:rPr>
          <w:rFonts w:ascii="Tahoma" w:hAnsi="Tahoma" w:cs="Tahoma"/>
          <w:sz w:val="16"/>
          <w:szCs w:val="18"/>
          <w:lang w:val="en-US"/>
        </w:rPr>
        <w:t xml:space="preserve">, </w:t>
      </w:r>
      <w:r w:rsidRPr="002A5D2E">
        <w:rPr>
          <w:rFonts w:ascii="Tahoma" w:hAnsi="Tahoma" w:cs="Tahoma"/>
          <w:sz w:val="16"/>
          <w:szCs w:val="18"/>
        </w:rPr>
        <w:t>Νοέμβριος</w:t>
      </w:r>
      <w:r w:rsidRPr="002A5D2E">
        <w:rPr>
          <w:rFonts w:ascii="Tahoma" w:hAnsi="Tahoma" w:cs="Tahoma"/>
          <w:sz w:val="16"/>
          <w:szCs w:val="18"/>
          <w:lang w:val="en-US"/>
        </w:rPr>
        <w:t xml:space="preserve"> 2011 – </w:t>
      </w:r>
      <w:r w:rsidRPr="002A5D2E">
        <w:rPr>
          <w:rFonts w:ascii="Tahoma" w:hAnsi="Tahoma" w:cs="Tahoma"/>
          <w:sz w:val="16"/>
          <w:lang w:val="en-US"/>
        </w:rPr>
        <w:t>The Second Economic Adjustment Programme for Greece, European Commission, March 2012</w:t>
      </w:r>
      <w:r w:rsidRPr="002A5D2E">
        <w:rPr>
          <w:rFonts w:ascii="Tahoma" w:hAnsi="Tahoma" w:cs="Tahoma"/>
          <w:sz w:val="18"/>
          <w:lang w:val="en-US"/>
        </w:rPr>
        <w:t xml:space="preserve"> </w:t>
      </w:r>
      <w:r w:rsidRPr="002A5D2E">
        <w:rPr>
          <w:rFonts w:ascii="Tahoma" w:hAnsi="Tahoma" w:cs="Tahoma"/>
          <w:sz w:val="16"/>
          <w:szCs w:val="18"/>
          <w:lang w:val="en-US"/>
        </w:rPr>
        <w:t xml:space="preserve">- OECD Economic Outlook No. 90, November 2011 - </w:t>
      </w:r>
      <w:smartTag w:uri="urn:schemas-microsoft-com:office:smarttags" w:element="place">
        <w:smartTag w:uri="urn:schemas-microsoft-com:office:smarttags" w:element="country-region">
          <w:r w:rsidRPr="002A5D2E">
            <w:rPr>
              <w:rFonts w:ascii="Tahoma" w:hAnsi="Tahoma" w:cs="Tahoma"/>
              <w:sz w:val="16"/>
              <w:szCs w:val="18"/>
              <w:lang w:val="en-US"/>
            </w:rPr>
            <w:t>Greece</w:t>
          </w:r>
        </w:smartTag>
      </w:smartTag>
      <w:r w:rsidRPr="002A5D2E">
        <w:rPr>
          <w:rFonts w:ascii="Tahoma" w:hAnsi="Tahoma" w:cs="Tahoma"/>
          <w:sz w:val="16"/>
          <w:szCs w:val="18"/>
          <w:lang w:val="en-US"/>
        </w:rPr>
        <w:t>,</w:t>
      </w:r>
      <w:r w:rsidRPr="002A5D2E">
        <w:rPr>
          <w:rFonts w:ascii="TimesNewRomanPS-BoldMT" w:hAnsi="TimesNewRomanPS-BoldMT" w:cs="TimesNewRomanPS-BoldMT"/>
          <w:b/>
          <w:bCs/>
          <w:sz w:val="18"/>
          <w:lang w:val="en-GB"/>
        </w:rPr>
        <w:t xml:space="preserve"> </w:t>
      </w:r>
      <w:r w:rsidRPr="002A5D2E">
        <w:rPr>
          <w:rFonts w:ascii="Tahoma" w:hAnsi="Tahoma" w:cs="Tahoma"/>
          <w:bCs/>
          <w:sz w:val="16"/>
          <w:szCs w:val="18"/>
          <w:lang w:val="en-GB"/>
        </w:rPr>
        <w:t>Request for Extended Arrangement Under the Extended Fund Facility,</w:t>
      </w:r>
      <w:r w:rsidRPr="002A5D2E">
        <w:rPr>
          <w:rFonts w:ascii="Tahoma" w:hAnsi="Tahoma" w:cs="Tahoma"/>
          <w:sz w:val="16"/>
          <w:szCs w:val="18"/>
          <w:lang w:val="en-US"/>
        </w:rPr>
        <w:t xml:space="preserve"> IMF, March 2012</w:t>
      </w:r>
    </w:p>
    <w:p w:rsidR="00295EC3" w:rsidRPr="009C55C0" w:rsidRDefault="00295EC3" w:rsidP="00D30E57">
      <w:pPr>
        <w:autoSpaceDE w:val="0"/>
        <w:autoSpaceDN w:val="0"/>
        <w:adjustRightInd w:val="0"/>
        <w:ind w:left="-357"/>
        <w:jc w:val="both"/>
        <w:rPr>
          <w:rFonts w:ascii="Tahoma" w:hAnsi="Tahoma" w:cs="Tahoma"/>
          <w:sz w:val="16"/>
          <w:szCs w:val="18"/>
          <w:lang w:val="en-US"/>
        </w:rPr>
        <w:sectPr w:rsidR="00295EC3" w:rsidRPr="009C55C0" w:rsidSect="00AE1766">
          <w:pgSz w:w="11906" w:h="16838"/>
          <w:pgMar w:top="1440" w:right="849" w:bottom="1440" w:left="1560" w:header="708" w:footer="708" w:gutter="0"/>
          <w:cols w:space="720"/>
          <w:docGrid w:linePitch="360"/>
        </w:sectPr>
      </w:pPr>
    </w:p>
    <w:p w:rsidR="00D30E57" w:rsidRPr="00CA1126" w:rsidRDefault="00D30E57" w:rsidP="00D628C3">
      <w:pPr>
        <w:spacing w:before="60" w:after="240" w:line="312" w:lineRule="auto"/>
        <w:jc w:val="both"/>
        <w:rPr>
          <w:rFonts w:ascii="Tahoma" w:hAnsi="Tahoma" w:cs="Tahoma"/>
          <w:sz w:val="22"/>
          <w:szCs w:val="22"/>
        </w:rPr>
      </w:pPr>
      <w:r w:rsidRPr="000A36DA">
        <w:rPr>
          <w:rFonts w:ascii="Tahoma" w:hAnsi="Tahoma" w:cs="Tahoma"/>
          <w:sz w:val="22"/>
          <w:szCs w:val="22"/>
        </w:rPr>
        <w:lastRenderedPageBreak/>
        <w:t>Η αναιμική εγχώρια ζήτηση, που έχει διαμορφωθεί από τις διαδοχικές δέσμες δημοσιονομικών μέτρων, την κατακόρυ</w:t>
      </w:r>
      <w:r>
        <w:rPr>
          <w:rFonts w:ascii="Tahoma" w:hAnsi="Tahoma" w:cs="Tahoma"/>
          <w:sz w:val="22"/>
          <w:szCs w:val="22"/>
        </w:rPr>
        <w:t>φη αύξηση της ανεργίας και το δυ</w:t>
      </w:r>
      <w:r w:rsidRPr="000A36DA">
        <w:rPr>
          <w:rFonts w:ascii="Tahoma" w:hAnsi="Tahoma" w:cs="Tahoma"/>
          <w:sz w:val="22"/>
          <w:szCs w:val="22"/>
        </w:rPr>
        <w:t xml:space="preserve">σμένες επιχειρηματικό περιβάλλον, παράγοντες των οποίων οι επιδράσεις θα συνεχιστούν στους επόμενους μήνες, θα διατηρήσει τον πληθωρισμό σε πτωτική τροχιά, όπως ήδη συμβαίνει από τον περασμένο Οκτώβριο, μετά την τελευταία αύξηση της έμμεσης φορολογίας (αύξηση ΦΠΑ στην εστίαση και ΕΦΚ στο πετρέλαιο οικιακής θέρμανσης). Στην υποχώρηση του πληθωρισμού, ενδεχομένως στη διαμόρφωσή του σε αρνητικά επίπεδα, εκτιμάται ότι θα συμβάλλει και το τεχνικό αποτέλεσμα του υψηλού επιπέδου-βάσης σύγκρισης του ΓΔΤΚ από τον Μάρτιο του 2011 και μετά: το ύψος του ΓΔΤΚ φέτος τον Φεβρουάριο ήταν χαμηλότερο εκείνου τον περυσινό Μάρτιο και μάλιστα κινούταν σε πτωτική τροχιά. Από την άλλη πλευρά, αντίρροπα στις ισχυρές πιέσεις που θα δεχθεί ο πληθωρισμός από τους παράγοντες που μόλις αναφέρθηκαν, θα λειτουργήσουν αυξήσεις τιμών βασικών αγαθών (πχ. ηλεκτρικό ρεύμα) και έμμεσων φόρων για την επίτευξη των δημοσιονομικών στόχων, όπως η εξίσωση του ειδικού φόρου στο πετρέλαιο θέρμανσης για οικιακή χρήση και κίνησης από το φθινόπωρο. Ωστόσο η ανασχετική δυναμικότητά τους στην αποκλιμάκωση του πληθωρισμού κρίνεται περιορισμένη. </w:t>
      </w:r>
      <w:r w:rsidRPr="000A36DA">
        <w:rPr>
          <w:rFonts w:ascii="Tahoma" w:hAnsi="Tahoma" w:cs="Tahoma"/>
          <w:b/>
          <w:sz w:val="22"/>
          <w:szCs w:val="22"/>
        </w:rPr>
        <w:t xml:space="preserve">Δεδομένων των παραπάνω αναμενόμενων επιδράσεων, ο πληθωρισμός προβλέπεται να κινηθεί το 2012 </w:t>
      </w:r>
      <w:r>
        <w:rPr>
          <w:rFonts w:ascii="Tahoma" w:hAnsi="Tahoma" w:cs="Tahoma"/>
          <w:b/>
          <w:sz w:val="22"/>
          <w:szCs w:val="22"/>
        </w:rPr>
        <w:t xml:space="preserve">σε </w:t>
      </w:r>
      <w:r w:rsidRPr="000A36DA">
        <w:rPr>
          <w:rFonts w:ascii="Tahoma" w:hAnsi="Tahoma" w:cs="Tahoma"/>
          <w:b/>
          <w:sz w:val="22"/>
          <w:szCs w:val="22"/>
        </w:rPr>
        <w:t xml:space="preserve">επίπεδα </w:t>
      </w:r>
      <w:r>
        <w:rPr>
          <w:rFonts w:ascii="Tahoma" w:hAnsi="Tahoma" w:cs="Tahoma"/>
          <w:b/>
          <w:sz w:val="22"/>
          <w:szCs w:val="22"/>
        </w:rPr>
        <w:t xml:space="preserve">λίγο χαμηλότερα </w:t>
      </w:r>
      <w:r w:rsidRPr="001E7B10">
        <w:rPr>
          <w:rFonts w:ascii="Tahoma" w:hAnsi="Tahoma" w:cs="Tahoma"/>
          <w:b/>
          <w:sz w:val="22"/>
          <w:szCs w:val="22"/>
        </w:rPr>
        <w:t>του 1%</w:t>
      </w:r>
      <w:r>
        <w:rPr>
          <w:rFonts w:ascii="Tahoma" w:hAnsi="Tahoma" w:cs="Tahoma"/>
          <w:b/>
          <w:sz w:val="22"/>
          <w:szCs w:val="22"/>
        </w:rPr>
        <w:t xml:space="preserve">. </w:t>
      </w:r>
    </w:p>
    <w:p w:rsidR="00D30E57" w:rsidRDefault="00D30E57" w:rsidP="00D30E57">
      <w:pPr>
        <w:spacing w:before="240" w:after="240" w:line="312" w:lineRule="auto"/>
        <w:jc w:val="both"/>
        <w:rPr>
          <w:rFonts w:ascii="Tahoma" w:hAnsi="Tahoma" w:cs="Tahoma"/>
          <w:sz w:val="22"/>
          <w:szCs w:val="22"/>
        </w:rPr>
      </w:pPr>
      <w:r>
        <w:rPr>
          <w:rFonts w:ascii="Tahoma" w:hAnsi="Tahoma" w:cs="Tahoma"/>
          <w:sz w:val="22"/>
          <w:szCs w:val="22"/>
        </w:rPr>
        <w:t xml:space="preserve">Ανακεφαλαιώνοντας, η αρκετά μεγαλύτερη της εκτιμώμενης τους προηγούμενους μήνες </w:t>
      </w:r>
      <w:r>
        <w:rPr>
          <w:rFonts w:ascii="Tahoma" w:hAnsi="Tahoma" w:cs="Tahoma"/>
          <w:sz w:val="22"/>
          <w:szCs w:val="22"/>
        </w:rPr>
        <w:lastRenderedPageBreak/>
        <w:t xml:space="preserve">ύφεση της ελληνικής οικονομίας το 2011 αλλά και το 2012 και οι συνέπειές της (πχ. ανεργία), αναδεικνύουν τις επιπτώσεις όχι μόνο της διαδικασίας ταχύρρυθμης δημοσιονομικής προσαρμογής, αλλά και της ταυτόχρονης μη ύπαρξης-εφαρμογής μιας πολύπλευρης αναπτυξιακής πολιτικής (επιτάχυνση ΕΣΠΑ 2007-2013, διαρθρωτικές αλλαγές σε αγορές προϊόντων-υπηρεσιών, αναδιάρθρωση του κράτους, αξιοποίηση ιδιωτικής περιουσίας του δημοσίου κ.λπ.). Η σημαντική υστέρηση σε αυτό το πεδίο έχει ισχυρές επιπτώσεις και σε δημοσιονομικό επίπεδο, αποτελώντας ένα από τα κύρια αίτια της μεγάλης απόκλισης των δημοσιονομικών αποτελεσμάτων του 2011 από τους στόχους στον προϋπολογισμό για το περασμένο έτος, καθώς και στο μετέπειτα ΜΠΔΣ. Επιπλέον, όπως είχε επισημανθεί στην προηγούμενη έκθεση, επειδή η επίτευξη των δημοσιονομικών στόχων του 2012 στηρίζεται σε πολύ μεγαλύτερο βαθμό από ότι πέρυσι στην αύξηση των εσόδων από φορολογία στα εισοδήματα (+12,4%, έναντι -0,2%), μεγαλύτερη ύφεση σε σχέση με την εκτίμηση στην οποία έχει βασιστεί ο φετινός προϋπολογισμός (-2,8%), θα συνεπάγεται αυτόματα σημαντική απόκλιση από τους στόχους του, ανάγκη λήψης πρόσθετων μέτρων, όξυνση της κοινωνικής δυσαρέσκειας και των αντιδράσεων απέναντι στη δημοσιονομική προσαρμογή. </w:t>
      </w:r>
    </w:p>
    <w:p w:rsidR="00D30E57" w:rsidRPr="00C82577" w:rsidRDefault="00D30E57" w:rsidP="00D30E57">
      <w:pPr>
        <w:spacing w:before="240" w:after="240" w:line="312" w:lineRule="auto"/>
        <w:jc w:val="both"/>
        <w:rPr>
          <w:rFonts w:ascii="Tahoma" w:hAnsi="Tahoma" w:cs="Tahoma"/>
          <w:sz w:val="22"/>
          <w:szCs w:val="22"/>
        </w:rPr>
      </w:pPr>
      <w:r>
        <w:rPr>
          <w:rFonts w:ascii="Tahoma" w:hAnsi="Tahoma" w:cs="Tahoma"/>
          <w:sz w:val="22"/>
          <w:szCs w:val="22"/>
        </w:rPr>
        <w:t xml:space="preserve">Καθώς ήδη οι προβλέψεις για το ΑΕΠ έχουν αναθεωρηθεί επί τα χείρω και μάλιστα εκτεταμένα, η εφαρμογή αναπτυξιακών πολιτικών προς τις παραπάνω κατευθύνσεις, όχι απλώς η προετοιμασία/ψήφιση σχετικών νόμων και η εκπόνηση σχεδίων, πρέπει να ξεκινήσει άμεσα, προκειμένου να </w:t>
      </w:r>
      <w:r>
        <w:rPr>
          <w:rFonts w:ascii="Tahoma" w:hAnsi="Tahoma" w:cs="Tahoma"/>
          <w:sz w:val="22"/>
          <w:szCs w:val="22"/>
        </w:rPr>
        <w:lastRenderedPageBreak/>
        <w:t xml:space="preserve">αξιοποιηθούν οι τελευταίες ευκαιρίες που υπάρχουν για την επίτευξη των δημοσιονομικών στόχων, οι οποίες διαφορετικά σύντομα δεν θα επαρκούν. Σε αυτό το πλαίσιο, η εκκίνηση υλοποίησης κατατεθειμένων σχεδίων στρατηγικών επενδύσεων, η κλιμάκωση παραχώρησης ιδιωτικής περιουσίας του δημοσίου προς αξιοποίηση, η εμπροσθοβαρής εκτέλεση του αρκετά περιορισμένου σε σχέση με τα προηγούμενα χρόνια ΠΔΕ και όχι η αναβολή/περικοπή του για την κάλυψη δημοσιονομικών αποκλίσεων, που ίσως να δημιουργεί περισσότερες δημοσιονομικές υστερήσεις από όσες καλύπτει, πρέπει να αποτελέσουν βασικές προτεραιότητες-δράσεις πολιτικής για την ανακοπή της γιγάντωσης της ύφεσης. </w:t>
      </w:r>
      <w:r w:rsidRPr="0041486E">
        <w:rPr>
          <w:rFonts w:ascii="Tahoma" w:hAnsi="Tahoma" w:cs="Tahoma"/>
          <w:sz w:val="22"/>
          <w:szCs w:val="22"/>
        </w:rPr>
        <w:t>Σε αντίθετη περίπτωση, οι συνέπειες θα είναι ορατές προσεχώς σε πολλά επίπεδα και θα είναι αναπόφευκτη η εμφάνιση σπιράλ ύφεσης-απόκλισης από τους δημοσιονομικούς στόχους-νέων δημοσιονομικών μέτρων.</w:t>
      </w:r>
    </w:p>
    <w:p w:rsidR="00F312DE" w:rsidRDefault="00DC29A6" w:rsidP="00EB16F7">
      <w:pPr>
        <w:pStyle w:val="new3"/>
        <w:ind w:left="0" w:firstLine="0"/>
        <w:outlineLvl w:val="1"/>
      </w:pPr>
      <w:bookmarkStart w:id="168" w:name="_Toc320872884"/>
      <w:r w:rsidRPr="00D44E06">
        <w:t>3.2</w:t>
      </w:r>
      <w:r w:rsidR="00B81D21">
        <w:t xml:space="preserve"> </w:t>
      </w:r>
      <w:r w:rsidRPr="00D44E06">
        <w:t>Εξελίξεις και προοπτικές σε βασικούς τομείς της Οικονομίας</w:t>
      </w:r>
      <w:bookmarkEnd w:id="102"/>
      <w:bookmarkEnd w:id="168"/>
    </w:p>
    <w:p w:rsidR="004C4431" w:rsidRPr="00D44E06" w:rsidRDefault="004C4431" w:rsidP="004C4431">
      <w:pPr>
        <w:spacing w:before="240" w:after="240" w:line="312" w:lineRule="auto"/>
        <w:jc w:val="both"/>
        <w:rPr>
          <w:rFonts w:ascii="Tahoma" w:hAnsi="Tahoma" w:cs="Tahoma"/>
          <w:sz w:val="22"/>
          <w:szCs w:val="22"/>
        </w:rPr>
      </w:pPr>
      <w:r w:rsidRPr="00D44E06">
        <w:rPr>
          <w:rFonts w:ascii="Tahoma" w:hAnsi="Tahoma" w:cs="Tahoma"/>
          <w:sz w:val="22"/>
          <w:szCs w:val="22"/>
        </w:rPr>
        <w:t xml:space="preserve">Στην ενότητα αυτή παρουσιάζονται οι τριμηνιαίοι δείκτες δραστηριότητας που καταρτίζει η ΕΛΣΤΑΤ και οι οποίοι αποτυπώνουν την πορεία της παραγωγής στη Βιομηχανία, καθώς και του κύκλου εργασιών των επιχειρήσεων στους τομείς των Κατασκευών, του Εμπορίου και των Υπηρεσιών. Ταυτόχρονα παρουσιάζονται αντίστοιχοι κλαδικοί δείκτες που κατασκευάζει το ΙΟΒΕ με βάση τις έρευνες οικονομικής συγκυρίας τις οποίες διεξάγει στην Ελλάδα από το 1981 και έπειτα. Ο συνδυασμός των δεικτών αυτών και η συνεκτίμηση των τάσεων που προκύπτουν, </w:t>
      </w:r>
      <w:r w:rsidRPr="00D44E06">
        <w:rPr>
          <w:rFonts w:ascii="Tahoma" w:hAnsi="Tahoma" w:cs="Tahoma"/>
          <w:sz w:val="22"/>
          <w:szCs w:val="22"/>
        </w:rPr>
        <w:lastRenderedPageBreak/>
        <w:t>συνεισφέρουν σε μια ευρύτερη απεικόνιση της πλευράς της προσφοράς της οικονομίας,</w:t>
      </w:r>
      <w:r w:rsidR="009F120C">
        <w:rPr>
          <w:rFonts w:ascii="Tahoma" w:hAnsi="Tahoma" w:cs="Tahoma"/>
          <w:sz w:val="22"/>
          <w:szCs w:val="22"/>
        </w:rPr>
        <w:br w:type="column"/>
      </w:r>
      <w:r w:rsidRPr="00D44E06">
        <w:rPr>
          <w:rFonts w:ascii="Tahoma" w:hAnsi="Tahoma" w:cs="Tahoma"/>
          <w:sz w:val="22"/>
          <w:szCs w:val="22"/>
        </w:rPr>
        <w:lastRenderedPageBreak/>
        <w:t xml:space="preserve"> αποτυπώνοντας την </w:t>
      </w:r>
      <w:r>
        <w:rPr>
          <w:rFonts w:ascii="Tahoma" w:hAnsi="Tahoma" w:cs="Tahoma"/>
          <w:sz w:val="22"/>
          <w:szCs w:val="22"/>
        </w:rPr>
        <w:t>ένταση της εγχώριας ζήτησης.</w:t>
      </w:r>
    </w:p>
    <w:p w:rsidR="004C4431" w:rsidRPr="009E0DD9" w:rsidRDefault="004C4431" w:rsidP="004C4431">
      <w:pPr>
        <w:spacing w:before="120" w:after="120" w:line="312" w:lineRule="auto"/>
        <w:rPr>
          <w:rFonts w:ascii="Tahoma" w:hAnsi="Tahoma" w:cs="Tahoma"/>
          <w:b/>
          <w:bCs/>
          <w:i/>
          <w:iCs/>
          <w:sz w:val="22"/>
          <w:szCs w:val="22"/>
        </w:rPr>
      </w:pPr>
      <w:r w:rsidRPr="00D44E06">
        <w:rPr>
          <w:rFonts w:ascii="Tahoma" w:hAnsi="Tahoma" w:cs="Tahoma"/>
          <w:b/>
          <w:bCs/>
          <w:i/>
          <w:iCs/>
          <w:sz w:val="22"/>
          <w:szCs w:val="22"/>
        </w:rPr>
        <w:t xml:space="preserve">Βιομηχανία </w:t>
      </w:r>
    </w:p>
    <w:p w:rsidR="002A5D2E" w:rsidRDefault="004C4431" w:rsidP="004C4431">
      <w:pPr>
        <w:spacing w:before="240" w:after="240" w:line="312" w:lineRule="auto"/>
        <w:jc w:val="both"/>
        <w:rPr>
          <w:rFonts w:ascii="Tahoma" w:hAnsi="Tahoma" w:cs="Tahoma"/>
          <w:sz w:val="22"/>
          <w:szCs w:val="22"/>
        </w:rPr>
      </w:pPr>
      <w:r>
        <w:rPr>
          <w:rFonts w:ascii="Tahoma" w:hAnsi="Tahoma" w:cs="Tahoma"/>
          <w:sz w:val="22"/>
          <w:szCs w:val="22"/>
        </w:rPr>
        <w:t>Η καθοδική πορεία της βιομηχανικής παραγωγής που έχει ήδη ξεκινήσει από το 2008, συνεχίζεται και επιταχύνεται το 2011</w:t>
      </w:r>
      <w:r w:rsidRPr="00505AB2">
        <w:rPr>
          <w:rFonts w:ascii="Tahoma" w:hAnsi="Tahoma" w:cs="Tahoma"/>
          <w:sz w:val="22"/>
          <w:szCs w:val="22"/>
        </w:rPr>
        <w:t xml:space="preserve">, </w:t>
      </w:r>
      <w:r>
        <w:rPr>
          <w:rFonts w:ascii="Tahoma" w:hAnsi="Tahoma" w:cs="Tahoma"/>
          <w:sz w:val="22"/>
          <w:szCs w:val="22"/>
        </w:rPr>
        <w:t xml:space="preserve">με το σχετικό δείκτη να περιορίζεται σε ετήσια βάση πλέον κατά -8,4% σε σχέση με -5,9% το 2010. Άλλωστε η πτώση σχεδόν κατά 14% στο δ’ τρίμηνο είναι η μεγαλύτερη τριμηνιαία πτώση εδώ </w:t>
      </w:r>
      <w:r w:rsidRPr="00644021">
        <w:rPr>
          <w:rFonts w:ascii="Tahoma" w:hAnsi="Tahoma" w:cs="Tahoma"/>
          <w:sz w:val="22"/>
          <w:szCs w:val="22"/>
        </w:rPr>
        <w:t xml:space="preserve">και </w:t>
      </w:r>
      <w:r>
        <w:rPr>
          <w:rFonts w:ascii="Tahoma" w:hAnsi="Tahoma" w:cs="Tahoma"/>
          <w:sz w:val="22"/>
          <w:szCs w:val="22"/>
        </w:rPr>
        <w:t>τουλάχιστον 5 χρόνια. Αντιθέτως, στην Ευρωζώνη (ΕΕ-17) η αύξηση της βιομηχανικής παραγωγής συνεχίζεται, αν και με διαρκώς επιβραδυνόμενο ρυθμό. Έτσι το δ’ τρίμηνο ο δείκτης καταγράφει μόνο οριακά θετική μεταβολή κατά 0,1% σε σχέση με το γ’ τρίμηνο. Συνολικά το 2011 η βιομηχανική ανάπτυξη στην Ευρώπη υποδιπλασιάζεται καθώς διαμορφώνεται στο 3,7% σε σχέση με 7,4% το 2010.</w:t>
      </w:r>
    </w:p>
    <w:p w:rsidR="00A72932" w:rsidRDefault="00A72932" w:rsidP="00A72932">
      <w:pPr>
        <w:spacing w:before="240" w:after="240" w:line="312" w:lineRule="auto"/>
        <w:jc w:val="both"/>
        <w:rPr>
          <w:rFonts w:ascii="Tahoma" w:hAnsi="Tahoma" w:cs="Tahoma"/>
          <w:sz w:val="22"/>
          <w:szCs w:val="22"/>
        </w:rPr>
      </w:pPr>
      <w:r>
        <w:rPr>
          <w:rFonts w:ascii="Tahoma" w:hAnsi="Tahoma" w:cs="Tahoma"/>
          <w:sz w:val="22"/>
          <w:szCs w:val="22"/>
        </w:rPr>
        <w:t xml:space="preserve">Η βαθιά πτώση </w:t>
      </w:r>
      <w:r w:rsidR="004351C0">
        <w:rPr>
          <w:rFonts w:ascii="Tahoma" w:hAnsi="Tahoma" w:cs="Tahoma"/>
          <w:sz w:val="22"/>
          <w:szCs w:val="22"/>
        </w:rPr>
        <w:t xml:space="preserve">εγχωρίως </w:t>
      </w:r>
      <w:r>
        <w:rPr>
          <w:rFonts w:ascii="Tahoma" w:hAnsi="Tahoma" w:cs="Tahoma"/>
          <w:sz w:val="22"/>
          <w:szCs w:val="22"/>
        </w:rPr>
        <w:t xml:space="preserve">οφείλεται κυρίως στις </w:t>
      </w:r>
      <w:r>
        <w:rPr>
          <w:rFonts w:ascii="Tahoma" w:hAnsi="Tahoma" w:cs="Tahoma"/>
          <w:b/>
          <w:sz w:val="22"/>
          <w:szCs w:val="22"/>
        </w:rPr>
        <w:t>Μεταποιητικές Βιομηχανίες</w:t>
      </w:r>
      <w:r>
        <w:rPr>
          <w:rFonts w:ascii="Tahoma" w:hAnsi="Tahoma" w:cs="Tahoma"/>
          <w:sz w:val="22"/>
          <w:szCs w:val="22"/>
        </w:rPr>
        <w:t xml:space="preserve">, όπου η παραγωγή </w:t>
      </w:r>
      <w:r w:rsidR="004351C0">
        <w:rPr>
          <w:rFonts w:ascii="Tahoma" w:hAnsi="Tahoma" w:cs="Tahoma"/>
          <w:sz w:val="22"/>
          <w:szCs w:val="22"/>
        </w:rPr>
        <w:t xml:space="preserve">υποχωρεί εκ νέου, κατά 9,5%, </w:t>
      </w:r>
      <w:r>
        <w:rPr>
          <w:rFonts w:ascii="Tahoma" w:hAnsi="Tahoma" w:cs="Tahoma"/>
          <w:sz w:val="22"/>
          <w:szCs w:val="22"/>
        </w:rPr>
        <w:t xml:space="preserve">σε συνέχεια μείωσης κατά 5,1% το 2010. Ύφεση, με μικρότερο ωστόσο ρυθμό σε σχέση με </w:t>
      </w:r>
      <w:r w:rsidR="004351C0">
        <w:rPr>
          <w:rFonts w:ascii="Tahoma" w:hAnsi="Tahoma" w:cs="Tahoma"/>
          <w:sz w:val="22"/>
          <w:szCs w:val="22"/>
        </w:rPr>
        <w:t xml:space="preserve">το 2010 </w:t>
      </w:r>
      <w:r>
        <w:rPr>
          <w:rFonts w:ascii="Tahoma" w:hAnsi="Tahoma" w:cs="Tahoma"/>
          <w:sz w:val="22"/>
          <w:szCs w:val="22"/>
        </w:rPr>
        <w:t xml:space="preserve">εμφανίζεται και στον κλάδο παροχής </w:t>
      </w:r>
      <w:r>
        <w:rPr>
          <w:rFonts w:ascii="Tahoma" w:hAnsi="Tahoma" w:cs="Tahoma"/>
          <w:b/>
          <w:sz w:val="22"/>
          <w:szCs w:val="22"/>
        </w:rPr>
        <w:t xml:space="preserve">Ηλεκτρικού ρεύματος </w:t>
      </w:r>
      <w:r>
        <w:rPr>
          <w:rFonts w:ascii="Tahoma" w:hAnsi="Tahoma" w:cs="Tahoma"/>
          <w:sz w:val="22"/>
          <w:szCs w:val="22"/>
        </w:rPr>
        <w:t xml:space="preserve">κατά -8,8% αντί -9,2%. Ακολουθεί ο κλάδος της </w:t>
      </w:r>
      <w:r>
        <w:rPr>
          <w:rFonts w:ascii="Tahoma" w:hAnsi="Tahoma" w:cs="Tahoma"/>
          <w:b/>
          <w:sz w:val="22"/>
          <w:szCs w:val="22"/>
        </w:rPr>
        <w:t xml:space="preserve">Παροχής Νερού </w:t>
      </w:r>
      <w:r>
        <w:rPr>
          <w:rFonts w:ascii="Tahoma" w:hAnsi="Tahoma" w:cs="Tahoma"/>
          <w:sz w:val="22"/>
          <w:szCs w:val="22"/>
        </w:rPr>
        <w:t>με απώλειες 1,9% (αντί αύξησης κατά 0,7% το 2010). Ο κλάδος των Ορυχείων Λατομείων ύστερα από συρρίκνωση της παραγωγής του το 2010 κατά 6,5%, το 2011 διατήρησε αμετάβλητη την παραγωγή του.</w:t>
      </w:r>
    </w:p>
    <w:p w:rsidR="00A72932" w:rsidRDefault="00A72932" w:rsidP="004C4431">
      <w:pPr>
        <w:spacing w:before="240" w:after="240" w:line="312" w:lineRule="auto"/>
        <w:jc w:val="both"/>
        <w:rPr>
          <w:rFonts w:ascii="Tahoma" w:hAnsi="Tahoma" w:cs="Tahoma"/>
          <w:sz w:val="22"/>
          <w:szCs w:val="22"/>
        </w:rPr>
      </w:pPr>
    </w:p>
    <w:p w:rsidR="002A5D2E" w:rsidRDefault="002A5D2E" w:rsidP="002A5D2E">
      <w:pPr>
        <w:spacing w:before="240" w:after="240" w:line="312" w:lineRule="auto"/>
        <w:jc w:val="both"/>
        <w:rPr>
          <w:rFonts w:ascii="Tahoma" w:hAnsi="Tahoma" w:cs="Tahoma"/>
          <w:sz w:val="22"/>
          <w:szCs w:val="22"/>
        </w:rPr>
        <w:sectPr w:rsidR="002A5D2E" w:rsidSect="002A5D2E">
          <w:pgSz w:w="11906" w:h="16838"/>
          <w:pgMar w:top="1440" w:right="849" w:bottom="1440" w:left="1560" w:header="708" w:footer="708" w:gutter="0"/>
          <w:cols w:num="2" w:space="720"/>
          <w:docGrid w:linePitch="360"/>
        </w:sectPr>
      </w:pPr>
    </w:p>
    <w:p w:rsidR="004C4431" w:rsidRPr="00BC5945" w:rsidRDefault="004C4431" w:rsidP="00A72932">
      <w:pPr>
        <w:spacing w:after="120"/>
        <w:jc w:val="center"/>
        <w:rPr>
          <w:rFonts w:ascii="Tahoma" w:hAnsi="Tahoma" w:cs="Tahoma"/>
          <w:b/>
          <w:szCs w:val="22"/>
        </w:rPr>
      </w:pPr>
      <w:r w:rsidRPr="00BC5945">
        <w:rPr>
          <w:rFonts w:ascii="Tahoma" w:hAnsi="Tahoma" w:cs="Tahoma"/>
          <w:b/>
          <w:szCs w:val="22"/>
        </w:rPr>
        <w:lastRenderedPageBreak/>
        <w:t>Διάγραμμα 3.1</w:t>
      </w:r>
    </w:p>
    <w:p w:rsidR="004C4431" w:rsidRPr="00BC5945" w:rsidRDefault="004C4431" w:rsidP="004C4431">
      <w:pPr>
        <w:spacing w:before="120" w:after="120"/>
        <w:jc w:val="center"/>
        <w:rPr>
          <w:rFonts w:ascii="Tahoma" w:hAnsi="Tahoma" w:cs="Tahoma"/>
          <w:sz w:val="22"/>
          <w:szCs w:val="22"/>
        </w:rPr>
      </w:pPr>
      <w:r w:rsidRPr="00BC5945">
        <w:rPr>
          <w:rFonts w:ascii="Tahoma" w:hAnsi="Tahoma" w:cs="Tahoma"/>
          <w:szCs w:val="22"/>
        </w:rPr>
        <w:t>Δείκτης Βιομηχανικής Παραγωγής</w:t>
      </w:r>
      <w:r w:rsidR="004351C0">
        <w:rPr>
          <w:rFonts w:ascii="Tahoma" w:hAnsi="Tahoma" w:cs="Tahoma"/>
          <w:szCs w:val="22"/>
        </w:rPr>
        <w:t xml:space="preserve"> στην Ελλάδα και την Ευρωζώνη-17</w:t>
      </w:r>
      <w:r w:rsidRPr="00BC5945">
        <w:rPr>
          <w:rFonts w:ascii="Tahoma" w:hAnsi="Tahoma" w:cs="Tahoma"/>
          <w:szCs w:val="22"/>
        </w:rPr>
        <w:t xml:space="preserve"> Π.Μ. (%) ως προς το αντίστοιχο τρίμηνο του προηγούμενου έτους</w:t>
      </w:r>
    </w:p>
    <w:p w:rsidR="004C4431" w:rsidRDefault="004C4431" w:rsidP="004C4431">
      <w:pPr>
        <w:jc w:val="center"/>
      </w:pPr>
      <w:r>
        <w:rPr>
          <w:noProof/>
          <w:lang w:val="en-US" w:eastAsia="en-US"/>
        </w:rPr>
        <w:drawing>
          <wp:inline distT="0" distB="0" distL="0" distR="0">
            <wp:extent cx="5314950" cy="3181350"/>
            <wp:effectExtent l="0" t="0" r="0" b="0"/>
            <wp:docPr id="269" name="Γράφημα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4C4431" w:rsidRDefault="004C4431" w:rsidP="004C4431">
      <w:pPr>
        <w:spacing w:before="120" w:after="120" w:line="312" w:lineRule="auto"/>
        <w:jc w:val="both"/>
        <w:rPr>
          <w:rFonts w:ascii="Tahoma" w:hAnsi="Tahoma" w:cs="Tahoma"/>
          <w:sz w:val="16"/>
          <w:szCs w:val="22"/>
        </w:rPr>
      </w:pPr>
      <w:r w:rsidRPr="004C4431">
        <w:rPr>
          <w:rFonts w:ascii="Tahoma" w:hAnsi="Tahoma" w:cs="Tahoma"/>
          <w:b/>
          <w:sz w:val="16"/>
          <w:szCs w:val="22"/>
        </w:rPr>
        <w:t>Πηγή</w:t>
      </w:r>
      <w:r w:rsidRPr="004C4431">
        <w:rPr>
          <w:rFonts w:ascii="Tahoma" w:hAnsi="Tahoma" w:cs="Tahoma"/>
          <w:sz w:val="16"/>
          <w:szCs w:val="22"/>
        </w:rPr>
        <w:t>: ΕΛ.ΣΤΑΤ</w:t>
      </w:r>
    </w:p>
    <w:p w:rsidR="009C55C0" w:rsidRDefault="009C55C0" w:rsidP="004C4431">
      <w:pPr>
        <w:spacing w:before="240" w:after="240" w:line="312" w:lineRule="auto"/>
        <w:jc w:val="both"/>
        <w:rPr>
          <w:rFonts w:ascii="Tahoma" w:hAnsi="Tahoma" w:cs="Tahoma"/>
          <w:sz w:val="22"/>
          <w:szCs w:val="22"/>
        </w:rPr>
        <w:sectPr w:rsidR="009C55C0" w:rsidSect="009C55C0">
          <w:pgSz w:w="11906" w:h="16838"/>
          <w:pgMar w:top="1440" w:right="849" w:bottom="1440" w:left="1560" w:header="708" w:footer="708" w:gutter="0"/>
          <w:cols w:space="720"/>
          <w:docGrid w:linePitch="360"/>
        </w:sectPr>
      </w:pPr>
    </w:p>
    <w:p w:rsidR="004C4431" w:rsidRDefault="004C4431" w:rsidP="004C4431">
      <w:pPr>
        <w:spacing w:before="240" w:after="240" w:line="312" w:lineRule="auto"/>
        <w:jc w:val="both"/>
        <w:rPr>
          <w:rFonts w:ascii="Tahoma" w:hAnsi="Tahoma" w:cs="Tahoma"/>
          <w:sz w:val="22"/>
          <w:szCs w:val="22"/>
        </w:rPr>
      </w:pPr>
      <w:r>
        <w:rPr>
          <w:rFonts w:ascii="Tahoma" w:hAnsi="Tahoma" w:cs="Tahoma"/>
          <w:sz w:val="22"/>
          <w:szCs w:val="22"/>
        </w:rPr>
        <w:lastRenderedPageBreak/>
        <w:t>Ο κλάδος των τροφίμων εξακολουθεί να συρρικνώνει την παραγωγή του με τον ίδιο σχεδόν ρυθμό με πέρυσι (-4,3% αντί -</w:t>
      </w:r>
      <w:r w:rsidR="004351C0">
        <w:rPr>
          <w:rFonts w:ascii="Tahoma" w:hAnsi="Tahoma" w:cs="Tahoma"/>
          <w:sz w:val="22"/>
          <w:szCs w:val="22"/>
        </w:rPr>
        <w:t>4,1% το 2010). Κ</w:t>
      </w:r>
      <w:r>
        <w:rPr>
          <w:rFonts w:ascii="Tahoma" w:hAnsi="Tahoma" w:cs="Tahoma"/>
          <w:sz w:val="22"/>
          <w:szCs w:val="22"/>
        </w:rPr>
        <w:t>αι τα βασικά φαρμακευτικά προϊ</w:t>
      </w:r>
      <w:r w:rsidR="004351C0">
        <w:rPr>
          <w:rFonts w:ascii="Tahoma" w:hAnsi="Tahoma" w:cs="Tahoma"/>
          <w:sz w:val="22"/>
          <w:szCs w:val="22"/>
        </w:rPr>
        <w:t>όντα εισήλθαν πέρυσι</w:t>
      </w:r>
      <w:r>
        <w:rPr>
          <w:rFonts w:ascii="Tahoma" w:hAnsi="Tahoma" w:cs="Tahoma"/>
          <w:sz w:val="22"/>
          <w:szCs w:val="22"/>
        </w:rPr>
        <w:t xml:space="preserve"> σε τροχιά ύφεσης</w:t>
      </w:r>
      <w:r w:rsidR="004351C0">
        <w:rPr>
          <w:rFonts w:ascii="Tahoma" w:hAnsi="Tahoma" w:cs="Tahoma"/>
          <w:sz w:val="22"/>
          <w:szCs w:val="22"/>
        </w:rPr>
        <w:t xml:space="preserve">, </w:t>
      </w:r>
      <w:r>
        <w:rPr>
          <w:rFonts w:ascii="Tahoma" w:hAnsi="Tahoma" w:cs="Tahoma"/>
          <w:sz w:val="22"/>
          <w:szCs w:val="22"/>
        </w:rPr>
        <w:t xml:space="preserve">με το δείκτη να περιορίζεται κατά 0,6% σε σχέση με αύξηση κατά 2,4% την αντίστοιχη περίοδο </w:t>
      </w:r>
      <w:r w:rsidR="004351C0">
        <w:rPr>
          <w:rFonts w:ascii="Tahoma" w:hAnsi="Tahoma" w:cs="Tahoma"/>
          <w:sz w:val="22"/>
          <w:szCs w:val="22"/>
        </w:rPr>
        <w:t>του 2010</w:t>
      </w:r>
      <w:r>
        <w:rPr>
          <w:rFonts w:ascii="Tahoma" w:hAnsi="Tahoma" w:cs="Tahoma"/>
          <w:sz w:val="22"/>
          <w:szCs w:val="22"/>
        </w:rPr>
        <w:t>. Στον αντίποδα βρίσκεται η παραγωγή βασικών μετάλλων η οποία ενισχύε</w:t>
      </w:r>
      <w:r w:rsidR="004351C0">
        <w:rPr>
          <w:rFonts w:ascii="Tahoma" w:hAnsi="Tahoma" w:cs="Tahoma"/>
          <w:sz w:val="22"/>
          <w:szCs w:val="22"/>
        </w:rPr>
        <w:t xml:space="preserve">ται κατά 6,5%, </w:t>
      </w:r>
      <w:r>
        <w:rPr>
          <w:rFonts w:ascii="Tahoma" w:hAnsi="Tahoma" w:cs="Tahoma"/>
          <w:sz w:val="22"/>
          <w:szCs w:val="22"/>
        </w:rPr>
        <w:t xml:space="preserve">με </w:t>
      </w:r>
      <w:r w:rsidR="004351C0">
        <w:rPr>
          <w:rFonts w:ascii="Tahoma" w:hAnsi="Tahoma" w:cs="Tahoma"/>
          <w:sz w:val="22"/>
          <w:szCs w:val="22"/>
        </w:rPr>
        <w:t xml:space="preserve">φθίνοντα </w:t>
      </w:r>
      <w:r>
        <w:rPr>
          <w:rFonts w:ascii="Tahoma" w:hAnsi="Tahoma" w:cs="Tahoma"/>
          <w:sz w:val="22"/>
          <w:szCs w:val="22"/>
        </w:rPr>
        <w:t xml:space="preserve">ρυθμό (η αντίστοιχη αύξηση πέρυσι είχε ξεπεράσει το 12,0%). Στους λοιπούς κλάδους, σημαντική ενίσχυση της παραγωγής καταγράφεται </w:t>
      </w:r>
      <w:r w:rsidR="004351C0">
        <w:rPr>
          <w:rFonts w:ascii="Tahoma" w:hAnsi="Tahoma" w:cs="Tahoma"/>
          <w:sz w:val="22"/>
          <w:szCs w:val="22"/>
        </w:rPr>
        <w:t xml:space="preserve">το 2011 </w:t>
      </w:r>
      <w:r>
        <w:rPr>
          <w:rFonts w:ascii="Tahoma" w:hAnsi="Tahoma" w:cs="Tahoma"/>
          <w:sz w:val="22"/>
          <w:szCs w:val="22"/>
        </w:rPr>
        <w:t>στον κλάδο ειδών καπνού, καθώς η παραγωγή αυ</w:t>
      </w:r>
      <w:r w:rsidR="004351C0">
        <w:rPr>
          <w:rFonts w:ascii="Tahoma" w:hAnsi="Tahoma" w:cs="Tahoma"/>
          <w:sz w:val="22"/>
          <w:szCs w:val="22"/>
        </w:rPr>
        <w:t xml:space="preserve">ξάνεται κατά 10,5%, </w:t>
      </w:r>
      <w:r>
        <w:rPr>
          <w:rFonts w:ascii="Tahoma" w:hAnsi="Tahoma" w:cs="Tahoma"/>
          <w:sz w:val="22"/>
          <w:szCs w:val="22"/>
        </w:rPr>
        <w:t>σε συνέχεια της περσινής ύφεσης άνω του -17,5% αλλά και στα είδη ξύλου και φελλού, με το δείκτη να ενισχύεται κατά 2,8%.</w:t>
      </w:r>
    </w:p>
    <w:p w:rsidR="004C4431" w:rsidRDefault="004C4431" w:rsidP="004C4431">
      <w:pPr>
        <w:spacing w:before="240" w:after="240" w:line="312" w:lineRule="auto"/>
        <w:jc w:val="both"/>
        <w:rPr>
          <w:rFonts w:ascii="Tahoma" w:hAnsi="Tahoma" w:cs="Tahoma"/>
          <w:sz w:val="22"/>
          <w:szCs w:val="22"/>
        </w:rPr>
      </w:pPr>
      <w:r>
        <w:rPr>
          <w:rFonts w:ascii="Tahoma" w:hAnsi="Tahoma" w:cs="Tahoma"/>
          <w:sz w:val="22"/>
          <w:szCs w:val="22"/>
        </w:rPr>
        <w:t xml:space="preserve">Αντίθετα, συρρίκνωση της παραγωγής σε σχέση με το προηγούμενο έτος καταγράφεται στον κλάδο του λοιπού </w:t>
      </w:r>
      <w:r>
        <w:rPr>
          <w:rFonts w:ascii="Tahoma" w:hAnsi="Tahoma" w:cs="Tahoma"/>
          <w:sz w:val="22"/>
          <w:szCs w:val="22"/>
        </w:rPr>
        <w:lastRenderedPageBreak/>
        <w:t>εξοπλισμού μεταφορών (απώλειες της τάξης του 37,1% σε σχέση με</w:t>
      </w:r>
      <w:r w:rsidR="004351C0">
        <w:rPr>
          <w:rFonts w:ascii="Tahoma" w:hAnsi="Tahoma" w:cs="Tahoma"/>
          <w:sz w:val="22"/>
          <w:szCs w:val="22"/>
        </w:rPr>
        <w:t xml:space="preserve"> </w:t>
      </w:r>
      <w:r>
        <w:rPr>
          <w:rFonts w:ascii="Tahoma" w:hAnsi="Tahoma" w:cs="Tahoma"/>
          <w:sz w:val="22"/>
          <w:szCs w:val="22"/>
        </w:rPr>
        <w:t>-35,1% πέρυσι), στα μη μεταλλικά ορυκτά (-35,9% έναντι -14,2%) και στα μηχανοκίνητα οχήματα (-28,8% αντί -1,6%). Η κάμψη στη ζήτηση επηρεάζει άμεσα την παραγωγή ε</w:t>
      </w:r>
      <w:r w:rsidR="004351C0">
        <w:rPr>
          <w:rFonts w:ascii="Tahoma" w:hAnsi="Tahoma" w:cs="Tahoma"/>
          <w:sz w:val="22"/>
          <w:szCs w:val="22"/>
        </w:rPr>
        <w:t xml:space="preserve">ιδών ένδυσης καθώς η παραγωγή </w:t>
      </w:r>
      <w:r>
        <w:rPr>
          <w:rFonts w:ascii="Tahoma" w:hAnsi="Tahoma" w:cs="Tahoma"/>
          <w:sz w:val="22"/>
          <w:szCs w:val="22"/>
        </w:rPr>
        <w:t xml:space="preserve">συρρικνώνεται εκ νέου κατά -25,4% σε σχέση με -23,1% το 2010. Σημαντικά μεγαλύτερη σε σχέση με πέρυσι </w:t>
      </w:r>
      <w:r w:rsidR="004351C0">
        <w:rPr>
          <w:rFonts w:ascii="Tahoma" w:hAnsi="Tahoma" w:cs="Tahoma"/>
          <w:sz w:val="22"/>
          <w:szCs w:val="22"/>
        </w:rPr>
        <w:t xml:space="preserve">σημειώνεται </w:t>
      </w:r>
      <w:r>
        <w:rPr>
          <w:rFonts w:ascii="Tahoma" w:hAnsi="Tahoma" w:cs="Tahoma"/>
          <w:sz w:val="22"/>
          <w:szCs w:val="22"/>
        </w:rPr>
        <w:t>η ύφεση στις εκτυπώσεις και την αναπαραγωγή προεγγεγραμμένων μέσων (-24,6% αντί -14,1%  το 2010) και στις Κλωστοϋφαντουργικές ύ</w:t>
      </w:r>
      <w:r w:rsidR="004351C0">
        <w:rPr>
          <w:rFonts w:ascii="Tahoma" w:hAnsi="Tahoma" w:cs="Tahoma"/>
          <w:sz w:val="22"/>
          <w:szCs w:val="22"/>
        </w:rPr>
        <w:t xml:space="preserve">λες, </w:t>
      </w:r>
      <w:r>
        <w:rPr>
          <w:rFonts w:ascii="Tahoma" w:hAnsi="Tahoma" w:cs="Tahoma"/>
          <w:sz w:val="22"/>
          <w:szCs w:val="22"/>
        </w:rPr>
        <w:t xml:space="preserve">όπου η συρρίκνωση της παραγωγής είναι εξίσου σημαντική με πέρυσι (πτώση κατά 22,0%, έναντι κάμψης -20,6% πέρυσι). </w:t>
      </w:r>
    </w:p>
    <w:p w:rsidR="004C4431" w:rsidRDefault="004C4431" w:rsidP="007811E0">
      <w:pPr>
        <w:spacing w:before="240" w:after="120" w:line="312" w:lineRule="auto"/>
        <w:jc w:val="both"/>
        <w:rPr>
          <w:rFonts w:ascii="Tahoma" w:hAnsi="Tahoma" w:cs="Tahoma"/>
          <w:sz w:val="22"/>
          <w:szCs w:val="22"/>
        </w:rPr>
      </w:pPr>
      <w:r>
        <w:rPr>
          <w:rFonts w:ascii="Tahoma" w:hAnsi="Tahoma" w:cs="Tahoma"/>
          <w:sz w:val="22"/>
          <w:szCs w:val="22"/>
        </w:rPr>
        <w:t xml:space="preserve">Στα </w:t>
      </w:r>
      <w:r w:rsidRPr="00AA16EC">
        <w:rPr>
          <w:rFonts w:ascii="Tahoma" w:hAnsi="Tahoma" w:cs="Tahoma"/>
          <w:b/>
          <w:sz w:val="22"/>
          <w:szCs w:val="22"/>
        </w:rPr>
        <w:t>Ορυχεία-Μεταλλεία</w:t>
      </w:r>
      <w:r>
        <w:rPr>
          <w:rFonts w:ascii="Tahoma" w:hAnsi="Tahoma" w:cs="Tahoma"/>
          <w:sz w:val="22"/>
          <w:szCs w:val="22"/>
        </w:rPr>
        <w:t xml:space="preserve"> </w:t>
      </w:r>
      <w:r w:rsidR="004351C0">
        <w:rPr>
          <w:rFonts w:ascii="Tahoma" w:hAnsi="Tahoma" w:cs="Tahoma"/>
          <w:sz w:val="22"/>
          <w:szCs w:val="22"/>
        </w:rPr>
        <w:t xml:space="preserve">η παραγωγή </w:t>
      </w:r>
      <w:r>
        <w:rPr>
          <w:rFonts w:ascii="Tahoma" w:hAnsi="Tahoma" w:cs="Tahoma"/>
          <w:sz w:val="22"/>
          <w:szCs w:val="22"/>
        </w:rPr>
        <w:t xml:space="preserve">συρρικνώνεται σημαντικά στους 2 από τους 4 επιμέρους κλάδους. Η μεγαλύτερη </w:t>
      </w:r>
      <w:r w:rsidR="004351C0">
        <w:rPr>
          <w:rFonts w:ascii="Tahoma" w:hAnsi="Tahoma" w:cs="Tahoma"/>
          <w:sz w:val="22"/>
          <w:szCs w:val="22"/>
        </w:rPr>
        <w:t xml:space="preserve">πτώση </w:t>
      </w:r>
      <w:r>
        <w:rPr>
          <w:rFonts w:ascii="Tahoma" w:hAnsi="Tahoma" w:cs="Tahoma"/>
          <w:sz w:val="22"/>
          <w:szCs w:val="22"/>
        </w:rPr>
        <w:t xml:space="preserve">εμφανίζεται στην άντληση αργού πετρελαίου και φυσικού αερίου (-24,3% αντί +42,5% </w:t>
      </w:r>
      <w:r>
        <w:rPr>
          <w:rFonts w:ascii="Tahoma" w:hAnsi="Tahoma" w:cs="Tahoma"/>
          <w:sz w:val="22"/>
          <w:szCs w:val="22"/>
        </w:rPr>
        <w:lastRenderedPageBreak/>
        <w:t>πέρυσι) και στις λοιπές εξορυκτικές και λατομικές δραστηριότητες (-15,7% σε σχέση με οριακή μεταβολή κατά -0,1% πέρυσι). Αντί</w:t>
      </w:r>
      <w:r w:rsidR="004351C0">
        <w:rPr>
          <w:rFonts w:ascii="Tahoma" w:hAnsi="Tahoma" w:cs="Tahoma"/>
          <w:sz w:val="22"/>
          <w:szCs w:val="22"/>
        </w:rPr>
        <w:t>θετα η παραγωγή ενισχύεται στους</w:t>
      </w:r>
      <w:r>
        <w:rPr>
          <w:rFonts w:ascii="Tahoma" w:hAnsi="Tahoma" w:cs="Tahoma"/>
          <w:sz w:val="22"/>
          <w:szCs w:val="22"/>
        </w:rPr>
        <w:t xml:space="preserve"> κλάδο της εξόρυξης μεταλλούχων μεταλλευμάτων (18,5% αντί 16,2% το 2010) και της εξόρυξης άν</w:t>
      </w:r>
      <w:r w:rsidR="004351C0">
        <w:rPr>
          <w:rFonts w:ascii="Tahoma" w:hAnsi="Tahoma" w:cs="Tahoma"/>
          <w:sz w:val="22"/>
          <w:szCs w:val="22"/>
        </w:rPr>
        <w:t xml:space="preserve">θρακα και λιγνίτη, </w:t>
      </w:r>
      <w:r>
        <w:rPr>
          <w:rFonts w:ascii="Tahoma" w:hAnsi="Tahoma" w:cs="Tahoma"/>
          <w:sz w:val="22"/>
          <w:szCs w:val="22"/>
        </w:rPr>
        <w:t>με το δείκτη να σημειώνει αύξηση της τάξης του 5,9% αντί κάμψης -13,1% πέρυσι.</w:t>
      </w:r>
    </w:p>
    <w:p w:rsidR="004C4431" w:rsidRDefault="004C4431" w:rsidP="007811E0">
      <w:pPr>
        <w:spacing w:before="120" w:after="120" w:line="312" w:lineRule="auto"/>
        <w:jc w:val="both"/>
        <w:rPr>
          <w:rFonts w:ascii="Tahoma" w:hAnsi="Tahoma" w:cs="Tahoma"/>
          <w:b/>
          <w:i/>
          <w:sz w:val="22"/>
          <w:szCs w:val="22"/>
        </w:rPr>
      </w:pPr>
      <w:r>
        <w:rPr>
          <w:rFonts w:ascii="Tahoma" w:hAnsi="Tahoma" w:cs="Tahoma"/>
          <w:b/>
          <w:i/>
          <w:sz w:val="22"/>
          <w:szCs w:val="22"/>
        </w:rPr>
        <w:t>Κατασκευές</w:t>
      </w:r>
    </w:p>
    <w:p w:rsidR="004C4431" w:rsidRDefault="004C4431" w:rsidP="007811E0">
      <w:pPr>
        <w:spacing w:before="120" w:after="120" w:line="312" w:lineRule="auto"/>
        <w:jc w:val="both"/>
        <w:rPr>
          <w:rFonts w:ascii="Tahoma" w:hAnsi="Tahoma" w:cs="Tahoma"/>
          <w:sz w:val="22"/>
          <w:szCs w:val="22"/>
        </w:rPr>
      </w:pPr>
      <w:r>
        <w:rPr>
          <w:rFonts w:ascii="Tahoma" w:hAnsi="Tahoma" w:cs="Tahoma"/>
          <w:sz w:val="22"/>
          <w:szCs w:val="22"/>
        </w:rPr>
        <w:t xml:space="preserve">Συνεχίστηκε και το 2011 η ταχύτατη συρρίκνωση του </w:t>
      </w:r>
      <w:r w:rsidR="004351C0">
        <w:rPr>
          <w:rFonts w:ascii="Tahoma" w:hAnsi="Tahoma" w:cs="Tahoma"/>
          <w:sz w:val="22"/>
          <w:szCs w:val="22"/>
        </w:rPr>
        <w:t>προϊόντος στον κατασκευαστικό τομέα</w:t>
      </w:r>
      <w:r>
        <w:rPr>
          <w:rFonts w:ascii="Tahoma" w:hAnsi="Tahoma" w:cs="Tahoma"/>
          <w:sz w:val="22"/>
          <w:szCs w:val="22"/>
        </w:rPr>
        <w:t xml:space="preserve">, παρά τον ηπιότερο ρυθμό σε σχέση με πέρυσι. Ο γενικός δείκτης παραγωγής στις κατασκευές διαμορφώθηκε σε ιστορικά χαμηλά επίπεδα πενταετίας (51,9 μονάδες) σημειώνοντας πτώση κατά 28,0%. </w:t>
      </w:r>
      <w:r w:rsidR="004351C0">
        <w:rPr>
          <w:rFonts w:ascii="Tahoma" w:hAnsi="Tahoma" w:cs="Tahoma"/>
          <w:sz w:val="22"/>
          <w:szCs w:val="22"/>
        </w:rPr>
        <w:t>Πρόπερσι</w:t>
      </w:r>
      <w:r>
        <w:rPr>
          <w:rFonts w:ascii="Tahoma" w:hAnsi="Tahoma" w:cs="Tahoma"/>
          <w:sz w:val="22"/>
          <w:szCs w:val="22"/>
        </w:rPr>
        <w:t xml:space="preserve"> η αντίστοιχη κάμψη ξεπερνούσε το 31,6% σε σχέση με το 2009. Σε επίπεδο Ευρωζώνης, ο σχετικός δείκτης το 2011 περιορίζεται μόλις κατά 1,8% σε σχέση με το 2010 (έναντι -8,0% πέρυσι).</w:t>
      </w:r>
    </w:p>
    <w:p w:rsidR="004C4431" w:rsidRPr="005927E7" w:rsidRDefault="004C4431" w:rsidP="007811E0">
      <w:pPr>
        <w:spacing w:before="120" w:after="120" w:line="312" w:lineRule="auto"/>
        <w:jc w:val="both"/>
        <w:rPr>
          <w:rFonts w:ascii="Tahoma" w:hAnsi="Tahoma" w:cs="Tahoma"/>
          <w:sz w:val="22"/>
          <w:szCs w:val="22"/>
        </w:rPr>
      </w:pPr>
      <w:r>
        <w:rPr>
          <w:rFonts w:ascii="Tahoma" w:hAnsi="Tahoma" w:cs="Tahoma"/>
          <w:sz w:val="22"/>
          <w:szCs w:val="22"/>
        </w:rPr>
        <w:t>Στους ε</w:t>
      </w:r>
      <w:r w:rsidR="004351C0">
        <w:rPr>
          <w:rFonts w:ascii="Tahoma" w:hAnsi="Tahoma" w:cs="Tahoma"/>
          <w:sz w:val="22"/>
          <w:szCs w:val="22"/>
        </w:rPr>
        <w:t xml:space="preserve">πιμέρους δείκτες για την Ελλάδα, </w:t>
      </w:r>
      <w:r>
        <w:rPr>
          <w:rFonts w:ascii="Tahoma" w:hAnsi="Tahoma" w:cs="Tahoma"/>
          <w:sz w:val="22"/>
          <w:szCs w:val="22"/>
        </w:rPr>
        <w:t xml:space="preserve">κατά το πρώτο ενδεκάμηνο του 2011 ο </w:t>
      </w:r>
      <w:r>
        <w:rPr>
          <w:rFonts w:ascii="Tahoma" w:hAnsi="Tahoma" w:cs="Tahoma"/>
          <w:sz w:val="22"/>
          <w:szCs w:val="22"/>
        </w:rPr>
        <w:lastRenderedPageBreak/>
        <w:t xml:space="preserve">δείκτης παραγωγής δομικών έργων μειώνεται κατά 43,7% (όταν ήδη την αντίστοιχη περίοδο του 2010 μειώθηκε κατά 38,1%), ενώ κάθετη είναι και η μείωση του δείκτη παραγωγής έργων πολιτικού μηχανικού (απώλειες -20,4% σε σχέση με -28,4% την ίδια περίοδο πέρυσι). </w:t>
      </w:r>
    </w:p>
    <w:p w:rsidR="004C4431" w:rsidRDefault="004C4431" w:rsidP="007811E0">
      <w:pPr>
        <w:spacing w:before="120" w:after="120" w:line="312" w:lineRule="auto"/>
        <w:jc w:val="both"/>
        <w:rPr>
          <w:rFonts w:ascii="Tahoma" w:hAnsi="Tahoma" w:cs="Tahoma"/>
          <w:sz w:val="22"/>
          <w:szCs w:val="22"/>
        </w:rPr>
      </w:pPr>
      <w:r w:rsidRPr="00B3439D">
        <w:rPr>
          <w:rFonts w:ascii="Tahoma" w:hAnsi="Tahoma" w:cs="Tahoma"/>
          <w:sz w:val="22"/>
          <w:szCs w:val="22"/>
        </w:rPr>
        <w:t>Η πτωτική πορεία της συνολικής οικοδομικής δραστηριότητας αντανακλάται τόσο σε όρους αριθμού αδειών, όσο και σε όρους επιφάνειας και όγκου. Συνολικά, η έκδοση νέων αδειών μειώθηκε κατά 27,0% στο σύνολο της χώρας (σε σχέση με το αντίστοιχο ενδεκάμηνο του 2010), με πτώση σε όλες τις περιφέρειες ανεξαιρέτως. Η εντονότερη μείωση καταγράφεται στην Κρήτη (-39,2%), στην Ήπειρο (-21,5%) και στο Νότιο Αιγαίο (-19,4%).</w:t>
      </w:r>
    </w:p>
    <w:p w:rsidR="007811E0" w:rsidRDefault="004C4431" w:rsidP="004C4431">
      <w:pPr>
        <w:spacing w:before="240" w:after="240" w:line="312" w:lineRule="auto"/>
        <w:jc w:val="both"/>
        <w:rPr>
          <w:rFonts w:ascii="Tahoma" w:hAnsi="Tahoma" w:cs="Tahoma"/>
          <w:sz w:val="22"/>
          <w:szCs w:val="22"/>
        </w:rPr>
        <w:sectPr w:rsidR="007811E0" w:rsidSect="009C55C0">
          <w:type w:val="continuous"/>
          <w:pgSz w:w="11906" w:h="16838"/>
          <w:pgMar w:top="1440" w:right="849" w:bottom="1440" w:left="1560" w:header="708" w:footer="708" w:gutter="0"/>
          <w:cols w:num="2" w:space="720"/>
          <w:docGrid w:linePitch="360"/>
        </w:sectPr>
      </w:pPr>
      <w:r>
        <w:rPr>
          <w:rFonts w:ascii="Tahoma" w:hAnsi="Tahoma" w:cs="Tahoma"/>
          <w:sz w:val="22"/>
          <w:szCs w:val="22"/>
        </w:rPr>
        <w:t xml:space="preserve">Παρόμοια είναι η τάση τόσο στη συνολική επιφάνεια (απώλειες κατά -40,8% σε σχέση με την αντίστοιχη περίοδο </w:t>
      </w:r>
      <w:r w:rsidR="004351C0">
        <w:rPr>
          <w:rFonts w:ascii="Tahoma" w:hAnsi="Tahoma" w:cs="Tahoma"/>
          <w:sz w:val="22"/>
          <w:szCs w:val="22"/>
        </w:rPr>
        <w:t>του 2010</w:t>
      </w:r>
      <w:r>
        <w:rPr>
          <w:rFonts w:ascii="Tahoma" w:hAnsi="Tahoma" w:cs="Tahoma"/>
          <w:sz w:val="22"/>
          <w:szCs w:val="22"/>
        </w:rPr>
        <w:t>) όσο και στον όγκο (</w:t>
      </w:r>
      <w:r w:rsidR="00C71491">
        <w:rPr>
          <w:rFonts w:ascii="Tahoma" w:hAnsi="Tahoma" w:cs="Tahoma"/>
          <w:sz w:val="22"/>
          <w:szCs w:val="22"/>
        </w:rPr>
        <w:t xml:space="preserve">-36,6% </w:t>
      </w:r>
      <w:r>
        <w:rPr>
          <w:rFonts w:ascii="Tahoma" w:hAnsi="Tahoma" w:cs="Tahoma"/>
          <w:sz w:val="22"/>
          <w:szCs w:val="22"/>
        </w:rPr>
        <w:t>μείωση του σχετικού δείκτη κατά) των νεόδμητων οικοδομημάτων.</w:t>
      </w:r>
    </w:p>
    <w:p w:rsidR="007811E0" w:rsidRPr="009E0DD9" w:rsidRDefault="007811E0" w:rsidP="007811E0">
      <w:pPr>
        <w:spacing w:before="120" w:after="120"/>
        <w:jc w:val="center"/>
        <w:rPr>
          <w:rFonts w:ascii="Tahoma" w:hAnsi="Tahoma" w:cs="Tahoma"/>
          <w:b/>
          <w:szCs w:val="22"/>
        </w:rPr>
      </w:pPr>
      <w:r w:rsidRPr="009E0DD9">
        <w:rPr>
          <w:rFonts w:ascii="Tahoma" w:hAnsi="Tahoma" w:cs="Tahoma"/>
          <w:b/>
          <w:szCs w:val="22"/>
        </w:rPr>
        <w:lastRenderedPageBreak/>
        <w:t>Διάγραμμα 3.2</w:t>
      </w:r>
    </w:p>
    <w:p w:rsidR="007811E0" w:rsidRPr="009E0DD9" w:rsidRDefault="007811E0" w:rsidP="007811E0">
      <w:pPr>
        <w:spacing w:before="120" w:after="120"/>
        <w:jc w:val="center"/>
        <w:rPr>
          <w:rFonts w:ascii="Tahoma" w:hAnsi="Tahoma" w:cs="Tahoma"/>
          <w:szCs w:val="22"/>
        </w:rPr>
      </w:pPr>
      <w:r w:rsidRPr="009E0DD9">
        <w:rPr>
          <w:rFonts w:ascii="Tahoma" w:hAnsi="Tahoma" w:cs="Tahoma"/>
          <w:szCs w:val="22"/>
        </w:rPr>
        <w:t>Δείκτης Παραγωγής στις Κατασκευές –ετήσια ΠΜ(%)- στην Ελλάδα και στην Ευρωζώνη-17 και Δείκτης Επιπέδου Εργασιών στην Ελλάδα (1996-2006=100)</w:t>
      </w:r>
    </w:p>
    <w:p w:rsidR="007811E0" w:rsidRDefault="007811E0" w:rsidP="007811E0">
      <w:pPr>
        <w:spacing w:before="120" w:after="120" w:line="312" w:lineRule="auto"/>
        <w:jc w:val="center"/>
        <w:rPr>
          <w:rFonts w:ascii="Tahoma" w:hAnsi="Tahoma" w:cs="Tahoma"/>
          <w:sz w:val="22"/>
          <w:szCs w:val="22"/>
        </w:rPr>
      </w:pPr>
      <w:r>
        <w:rPr>
          <w:rFonts w:ascii="Tahoma" w:hAnsi="Tahoma" w:cs="Tahoma"/>
          <w:noProof/>
          <w:sz w:val="22"/>
          <w:szCs w:val="22"/>
          <w:lang w:val="en-US" w:eastAsia="en-US"/>
        </w:rPr>
        <w:lastRenderedPageBreak/>
        <w:drawing>
          <wp:inline distT="0" distB="0" distL="0" distR="0">
            <wp:extent cx="5172075" cy="2619375"/>
            <wp:effectExtent l="0" t="0" r="0" b="0"/>
            <wp:docPr id="61" name="Γράφημα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7811E0" w:rsidRPr="00A436FA" w:rsidRDefault="007811E0" w:rsidP="007811E0">
      <w:pPr>
        <w:spacing w:before="120" w:after="240"/>
        <w:rPr>
          <w:rFonts w:ascii="Tahoma" w:hAnsi="Tahoma" w:cs="Tahoma"/>
          <w:sz w:val="16"/>
          <w:szCs w:val="22"/>
        </w:rPr>
        <w:sectPr w:rsidR="007811E0" w:rsidRPr="00A436FA" w:rsidSect="007811E0">
          <w:type w:val="continuous"/>
          <w:pgSz w:w="11906" w:h="16838"/>
          <w:pgMar w:top="1440" w:right="849" w:bottom="1440" w:left="1560" w:header="708" w:footer="708" w:gutter="0"/>
          <w:cols w:space="720"/>
          <w:docGrid w:linePitch="360"/>
        </w:sectPr>
      </w:pPr>
      <w:r w:rsidRPr="004C4431">
        <w:rPr>
          <w:rFonts w:ascii="Tahoma" w:hAnsi="Tahoma" w:cs="Tahoma"/>
          <w:b/>
          <w:sz w:val="16"/>
          <w:szCs w:val="22"/>
        </w:rPr>
        <w:t>Πηγή</w:t>
      </w:r>
      <w:r w:rsidRPr="004C4431">
        <w:rPr>
          <w:rFonts w:ascii="Tahoma" w:hAnsi="Tahoma" w:cs="Tahoma"/>
          <w:sz w:val="16"/>
          <w:szCs w:val="22"/>
        </w:rPr>
        <w:t xml:space="preserve">: ΕΛ.ΣΤΑΤ – </w:t>
      </w:r>
      <w:r w:rsidRPr="004C4431">
        <w:rPr>
          <w:rFonts w:ascii="Tahoma" w:hAnsi="Tahoma" w:cs="Tahoma"/>
          <w:sz w:val="16"/>
          <w:szCs w:val="22"/>
          <w:lang w:val="en-US"/>
        </w:rPr>
        <w:t>Eurostat</w:t>
      </w:r>
    </w:p>
    <w:p w:rsidR="004C4431" w:rsidRDefault="004C4431" w:rsidP="004C4431">
      <w:pPr>
        <w:spacing w:before="240" w:after="240" w:line="312" w:lineRule="auto"/>
        <w:jc w:val="both"/>
        <w:rPr>
          <w:rFonts w:ascii="Tahoma" w:hAnsi="Tahoma" w:cs="Tahoma"/>
          <w:sz w:val="22"/>
          <w:szCs w:val="22"/>
        </w:rPr>
      </w:pPr>
      <w:r>
        <w:rPr>
          <w:rFonts w:ascii="Tahoma" w:hAnsi="Tahoma" w:cs="Tahoma"/>
          <w:sz w:val="22"/>
          <w:szCs w:val="22"/>
        </w:rPr>
        <w:lastRenderedPageBreak/>
        <w:t>Στο σύνολο του 2011</w:t>
      </w:r>
      <w:r>
        <w:rPr>
          <w:rFonts w:ascii="Tahoma" w:hAnsi="Tahoma" w:cs="Tahoma"/>
          <w:sz w:val="22"/>
          <w:szCs w:val="22"/>
          <w:vertAlign w:val="superscript"/>
        </w:rPr>
        <w:t xml:space="preserve"> </w:t>
      </w:r>
      <w:r>
        <w:rPr>
          <w:rFonts w:ascii="Tahoma" w:hAnsi="Tahoma" w:cs="Tahoma"/>
          <w:sz w:val="22"/>
          <w:szCs w:val="22"/>
        </w:rPr>
        <w:t>οι συναλλαγές οικιστικών ακινήτων με τη διαμεσολάβηση πιστωτικών ιδρυμάτων περιορίσθηκαν κατά 44,1% (έχοντας ήδη μειωθεί κατά 0,2% σε σχέση με το 2009). Ταυτόχ</w:t>
      </w:r>
      <w:r w:rsidR="00C71491">
        <w:rPr>
          <w:rFonts w:ascii="Tahoma" w:hAnsi="Tahoma" w:cs="Tahoma"/>
          <w:sz w:val="22"/>
          <w:szCs w:val="22"/>
        </w:rPr>
        <w:t xml:space="preserve">ρονα, </w:t>
      </w:r>
      <w:r>
        <w:rPr>
          <w:rFonts w:ascii="Tahoma" w:hAnsi="Tahoma" w:cs="Tahoma"/>
          <w:sz w:val="22"/>
          <w:szCs w:val="22"/>
        </w:rPr>
        <w:t>επιβραδύνεται σημα</w:t>
      </w:r>
      <w:r w:rsidR="00C71491">
        <w:rPr>
          <w:rFonts w:ascii="Tahoma" w:hAnsi="Tahoma" w:cs="Tahoma"/>
          <w:sz w:val="22"/>
          <w:szCs w:val="22"/>
        </w:rPr>
        <w:t xml:space="preserve">ντικά και η αξία των συναλλαγών, </w:t>
      </w:r>
      <w:r>
        <w:rPr>
          <w:rFonts w:ascii="Tahoma" w:hAnsi="Tahoma" w:cs="Tahoma"/>
          <w:sz w:val="22"/>
          <w:szCs w:val="22"/>
        </w:rPr>
        <w:t>καταγράφοντας πτώση της τάξης του 41,2%. Τα στεγαστικά επιτόκια παρουσιάζουν οριακή μείωση (το επιτόκιο στεγαστικών δανείων άνω των 5 ετών υποχωρεί στο 3,8% το Δεκέμβριο του 2011), ο δείκτης τιμών ακινήτων υποχωρεί στο σύνολο του έτους, όμως οι συνεχείς εξαγγελίες ή η αβεβαιότητα για τους όρους φορολογίας των ακινήτων, δεν ευνοεί τον κλάδο της κατοικίας. Είναι άλλωστε χαρακτηριστικό ότι σύμφωνα με την τελευταία έρευνα οικονομικής συγκυρίας του ΙΟΒΕ (Ιανουάριος 2012), το ποσοστό των νοικοκυριών που δηλώνει ότι είναι πολύ πιθανό να αγοράσει κατοικία εντός του 2012 είναι μόλις 2,1%.</w:t>
      </w:r>
    </w:p>
    <w:p w:rsidR="00B07258" w:rsidRDefault="00B07258" w:rsidP="00B07258">
      <w:pPr>
        <w:spacing w:before="240" w:after="240" w:line="312" w:lineRule="auto"/>
        <w:rPr>
          <w:rFonts w:ascii="Tahoma" w:hAnsi="Tahoma" w:cs="Tahoma"/>
          <w:b/>
          <w:i/>
          <w:sz w:val="22"/>
          <w:szCs w:val="22"/>
        </w:rPr>
      </w:pPr>
      <w:r w:rsidRPr="00247F42">
        <w:rPr>
          <w:rFonts w:ascii="Tahoma" w:hAnsi="Tahoma" w:cs="Tahoma"/>
          <w:b/>
          <w:i/>
          <w:sz w:val="22"/>
          <w:szCs w:val="22"/>
        </w:rPr>
        <w:t>Λιανικό Εμπόριο</w:t>
      </w:r>
    </w:p>
    <w:p w:rsidR="00A72932" w:rsidRDefault="00B07258" w:rsidP="00B07258">
      <w:pPr>
        <w:spacing w:before="240" w:after="240" w:line="312" w:lineRule="auto"/>
        <w:jc w:val="both"/>
        <w:rPr>
          <w:rFonts w:ascii="Tahoma" w:hAnsi="Tahoma" w:cs="Tahoma"/>
          <w:sz w:val="22"/>
          <w:szCs w:val="22"/>
        </w:rPr>
      </w:pPr>
      <w:r>
        <w:rPr>
          <w:rFonts w:ascii="Tahoma" w:hAnsi="Tahoma" w:cs="Tahoma"/>
          <w:sz w:val="22"/>
          <w:szCs w:val="22"/>
        </w:rPr>
        <w:t xml:space="preserve">Οι επιπτώσεις της κρίσης και της υποχώρησης της ζήτησης αποτυπώνονται </w:t>
      </w:r>
      <w:r>
        <w:rPr>
          <w:rFonts w:ascii="Tahoma" w:hAnsi="Tahoma" w:cs="Tahoma"/>
          <w:sz w:val="22"/>
          <w:szCs w:val="22"/>
        </w:rPr>
        <w:lastRenderedPageBreak/>
        <w:t xml:space="preserve">ακόμα πιο </w:t>
      </w:r>
      <w:r w:rsidR="00C71491">
        <w:rPr>
          <w:rFonts w:ascii="Tahoma" w:hAnsi="Tahoma" w:cs="Tahoma"/>
          <w:sz w:val="22"/>
          <w:szCs w:val="22"/>
        </w:rPr>
        <w:t xml:space="preserve">ανάγλυφα </w:t>
      </w:r>
      <w:r>
        <w:rPr>
          <w:rFonts w:ascii="Tahoma" w:hAnsi="Tahoma" w:cs="Tahoma"/>
          <w:sz w:val="22"/>
          <w:szCs w:val="22"/>
        </w:rPr>
        <w:t>στους δείκτες που σχετίζονται με το λιανικό εμπόριο. Ο δείκτης όγκου το δ’ τρίμηνο του 2011 κινήθηκε σε ιστορικά χαμηλά επί</w:t>
      </w:r>
      <w:r w:rsidR="00C71491">
        <w:rPr>
          <w:rFonts w:ascii="Tahoma" w:hAnsi="Tahoma" w:cs="Tahoma"/>
          <w:sz w:val="22"/>
          <w:szCs w:val="22"/>
        </w:rPr>
        <w:t xml:space="preserve">πεδα, </w:t>
      </w:r>
      <w:r>
        <w:rPr>
          <w:rFonts w:ascii="Tahoma" w:hAnsi="Tahoma" w:cs="Tahoma"/>
          <w:sz w:val="22"/>
          <w:szCs w:val="22"/>
        </w:rPr>
        <w:t>φτάνοντας τις 83,1 μονάδες, ενώ η πτώση ξεπέρασε το 10,9% σε σχέση με την αντίστοιχη περίοδο πέρυσι. Συνολικά το 2011, ο σχετικός δείκτης υποχώρησε εκ νέου κατά 10,3% καταγράφοντας κάμψη εντονότερη της αντίστοιχης περυσινής (-6,3%)</w:t>
      </w:r>
      <w:r w:rsidR="00A72932">
        <w:rPr>
          <w:rFonts w:ascii="Tahoma" w:hAnsi="Tahoma" w:cs="Tahoma"/>
          <w:sz w:val="22"/>
          <w:szCs w:val="22"/>
        </w:rPr>
        <w:t>.</w:t>
      </w:r>
    </w:p>
    <w:p w:rsidR="00A72932" w:rsidRDefault="00A72932" w:rsidP="00A72932">
      <w:pPr>
        <w:spacing w:before="240" w:after="240" w:line="312" w:lineRule="auto"/>
        <w:jc w:val="both"/>
        <w:rPr>
          <w:rFonts w:ascii="Tahoma" w:hAnsi="Tahoma" w:cs="Tahoma"/>
          <w:sz w:val="22"/>
          <w:szCs w:val="22"/>
        </w:rPr>
      </w:pPr>
      <w:r w:rsidRPr="00A50CFB">
        <w:rPr>
          <w:rFonts w:ascii="Tahoma" w:hAnsi="Tahoma" w:cs="Tahoma"/>
          <w:sz w:val="22"/>
          <w:szCs w:val="22"/>
        </w:rPr>
        <w:t xml:space="preserve">Επτά στους οκτώ κλάδους του λιανικού εμπορίου </w:t>
      </w:r>
      <w:r>
        <w:rPr>
          <w:rFonts w:ascii="Tahoma" w:hAnsi="Tahoma" w:cs="Tahoma"/>
          <w:sz w:val="22"/>
          <w:szCs w:val="22"/>
        </w:rPr>
        <w:t>παρουσιάζουν απώλειες στο σύνολο του 2011. Στους κλάδους που κινούνται χειρότερα από το 2010, σημαντικές απώλειες καταγράφουν τα είδη ένδυσης/υπόδησης (-16,2% σε σχέση με -11,5% πέρυσι), τα καύσιμα και τα λιπαντικά αυτοκινήτων (-15,0% αντί -10,1%), τα έπιπλα και οικιακός εξοπλισμός (-14,7% έναντι -13,1%), τα τρόφιμα-ποτά (-13,5% σε σχέση με -4,8%), και τέλος ο κλάδος των φαρμάκων (-9,5% αντί -1,0%). Στους κλάδους που παρουσιάζουν ηπιότερη (αν και σταθερά πτωτική) μεταβο</w:t>
      </w:r>
      <w:r w:rsidR="00C71491">
        <w:rPr>
          <w:rFonts w:ascii="Tahoma" w:hAnsi="Tahoma" w:cs="Tahoma"/>
          <w:sz w:val="22"/>
          <w:szCs w:val="22"/>
        </w:rPr>
        <w:t xml:space="preserve">λή, </w:t>
      </w:r>
      <w:r>
        <w:rPr>
          <w:rFonts w:ascii="Tahoma" w:hAnsi="Tahoma" w:cs="Tahoma"/>
          <w:sz w:val="22"/>
          <w:szCs w:val="22"/>
        </w:rPr>
        <w:t xml:space="preserve">βρίσκονται τα μεγάλα καταστήματα τροφίμων (-3,9% </w:t>
      </w:r>
      <w:r>
        <w:rPr>
          <w:rFonts w:ascii="Tahoma" w:hAnsi="Tahoma" w:cs="Tahoma"/>
          <w:sz w:val="22"/>
          <w:szCs w:val="22"/>
        </w:rPr>
        <w:lastRenderedPageBreak/>
        <w:t>έναντι -5,1%) καθώς και τα βιβλία-χαρτικά (-2,4% σε σχέση με -4,1% πέρυσι).</w:t>
      </w:r>
    </w:p>
    <w:p w:rsidR="002A5D2E" w:rsidRDefault="002A5D2E" w:rsidP="002A5D2E">
      <w:pPr>
        <w:spacing w:before="240" w:after="240" w:line="312" w:lineRule="auto"/>
        <w:jc w:val="both"/>
        <w:rPr>
          <w:rFonts w:ascii="Tahoma" w:hAnsi="Tahoma" w:cs="Tahoma"/>
          <w:sz w:val="22"/>
          <w:szCs w:val="22"/>
        </w:rPr>
      </w:pPr>
      <w:r>
        <w:rPr>
          <w:rFonts w:ascii="Tahoma" w:hAnsi="Tahoma" w:cs="Tahoma"/>
          <w:sz w:val="22"/>
          <w:szCs w:val="22"/>
        </w:rPr>
        <w:t xml:space="preserve">Στον αντίποδα, ο μοναδικός κλάδος που σημειώνει αύξηση το 2011, είναι τα πολυκαταστήματα: σε ετήσια βάση ο όγκος αυξήθηκε κατά 2,5% μετά τη μείωση άνω του 11,5% το προηγούμενο έτος. </w:t>
      </w:r>
    </w:p>
    <w:p w:rsidR="004858C3" w:rsidRDefault="00B07258" w:rsidP="006D6FFC">
      <w:pPr>
        <w:spacing w:before="60" w:after="240" w:line="312" w:lineRule="auto"/>
        <w:jc w:val="both"/>
        <w:rPr>
          <w:rFonts w:ascii="Tahoma" w:hAnsi="Tahoma" w:cs="Tahoma"/>
          <w:sz w:val="22"/>
          <w:szCs w:val="22"/>
        </w:rPr>
      </w:pPr>
      <w:r>
        <w:rPr>
          <w:rFonts w:ascii="Tahoma" w:hAnsi="Tahoma" w:cs="Tahoma"/>
          <w:sz w:val="22"/>
          <w:szCs w:val="22"/>
        </w:rPr>
        <w:t xml:space="preserve">Οι πτωτικές τάσεις στο λιανικό εμπόριο έχουν αποτυπωθεί αρκετά νωρίς και στους πρόδρομους δείκτες των </w:t>
      </w:r>
      <w:r>
        <w:rPr>
          <w:rFonts w:ascii="Tahoma" w:hAnsi="Tahoma" w:cs="Tahoma"/>
          <w:b/>
          <w:sz w:val="22"/>
          <w:szCs w:val="22"/>
        </w:rPr>
        <w:t>Ερευνών Οικονομικής Συγκυρίας</w:t>
      </w:r>
      <w:r w:rsidRPr="005927E7">
        <w:rPr>
          <w:rFonts w:ascii="Tahoma" w:hAnsi="Tahoma" w:cs="Tahoma"/>
          <w:b/>
          <w:sz w:val="22"/>
          <w:szCs w:val="22"/>
        </w:rPr>
        <w:t xml:space="preserve"> </w:t>
      </w:r>
      <w:r>
        <w:rPr>
          <w:rFonts w:ascii="Tahoma" w:hAnsi="Tahoma" w:cs="Tahoma"/>
          <w:sz w:val="22"/>
          <w:szCs w:val="22"/>
        </w:rPr>
        <w:t>του ΙΟΒΕ. Μπορεί ο δείκτης προσδοκιών στο σύνολο του λιανικού εμπορίου να περιορίζεται το 2011 μόνο κατά 0,5% (έναντι</w:t>
      </w:r>
      <w:r w:rsidR="00C71491">
        <w:rPr>
          <w:rFonts w:ascii="Tahoma" w:hAnsi="Tahoma" w:cs="Tahoma"/>
          <w:sz w:val="22"/>
          <w:szCs w:val="22"/>
        </w:rPr>
        <w:t xml:space="preserve"> υποχώρησης κατά 26,4% το 2010), </w:t>
      </w:r>
      <w:r>
        <w:rPr>
          <w:rFonts w:ascii="Tahoma" w:hAnsi="Tahoma" w:cs="Tahoma"/>
          <w:sz w:val="22"/>
          <w:szCs w:val="22"/>
        </w:rPr>
        <w:t xml:space="preserve">ωστόσο στις επιμέρους κατηγορίες η απαισιοδοξία είναι έκδηλη. Παρά το γεγονός ότι έχει προεξοφληθεί ήδη από το 2010 η πολύ μεγάλη υποχώρηση της ζήτησης, υπάρχουν κλάδοι με ακόμα μεγαλύτερη υποχώρηση των επιχειρηματικών προσδοκιών. Στα </w:t>
      </w:r>
      <w:r w:rsidR="00C71491">
        <w:rPr>
          <w:rFonts w:ascii="Tahoma" w:hAnsi="Tahoma" w:cs="Tahoma"/>
          <w:sz w:val="22"/>
          <w:szCs w:val="22"/>
        </w:rPr>
        <w:t>Τρόφιμα</w:t>
      </w:r>
      <w:r>
        <w:rPr>
          <w:rFonts w:ascii="Tahoma" w:hAnsi="Tahoma" w:cs="Tahoma"/>
          <w:sz w:val="22"/>
          <w:szCs w:val="22"/>
        </w:rPr>
        <w:t xml:space="preserve"> σημειώνεται μάλλον προσαρμογή στα νέα δεδομένα, με τις προσδοκίες να σταθεροποιούνται.</w:t>
      </w:r>
      <w:r w:rsidR="006D6FFC">
        <w:rPr>
          <w:rFonts w:ascii="Tahoma" w:hAnsi="Tahoma" w:cs="Tahoma"/>
          <w:sz w:val="22"/>
          <w:szCs w:val="22"/>
        </w:rPr>
        <w:t xml:space="preserve"> </w:t>
      </w:r>
      <w:r w:rsidR="00C71491">
        <w:rPr>
          <w:rFonts w:ascii="Tahoma" w:hAnsi="Tahoma" w:cs="Tahoma"/>
          <w:sz w:val="22"/>
          <w:szCs w:val="22"/>
        </w:rPr>
        <w:t xml:space="preserve">Από την άλλη πλευρά, </w:t>
      </w:r>
      <w:r w:rsidR="006D6FFC">
        <w:rPr>
          <w:rFonts w:ascii="Tahoma" w:hAnsi="Tahoma" w:cs="Tahoma"/>
          <w:sz w:val="22"/>
          <w:szCs w:val="22"/>
        </w:rPr>
        <w:t xml:space="preserve">εξαίρεση φαίνεται να συνιστά ο κλάδος των Οχημάτων-Ανταλλακτικών όπου οι επιχειρηματικές προσδοκίες είναι βελτιωμένες σε σχέση με πέρυσι όχι όμως λόγω </w:t>
      </w:r>
      <w:r w:rsidR="006D6FFC" w:rsidRPr="00B3439D">
        <w:rPr>
          <w:rFonts w:ascii="Tahoma" w:hAnsi="Tahoma" w:cs="Tahoma"/>
          <w:sz w:val="22"/>
          <w:szCs w:val="22"/>
        </w:rPr>
        <w:t>υψηλότερων πωλήσεων, αλλά λόγω καλύτερης διαχείρισης των αποθεμάτων του κλάδου.</w:t>
      </w:r>
      <w:r w:rsidR="004858C3">
        <w:rPr>
          <w:rFonts w:ascii="Tahoma" w:hAnsi="Tahoma" w:cs="Tahoma"/>
          <w:sz w:val="22"/>
          <w:szCs w:val="22"/>
        </w:rPr>
        <w:t xml:space="preserve"> </w:t>
      </w:r>
      <w:r w:rsidR="00C71491">
        <w:rPr>
          <w:rFonts w:ascii="Tahoma" w:hAnsi="Tahoma" w:cs="Tahoma"/>
          <w:sz w:val="22"/>
          <w:szCs w:val="22"/>
        </w:rPr>
        <w:t xml:space="preserve">Πράγματι, </w:t>
      </w:r>
      <w:r w:rsidR="004858C3" w:rsidRPr="00B3439D">
        <w:rPr>
          <w:rFonts w:ascii="Tahoma" w:hAnsi="Tahoma" w:cs="Tahoma"/>
          <w:sz w:val="22"/>
          <w:szCs w:val="22"/>
        </w:rPr>
        <w:t>το πρόγραμμα απόσυρσης παρόλο που δεν ενίσχυσε τις πωλήσεις, εκτιμάται ότι βελτίωσε τη διαχείριση των αποθεμάτων εκ μέρους των εταιρειών με αποτέλεσμα ο δείκτης να ανέλθει το 2011.</w:t>
      </w:r>
    </w:p>
    <w:p w:rsidR="00C71491" w:rsidRDefault="00C71491" w:rsidP="006D6FFC">
      <w:pPr>
        <w:spacing w:before="60" w:after="240" w:line="312" w:lineRule="auto"/>
        <w:jc w:val="both"/>
        <w:rPr>
          <w:rFonts w:ascii="Tahoma" w:hAnsi="Tahoma" w:cs="Tahoma"/>
          <w:sz w:val="22"/>
          <w:szCs w:val="22"/>
        </w:rPr>
      </w:pPr>
      <w:r>
        <w:rPr>
          <w:rFonts w:ascii="Tahoma" w:hAnsi="Tahoma" w:cs="Tahoma"/>
          <w:sz w:val="22"/>
          <w:szCs w:val="22"/>
        </w:rPr>
        <w:t xml:space="preserve">Ήδη πάντως στις αρχές του 2012, </w:t>
      </w:r>
      <w:r w:rsidR="004858C3" w:rsidRPr="00B3439D">
        <w:rPr>
          <w:rFonts w:ascii="Tahoma" w:hAnsi="Tahoma" w:cs="Tahoma"/>
          <w:sz w:val="22"/>
          <w:szCs w:val="22"/>
        </w:rPr>
        <w:t xml:space="preserve">ο δείκτης κινείται πτωτικά. Έτσι, οι προβλέψεις για τις </w:t>
      </w:r>
      <w:r w:rsidR="004858C3" w:rsidRPr="00B3439D">
        <w:rPr>
          <w:rFonts w:ascii="Tahoma" w:hAnsi="Tahoma" w:cs="Tahoma"/>
          <w:sz w:val="22"/>
          <w:szCs w:val="22"/>
        </w:rPr>
        <w:lastRenderedPageBreak/>
        <w:t>πωλήσεις το επόμενο διάστημα, κατέγραψαν σημαντική υποχώρηση στους δύο πρώτους μήνες του 2012, ενώ και οι εκτιμήσεις για τις πωλήσεις του τελευταίου διαστήματος κινήθηκαν σε πολύ χαμηλά επίπεδα.</w:t>
      </w:r>
    </w:p>
    <w:p w:rsidR="004858C3" w:rsidRDefault="004858C3" w:rsidP="006D6FFC">
      <w:pPr>
        <w:spacing w:before="60" w:after="240" w:line="312" w:lineRule="auto"/>
        <w:jc w:val="both"/>
        <w:rPr>
          <w:rFonts w:ascii="Tahoma" w:hAnsi="Tahoma" w:cs="Tahoma"/>
          <w:sz w:val="22"/>
          <w:szCs w:val="22"/>
        </w:rPr>
      </w:pPr>
      <w:r w:rsidRPr="00B3439D">
        <w:rPr>
          <w:rFonts w:ascii="Tahoma" w:hAnsi="Tahoma" w:cs="Tahoma"/>
          <w:sz w:val="22"/>
          <w:szCs w:val="22"/>
        </w:rPr>
        <w:t>Ταυτόχρονα το ισοζύγιο της πρόθεσης αγοράς αυτοκινήτου διαμορφώθηκε σε πολύ αρνητικά επίπεδα τον Ιανουάριο, παρά τη σχετική βελτίωση σε σχέση με την προηγούμενη μέτρηση Οκτωβρίου, ενώ οι πιθανοί αγοραστές ανέρχονται περίπου στις 120 χιλ. για το επόμενο δωδεκάμηνο.</w:t>
      </w:r>
    </w:p>
    <w:p w:rsidR="0059097A" w:rsidRDefault="009C55C0" w:rsidP="00C71491">
      <w:pPr>
        <w:spacing w:before="240" w:after="240" w:line="312" w:lineRule="auto"/>
        <w:jc w:val="both"/>
        <w:rPr>
          <w:rFonts w:ascii="Tahoma" w:hAnsi="Tahoma" w:cs="Tahoma"/>
          <w:sz w:val="22"/>
          <w:szCs w:val="22"/>
        </w:rPr>
      </w:pPr>
      <w:r w:rsidRPr="00B3439D">
        <w:rPr>
          <w:rFonts w:ascii="Tahoma" w:hAnsi="Tahoma" w:cs="Tahoma"/>
          <w:sz w:val="22"/>
          <w:szCs w:val="22"/>
        </w:rPr>
        <w:t xml:space="preserve">Οι εξελίξεις αυτές επιδεινώνουν και την απασχόληση στον κλάδο αλλά και τη δομή του δικτύου, καθώς οι θέσεις εργασίας είναι </w:t>
      </w:r>
      <w:r w:rsidR="00BA1B31">
        <w:rPr>
          <w:rFonts w:ascii="Tahoma" w:hAnsi="Tahoma" w:cs="Tahoma"/>
          <w:sz w:val="22"/>
          <w:szCs w:val="22"/>
        </w:rPr>
        <w:br w:type="column"/>
      </w:r>
      <w:r w:rsidRPr="00B3439D">
        <w:rPr>
          <w:rFonts w:ascii="Tahoma" w:hAnsi="Tahoma" w:cs="Tahoma"/>
          <w:sz w:val="22"/>
          <w:szCs w:val="22"/>
        </w:rPr>
        <w:lastRenderedPageBreak/>
        <w:t>μειωμένες κατά 6 χιλ. στο τμήμα εμπορίας από την αρχή της κρίσης, ενώ τα καταστήματα έχουν μειωθεί κατά 615 πανελλαδικά, με μεγαλύτερη ένταση στα αποκλειστικά σημεία πώλησης, σύμφωνα με την έρευνα που πραγματοποίησε το ΙΟΒΕ σε συνεργασία με τις εταιρείες του κλάδου.</w:t>
      </w:r>
    </w:p>
    <w:p w:rsidR="00C71491" w:rsidRDefault="00C71491" w:rsidP="00C71491">
      <w:pPr>
        <w:spacing w:before="240" w:after="240" w:line="312" w:lineRule="auto"/>
        <w:jc w:val="both"/>
        <w:rPr>
          <w:rFonts w:ascii="Tahoma" w:hAnsi="Tahoma" w:cs="Tahoma"/>
          <w:b/>
          <w:i/>
          <w:sz w:val="22"/>
          <w:szCs w:val="22"/>
        </w:rPr>
      </w:pPr>
      <w:r w:rsidRPr="00C22303">
        <w:rPr>
          <w:rFonts w:ascii="Tahoma" w:hAnsi="Tahoma" w:cs="Tahoma"/>
          <w:b/>
          <w:i/>
          <w:sz w:val="22"/>
          <w:szCs w:val="22"/>
        </w:rPr>
        <w:t>Χονδρικό Εμπόριο</w:t>
      </w:r>
    </w:p>
    <w:p w:rsidR="00C71491" w:rsidRDefault="00C71491" w:rsidP="00C71491">
      <w:pPr>
        <w:spacing w:before="240" w:after="240" w:line="312" w:lineRule="auto"/>
        <w:jc w:val="both"/>
        <w:rPr>
          <w:rFonts w:ascii="Tahoma" w:hAnsi="Tahoma" w:cs="Tahoma"/>
          <w:sz w:val="22"/>
          <w:szCs w:val="22"/>
        </w:rPr>
      </w:pPr>
      <w:r>
        <w:rPr>
          <w:rFonts w:ascii="Tahoma" w:hAnsi="Tahoma" w:cs="Tahoma"/>
          <w:sz w:val="22"/>
          <w:szCs w:val="22"/>
        </w:rPr>
        <w:t>Η έντονη ύφεση του λιανικού εμπορίου δεν αφήνει ανεπηρέαστο και το χονδρικό εμπό</w:t>
      </w:r>
      <w:r w:rsidR="00624AD3">
        <w:rPr>
          <w:rFonts w:ascii="Tahoma" w:hAnsi="Tahoma" w:cs="Tahoma"/>
          <w:sz w:val="22"/>
          <w:szCs w:val="22"/>
        </w:rPr>
        <w:t xml:space="preserve">ριο, </w:t>
      </w:r>
      <w:r>
        <w:rPr>
          <w:rFonts w:ascii="Tahoma" w:hAnsi="Tahoma" w:cs="Tahoma"/>
          <w:sz w:val="22"/>
          <w:szCs w:val="22"/>
        </w:rPr>
        <w:t>το οποίο περιορίζεται στο σύνολο του 2011 φτάνοντας στα ιστορικά χαμηλά επίπεδα του 2005. Ο δείκτης κύκλου εργασιών</w:t>
      </w:r>
      <w:r>
        <w:rPr>
          <w:rStyle w:val="FootnoteReference"/>
          <w:rFonts w:cs="Tahoma"/>
          <w:sz w:val="22"/>
          <w:szCs w:val="22"/>
        </w:rPr>
        <w:footnoteReference w:id="10"/>
      </w:r>
      <w:r w:rsidRPr="00CF0387">
        <w:rPr>
          <w:rFonts w:ascii="Tahoma" w:hAnsi="Tahoma" w:cs="Tahoma"/>
          <w:sz w:val="22"/>
          <w:szCs w:val="22"/>
        </w:rPr>
        <w:t xml:space="preserve"> </w:t>
      </w:r>
      <w:r>
        <w:rPr>
          <w:rFonts w:ascii="Tahoma" w:hAnsi="Tahoma" w:cs="Tahoma"/>
          <w:sz w:val="22"/>
          <w:szCs w:val="22"/>
        </w:rPr>
        <w:t>συρρικνώνεται συνεχώς από το 2009, με αποτέλεσμα το 2011 να βρίσκεται στις 100,7 μονάδες σημειώνοντας απώλειες της τάξης του 13,4% σε σχέση με πέρυσι. Η υποτονική πορεία του λιανικού εμπορίου, καθώς και το ευρύτερο ασταθές οικονομικό και κοινωνικό κλίμα, δεν αναμένεται να διαφοροποιήσουν την εικόνα του χονδρικού εμπορίου μεσοπρόθεσμα.</w:t>
      </w:r>
    </w:p>
    <w:p w:rsidR="009C55C0" w:rsidRDefault="009C55C0" w:rsidP="006D6FFC">
      <w:pPr>
        <w:spacing w:before="60" w:after="240" w:line="312" w:lineRule="auto"/>
        <w:jc w:val="both"/>
        <w:rPr>
          <w:rFonts w:ascii="Tahoma" w:hAnsi="Tahoma" w:cs="Tahoma"/>
          <w:sz w:val="22"/>
          <w:szCs w:val="22"/>
        </w:rPr>
      </w:pPr>
    </w:p>
    <w:p w:rsidR="002A5D2E" w:rsidRPr="002A5D2E" w:rsidRDefault="002A5D2E" w:rsidP="002A5D2E">
      <w:pPr>
        <w:spacing w:before="240" w:after="240" w:line="312" w:lineRule="auto"/>
        <w:jc w:val="both"/>
        <w:rPr>
          <w:rFonts w:ascii="Tahoma" w:hAnsi="Tahoma" w:cs="Tahoma"/>
          <w:sz w:val="16"/>
          <w:szCs w:val="22"/>
        </w:rPr>
        <w:sectPr w:rsidR="002A5D2E" w:rsidRPr="002A5D2E" w:rsidSect="002A5D2E">
          <w:type w:val="continuous"/>
          <w:pgSz w:w="11906" w:h="16838"/>
          <w:pgMar w:top="1440" w:right="849" w:bottom="1440" w:left="1560" w:header="708" w:footer="708" w:gutter="0"/>
          <w:cols w:num="2" w:space="720"/>
          <w:docGrid w:linePitch="360"/>
        </w:sectPr>
      </w:pPr>
    </w:p>
    <w:p w:rsidR="004C4431" w:rsidRPr="00F97E27" w:rsidRDefault="004C4431" w:rsidP="00F97E27">
      <w:pPr>
        <w:spacing w:before="60" w:after="60"/>
        <w:jc w:val="center"/>
        <w:rPr>
          <w:rFonts w:ascii="Tahoma" w:hAnsi="Tahoma" w:cs="Tahoma"/>
          <w:b/>
          <w:szCs w:val="22"/>
        </w:rPr>
      </w:pPr>
      <w:r w:rsidRPr="00F97E27">
        <w:rPr>
          <w:rFonts w:ascii="Tahoma" w:hAnsi="Tahoma" w:cs="Tahoma"/>
          <w:b/>
          <w:szCs w:val="22"/>
        </w:rPr>
        <w:lastRenderedPageBreak/>
        <w:t>Διάγραμμα 3.3</w:t>
      </w:r>
    </w:p>
    <w:p w:rsidR="004C4431" w:rsidRPr="00F97E27" w:rsidRDefault="004C4431" w:rsidP="004C4431">
      <w:pPr>
        <w:spacing w:before="120" w:after="120"/>
        <w:jc w:val="center"/>
        <w:rPr>
          <w:rFonts w:ascii="Tahoma" w:hAnsi="Tahoma" w:cs="Tahoma"/>
          <w:szCs w:val="22"/>
        </w:rPr>
      </w:pPr>
      <w:r w:rsidRPr="00F97E27">
        <w:rPr>
          <w:rFonts w:ascii="Tahoma" w:hAnsi="Tahoma" w:cs="Tahoma"/>
          <w:szCs w:val="22"/>
        </w:rPr>
        <w:t>Δείκτης Όγκου Λιανικού Εμπορίου (2005=100) και Δείκτης Επιχειρηματικών Προσδοκιών στο Λιανικό Εμπόριο (1996-2006=100)</w:t>
      </w:r>
    </w:p>
    <w:p w:rsidR="004C4431" w:rsidRDefault="004C4431" w:rsidP="00C71491">
      <w:pPr>
        <w:spacing w:before="60" w:after="60" w:line="312" w:lineRule="auto"/>
        <w:jc w:val="center"/>
        <w:rPr>
          <w:rFonts w:ascii="Tahoma" w:hAnsi="Tahoma" w:cs="Tahoma"/>
          <w:sz w:val="22"/>
          <w:szCs w:val="22"/>
        </w:rPr>
      </w:pPr>
      <w:r>
        <w:rPr>
          <w:rFonts w:ascii="Tahoma" w:hAnsi="Tahoma" w:cs="Tahoma"/>
          <w:noProof/>
          <w:sz w:val="22"/>
          <w:szCs w:val="22"/>
          <w:lang w:val="en-US" w:eastAsia="en-US"/>
        </w:rPr>
        <w:drawing>
          <wp:inline distT="0" distB="0" distL="0" distR="0">
            <wp:extent cx="5241851" cy="2466753"/>
            <wp:effectExtent l="0" t="0" r="0" b="0"/>
            <wp:docPr id="267" name="Εικόνα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4C4431" w:rsidRDefault="004C4431" w:rsidP="004C4431">
      <w:pPr>
        <w:rPr>
          <w:rFonts w:ascii="Tahoma" w:hAnsi="Tahoma" w:cs="Tahoma"/>
          <w:sz w:val="16"/>
          <w:szCs w:val="22"/>
        </w:rPr>
      </w:pPr>
      <w:r w:rsidRPr="004C4431">
        <w:rPr>
          <w:rFonts w:ascii="Tahoma" w:hAnsi="Tahoma" w:cs="Tahoma"/>
          <w:b/>
          <w:sz w:val="16"/>
          <w:szCs w:val="22"/>
        </w:rPr>
        <w:t>Πηγή</w:t>
      </w:r>
      <w:r w:rsidRPr="004C4431">
        <w:rPr>
          <w:rFonts w:ascii="Tahoma" w:hAnsi="Tahoma" w:cs="Tahoma"/>
          <w:sz w:val="16"/>
          <w:szCs w:val="22"/>
        </w:rPr>
        <w:t>: ΙΟΒΕ</w:t>
      </w:r>
    </w:p>
    <w:p w:rsidR="002A5D2E" w:rsidRPr="00F97E27" w:rsidRDefault="002A5D2E" w:rsidP="00F97E27">
      <w:pPr>
        <w:spacing w:before="60" w:after="60"/>
        <w:jc w:val="center"/>
        <w:rPr>
          <w:rFonts w:ascii="Tahoma" w:hAnsi="Tahoma" w:cs="Tahoma"/>
          <w:b/>
          <w:szCs w:val="22"/>
        </w:rPr>
      </w:pPr>
      <w:r w:rsidRPr="00F97E27">
        <w:rPr>
          <w:rFonts w:ascii="Tahoma" w:hAnsi="Tahoma" w:cs="Tahoma"/>
          <w:b/>
          <w:szCs w:val="22"/>
        </w:rPr>
        <w:t>Πίνακας 3.4</w:t>
      </w:r>
    </w:p>
    <w:p w:rsidR="002A5D2E" w:rsidRPr="00F97E27" w:rsidRDefault="002A5D2E" w:rsidP="00C71491">
      <w:pPr>
        <w:spacing w:before="60" w:after="60"/>
        <w:jc w:val="center"/>
        <w:rPr>
          <w:rFonts w:ascii="Tahoma" w:hAnsi="Tahoma" w:cs="Tahoma"/>
          <w:szCs w:val="22"/>
        </w:rPr>
      </w:pPr>
      <w:r w:rsidRPr="00F97E27">
        <w:rPr>
          <w:rFonts w:ascii="Tahoma" w:hAnsi="Tahoma" w:cs="Tahoma"/>
          <w:szCs w:val="22"/>
        </w:rPr>
        <w:t>Ετήσιες Μεταβολές Δείκτη Όγκου στο Λιανικό Εμπόριο</w:t>
      </w:r>
    </w:p>
    <w:tbl>
      <w:tblPr>
        <w:tblpPr w:leftFromText="180" w:rightFromText="180" w:vertAnchor="text" w:horzAnchor="margin" w:tblpXSpec="center" w:tblpY="247"/>
        <w:tblW w:w="9287" w:type="dxa"/>
        <w:tblLook w:val="00A0"/>
      </w:tblPr>
      <w:tblGrid>
        <w:gridCol w:w="3368"/>
        <w:gridCol w:w="1050"/>
        <w:gridCol w:w="1050"/>
        <w:gridCol w:w="1050"/>
        <w:gridCol w:w="1565"/>
        <w:gridCol w:w="1204"/>
      </w:tblGrid>
      <w:tr w:rsidR="002A5D2E" w:rsidRPr="009C7D85" w:rsidTr="00C71491">
        <w:trPr>
          <w:trHeight w:val="93"/>
        </w:trPr>
        <w:tc>
          <w:tcPr>
            <w:tcW w:w="3368" w:type="dxa"/>
            <w:vMerge w:val="restart"/>
            <w:tcBorders>
              <w:top w:val="single" w:sz="8" w:space="0" w:color="auto"/>
              <w:left w:val="single" w:sz="8" w:space="0" w:color="auto"/>
              <w:bottom w:val="single" w:sz="4" w:space="0" w:color="000000"/>
              <w:right w:val="single" w:sz="4" w:space="0" w:color="auto"/>
            </w:tcBorders>
            <w:vAlign w:val="center"/>
          </w:tcPr>
          <w:p w:rsidR="002A5D2E" w:rsidRPr="00A36B46" w:rsidRDefault="002A5D2E" w:rsidP="002A5D2E">
            <w:pPr>
              <w:jc w:val="center"/>
              <w:rPr>
                <w:rFonts w:ascii="Tahoma" w:hAnsi="Tahoma" w:cs="Tahoma"/>
                <w:b/>
                <w:bCs/>
                <w:sz w:val="18"/>
                <w:szCs w:val="18"/>
              </w:rPr>
            </w:pPr>
            <w:r w:rsidRPr="00A36B46">
              <w:rPr>
                <w:rFonts w:ascii="Tahoma" w:hAnsi="Tahoma" w:cs="Tahoma"/>
                <w:b/>
                <w:bCs/>
                <w:sz w:val="18"/>
                <w:szCs w:val="18"/>
              </w:rPr>
              <w:t>Κατηγορίες καταστημάτων λιανικού εμπορίου</w:t>
            </w:r>
          </w:p>
        </w:tc>
        <w:tc>
          <w:tcPr>
            <w:tcW w:w="5918" w:type="dxa"/>
            <w:gridSpan w:val="5"/>
            <w:tcBorders>
              <w:top w:val="single" w:sz="8" w:space="0" w:color="auto"/>
              <w:left w:val="nil"/>
              <w:bottom w:val="single" w:sz="4" w:space="0" w:color="auto"/>
              <w:right w:val="single" w:sz="8" w:space="0" w:color="000000"/>
            </w:tcBorders>
            <w:noWrap/>
            <w:vAlign w:val="bottom"/>
          </w:tcPr>
          <w:p w:rsidR="002A5D2E" w:rsidRPr="00A36B46" w:rsidRDefault="002A5D2E" w:rsidP="002A5D2E">
            <w:pPr>
              <w:jc w:val="center"/>
              <w:rPr>
                <w:rFonts w:ascii="Tahoma" w:hAnsi="Tahoma" w:cs="Tahoma"/>
                <w:sz w:val="18"/>
              </w:rPr>
            </w:pPr>
            <w:r w:rsidRPr="00A36B46">
              <w:rPr>
                <w:rFonts w:ascii="Tahoma" w:hAnsi="Tahoma" w:cs="Tahoma"/>
                <w:sz w:val="18"/>
              </w:rPr>
              <w:t>Δείκτης Όγκου (2005=100)</w:t>
            </w:r>
          </w:p>
        </w:tc>
      </w:tr>
      <w:tr w:rsidR="002A5D2E" w:rsidRPr="009C7D85" w:rsidTr="00C71491">
        <w:trPr>
          <w:trHeight w:val="186"/>
        </w:trPr>
        <w:tc>
          <w:tcPr>
            <w:tcW w:w="3368" w:type="dxa"/>
            <w:vMerge/>
            <w:tcBorders>
              <w:top w:val="single" w:sz="8" w:space="0" w:color="auto"/>
              <w:left w:val="single" w:sz="8" w:space="0" w:color="auto"/>
              <w:bottom w:val="single" w:sz="4" w:space="0" w:color="000000"/>
              <w:right w:val="single" w:sz="4" w:space="0" w:color="auto"/>
            </w:tcBorders>
            <w:vAlign w:val="center"/>
          </w:tcPr>
          <w:p w:rsidR="002A5D2E" w:rsidRPr="00A36B46" w:rsidRDefault="002A5D2E" w:rsidP="002A5D2E">
            <w:pPr>
              <w:rPr>
                <w:rFonts w:ascii="Tahoma" w:hAnsi="Tahoma" w:cs="Tahoma"/>
                <w:b/>
                <w:bCs/>
                <w:sz w:val="18"/>
                <w:szCs w:val="18"/>
              </w:rPr>
            </w:pPr>
          </w:p>
        </w:tc>
        <w:tc>
          <w:tcPr>
            <w:tcW w:w="1050" w:type="dxa"/>
            <w:tcBorders>
              <w:top w:val="nil"/>
              <w:left w:val="nil"/>
              <w:bottom w:val="single" w:sz="4" w:space="0" w:color="auto"/>
              <w:right w:val="single" w:sz="4" w:space="0" w:color="auto"/>
            </w:tcBorders>
            <w:vAlign w:val="center"/>
          </w:tcPr>
          <w:p w:rsidR="002A5D2E" w:rsidRPr="00A36B46" w:rsidRDefault="002A5D2E" w:rsidP="002A5D2E">
            <w:pPr>
              <w:jc w:val="center"/>
              <w:rPr>
                <w:rFonts w:ascii="Tahoma" w:hAnsi="Tahoma" w:cs="Tahoma"/>
                <w:b/>
                <w:bCs/>
                <w:sz w:val="18"/>
              </w:rPr>
            </w:pPr>
            <w:r w:rsidRPr="00A36B46">
              <w:rPr>
                <w:rFonts w:ascii="Tahoma" w:hAnsi="Tahoma" w:cs="Tahoma"/>
                <w:b/>
                <w:bCs/>
                <w:sz w:val="18"/>
              </w:rPr>
              <w:t>2009</w:t>
            </w:r>
          </w:p>
        </w:tc>
        <w:tc>
          <w:tcPr>
            <w:tcW w:w="1050" w:type="dxa"/>
            <w:tcBorders>
              <w:top w:val="nil"/>
              <w:left w:val="nil"/>
              <w:bottom w:val="single" w:sz="4" w:space="0" w:color="auto"/>
              <w:right w:val="single" w:sz="4" w:space="0" w:color="auto"/>
            </w:tcBorders>
            <w:vAlign w:val="center"/>
          </w:tcPr>
          <w:p w:rsidR="002A5D2E" w:rsidRPr="00A36B46" w:rsidRDefault="002A5D2E" w:rsidP="002A5D2E">
            <w:pPr>
              <w:jc w:val="center"/>
              <w:rPr>
                <w:rFonts w:ascii="Tahoma" w:hAnsi="Tahoma" w:cs="Tahoma"/>
                <w:b/>
                <w:bCs/>
                <w:sz w:val="18"/>
              </w:rPr>
            </w:pPr>
            <w:r w:rsidRPr="00A36B46">
              <w:rPr>
                <w:rFonts w:ascii="Tahoma" w:hAnsi="Tahoma" w:cs="Tahoma"/>
                <w:b/>
                <w:bCs/>
                <w:sz w:val="18"/>
              </w:rPr>
              <w:t>2010</w:t>
            </w:r>
          </w:p>
        </w:tc>
        <w:tc>
          <w:tcPr>
            <w:tcW w:w="1050" w:type="dxa"/>
            <w:tcBorders>
              <w:top w:val="nil"/>
              <w:left w:val="nil"/>
              <w:bottom w:val="single" w:sz="4" w:space="0" w:color="auto"/>
              <w:right w:val="single" w:sz="4" w:space="0" w:color="auto"/>
            </w:tcBorders>
            <w:vAlign w:val="center"/>
          </w:tcPr>
          <w:p w:rsidR="002A5D2E" w:rsidRPr="00A36B46" w:rsidRDefault="002A5D2E" w:rsidP="002A5D2E">
            <w:pPr>
              <w:jc w:val="center"/>
              <w:rPr>
                <w:rFonts w:ascii="Tahoma" w:hAnsi="Tahoma" w:cs="Tahoma"/>
                <w:b/>
                <w:bCs/>
                <w:sz w:val="18"/>
              </w:rPr>
            </w:pPr>
            <w:r w:rsidRPr="00A36B46">
              <w:rPr>
                <w:rFonts w:ascii="Tahoma" w:hAnsi="Tahoma" w:cs="Tahoma"/>
                <w:b/>
                <w:bCs/>
                <w:sz w:val="18"/>
              </w:rPr>
              <w:t>2011</w:t>
            </w:r>
          </w:p>
        </w:tc>
        <w:tc>
          <w:tcPr>
            <w:tcW w:w="1565" w:type="dxa"/>
            <w:tcBorders>
              <w:top w:val="nil"/>
              <w:left w:val="nil"/>
              <w:bottom w:val="single" w:sz="4" w:space="0" w:color="auto"/>
              <w:right w:val="single" w:sz="4" w:space="0" w:color="auto"/>
            </w:tcBorders>
            <w:vAlign w:val="center"/>
          </w:tcPr>
          <w:p w:rsidR="002A5D2E" w:rsidRPr="00A36B46" w:rsidRDefault="002A5D2E" w:rsidP="002A5D2E">
            <w:pPr>
              <w:jc w:val="center"/>
              <w:rPr>
                <w:rFonts w:ascii="Tahoma" w:hAnsi="Tahoma" w:cs="Tahoma"/>
                <w:b/>
                <w:bCs/>
                <w:sz w:val="18"/>
              </w:rPr>
            </w:pPr>
            <w:r w:rsidRPr="00A36B46">
              <w:rPr>
                <w:rFonts w:ascii="Tahoma" w:hAnsi="Tahoma" w:cs="Tahoma"/>
                <w:b/>
                <w:bCs/>
                <w:sz w:val="18"/>
              </w:rPr>
              <w:t>Ετήσια Μεταβολή</w:t>
            </w:r>
          </w:p>
          <w:p w:rsidR="002A5D2E" w:rsidRPr="00A36B46" w:rsidRDefault="002A5D2E" w:rsidP="002A5D2E">
            <w:pPr>
              <w:jc w:val="center"/>
              <w:rPr>
                <w:rFonts w:ascii="Tahoma" w:hAnsi="Tahoma" w:cs="Tahoma"/>
                <w:b/>
                <w:bCs/>
                <w:sz w:val="18"/>
              </w:rPr>
            </w:pPr>
            <w:r w:rsidRPr="00A36B46">
              <w:rPr>
                <w:rFonts w:ascii="Tahoma" w:hAnsi="Tahoma" w:cs="Tahoma"/>
                <w:b/>
                <w:bCs/>
                <w:sz w:val="18"/>
              </w:rPr>
              <w:t>'10/'09</w:t>
            </w:r>
          </w:p>
        </w:tc>
        <w:tc>
          <w:tcPr>
            <w:tcW w:w="1203" w:type="dxa"/>
            <w:tcBorders>
              <w:top w:val="nil"/>
              <w:left w:val="nil"/>
              <w:bottom w:val="single" w:sz="4" w:space="0" w:color="auto"/>
              <w:right w:val="single" w:sz="8" w:space="0" w:color="auto"/>
            </w:tcBorders>
            <w:vAlign w:val="bottom"/>
          </w:tcPr>
          <w:p w:rsidR="002A5D2E" w:rsidRPr="00A36B46" w:rsidRDefault="002A5D2E" w:rsidP="002A5D2E">
            <w:pPr>
              <w:jc w:val="center"/>
              <w:rPr>
                <w:rFonts w:ascii="Tahoma" w:hAnsi="Tahoma" w:cs="Tahoma"/>
                <w:b/>
                <w:bCs/>
                <w:sz w:val="18"/>
              </w:rPr>
            </w:pPr>
            <w:r w:rsidRPr="00A36B46">
              <w:rPr>
                <w:rFonts w:ascii="Tahoma" w:hAnsi="Tahoma" w:cs="Tahoma"/>
                <w:b/>
                <w:bCs/>
                <w:sz w:val="18"/>
              </w:rPr>
              <w:t>Ετήσια Μεταβολή '11/'10</w:t>
            </w:r>
          </w:p>
        </w:tc>
      </w:tr>
      <w:tr w:rsidR="002A5D2E" w:rsidRPr="009C7D85" w:rsidTr="00C71491">
        <w:trPr>
          <w:trHeight w:val="93"/>
        </w:trPr>
        <w:tc>
          <w:tcPr>
            <w:tcW w:w="3368" w:type="dxa"/>
            <w:tcBorders>
              <w:top w:val="nil"/>
              <w:left w:val="single" w:sz="8" w:space="0" w:color="auto"/>
              <w:bottom w:val="single" w:sz="4" w:space="0" w:color="auto"/>
              <w:right w:val="single" w:sz="4" w:space="0" w:color="auto"/>
            </w:tcBorders>
            <w:noWrap/>
            <w:vAlign w:val="bottom"/>
          </w:tcPr>
          <w:p w:rsidR="002A5D2E" w:rsidRPr="009C7D85" w:rsidRDefault="002A5D2E" w:rsidP="002A5D2E">
            <w:pPr>
              <w:rPr>
                <w:rFonts w:ascii="Tahoma" w:hAnsi="Tahoma" w:cs="Tahoma"/>
              </w:rPr>
            </w:pPr>
            <w:r w:rsidRPr="009C7D85">
              <w:rPr>
                <w:rFonts w:ascii="Tahoma" w:hAnsi="Tahoma" w:cs="Tahoma"/>
              </w:rPr>
              <w:t>Γενικός Δείκτης</w:t>
            </w:r>
          </w:p>
        </w:tc>
        <w:tc>
          <w:tcPr>
            <w:tcW w:w="1050"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100,0</w:t>
            </w:r>
          </w:p>
        </w:tc>
        <w:tc>
          <w:tcPr>
            <w:tcW w:w="1050"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93,8</w:t>
            </w:r>
          </w:p>
        </w:tc>
        <w:tc>
          <w:tcPr>
            <w:tcW w:w="1050"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84,1</w:t>
            </w:r>
          </w:p>
        </w:tc>
        <w:tc>
          <w:tcPr>
            <w:tcW w:w="1565"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-6,2%</w:t>
            </w:r>
          </w:p>
        </w:tc>
        <w:tc>
          <w:tcPr>
            <w:tcW w:w="1203" w:type="dxa"/>
            <w:tcBorders>
              <w:top w:val="nil"/>
              <w:left w:val="nil"/>
              <w:bottom w:val="single" w:sz="4" w:space="0" w:color="auto"/>
              <w:right w:val="single" w:sz="8"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-10,3%</w:t>
            </w:r>
          </w:p>
        </w:tc>
      </w:tr>
      <w:tr w:rsidR="002A5D2E" w:rsidRPr="009C7D85" w:rsidTr="00C71491">
        <w:trPr>
          <w:trHeight w:val="462"/>
        </w:trPr>
        <w:tc>
          <w:tcPr>
            <w:tcW w:w="3368" w:type="dxa"/>
            <w:tcBorders>
              <w:top w:val="nil"/>
              <w:left w:val="single" w:sz="8" w:space="0" w:color="auto"/>
              <w:bottom w:val="single" w:sz="4" w:space="0" w:color="auto"/>
              <w:right w:val="single" w:sz="4" w:space="0" w:color="auto"/>
            </w:tcBorders>
            <w:vAlign w:val="bottom"/>
          </w:tcPr>
          <w:p w:rsidR="002A5D2E" w:rsidRPr="009C7D85" w:rsidRDefault="002A5D2E" w:rsidP="002A5D2E">
            <w:pPr>
              <w:rPr>
                <w:rFonts w:ascii="Tahoma" w:hAnsi="Tahoma" w:cs="Tahoma"/>
              </w:rPr>
            </w:pPr>
            <w:r w:rsidRPr="009C7D85">
              <w:rPr>
                <w:rFonts w:ascii="Tahoma" w:hAnsi="Tahoma" w:cs="Tahoma"/>
              </w:rPr>
              <w:t>Γενικός Δείκτης (εκτός καυσίμων και λιπαντικών αυτοκινήτων)</w:t>
            </w:r>
          </w:p>
        </w:tc>
        <w:tc>
          <w:tcPr>
            <w:tcW w:w="1050"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98,8</w:t>
            </w:r>
          </w:p>
        </w:tc>
        <w:tc>
          <w:tcPr>
            <w:tcW w:w="1050"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92,1</w:t>
            </w:r>
          </w:p>
        </w:tc>
        <w:tc>
          <w:tcPr>
            <w:tcW w:w="1050"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84,0</w:t>
            </w:r>
          </w:p>
        </w:tc>
        <w:tc>
          <w:tcPr>
            <w:tcW w:w="1565"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-6,8%</w:t>
            </w:r>
          </w:p>
        </w:tc>
        <w:tc>
          <w:tcPr>
            <w:tcW w:w="1203" w:type="dxa"/>
            <w:tcBorders>
              <w:top w:val="nil"/>
              <w:left w:val="nil"/>
              <w:bottom w:val="single" w:sz="4" w:space="0" w:color="auto"/>
              <w:right w:val="single" w:sz="8"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-8,8%</w:t>
            </w:r>
          </w:p>
        </w:tc>
      </w:tr>
      <w:tr w:rsidR="002A5D2E" w:rsidRPr="009C7D85" w:rsidTr="00C71491">
        <w:trPr>
          <w:trHeight w:val="93"/>
        </w:trPr>
        <w:tc>
          <w:tcPr>
            <w:tcW w:w="9287" w:type="dxa"/>
            <w:gridSpan w:val="6"/>
            <w:tcBorders>
              <w:top w:val="single" w:sz="4" w:space="0" w:color="auto"/>
              <w:left w:val="single" w:sz="8" w:space="0" w:color="auto"/>
              <w:bottom w:val="single" w:sz="4" w:space="0" w:color="auto"/>
              <w:right w:val="single" w:sz="8" w:space="0" w:color="000000"/>
            </w:tcBorders>
            <w:noWrap/>
            <w:vAlign w:val="bottom"/>
          </w:tcPr>
          <w:p w:rsidR="002A5D2E" w:rsidRPr="00C22303" w:rsidRDefault="002A5D2E" w:rsidP="002A5D2E">
            <w:pPr>
              <w:jc w:val="center"/>
              <w:rPr>
                <w:rFonts w:ascii="Tahoma" w:hAnsi="Tahoma" w:cs="Tahoma"/>
                <w:b/>
                <w:bCs/>
                <w:sz w:val="18"/>
              </w:rPr>
            </w:pPr>
            <w:r w:rsidRPr="00C22303">
              <w:rPr>
                <w:rFonts w:ascii="Tahoma" w:hAnsi="Tahoma" w:cs="Tahoma"/>
                <w:b/>
                <w:bCs/>
                <w:sz w:val="18"/>
              </w:rPr>
              <w:t>Επιμέρους κατηγορίες καταστημάτων</w:t>
            </w:r>
          </w:p>
        </w:tc>
      </w:tr>
      <w:tr w:rsidR="002A5D2E" w:rsidRPr="009C7D85" w:rsidTr="00C71491">
        <w:trPr>
          <w:trHeight w:val="93"/>
        </w:trPr>
        <w:tc>
          <w:tcPr>
            <w:tcW w:w="3368" w:type="dxa"/>
            <w:tcBorders>
              <w:top w:val="nil"/>
              <w:left w:val="single" w:sz="8" w:space="0" w:color="auto"/>
              <w:bottom w:val="single" w:sz="4" w:space="0" w:color="auto"/>
              <w:right w:val="single" w:sz="4" w:space="0" w:color="auto"/>
            </w:tcBorders>
            <w:noWrap/>
            <w:vAlign w:val="bottom"/>
          </w:tcPr>
          <w:p w:rsidR="002A5D2E" w:rsidRPr="009C7D85" w:rsidRDefault="002A5D2E" w:rsidP="002A5D2E">
            <w:pPr>
              <w:rPr>
                <w:rFonts w:ascii="Tahoma" w:hAnsi="Tahoma" w:cs="Tahoma"/>
              </w:rPr>
            </w:pPr>
            <w:r w:rsidRPr="009C7D85">
              <w:rPr>
                <w:rFonts w:ascii="Tahoma" w:hAnsi="Tahoma" w:cs="Tahoma"/>
              </w:rPr>
              <w:t>Μεγάλα καταστήματα τροφίμων</w:t>
            </w:r>
          </w:p>
        </w:tc>
        <w:tc>
          <w:tcPr>
            <w:tcW w:w="1050"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107,1</w:t>
            </w:r>
          </w:p>
        </w:tc>
        <w:tc>
          <w:tcPr>
            <w:tcW w:w="1050"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101,7</w:t>
            </w:r>
          </w:p>
        </w:tc>
        <w:tc>
          <w:tcPr>
            <w:tcW w:w="1050"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97,8</w:t>
            </w:r>
          </w:p>
        </w:tc>
        <w:tc>
          <w:tcPr>
            <w:tcW w:w="1565"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-5,1%</w:t>
            </w:r>
          </w:p>
        </w:tc>
        <w:tc>
          <w:tcPr>
            <w:tcW w:w="1203" w:type="dxa"/>
            <w:tcBorders>
              <w:top w:val="nil"/>
              <w:left w:val="nil"/>
              <w:bottom w:val="single" w:sz="4" w:space="0" w:color="auto"/>
              <w:right w:val="single" w:sz="8"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-3,9%</w:t>
            </w:r>
          </w:p>
        </w:tc>
      </w:tr>
      <w:tr w:rsidR="002A5D2E" w:rsidRPr="009C7D85" w:rsidTr="00C71491">
        <w:trPr>
          <w:trHeight w:val="93"/>
        </w:trPr>
        <w:tc>
          <w:tcPr>
            <w:tcW w:w="3368" w:type="dxa"/>
            <w:tcBorders>
              <w:top w:val="nil"/>
              <w:left w:val="single" w:sz="8" w:space="0" w:color="auto"/>
              <w:bottom w:val="single" w:sz="4" w:space="0" w:color="auto"/>
              <w:right w:val="single" w:sz="4" w:space="0" w:color="auto"/>
            </w:tcBorders>
            <w:noWrap/>
            <w:vAlign w:val="bottom"/>
          </w:tcPr>
          <w:p w:rsidR="002A5D2E" w:rsidRPr="009C7D85" w:rsidRDefault="002A5D2E" w:rsidP="002A5D2E">
            <w:pPr>
              <w:rPr>
                <w:rFonts w:ascii="Tahoma" w:hAnsi="Tahoma" w:cs="Tahoma"/>
              </w:rPr>
            </w:pPr>
            <w:r w:rsidRPr="009C7D85">
              <w:rPr>
                <w:rFonts w:ascii="Tahoma" w:hAnsi="Tahoma" w:cs="Tahoma"/>
              </w:rPr>
              <w:t>Πολυκαταστήματα</w:t>
            </w:r>
          </w:p>
        </w:tc>
        <w:tc>
          <w:tcPr>
            <w:tcW w:w="1050"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109,2</w:t>
            </w:r>
          </w:p>
        </w:tc>
        <w:tc>
          <w:tcPr>
            <w:tcW w:w="1050"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96,6</w:t>
            </w:r>
          </w:p>
        </w:tc>
        <w:tc>
          <w:tcPr>
            <w:tcW w:w="1050"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99,1</w:t>
            </w:r>
          </w:p>
        </w:tc>
        <w:tc>
          <w:tcPr>
            <w:tcW w:w="1565"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-11,5%</w:t>
            </w:r>
          </w:p>
        </w:tc>
        <w:tc>
          <w:tcPr>
            <w:tcW w:w="1203" w:type="dxa"/>
            <w:tcBorders>
              <w:top w:val="nil"/>
              <w:left w:val="nil"/>
              <w:bottom w:val="single" w:sz="4" w:space="0" w:color="auto"/>
              <w:right w:val="single" w:sz="8"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2,5%</w:t>
            </w:r>
          </w:p>
        </w:tc>
      </w:tr>
      <w:tr w:rsidR="002A5D2E" w:rsidRPr="009C7D85" w:rsidTr="00C71491">
        <w:trPr>
          <w:trHeight w:val="93"/>
        </w:trPr>
        <w:tc>
          <w:tcPr>
            <w:tcW w:w="3368" w:type="dxa"/>
            <w:tcBorders>
              <w:top w:val="nil"/>
              <w:left w:val="single" w:sz="8" w:space="0" w:color="auto"/>
              <w:bottom w:val="single" w:sz="4" w:space="0" w:color="auto"/>
              <w:right w:val="single" w:sz="4" w:space="0" w:color="auto"/>
            </w:tcBorders>
            <w:noWrap/>
            <w:vAlign w:val="bottom"/>
          </w:tcPr>
          <w:p w:rsidR="002A5D2E" w:rsidRPr="009C7D85" w:rsidRDefault="002A5D2E" w:rsidP="002A5D2E">
            <w:pPr>
              <w:rPr>
                <w:rFonts w:ascii="Tahoma" w:hAnsi="Tahoma" w:cs="Tahoma"/>
              </w:rPr>
            </w:pPr>
            <w:r w:rsidRPr="009C7D85">
              <w:rPr>
                <w:rFonts w:ascii="Tahoma" w:hAnsi="Tahoma" w:cs="Tahoma"/>
              </w:rPr>
              <w:t>Καύσιμα και Λιπαντικά Αυτοκινήτων</w:t>
            </w:r>
          </w:p>
        </w:tc>
        <w:tc>
          <w:tcPr>
            <w:tcW w:w="1050"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90,9</w:t>
            </w:r>
          </w:p>
        </w:tc>
        <w:tc>
          <w:tcPr>
            <w:tcW w:w="1050"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81,7</w:t>
            </w:r>
          </w:p>
        </w:tc>
        <w:tc>
          <w:tcPr>
            <w:tcW w:w="1050"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69,5</w:t>
            </w:r>
          </w:p>
        </w:tc>
        <w:tc>
          <w:tcPr>
            <w:tcW w:w="1565"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-10,1%</w:t>
            </w:r>
          </w:p>
        </w:tc>
        <w:tc>
          <w:tcPr>
            <w:tcW w:w="1203" w:type="dxa"/>
            <w:tcBorders>
              <w:top w:val="nil"/>
              <w:left w:val="nil"/>
              <w:bottom w:val="single" w:sz="4" w:space="0" w:color="auto"/>
              <w:right w:val="single" w:sz="8"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-15,0%</w:t>
            </w:r>
          </w:p>
        </w:tc>
      </w:tr>
      <w:tr w:rsidR="002A5D2E" w:rsidRPr="009C7D85" w:rsidTr="00C71491">
        <w:trPr>
          <w:trHeight w:val="93"/>
        </w:trPr>
        <w:tc>
          <w:tcPr>
            <w:tcW w:w="3368" w:type="dxa"/>
            <w:tcBorders>
              <w:top w:val="nil"/>
              <w:left w:val="single" w:sz="8" w:space="0" w:color="auto"/>
              <w:bottom w:val="single" w:sz="4" w:space="0" w:color="auto"/>
              <w:right w:val="single" w:sz="4" w:space="0" w:color="auto"/>
            </w:tcBorders>
            <w:noWrap/>
            <w:vAlign w:val="bottom"/>
          </w:tcPr>
          <w:p w:rsidR="002A5D2E" w:rsidRPr="009C7D85" w:rsidRDefault="002A5D2E" w:rsidP="002A5D2E">
            <w:pPr>
              <w:rPr>
                <w:rFonts w:ascii="Tahoma" w:hAnsi="Tahoma" w:cs="Tahoma"/>
              </w:rPr>
            </w:pPr>
            <w:r w:rsidRPr="009C7D85">
              <w:rPr>
                <w:rFonts w:ascii="Tahoma" w:hAnsi="Tahoma" w:cs="Tahoma"/>
              </w:rPr>
              <w:t xml:space="preserve">Τρόφιμα - Ποτά </w:t>
            </w:r>
            <w:r>
              <w:rPr>
                <w:rFonts w:ascii="Tahoma" w:hAnsi="Tahoma" w:cs="Tahoma"/>
              </w:rPr>
              <w:t>–</w:t>
            </w:r>
            <w:r w:rsidRPr="009C7D85">
              <w:rPr>
                <w:rFonts w:ascii="Tahoma" w:hAnsi="Tahoma" w:cs="Tahoma"/>
              </w:rPr>
              <w:t xml:space="preserve"> Καπνός</w:t>
            </w:r>
          </w:p>
        </w:tc>
        <w:tc>
          <w:tcPr>
            <w:tcW w:w="1050"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93,3</w:t>
            </w:r>
          </w:p>
        </w:tc>
        <w:tc>
          <w:tcPr>
            <w:tcW w:w="1050"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88,8</w:t>
            </w:r>
          </w:p>
        </w:tc>
        <w:tc>
          <w:tcPr>
            <w:tcW w:w="1050"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76,8</w:t>
            </w:r>
          </w:p>
        </w:tc>
        <w:tc>
          <w:tcPr>
            <w:tcW w:w="1565"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-4,8%</w:t>
            </w:r>
          </w:p>
        </w:tc>
        <w:tc>
          <w:tcPr>
            <w:tcW w:w="1203" w:type="dxa"/>
            <w:tcBorders>
              <w:top w:val="nil"/>
              <w:left w:val="nil"/>
              <w:bottom w:val="single" w:sz="4" w:space="0" w:color="auto"/>
              <w:right w:val="single" w:sz="8"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-13,5%</w:t>
            </w:r>
          </w:p>
        </w:tc>
      </w:tr>
      <w:tr w:rsidR="002A5D2E" w:rsidRPr="009C7D85" w:rsidTr="00C71491">
        <w:trPr>
          <w:trHeight w:val="93"/>
        </w:trPr>
        <w:tc>
          <w:tcPr>
            <w:tcW w:w="3368" w:type="dxa"/>
            <w:tcBorders>
              <w:top w:val="nil"/>
              <w:left w:val="single" w:sz="8" w:space="0" w:color="auto"/>
              <w:bottom w:val="single" w:sz="4" w:space="0" w:color="auto"/>
              <w:right w:val="single" w:sz="4" w:space="0" w:color="auto"/>
            </w:tcBorders>
            <w:noWrap/>
            <w:vAlign w:val="bottom"/>
          </w:tcPr>
          <w:p w:rsidR="002A5D2E" w:rsidRPr="009C7D85" w:rsidRDefault="002A5D2E" w:rsidP="002A5D2E">
            <w:pPr>
              <w:rPr>
                <w:rFonts w:ascii="Tahoma" w:hAnsi="Tahoma" w:cs="Tahoma"/>
              </w:rPr>
            </w:pPr>
            <w:r w:rsidRPr="009C7D85">
              <w:rPr>
                <w:rFonts w:ascii="Tahoma" w:hAnsi="Tahoma" w:cs="Tahoma"/>
              </w:rPr>
              <w:t>Φαρμακευτικά-Καλλυντικά</w:t>
            </w:r>
          </w:p>
        </w:tc>
        <w:tc>
          <w:tcPr>
            <w:tcW w:w="1050"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109,2</w:t>
            </w:r>
          </w:p>
        </w:tc>
        <w:tc>
          <w:tcPr>
            <w:tcW w:w="1050"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108,1</w:t>
            </w:r>
          </w:p>
        </w:tc>
        <w:tc>
          <w:tcPr>
            <w:tcW w:w="1050"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97,9</w:t>
            </w:r>
          </w:p>
        </w:tc>
        <w:tc>
          <w:tcPr>
            <w:tcW w:w="1565"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-1,0%</w:t>
            </w:r>
          </w:p>
        </w:tc>
        <w:tc>
          <w:tcPr>
            <w:tcW w:w="1203" w:type="dxa"/>
            <w:tcBorders>
              <w:top w:val="nil"/>
              <w:left w:val="nil"/>
              <w:bottom w:val="single" w:sz="4" w:space="0" w:color="auto"/>
              <w:right w:val="single" w:sz="8"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-9,5%</w:t>
            </w:r>
          </w:p>
        </w:tc>
      </w:tr>
      <w:tr w:rsidR="002A5D2E" w:rsidRPr="009C7D85" w:rsidTr="00C71491">
        <w:trPr>
          <w:trHeight w:val="93"/>
        </w:trPr>
        <w:tc>
          <w:tcPr>
            <w:tcW w:w="3368" w:type="dxa"/>
            <w:tcBorders>
              <w:top w:val="nil"/>
              <w:left w:val="single" w:sz="8" w:space="0" w:color="auto"/>
              <w:bottom w:val="single" w:sz="4" w:space="0" w:color="auto"/>
              <w:right w:val="single" w:sz="4" w:space="0" w:color="auto"/>
            </w:tcBorders>
            <w:noWrap/>
            <w:vAlign w:val="bottom"/>
          </w:tcPr>
          <w:p w:rsidR="002A5D2E" w:rsidRPr="009C7D85" w:rsidRDefault="002A5D2E" w:rsidP="002A5D2E">
            <w:pPr>
              <w:rPr>
                <w:rFonts w:ascii="Tahoma" w:hAnsi="Tahoma" w:cs="Tahoma"/>
              </w:rPr>
            </w:pPr>
            <w:r>
              <w:rPr>
                <w:rFonts w:ascii="Tahoma" w:hAnsi="Tahoma" w:cs="Tahoma"/>
              </w:rPr>
              <w:t>Έ</w:t>
            </w:r>
            <w:r w:rsidRPr="009C7D85">
              <w:rPr>
                <w:rFonts w:ascii="Tahoma" w:hAnsi="Tahoma" w:cs="Tahoma"/>
              </w:rPr>
              <w:t>νδυση-Υπόδηση</w:t>
            </w:r>
          </w:p>
        </w:tc>
        <w:tc>
          <w:tcPr>
            <w:tcW w:w="1050"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97,6</w:t>
            </w:r>
          </w:p>
        </w:tc>
        <w:tc>
          <w:tcPr>
            <w:tcW w:w="1050"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86,4</w:t>
            </w:r>
          </w:p>
        </w:tc>
        <w:tc>
          <w:tcPr>
            <w:tcW w:w="1050"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72,4</w:t>
            </w:r>
          </w:p>
        </w:tc>
        <w:tc>
          <w:tcPr>
            <w:tcW w:w="1565"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-11,5%</w:t>
            </w:r>
          </w:p>
        </w:tc>
        <w:tc>
          <w:tcPr>
            <w:tcW w:w="1203" w:type="dxa"/>
            <w:tcBorders>
              <w:top w:val="nil"/>
              <w:left w:val="nil"/>
              <w:bottom w:val="single" w:sz="4" w:space="0" w:color="auto"/>
              <w:right w:val="single" w:sz="8"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-16,2%</w:t>
            </w:r>
          </w:p>
        </w:tc>
      </w:tr>
      <w:tr w:rsidR="002A5D2E" w:rsidRPr="009C7D85" w:rsidTr="00C71491">
        <w:trPr>
          <w:trHeight w:val="93"/>
        </w:trPr>
        <w:tc>
          <w:tcPr>
            <w:tcW w:w="3368" w:type="dxa"/>
            <w:tcBorders>
              <w:top w:val="nil"/>
              <w:left w:val="single" w:sz="8" w:space="0" w:color="auto"/>
              <w:bottom w:val="single" w:sz="4" w:space="0" w:color="auto"/>
              <w:right w:val="single" w:sz="4" w:space="0" w:color="auto"/>
            </w:tcBorders>
            <w:noWrap/>
            <w:vAlign w:val="bottom"/>
          </w:tcPr>
          <w:p w:rsidR="002A5D2E" w:rsidRPr="009C7D85" w:rsidRDefault="002A5D2E" w:rsidP="002A5D2E">
            <w:pPr>
              <w:rPr>
                <w:rFonts w:ascii="Tahoma" w:hAnsi="Tahoma" w:cs="Tahoma"/>
              </w:rPr>
            </w:pPr>
            <w:r w:rsidRPr="009C7D85">
              <w:rPr>
                <w:rFonts w:ascii="Tahoma" w:hAnsi="Tahoma" w:cs="Tahoma"/>
              </w:rPr>
              <w:t>Έπιπλα-Ηλεκτρικά Είδη-Οικιακός Εξοπλισμός</w:t>
            </w:r>
          </w:p>
        </w:tc>
        <w:tc>
          <w:tcPr>
            <w:tcW w:w="1050"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101,7</w:t>
            </w:r>
          </w:p>
        </w:tc>
        <w:tc>
          <w:tcPr>
            <w:tcW w:w="1050"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88,4</w:t>
            </w:r>
          </w:p>
        </w:tc>
        <w:tc>
          <w:tcPr>
            <w:tcW w:w="1050"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75,4</w:t>
            </w:r>
          </w:p>
        </w:tc>
        <w:tc>
          <w:tcPr>
            <w:tcW w:w="1565" w:type="dxa"/>
            <w:tcBorders>
              <w:top w:val="nil"/>
              <w:left w:val="nil"/>
              <w:bottom w:val="single" w:sz="4"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-13,1%</w:t>
            </w:r>
          </w:p>
        </w:tc>
        <w:tc>
          <w:tcPr>
            <w:tcW w:w="1203" w:type="dxa"/>
            <w:tcBorders>
              <w:top w:val="nil"/>
              <w:left w:val="nil"/>
              <w:bottom w:val="single" w:sz="4" w:space="0" w:color="auto"/>
              <w:right w:val="single" w:sz="8"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-14,7%</w:t>
            </w:r>
          </w:p>
        </w:tc>
      </w:tr>
      <w:tr w:rsidR="002A5D2E" w:rsidRPr="009C7D85" w:rsidTr="00C71491">
        <w:trPr>
          <w:trHeight w:val="99"/>
        </w:trPr>
        <w:tc>
          <w:tcPr>
            <w:tcW w:w="3368" w:type="dxa"/>
            <w:tcBorders>
              <w:top w:val="nil"/>
              <w:left w:val="single" w:sz="8" w:space="0" w:color="auto"/>
              <w:bottom w:val="single" w:sz="8" w:space="0" w:color="auto"/>
              <w:right w:val="single" w:sz="4" w:space="0" w:color="auto"/>
            </w:tcBorders>
            <w:noWrap/>
            <w:vAlign w:val="bottom"/>
          </w:tcPr>
          <w:p w:rsidR="002A5D2E" w:rsidRPr="009C7D85" w:rsidRDefault="002A5D2E" w:rsidP="002A5D2E">
            <w:pPr>
              <w:rPr>
                <w:rFonts w:ascii="Tahoma" w:hAnsi="Tahoma" w:cs="Tahoma"/>
              </w:rPr>
            </w:pPr>
            <w:r w:rsidRPr="009C7D85">
              <w:rPr>
                <w:rFonts w:ascii="Tahoma" w:hAnsi="Tahoma" w:cs="Tahoma"/>
              </w:rPr>
              <w:t>Βιβλία-Χαρτικά-Λοιπά είδη δώρων</w:t>
            </w:r>
          </w:p>
        </w:tc>
        <w:tc>
          <w:tcPr>
            <w:tcW w:w="1050" w:type="dxa"/>
            <w:tcBorders>
              <w:top w:val="nil"/>
              <w:left w:val="nil"/>
              <w:bottom w:val="single" w:sz="8"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83,0</w:t>
            </w:r>
          </w:p>
        </w:tc>
        <w:tc>
          <w:tcPr>
            <w:tcW w:w="1050" w:type="dxa"/>
            <w:tcBorders>
              <w:top w:val="nil"/>
              <w:left w:val="nil"/>
              <w:bottom w:val="single" w:sz="8"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79,6</w:t>
            </w:r>
          </w:p>
        </w:tc>
        <w:tc>
          <w:tcPr>
            <w:tcW w:w="1050" w:type="dxa"/>
            <w:tcBorders>
              <w:top w:val="nil"/>
              <w:left w:val="nil"/>
              <w:bottom w:val="single" w:sz="8"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77,6</w:t>
            </w:r>
          </w:p>
        </w:tc>
        <w:tc>
          <w:tcPr>
            <w:tcW w:w="1565" w:type="dxa"/>
            <w:tcBorders>
              <w:top w:val="nil"/>
              <w:left w:val="nil"/>
              <w:bottom w:val="single" w:sz="8" w:space="0" w:color="auto"/>
              <w:right w:val="single" w:sz="4"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-4,1%</w:t>
            </w:r>
          </w:p>
        </w:tc>
        <w:tc>
          <w:tcPr>
            <w:tcW w:w="1203" w:type="dxa"/>
            <w:tcBorders>
              <w:top w:val="nil"/>
              <w:left w:val="nil"/>
              <w:bottom w:val="single" w:sz="8" w:space="0" w:color="auto"/>
              <w:right w:val="single" w:sz="8" w:space="0" w:color="auto"/>
            </w:tcBorders>
            <w:noWrap/>
            <w:vAlign w:val="center"/>
          </w:tcPr>
          <w:p w:rsidR="002A5D2E" w:rsidRPr="00C22303" w:rsidRDefault="002A5D2E" w:rsidP="002A5D2E">
            <w:pPr>
              <w:jc w:val="center"/>
              <w:rPr>
                <w:rFonts w:ascii="Tahoma" w:hAnsi="Tahoma" w:cs="Tahoma"/>
                <w:sz w:val="18"/>
              </w:rPr>
            </w:pPr>
            <w:r w:rsidRPr="00C22303">
              <w:rPr>
                <w:rFonts w:ascii="Tahoma" w:hAnsi="Tahoma" w:cs="Tahoma"/>
                <w:sz w:val="18"/>
              </w:rPr>
              <w:t>-2,4%</w:t>
            </w:r>
          </w:p>
        </w:tc>
      </w:tr>
    </w:tbl>
    <w:p w:rsidR="002A5D2E" w:rsidRPr="004C4431" w:rsidRDefault="002A5D2E" w:rsidP="00C71491">
      <w:pPr>
        <w:spacing w:before="20" w:after="60" w:line="312" w:lineRule="auto"/>
        <w:jc w:val="both"/>
        <w:rPr>
          <w:rFonts w:ascii="Tahoma" w:hAnsi="Tahoma" w:cs="Tahoma"/>
          <w:sz w:val="16"/>
          <w:szCs w:val="22"/>
        </w:rPr>
      </w:pPr>
      <w:r w:rsidRPr="004C4431">
        <w:rPr>
          <w:rFonts w:ascii="Tahoma" w:hAnsi="Tahoma" w:cs="Tahoma"/>
          <w:b/>
          <w:sz w:val="16"/>
          <w:szCs w:val="22"/>
        </w:rPr>
        <w:t>Πηγή</w:t>
      </w:r>
      <w:r w:rsidRPr="004C4431">
        <w:rPr>
          <w:rFonts w:ascii="Tahoma" w:hAnsi="Tahoma" w:cs="Tahoma"/>
          <w:sz w:val="16"/>
          <w:szCs w:val="22"/>
        </w:rPr>
        <w:t>: ΙΟΒΕ</w:t>
      </w:r>
    </w:p>
    <w:p w:rsidR="004C4431" w:rsidRPr="00F97E27" w:rsidRDefault="004C4431" w:rsidP="00F97E27">
      <w:pPr>
        <w:jc w:val="center"/>
        <w:rPr>
          <w:rFonts w:ascii="Tahoma" w:hAnsi="Tahoma" w:cs="Tahoma"/>
          <w:b/>
          <w:szCs w:val="22"/>
        </w:rPr>
      </w:pPr>
      <w:r w:rsidRPr="00F97E27">
        <w:rPr>
          <w:rFonts w:ascii="Tahoma" w:hAnsi="Tahoma" w:cs="Tahoma"/>
          <w:b/>
          <w:szCs w:val="22"/>
        </w:rPr>
        <w:t>Πίνακας 3.5</w:t>
      </w:r>
    </w:p>
    <w:p w:rsidR="004C4431" w:rsidRPr="00F97E27" w:rsidRDefault="004C4431" w:rsidP="004C4431">
      <w:pPr>
        <w:spacing w:before="120" w:after="120"/>
        <w:jc w:val="center"/>
        <w:rPr>
          <w:rFonts w:ascii="Tahoma" w:hAnsi="Tahoma" w:cs="Tahoma"/>
          <w:szCs w:val="22"/>
        </w:rPr>
      </w:pPr>
      <w:r w:rsidRPr="00F97E27">
        <w:rPr>
          <w:rFonts w:ascii="Tahoma" w:hAnsi="Tahoma" w:cs="Tahoma"/>
          <w:szCs w:val="22"/>
        </w:rPr>
        <w:t>Κλαδικοί Δείκτες Επιχειρηματικών Προσδοκιών στο Λιανικό Εμπόριο (1996-2006=100)</w:t>
      </w:r>
    </w:p>
    <w:tbl>
      <w:tblPr>
        <w:tblW w:w="8002" w:type="dxa"/>
        <w:jc w:val="center"/>
        <w:tblInd w:w="98" w:type="dxa"/>
        <w:tblLayout w:type="fixed"/>
        <w:tblLook w:val="00A0"/>
      </w:tblPr>
      <w:tblGrid>
        <w:gridCol w:w="2699"/>
        <w:gridCol w:w="1109"/>
        <w:gridCol w:w="980"/>
        <w:gridCol w:w="1017"/>
        <w:gridCol w:w="1018"/>
        <w:gridCol w:w="1179"/>
      </w:tblGrid>
      <w:tr w:rsidR="004C4431" w:rsidRPr="001E55D1" w:rsidTr="00F97E27">
        <w:trPr>
          <w:trHeight w:val="484"/>
          <w:jc w:val="center"/>
        </w:trPr>
        <w:tc>
          <w:tcPr>
            <w:tcW w:w="2699" w:type="dxa"/>
            <w:tcBorders>
              <w:top w:val="single" w:sz="8" w:space="0" w:color="auto"/>
              <w:left w:val="single" w:sz="8" w:space="0" w:color="auto"/>
              <w:bottom w:val="single" w:sz="4" w:space="0" w:color="auto"/>
              <w:right w:val="single" w:sz="4" w:space="0" w:color="auto"/>
            </w:tcBorders>
            <w:noWrap/>
            <w:vAlign w:val="center"/>
          </w:tcPr>
          <w:p w:rsidR="004C4431" w:rsidRPr="001E55D1" w:rsidRDefault="004C4431" w:rsidP="000C0DB3">
            <w:pPr>
              <w:jc w:val="center"/>
              <w:rPr>
                <w:rFonts w:ascii="Tahoma" w:hAnsi="Tahoma" w:cs="Tahoma"/>
                <w:sz w:val="18"/>
                <w:szCs w:val="18"/>
              </w:rPr>
            </w:pPr>
          </w:p>
        </w:tc>
        <w:tc>
          <w:tcPr>
            <w:tcW w:w="1109" w:type="dxa"/>
            <w:tcBorders>
              <w:top w:val="single" w:sz="8" w:space="0" w:color="auto"/>
              <w:left w:val="nil"/>
              <w:bottom w:val="single" w:sz="4" w:space="0" w:color="auto"/>
              <w:right w:val="single" w:sz="4" w:space="0" w:color="auto"/>
            </w:tcBorders>
            <w:vAlign w:val="center"/>
          </w:tcPr>
          <w:p w:rsidR="004C4431" w:rsidRPr="001E55D1" w:rsidRDefault="004C4431" w:rsidP="000C0DB3">
            <w:pPr>
              <w:jc w:val="center"/>
              <w:rPr>
                <w:rFonts w:ascii="Tahoma" w:hAnsi="Tahoma" w:cs="Tahoma"/>
                <w:b/>
                <w:bCs/>
                <w:sz w:val="18"/>
                <w:szCs w:val="18"/>
              </w:rPr>
            </w:pPr>
            <w:r w:rsidRPr="001E55D1">
              <w:rPr>
                <w:rFonts w:ascii="Tahoma" w:hAnsi="Tahoma" w:cs="Tahoma"/>
                <w:b/>
                <w:bCs/>
                <w:sz w:val="18"/>
                <w:szCs w:val="18"/>
              </w:rPr>
              <w:t>2009</w:t>
            </w:r>
          </w:p>
        </w:tc>
        <w:tc>
          <w:tcPr>
            <w:tcW w:w="980" w:type="dxa"/>
            <w:tcBorders>
              <w:top w:val="single" w:sz="8" w:space="0" w:color="auto"/>
              <w:left w:val="nil"/>
              <w:bottom w:val="single" w:sz="4" w:space="0" w:color="auto"/>
              <w:right w:val="single" w:sz="4" w:space="0" w:color="auto"/>
            </w:tcBorders>
            <w:vAlign w:val="center"/>
          </w:tcPr>
          <w:p w:rsidR="004C4431" w:rsidRPr="001E55D1" w:rsidRDefault="004C4431" w:rsidP="000C0DB3">
            <w:pPr>
              <w:jc w:val="center"/>
              <w:rPr>
                <w:rFonts w:ascii="Tahoma" w:hAnsi="Tahoma" w:cs="Tahoma"/>
                <w:b/>
                <w:bCs/>
                <w:sz w:val="18"/>
                <w:szCs w:val="18"/>
              </w:rPr>
            </w:pPr>
            <w:r w:rsidRPr="001E55D1">
              <w:rPr>
                <w:rFonts w:ascii="Tahoma" w:hAnsi="Tahoma" w:cs="Tahoma"/>
                <w:b/>
                <w:bCs/>
                <w:sz w:val="18"/>
                <w:szCs w:val="18"/>
              </w:rPr>
              <w:t>2010</w:t>
            </w:r>
          </w:p>
        </w:tc>
        <w:tc>
          <w:tcPr>
            <w:tcW w:w="1017" w:type="dxa"/>
            <w:tcBorders>
              <w:top w:val="single" w:sz="8" w:space="0" w:color="auto"/>
              <w:left w:val="nil"/>
              <w:bottom w:val="single" w:sz="4" w:space="0" w:color="auto"/>
              <w:right w:val="single" w:sz="4" w:space="0" w:color="auto"/>
            </w:tcBorders>
            <w:vAlign w:val="center"/>
          </w:tcPr>
          <w:p w:rsidR="004C4431" w:rsidRPr="001E55D1" w:rsidRDefault="004C4431" w:rsidP="000C0DB3">
            <w:pPr>
              <w:jc w:val="center"/>
              <w:rPr>
                <w:rFonts w:ascii="Tahoma" w:hAnsi="Tahoma" w:cs="Tahoma"/>
                <w:b/>
                <w:bCs/>
                <w:sz w:val="18"/>
                <w:szCs w:val="18"/>
              </w:rPr>
            </w:pPr>
            <w:r w:rsidRPr="001E55D1">
              <w:rPr>
                <w:rFonts w:ascii="Tahoma" w:hAnsi="Tahoma" w:cs="Tahoma"/>
                <w:b/>
                <w:bCs/>
                <w:sz w:val="18"/>
                <w:szCs w:val="18"/>
              </w:rPr>
              <w:t>2011</w:t>
            </w:r>
          </w:p>
        </w:tc>
        <w:tc>
          <w:tcPr>
            <w:tcW w:w="1018" w:type="dxa"/>
            <w:tcBorders>
              <w:top w:val="single" w:sz="8" w:space="0" w:color="auto"/>
              <w:left w:val="nil"/>
              <w:bottom w:val="single" w:sz="4" w:space="0" w:color="auto"/>
              <w:right w:val="single" w:sz="4" w:space="0" w:color="auto"/>
            </w:tcBorders>
            <w:vAlign w:val="center"/>
          </w:tcPr>
          <w:p w:rsidR="004C4431" w:rsidRPr="001E55D1" w:rsidRDefault="004C4431" w:rsidP="000C0DB3">
            <w:pPr>
              <w:jc w:val="center"/>
              <w:rPr>
                <w:rFonts w:ascii="Tahoma" w:hAnsi="Tahoma" w:cs="Tahoma"/>
                <w:b/>
                <w:bCs/>
                <w:sz w:val="18"/>
                <w:szCs w:val="18"/>
              </w:rPr>
            </w:pPr>
            <w:r w:rsidRPr="001E55D1">
              <w:rPr>
                <w:rFonts w:ascii="Tahoma" w:hAnsi="Tahoma" w:cs="Tahoma"/>
                <w:b/>
                <w:bCs/>
                <w:sz w:val="18"/>
                <w:szCs w:val="18"/>
              </w:rPr>
              <w:t>ΠΜ % '10/'09</w:t>
            </w:r>
          </w:p>
        </w:tc>
        <w:tc>
          <w:tcPr>
            <w:tcW w:w="1179" w:type="dxa"/>
            <w:tcBorders>
              <w:top w:val="single" w:sz="8" w:space="0" w:color="auto"/>
              <w:left w:val="nil"/>
              <w:bottom w:val="nil"/>
              <w:right w:val="single" w:sz="8" w:space="0" w:color="auto"/>
            </w:tcBorders>
            <w:vAlign w:val="center"/>
          </w:tcPr>
          <w:p w:rsidR="004C4431" w:rsidRPr="001E55D1" w:rsidRDefault="004C4431" w:rsidP="000C0DB3">
            <w:pPr>
              <w:jc w:val="center"/>
              <w:rPr>
                <w:rFonts w:ascii="Tahoma" w:hAnsi="Tahoma" w:cs="Tahoma"/>
                <w:b/>
                <w:bCs/>
                <w:sz w:val="18"/>
                <w:szCs w:val="18"/>
              </w:rPr>
            </w:pPr>
            <w:r w:rsidRPr="001E55D1">
              <w:rPr>
                <w:rFonts w:ascii="Tahoma" w:hAnsi="Tahoma" w:cs="Tahoma"/>
                <w:b/>
                <w:bCs/>
                <w:sz w:val="18"/>
                <w:szCs w:val="18"/>
              </w:rPr>
              <w:t>ΠΜ % '11/'10</w:t>
            </w:r>
          </w:p>
        </w:tc>
      </w:tr>
      <w:tr w:rsidR="004C4431" w:rsidRPr="001E55D1" w:rsidTr="00F97E27">
        <w:trPr>
          <w:trHeight w:val="242"/>
          <w:jc w:val="center"/>
        </w:trPr>
        <w:tc>
          <w:tcPr>
            <w:tcW w:w="2699" w:type="dxa"/>
            <w:tcBorders>
              <w:top w:val="nil"/>
              <w:left w:val="single" w:sz="8" w:space="0" w:color="auto"/>
              <w:bottom w:val="single" w:sz="4" w:space="0" w:color="auto"/>
              <w:right w:val="single" w:sz="4" w:space="0" w:color="auto"/>
            </w:tcBorders>
            <w:noWrap/>
            <w:vAlign w:val="center"/>
          </w:tcPr>
          <w:p w:rsidR="004C4431" w:rsidRPr="001E55D1" w:rsidRDefault="004C4431" w:rsidP="000C0DB3">
            <w:pPr>
              <w:jc w:val="center"/>
              <w:rPr>
                <w:rFonts w:ascii="Tahoma" w:hAnsi="Tahoma" w:cs="Tahoma"/>
                <w:sz w:val="18"/>
                <w:szCs w:val="18"/>
              </w:rPr>
            </w:pPr>
            <w:r w:rsidRPr="001E55D1">
              <w:rPr>
                <w:rFonts w:ascii="Tahoma" w:hAnsi="Tahoma" w:cs="Tahoma"/>
                <w:sz w:val="18"/>
                <w:szCs w:val="18"/>
              </w:rPr>
              <w:t>Τρόφιμα - Ποτά - Καπνός</w:t>
            </w:r>
          </w:p>
        </w:tc>
        <w:tc>
          <w:tcPr>
            <w:tcW w:w="1109" w:type="dxa"/>
            <w:tcBorders>
              <w:top w:val="nil"/>
              <w:left w:val="nil"/>
              <w:bottom w:val="single" w:sz="4" w:space="0" w:color="auto"/>
              <w:right w:val="single" w:sz="4" w:space="0" w:color="auto"/>
            </w:tcBorders>
            <w:noWrap/>
            <w:vAlign w:val="center"/>
          </w:tcPr>
          <w:p w:rsidR="004C4431" w:rsidRPr="001E55D1" w:rsidRDefault="004C4431" w:rsidP="000C0DB3">
            <w:pPr>
              <w:jc w:val="center"/>
              <w:rPr>
                <w:rFonts w:ascii="Tahoma" w:hAnsi="Tahoma" w:cs="Tahoma"/>
                <w:sz w:val="18"/>
                <w:szCs w:val="18"/>
              </w:rPr>
            </w:pPr>
            <w:r w:rsidRPr="001E55D1">
              <w:rPr>
                <w:rFonts w:ascii="Tahoma" w:hAnsi="Tahoma" w:cs="Tahoma"/>
                <w:sz w:val="18"/>
                <w:szCs w:val="18"/>
              </w:rPr>
              <w:t>87,9</w:t>
            </w:r>
          </w:p>
        </w:tc>
        <w:tc>
          <w:tcPr>
            <w:tcW w:w="980" w:type="dxa"/>
            <w:tcBorders>
              <w:top w:val="nil"/>
              <w:left w:val="nil"/>
              <w:bottom w:val="single" w:sz="4" w:space="0" w:color="auto"/>
              <w:right w:val="single" w:sz="4" w:space="0" w:color="auto"/>
            </w:tcBorders>
            <w:noWrap/>
            <w:vAlign w:val="center"/>
          </w:tcPr>
          <w:p w:rsidR="004C4431" w:rsidRPr="001E55D1" w:rsidRDefault="004C4431" w:rsidP="000C0DB3">
            <w:pPr>
              <w:jc w:val="center"/>
              <w:rPr>
                <w:rFonts w:ascii="Tahoma" w:hAnsi="Tahoma" w:cs="Tahoma"/>
                <w:sz w:val="18"/>
                <w:szCs w:val="18"/>
              </w:rPr>
            </w:pPr>
            <w:r w:rsidRPr="001E55D1">
              <w:rPr>
                <w:rFonts w:ascii="Tahoma" w:hAnsi="Tahoma" w:cs="Tahoma"/>
                <w:sz w:val="18"/>
                <w:szCs w:val="18"/>
              </w:rPr>
              <w:t>76,3</w:t>
            </w:r>
          </w:p>
        </w:tc>
        <w:tc>
          <w:tcPr>
            <w:tcW w:w="1017" w:type="dxa"/>
            <w:tcBorders>
              <w:top w:val="nil"/>
              <w:left w:val="nil"/>
              <w:bottom w:val="single" w:sz="4" w:space="0" w:color="auto"/>
              <w:right w:val="single" w:sz="4" w:space="0" w:color="auto"/>
            </w:tcBorders>
            <w:noWrap/>
            <w:vAlign w:val="center"/>
          </w:tcPr>
          <w:p w:rsidR="004C4431" w:rsidRPr="001E55D1" w:rsidRDefault="004C4431" w:rsidP="000C0DB3">
            <w:pPr>
              <w:jc w:val="center"/>
              <w:rPr>
                <w:rFonts w:ascii="Tahoma" w:hAnsi="Tahoma" w:cs="Tahoma"/>
                <w:sz w:val="18"/>
                <w:szCs w:val="18"/>
              </w:rPr>
            </w:pPr>
            <w:r w:rsidRPr="001E55D1">
              <w:rPr>
                <w:rFonts w:ascii="Tahoma" w:hAnsi="Tahoma" w:cs="Tahoma"/>
                <w:sz w:val="18"/>
                <w:szCs w:val="18"/>
              </w:rPr>
              <w:t>80,6</w:t>
            </w:r>
          </w:p>
        </w:tc>
        <w:tc>
          <w:tcPr>
            <w:tcW w:w="1018" w:type="dxa"/>
            <w:tcBorders>
              <w:top w:val="nil"/>
              <w:left w:val="nil"/>
              <w:bottom w:val="single" w:sz="4" w:space="0" w:color="auto"/>
              <w:right w:val="single" w:sz="4" w:space="0" w:color="auto"/>
            </w:tcBorders>
            <w:noWrap/>
            <w:vAlign w:val="center"/>
          </w:tcPr>
          <w:p w:rsidR="004C4431" w:rsidRPr="001E55D1" w:rsidRDefault="004C4431" w:rsidP="000C0DB3">
            <w:pPr>
              <w:jc w:val="center"/>
              <w:rPr>
                <w:rFonts w:ascii="Tahoma" w:hAnsi="Tahoma" w:cs="Tahoma"/>
                <w:sz w:val="18"/>
                <w:szCs w:val="18"/>
              </w:rPr>
            </w:pPr>
            <w:r w:rsidRPr="002C245A">
              <w:rPr>
                <w:rFonts w:ascii="Tahoma" w:hAnsi="Tahoma" w:cs="Tahoma"/>
                <w:sz w:val="18"/>
                <w:szCs w:val="18"/>
              </w:rPr>
              <w:t>-13,2%</w:t>
            </w:r>
          </w:p>
        </w:tc>
        <w:tc>
          <w:tcPr>
            <w:tcW w:w="1179" w:type="dxa"/>
            <w:tcBorders>
              <w:top w:val="single" w:sz="4" w:space="0" w:color="auto"/>
              <w:left w:val="nil"/>
              <w:bottom w:val="single" w:sz="4" w:space="0" w:color="auto"/>
              <w:right w:val="single" w:sz="8" w:space="0" w:color="auto"/>
            </w:tcBorders>
            <w:noWrap/>
            <w:vAlign w:val="center"/>
          </w:tcPr>
          <w:p w:rsidR="004C4431" w:rsidRPr="001E55D1" w:rsidRDefault="004C4431" w:rsidP="000C0DB3">
            <w:pPr>
              <w:jc w:val="center"/>
              <w:rPr>
                <w:rFonts w:ascii="Tahoma" w:hAnsi="Tahoma" w:cs="Tahoma"/>
                <w:sz w:val="18"/>
                <w:szCs w:val="18"/>
              </w:rPr>
            </w:pPr>
            <w:r w:rsidRPr="001E55D1">
              <w:rPr>
                <w:rFonts w:ascii="Tahoma" w:hAnsi="Tahoma" w:cs="Tahoma"/>
                <w:sz w:val="18"/>
                <w:szCs w:val="18"/>
              </w:rPr>
              <w:t>5,6%</w:t>
            </w:r>
          </w:p>
        </w:tc>
      </w:tr>
      <w:tr w:rsidR="004C4431" w:rsidRPr="001E55D1" w:rsidTr="00F97E27">
        <w:trPr>
          <w:trHeight w:val="242"/>
          <w:jc w:val="center"/>
        </w:trPr>
        <w:tc>
          <w:tcPr>
            <w:tcW w:w="2699" w:type="dxa"/>
            <w:tcBorders>
              <w:top w:val="nil"/>
              <w:left w:val="single" w:sz="8" w:space="0" w:color="auto"/>
              <w:bottom w:val="single" w:sz="4" w:space="0" w:color="auto"/>
              <w:right w:val="single" w:sz="4" w:space="0" w:color="auto"/>
            </w:tcBorders>
            <w:noWrap/>
            <w:vAlign w:val="center"/>
          </w:tcPr>
          <w:p w:rsidR="004C4431" w:rsidRPr="001E55D1" w:rsidRDefault="004C4431" w:rsidP="000C0DB3">
            <w:pPr>
              <w:jc w:val="center"/>
              <w:rPr>
                <w:rFonts w:ascii="Tahoma" w:hAnsi="Tahoma" w:cs="Tahoma"/>
                <w:sz w:val="18"/>
                <w:szCs w:val="18"/>
              </w:rPr>
            </w:pPr>
            <w:r w:rsidRPr="001E55D1">
              <w:rPr>
                <w:rFonts w:ascii="Tahoma" w:hAnsi="Tahoma" w:cs="Tahoma"/>
                <w:sz w:val="18"/>
                <w:szCs w:val="18"/>
              </w:rPr>
              <w:t>Υφάσματα - Ένδυση - Υπόδηση</w:t>
            </w:r>
          </w:p>
        </w:tc>
        <w:tc>
          <w:tcPr>
            <w:tcW w:w="1109" w:type="dxa"/>
            <w:tcBorders>
              <w:top w:val="nil"/>
              <w:left w:val="nil"/>
              <w:bottom w:val="single" w:sz="4" w:space="0" w:color="auto"/>
              <w:right w:val="single" w:sz="4" w:space="0" w:color="auto"/>
            </w:tcBorders>
            <w:noWrap/>
            <w:vAlign w:val="center"/>
          </w:tcPr>
          <w:p w:rsidR="004C4431" w:rsidRPr="001E55D1" w:rsidRDefault="004C4431" w:rsidP="000C0DB3">
            <w:pPr>
              <w:jc w:val="center"/>
              <w:rPr>
                <w:rFonts w:ascii="Tahoma" w:hAnsi="Tahoma" w:cs="Tahoma"/>
                <w:sz w:val="18"/>
                <w:szCs w:val="18"/>
              </w:rPr>
            </w:pPr>
            <w:r w:rsidRPr="001E55D1">
              <w:rPr>
                <w:rFonts w:ascii="Tahoma" w:hAnsi="Tahoma" w:cs="Tahoma"/>
                <w:sz w:val="18"/>
                <w:szCs w:val="18"/>
              </w:rPr>
              <w:t>90,6</w:t>
            </w:r>
          </w:p>
        </w:tc>
        <w:tc>
          <w:tcPr>
            <w:tcW w:w="980" w:type="dxa"/>
            <w:tcBorders>
              <w:top w:val="nil"/>
              <w:left w:val="nil"/>
              <w:bottom w:val="single" w:sz="4" w:space="0" w:color="auto"/>
              <w:right w:val="single" w:sz="4" w:space="0" w:color="auto"/>
            </w:tcBorders>
            <w:noWrap/>
            <w:vAlign w:val="center"/>
          </w:tcPr>
          <w:p w:rsidR="004C4431" w:rsidRPr="001E55D1" w:rsidRDefault="004C4431" w:rsidP="000C0DB3">
            <w:pPr>
              <w:jc w:val="center"/>
              <w:rPr>
                <w:rFonts w:ascii="Tahoma" w:hAnsi="Tahoma" w:cs="Tahoma"/>
                <w:sz w:val="18"/>
                <w:szCs w:val="18"/>
              </w:rPr>
            </w:pPr>
            <w:r w:rsidRPr="001E55D1">
              <w:rPr>
                <w:rFonts w:ascii="Tahoma" w:hAnsi="Tahoma" w:cs="Tahoma"/>
                <w:sz w:val="18"/>
                <w:szCs w:val="18"/>
              </w:rPr>
              <w:t>68,4</w:t>
            </w:r>
          </w:p>
        </w:tc>
        <w:tc>
          <w:tcPr>
            <w:tcW w:w="1017" w:type="dxa"/>
            <w:tcBorders>
              <w:top w:val="nil"/>
              <w:left w:val="nil"/>
              <w:bottom w:val="single" w:sz="4" w:space="0" w:color="auto"/>
              <w:right w:val="single" w:sz="4" w:space="0" w:color="auto"/>
            </w:tcBorders>
            <w:noWrap/>
            <w:vAlign w:val="center"/>
          </w:tcPr>
          <w:p w:rsidR="004C4431" w:rsidRPr="001E55D1" w:rsidRDefault="004C4431" w:rsidP="000C0DB3">
            <w:pPr>
              <w:jc w:val="center"/>
              <w:rPr>
                <w:rFonts w:ascii="Tahoma" w:hAnsi="Tahoma" w:cs="Tahoma"/>
                <w:sz w:val="18"/>
                <w:szCs w:val="18"/>
              </w:rPr>
            </w:pPr>
            <w:r w:rsidRPr="001E55D1">
              <w:rPr>
                <w:rFonts w:ascii="Tahoma" w:hAnsi="Tahoma" w:cs="Tahoma"/>
                <w:sz w:val="18"/>
                <w:szCs w:val="18"/>
              </w:rPr>
              <w:t>54,3</w:t>
            </w:r>
          </w:p>
        </w:tc>
        <w:tc>
          <w:tcPr>
            <w:tcW w:w="1018" w:type="dxa"/>
            <w:tcBorders>
              <w:top w:val="nil"/>
              <w:left w:val="nil"/>
              <w:bottom w:val="single" w:sz="4" w:space="0" w:color="auto"/>
              <w:right w:val="single" w:sz="4" w:space="0" w:color="auto"/>
            </w:tcBorders>
            <w:noWrap/>
            <w:vAlign w:val="center"/>
          </w:tcPr>
          <w:p w:rsidR="004C4431" w:rsidRPr="001E55D1" w:rsidRDefault="004C4431" w:rsidP="000C0DB3">
            <w:pPr>
              <w:jc w:val="center"/>
              <w:rPr>
                <w:rFonts w:ascii="Tahoma" w:hAnsi="Tahoma" w:cs="Tahoma"/>
                <w:sz w:val="18"/>
                <w:szCs w:val="18"/>
              </w:rPr>
            </w:pPr>
            <w:r w:rsidRPr="002C245A">
              <w:rPr>
                <w:rFonts w:ascii="Tahoma" w:hAnsi="Tahoma" w:cs="Tahoma"/>
                <w:sz w:val="18"/>
                <w:szCs w:val="18"/>
              </w:rPr>
              <w:t>-24,5</w:t>
            </w:r>
            <w:r w:rsidRPr="001E55D1">
              <w:rPr>
                <w:rFonts w:ascii="Tahoma" w:hAnsi="Tahoma" w:cs="Tahoma"/>
                <w:sz w:val="18"/>
                <w:szCs w:val="18"/>
              </w:rPr>
              <w:t>%</w:t>
            </w:r>
          </w:p>
        </w:tc>
        <w:tc>
          <w:tcPr>
            <w:tcW w:w="1179" w:type="dxa"/>
            <w:tcBorders>
              <w:top w:val="nil"/>
              <w:left w:val="nil"/>
              <w:bottom w:val="single" w:sz="4" w:space="0" w:color="auto"/>
              <w:right w:val="single" w:sz="8" w:space="0" w:color="auto"/>
            </w:tcBorders>
            <w:noWrap/>
            <w:vAlign w:val="center"/>
          </w:tcPr>
          <w:p w:rsidR="004C4431" w:rsidRPr="001E55D1" w:rsidRDefault="004C4431" w:rsidP="000C0DB3">
            <w:pPr>
              <w:jc w:val="center"/>
              <w:rPr>
                <w:rFonts w:ascii="Tahoma" w:hAnsi="Tahoma" w:cs="Tahoma"/>
                <w:sz w:val="18"/>
                <w:szCs w:val="18"/>
              </w:rPr>
            </w:pPr>
            <w:r w:rsidRPr="001E55D1">
              <w:rPr>
                <w:rFonts w:ascii="Tahoma" w:hAnsi="Tahoma" w:cs="Tahoma"/>
                <w:sz w:val="18"/>
                <w:szCs w:val="18"/>
              </w:rPr>
              <w:t>-20,6%</w:t>
            </w:r>
          </w:p>
        </w:tc>
      </w:tr>
      <w:tr w:rsidR="004C4431" w:rsidRPr="001E55D1" w:rsidTr="00F97E27">
        <w:trPr>
          <w:trHeight w:val="242"/>
          <w:jc w:val="center"/>
        </w:trPr>
        <w:tc>
          <w:tcPr>
            <w:tcW w:w="2699" w:type="dxa"/>
            <w:tcBorders>
              <w:top w:val="nil"/>
              <w:left w:val="single" w:sz="8" w:space="0" w:color="auto"/>
              <w:bottom w:val="single" w:sz="4" w:space="0" w:color="auto"/>
              <w:right w:val="single" w:sz="4" w:space="0" w:color="auto"/>
            </w:tcBorders>
            <w:noWrap/>
            <w:vAlign w:val="center"/>
          </w:tcPr>
          <w:p w:rsidR="004C4431" w:rsidRPr="001E55D1" w:rsidRDefault="004C4431" w:rsidP="000C0DB3">
            <w:pPr>
              <w:jc w:val="center"/>
              <w:rPr>
                <w:rFonts w:ascii="Tahoma" w:hAnsi="Tahoma" w:cs="Tahoma"/>
                <w:sz w:val="18"/>
                <w:szCs w:val="18"/>
              </w:rPr>
            </w:pPr>
            <w:r w:rsidRPr="001E55D1">
              <w:rPr>
                <w:rFonts w:ascii="Tahoma" w:hAnsi="Tahoma" w:cs="Tahoma"/>
                <w:sz w:val="18"/>
                <w:szCs w:val="18"/>
              </w:rPr>
              <w:t>Είδη Οικιακού Εξοπλισμού</w:t>
            </w:r>
          </w:p>
        </w:tc>
        <w:tc>
          <w:tcPr>
            <w:tcW w:w="1109" w:type="dxa"/>
            <w:tcBorders>
              <w:top w:val="nil"/>
              <w:left w:val="nil"/>
              <w:bottom w:val="single" w:sz="4" w:space="0" w:color="auto"/>
              <w:right w:val="single" w:sz="4" w:space="0" w:color="auto"/>
            </w:tcBorders>
            <w:noWrap/>
            <w:vAlign w:val="center"/>
          </w:tcPr>
          <w:p w:rsidR="004C4431" w:rsidRPr="001E55D1" w:rsidRDefault="004C4431" w:rsidP="000C0DB3">
            <w:pPr>
              <w:jc w:val="center"/>
              <w:rPr>
                <w:rFonts w:ascii="Tahoma" w:hAnsi="Tahoma" w:cs="Tahoma"/>
                <w:sz w:val="18"/>
                <w:szCs w:val="18"/>
              </w:rPr>
            </w:pPr>
            <w:r w:rsidRPr="001E55D1">
              <w:rPr>
                <w:rFonts w:ascii="Tahoma" w:hAnsi="Tahoma" w:cs="Tahoma"/>
                <w:sz w:val="18"/>
                <w:szCs w:val="18"/>
              </w:rPr>
              <w:t>67,8</w:t>
            </w:r>
          </w:p>
        </w:tc>
        <w:tc>
          <w:tcPr>
            <w:tcW w:w="980" w:type="dxa"/>
            <w:tcBorders>
              <w:top w:val="nil"/>
              <w:left w:val="nil"/>
              <w:bottom w:val="single" w:sz="4" w:space="0" w:color="auto"/>
              <w:right w:val="single" w:sz="4" w:space="0" w:color="auto"/>
            </w:tcBorders>
            <w:noWrap/>
            <w:vAlign w:val="center"/>
          </w:tcPr>
          <w:p w:rsidR="004C4431" w:rsidRPr="001E55D1" w:rsidRDefault="004C4431" w:rsidP="000C0DB3">
            <w:pPr>
              <w:jc w:val="center"/>
              <w:rPr>
                <w:rFonts w:ascii="Tahoma" w:hAnsi="Tahoma" w:cs="Tahoma"/>
                <w:sz w:val="18"/>
                <w:szCs w:val="18"/>
              </w:rPr>
            </w:pPr>
            <w:r w:rsidRPr="001E55D1">
              <w:rPr>
                <w:rFonts w:ascii="Tahoma" w:hAnsi="Tahoma" w:cs="Tahoma"/>
                <w:sz w:val="18"/>
                <w:szCs w:val="18"/>
              </w:rPr>
              <w:t>55,2</w:t>
            </w:r>
          </w:p>
        </w:tc>
        <w:tc>
          <w:tcPr>
            <w:tcW w:w="1017" w:type="dxa"/>
            <w:tcBorders>
              <w:top w:val="nil"/>
              <w:left w:val="nil"/>
              <w:bottom w:val="single" w:sz="4" w:space="0" w:color="auto"/>
              <w:right w:val="single" w:sz="4" w:space="0" w:color="auto"/>
            </w:tcBorders>
            <w:noWrap/>
            <w:vAlign w:val="center"/>
          </w:tcPr>
          <w:p w:rsidR="004C4431" w:rsidRPr="001E55D1" w:rsidRDefault="004C4431" w:rsidP="000C0DB3">
            <w:pPr>
              <w:jc w:val="center"/>
              <w:rPr>
                <w:rFonts w:ascii="Tahoma" w:hAnsi="Tahoma" w:cs="Tahoma"/>
                <w:sz w:val="18"/>
                <w:szCs w:val="18"/>
              </w:rPr>
            </w:pPr>
            <w:r w:rsidRPr="001E55D1">
              <w:rPr>
                <w:rFonts w:ascii="Tahoma" w:hAnsi="Tahoma" w:cs="Tahoma"/>
                <w:sz w:val="18"/>
                <w:szCs w:val="18"/>
              </w:rPr>
              <w:t>47,9</w:t>
            </w:r>
          </w:p>
        </w:tc>
        <w:tc>
          <w:tcPr>
            <w:tcW w:w="1018" w:type="dxa"/>
            <w:tcBorders>
              <w:top w:val="nil"/>
              <w:left w:val="nil"/>
              <w:bottom w:val="single" w:sz="4" w:space="0" w:color="auto"/>
              <w:right w:val="single" w:sz="4" w:space="0" w:color="auto"/>
            </w:tcBorders>
            <w:noWrap/>
            <w:vAlign w:val="center"/>
          </w:tcPr>
          <w:p w:rsidR="004C4431" w:rsidRPr="001E55D1" w:rsidRDefault="004C4431" w:rsidP="000C0DB3">
            <w:pPr>
              <w:jc w:val="center"/>
              <w:rPr>
                <w:rFonts w:ascii="Tahoma" w:hAnsi="Tahoma" w:cs="Tahoma"/>
                <w:sz w:val="18"/>
                <w:szCs w:val="18"/>
              </w:rPr>
            </w:pPr>
            <w:r w:rsidRPr="002C245A">
              <w:rPr>
                <w:rFonts w:ascii="Tahoma" w:hAnsi="Tahoma" w:cs="Tahoma"/>
                <w:sz w:val="18"/>
                <w:szCs w:val="18"/>
              </w:rPr>
              <w:t>-18,6</w:t>
            </w:r>
            <w:r w:rsidRPr="001E55D1">
              <w:rPr>
                <w:rFonts w:ascii="Tahoma" w:hAnsi="Tahoma" w:cs="Tahoma"/>
                <w:sz w:val="18"/>
                <w:szCs w:val="18"/>
              </w:rPr>
              <w:t>%</w:t>
            </w:r>
          </w:p>
        </w:tc>
        <w:tc>
          <w:tcPr>
            <w:tcW w:w="1179" w:type="dxa"/>
            <w:tcBorders>
              <w:top w:val="nil"/>
              <w:left w:val="nil"/>
              <w:bottom w:val="single" w:sz="4" w:space="0" w:color="auto"/>
              <w:right w:val="single" w:sz="8" w:space="0" w:color="auto"/>
            </w:tcBorders>
            <w:noWrap/>
            <w:vAlign w:val="center"/>
          </w:tcPr>
          <w:p w:rsidR="004C4431" w:rsidRPr="001E55D1" w:rsidRDefault="004C4431" w:rsidP="000C0DB3">
            <w:pPr>
              <w:jc w:val="center"/>
              <w:rPr>
                <w:rFonts w:ascii="Tahoma" w:hAnsi="Tahoma" w:cs="Tahoma"/>
                <w:sz w:val="18"/>
                <w:szCs w:val="18"/>
              </w:rPr>
            </w:pPr>
            <w:r w:rsidRPr="002C245A">
              <w:rPr>
                <w:rFonts w:ascii="Tahoma" w:hAnsi="Tahoma" w:cs="Tahoma"/>
                <w:sz w:val="18"/>
                <w:szCs w:val="18"/>
              </w:rPr>
              <w:t>-13,2</w:t>
            </w:r>
            <w:r w:rsidRPr="001E55D1">
              <w:rPr>
                <w:rFonts w:ascii="Tahoma" w:hAnsi="Tahoma" w:cs="Tahoma"/>
                <w:sz w:val="18"/>
                <w:szCs w:val="18"/>
              </w:rPr>
              <w:t>%</w:t>
            </w:r>
          </w:p>
        </w:tc>
      </w:tr>
      <w:tr w:rsidR="004C4431" w:rsidRPr="001E55D1" w:rsidTr="00F97E27">
        <w:trPr>
          <w:trHeight w:val="242"/>
          <w:jc w:val="center"/>
        </w:trPr>
        <w:tc>
          <w:tcPr>
            <w:tcW w:w="2699" w:type="dxa"/>
            <w:tcBorders>
              <w:top w:val="nil"/>
              <w:left w:val="single" w:sz="8" w:space="0" w:color="auto"/>
              <w:bottom w:val="single" w:sz="4" w:space="0" w:color="auto"/>
              <w:right w:val="single" w:sz="4" w:space="0" w:color="auto"/>
            </w:tcBorders>
            <w:noWrap/>
            <w:vAlign w:val="center"/>
          </w:tcPr>
          <w:p w:rsidR="004C4431" w:rsidRPr="001E55D1" w:rsidRDefault="004C4431" w:rsidP="000C0DB3">
            <w:pPr>
              <w:jc w:val="center"/>
              <w:rPr>
                <w:rFonts w:ascii="Tahoma" w:hAnsi="Tahoma" w:cs="Tahoma"/>
                <w:sz w:val="18"/>
                <w:szCs w:val="18"/>
              </w:rPr>
            </w:pPr>
            <w:r w:rsidRPr="001E55D1">
              <w:rPr>
                <w:rFonts w:ascii="Tahoma" w:hAnsi="Tahoma" w:cs="Tahoma"/>
                <w:sz w:val="18"/>
                <w:szCs w:val="18"/>
              </w:rPr>
              <w:t>Οχήματα - Ανταλλακτικά</w:t>
            </w:r>
          </w:p>
        </w:tc>
        <w:tc>
          <w:tcPr>
            <w:tcW w:w="1109" w:type="dxa"/>
            <w:tcBorders>
              <w:top w:val="nil"/>
              <w:left w:val="nil"/>
              <w:bottom w:val="single" w:sz="4" w:space="0" w:color="auto"/>
              <w:right w:val="single" w:sz="4" w:space="0" w:color="auto"/>
            </w:tcBorders>
            <w:noWrap/>
            <w:vAlign w:val="center"/>
          </w:tcPr>
          <w:p w:rsidR="004C4431" w:rsidRPr="001E55D1" w:rsidRDefault="004C4431" w:rsidP="000C0DB3">
            <w:pPr>
              <w:jc w:val="center"/>
              <w:rPr>
                <w:rFonts w:ascii="Tahoma" w:hAnsi="Tahoma" w:cs="Tahoma"/>
                <w:sz w:val="18"/>
                <w:szCs w:val="18"/>
              </w:rPr>
            </w:pPr>
            <w:r w:rsidRPr="001E55D1">
              <w:rPr>
                <w:rFonts w:ascii="Tahoma" w:hAnsi="Tahoma" w:cs="Tahoma"/>
                <w:sz w:val="18"/>
                <w:szCs w:val="18"/>
              </w:rPr>
              <w:t>76,4</w:t>
            </w:r>
          </w:p>
        </w:tc>
        <w:tc>
          <w:tcPr>
            <w:tcW w:w="980" w:type="dxa"/>
            <w:tcBorders>
              <w:top w:val="nil"/>
              <w:left w:val="nil"/>
              <w:bottom w:val="single" w:sz="4" w:space="0" w:color="auto"/>
              <w:right w:val="single" w:sz="4" w:space="0" w:color="auto"/>
            </w:tcBorders>
            <w:noWrap/>
            <w:vAlign w:val="center"/>
          </w:tcPr>
          <w:p w:rsidR="004C4431" w:rsidRPr="001E55D1" w:rsidRDefault="004C4431" w:rsidP="000C0DB3">
            <w:pPr>
              <w:jc w:val="center"/>
              <w:rPr>
                <w:rFonts w:ascii="Tahoma" w:hAnsi="Tahoma" w:cs="Tahoma"/>
                <w:sz w:val="18"/>
                <w:szCs w:val="18"/>
              </w:rPr>
            </w:pPr>
            <w:r w:rsidRPr="001E55D1">
              <w:rPr>
                <w:rFonts w:ascii="Tahoma" w:hAnsi="Tahoma" w:cs="Tahoma"/>
                <w:sz w:val="18"/>
                <w:szCs w:val="18"/>
              </w:rPr>
              <w:t>42,9</w:t>
            </w:r>
          </w:p>
        </w:tc>
        <w:tc>
          <w:tcPr>
            <w:tcW w:w="1017" w:type="dxa"/>
            <w:tcBorders>
              <w:top w:val="nil"/>
              <w:left w:val="nil"/>
              <w:bottom w:val="single" w:sz="4" w:space="0" w:color="auto"/>
              <w:right w:val="single" w:sz="4" w:space="0" w:color="auto"/>
            </w:tcBorders>
            <w:noWrap/>
            <w:vAlign w:val="center"/>
          </w:tcPr>
          <w:p w:rsidR="004C4431" w:rsidRPr="001E55D1" w:rsidRDefault="004C4431" w:rsidP="000C0DB3">
            <w:pPr>
              <w:jc w:val="center"/>
              <w:rPr>
                <w:rFonts w:ascii="Tahoma" w:hAnsi="Tahoma" w:cs="Tahoma"/>
                <w:sz w:val="18"/>
                <w:szCs w:val="18"/>
              </w:rPr>
            </w:pPr>
            <w:r w:rsidRPr="001E55D1">
              <w:rPr>
                <w:rFonts w:ascii="Tahoma" w:hAnsi="Tahoma" w:cs="Tahoma"/>
                <w:sz w:val="18"/>
                <w:szCs w:val="18"/>
              </w:rPr>
              <w:t>60,7</w:t>
            </w:r>
          </w:p>
        </w:tc>
        <w:tc>
          <w:tcPr>
            <w:tcW w:w="1018" w:type="dxa"/>
            <w:tcBorders>
              <w:top w:val="nil"/>
              <w:left w:val="nil"/>
              <w:bottom w:val="single" w:sz="4" w:space="0" w:color="auto"/>
              <w:right w:val="single" w:sz="4" w:space="0" w:color="auto"/>
            </w:tcBorders>
            <w:noWrap/>
            <w:vAlign w:val="center"/>
          </w:tcPr>
          <w:p w:rsidR="004C4431" w:rsidRPr="001E55D1" w:rsidRDefault="004C4431" w:rsidP="000C0DB3">
            <w:pPr>
              <w:jc w:val="center"/>
              <w:rPr>
                <w:rFonts w:ascii="Tahoma" w:hAnsi="Tahoma" w:cs="Tahoma"/>
                <w:sz w:val="18"/>
                <w:szCs w:val="18"/>
              </w:rPr>
            </w:pPr>
            <w:r w:rsidRPr="002C245A">
              <w:rPr>
                <w:rFonts w:ascii="Tahoma" w:hAnsi="Tahoma" w:cs="Tahoma"/>
                <w:sz w:val="18"/>
                <w:szCs w:val="18"/>
              </w:rPr>
              <w:t>-43,9</w:t>
            </w:r>
            <w:r w:rsidRPr="001E55D1">
              <w:rPr>
                <w:rFonts w:ascii="Tahoma" w:hAnsi="Tahoma" w:cs="Tahoma"/>
                <w:sz w:val="18"/>
                <w:szCs w:val="18"/>
              </w:rPr>
              <w:t>%</w:t>
            </w:r>
          </w:p>
        </w:tc>
        <w:tc>
          <w:tcPr>
            <w:tcW w:w="1179" w:type="dxa"/>
            <w:tcBorders>
              <w:top w:val="nil"/>
              <w:left w:val="nil"/>
              <w:bottom w:val="single" w:sz="4" w:space="0" w:color="auto"/>
              <w:right w:val="single" w:sz="8" w:space="0" w:color="auto"/>
            </w:tcBorders>
            <w:noWrap/>
            <w:vAlign w:val="center"/>
          </w:tcPr>
          <w:p w:rsidR="004C4431" w:rsidRPr="001E55D1" w:rsidRDefault="004C4431" w:rsidP="000C0DB3">
            <w:pPr>
              <w:jc w:val="center"/>
              <w:rPr>
                <w:rFonts w:ascii="Tahoma" w:hAnsi="Tahoma" w:cs="Tahoma"/>
                <w:sz w:val="18"/>
                <w:szCs w:val="18"/>
              </w:rPr>
            </w:pPr>
            <w:r w:rsidRPr="002C245A">
              <w:rPr>
                <w:rFonts w:ascii="Tahoma" w:hAnsi="Tahoma" w:cs="Tahoma"/>
                <w:sz w:val="18"/>
                <w:szCs w:val="18"/>
              </w:rPr>
              <w:t>41,5</w:t>
            </w:r>
            <w:r w:rsidRPr="001E55D1">
              <w:rPr>
                <w:rFonts w:ascii="Tahoma" w:hAnsi="Tahoma" w:cs="Tahoma"/>
                <w:sz w:val="18"/>
                <w:szCs w:val="18"/>
              </w:rPr>
              <w:t>%</w:t>
            </w:r>
          </w:p>
        </w:tc>
      </w:tr>
      <w:tr w:rsidR="004C4431" w:rsidRPr="001E55D1" w:rsidTr="00F97E27">
        <w:trPr>
          <w:trHeight w:val="242"/>
          <w:jc w:val="center"/>
        </w:trPr>
        <w:tc>
          <w:tcPr>
            <w:tcW w:w="2699" w:type="dxa"/>
            <w:tcBorders>
              <w:top w:val="nil"/>
              <w:left w:val="single" w:sz="8" w:space="0" w:color="auto"/>
              <w:bottom w:val="single" w:sz="4" w:space="0" w:color="auto"/>
              <w:right w:val="single" w:sz="4" w:space="0" w:color="auto"/>
            </w:tcBorders>
            <w:noWrap/>
            <w:vAlign w:val="center"/>
          </w:tcPr>
          <w:p w:rsidR="004C4431" w:rsidRPr="001E55D1" w:rsidRDefault="004C4431" w:rsidP="000C0DB3">
            <w:pPr>
              <w:jc w:val="center"/>
              <w:rPr>
                <w:rFonts w:ascii="Tahoma" w:hAnsi="Tahoma" w:cs="Tahoma"/>
                <w:sz w:val="18"/>
                <w:szCs w:val="18"/>
              </w:rPr>
            </w:pPr>
            <w:r w:rsidRPr="001E55D1">
              <w:rPr>
                <w:rFonts w:ascii="Tahoma" w:hAnsi="Tahoma" w:cs="Tahoma"/>
                <w:sz w:val="18"/>
                <w:szCs w:val="18"/>
              </w:rPr>
              <w:t>Πολυκαταστήματα</w:t>
            </w:r>
          </w:p>
        </w:tc>
        <w:tc>
          <w:tcPr>
            <w:tcW w:w="1109" w:type="dxa"/>
            <w:tcBorders>
              <w:top w:val="nil"/>
              <w:left w:val="nil"/>
              <w:bottom w:val="single" w:sz="4" w:space="0" w:color="auto"/>
              <w:right w:val="single" w:sz="4" w:space="0" w:color="auto"/>
            </w:tcBorders>
            <w:noWrap/>
            <w:vAlign w:val="center"/>
          </w:tcPr>
          <w:p w:rsidR="004C4431" w:rsidRPr="001E55D1" w:rsidRDefault="004C4431" w:rsidP="000C0DB3">
            <w:pPr>
              <w:jc w:val="center"/>
              <w:rPr>
                <w:rFonts w:ascii="Tahoma" w:hAnsi="Tahoma" w:cs="Tahoma"/>
                <w:sz w:val="18"/>
                <w:szCs w:val="18"/>
              </w:rPr>
            </w:pPr>
            <w:r w:rsidRPr="001E55D1">
              <w:rPr>
                <w:rFonts w:ascii="Tahoma" w:hAnsi="Tahoma" w:cs="Tahoma"/>
                <w:sz w:val="18"/>
                <w:szCs w:val="18"/>
              </w:rPr>
              <w:t>106,4</w:t>
            </w:r>
          </w:p>
        </w:tc>
        <w:tc>
          <w:tcPr>
            <w:tcW w:w="980" w:type="dxa"/>
            <w:tcBorders>
              <w:top w:val="nil"/>
              <w:left w:val="nil"/>
              <w:bottom w:val="single" w:sz="4" w:space="0" w:color="auto"/>
              <w:right w:val="single" w:sz="4" w:space="0" w:color="auto"/>
            </w:tcBorders>
            <w:noWrap/>
            <w:vAlign w:val="center"/>
          </w:tcPr>
          <w:p w:rsidR="004C4431" w:rsidRPr="001E55D1" w:rsidRDefault="004C4431" w:rsidP="000C0DB3">
            <w:pPr>
              <w:jc w:val="center"/>
              <w:rPr>
                <w:rFonts w:ascii="Tahoma" w:hAnsi="Tahoma" w:cs="Tahoma"/>
                <w:sz w:val="18"/>
                <w:szCs w:val="18"/>
              </w:rPr>
            </w:pPr>
            <w:r w:rsidRPr="001E55D1">
              <w:rPr>
                <w:rFonts w:ascii="Tahoma" w:hAnsi="Tahoma" w:cs="Tahoma"/>
                <w:sz w:val="18"/>
                <w:szCs w:val="18"/>
              </w:rPr>
              <w:t>87,1</w:t>
            </w:r>
          </w:p>
        </w:tc>
        <w:tc>
          <w:tcPr>
            <w:tcW w:w="1017" w:type="dxa"/>
            <w:tcBorders>
              <w:top w:val="nil"/>
              <w:left w:val="nil"/>
              <w:bottom w:val="single" w:sz="4" w:space="0" w:color="auto"/>
              <w:right w:val="single" w:sz="4" w:space="0" w:color="auto"/>
            </w:tcBorders>
            <w:noWrap/>
            <w:vAlign w:val="center"/>
          </w:tcPr>
          <w:p w:rsidR="004C4431" w:rsidRPr="001E55D1" w:rsidRDefault="004C4431" w:rsidP="000C0DB3">
            <w:pPr>
              <w:jc w:val="center"/>
              <w:rPr>
                <w:rFonts w:ascii="Tahoma" w:hAnsi="Tahoma" w:cs="Tahoma"/>
                <w:sz w:val="18"/>
                <w:szCs w:val="18"/>
              </w:rPr>
            </w:pPr>
            <w:r w:rsidRPr="001E55D1">
              <w:rPr>
                <w:rFonts w:ascii="Tahoma" w:hAnsi="Tahoma" w:cs="Tahoma"/>
                <w:sz w:val="18"/>
                <w:szCs w:val="18"/>
              </w:rPr>
              <w:t>53,8</w:t>
            </w:r>
          </w:p>
        </w:tc>
        <w:tc>
          <w:tcPr>
            <w:tcW w:w="1018" w:type="dxa"/>
            <w:tcBorders>
              <w:top w:val="nil"/>
              <w:left w:val="nil"/>
              <w:bottom w:val="single" w:sz="4" w:space="0" w:color="auto"/>
              <w:right w:val="single" w:sz="4" w:space="0" w:color="auto"/>
            </w:tcBorders>
            <w:noWrap/>
            <w:vAlign w:val="center"/>
          </w:tcPr>
          <w:p w:rsidR="004C4431" w:rsidRPr="001E55D1" w:rsidRDefault="004C4431" w:rsidP="000C0DB3">
            <w:pPr>
              <w:jc w:val="center"/>
              <w:rPr>
                <w:rFonts w:ascii="Tahoma" w:hAnsi="Tahoma" w:cs="Tahoma"/>
                <w:sz w:val="18"/>
                <w:szCs w:val="18"/>
              </w:rPr>
            </w:pPr>
            <w:r w:rsidRPr="002C245A">
              <w:rPr>
                <w:rFonts w:ascii="Tahoma" w:hAnsi="Tahoma" w:cs="Tahoma"/>
                <w:sz w:val="18"/>
                <w:szCs w:val="18"/>
              </w:rPr>
              <w:t>-18,1</w:t>
            </w:r>
            <w:r w:rsidRPr="001E55D1">
              <w:rPr>
                <w:rFonts w:ascii="Tahoma" w:hAnsi="Tahoma" w:cs="Tahoma"/>
                <w:sz w:val="18"/>
                <w:szCs w:val="18"/>
              </w:rPr>
              <w:t>%</w:t>
            </w:r>
          </w:p>
        </w:tc>
        <w:tc>
          <w:tcPr>
            <w:tcW w:w="1179" w:type="dxa"/>
            <w:tcBorders>
              <w:top w:val="nil"/>
              <w:left w:val="nil"/>
              <w:bottom w:val="single" w:sz="4" w:space="0" w:color="auto"/>
              <w:right w:val="single" w:sz="8" w:space="0" w:color="auto"/>
            </w:tcBorders>
            <w:noWrap/>
            <w:vAlign w:val="center"/>
          </w:tcPr>
          <w:p w:rsidR="004C4431" w:rsidRPr="001E55D1" w:rsidRDefault="004C4431" w:rsidP="000C0DB3">
            <w:pPr>
              <w:jc w:val="center"/>
              <w:rPr>
                <w:rFonts w:ascii="Tahoma" w:hAnsi="Tahoma" w:cs="Tahoma"/>
                <w:sz w:val="18"/>
                <w:szCs w:val="18"/>
              </w:rPr>
            </w:pPr>
            <w:r w:rsidRPr="001E55D1">
              <w:rPr>
                <w:rFonts w:ascii="Tahoma" w:hAnsi="Tahoma" w:cs="Tahoma"/>
                <w:sz w:val="18"/>
                <w:szCs w:val="18"/>
              </w:rPr>
              <w:t>-38,2%</w:t>
            </w:r>
          </w:p>
        </w:tc>
      </w:tr>
      <w:tr w:rsidR="004C4431" w:rsidRPr="001E55D1" w:rsidTr="00F97E27">
        <w:trPr>
          <w:trHeight w:val="256"/>
          <w:jc w:val="center"/>
        </w:trPr>
        <w:tc>
          <w:tcPr>
            <w:tcW w:w="2699" w:type="dxa"/>
            <w:tcBorders>
              <w:top w:val="nil"/>
              <w:left w:val="single" w:sz="8" w:space="0" w:color="auto"/>
              <w:bottom w:val="single" w:sz="8" w:space="0" w:color="auto"/>
              <w:right w:val="single" w:sz="4" w:space="0" w:color="auto"/>
            </w:tcBorders>
            <w:noWrap/>
            <w:vAlign w:val="center"/>
          </w:tcPr>
          <w:p w:rsidR="004C4431" w:rsidRPr="001E55D1" w:rsidRDefault="004C4431" w:rsidP="000C0DB3">
            <w:pPr>
              <w:jc w:val="center"/>
              <w:rPr>
                <w:rFonts w:ascii="Tahoma" w:hAnsi="Tahoma" w:cs="Tahoma"/>
                <w:b/>
                <w:bCs/>
                <w:sz w:val="18"/>
                <w:szCs w:val="18"/>
              </w:rPr>
            </w:pPr>
            <w:r w:rsidRPr="001E55D1">
              <w:rPr>
                <w:rFonts w:ascii="Tahoma" w:hAnsi="Tahoma" w:cs="Tahoma"/>
                <w:b/>
                <w:bCs/>
                <w:sz w:val="18"/>
                <w:szCs w:val="18"/>
              </w:rPr>
              <w:t>Σύνολο Λιανικού Εμπορίου</w:t>
            </w:r>
          </w:p>
        </w:tc>
        <w:tc>
          <w:tcPr>
            <w:tcW w:w="1109" w:type="dxa"/>
            <w:tcBorders>
              <w:top w:val="nil"/>
              <w:left w:val="nil"/>
              <w:bottom w:val="single" w:sz="8" w:space="0" w:color="auto"/>
              <w:right w:val="single" w:sz="4" w:space="0" w:color="auto"/>
            </w:tcBorders>
            <w:noWrap/>
            <w:vAlign w:val="center"/>
          </w:tcPr>
          <w:p w:rsidR="004C4431" w:rsidRPr="001E55D1" w:rsidRDefault="004C4431" w:rsidP="000C0DB3">
            <w:pPr>
              <w:jc w:val="center"/>
              <w:rPr>
                <w:rFonts w:ascii="Tahoma" w:hAnsi="Tahoma" w:cs="Tahoma"/>
                <w:b/>
                <w:sz w:val="18"/>
                <w:szCs w:val="18"/>
              </w:rPr>
            </w:pPr>
            <w:r w:rsidRPr="001E55D1">
              <w:rPr>
                <w:rFonts w:ascii="Tahoma" w:hAnsi="Tahoma" w:cs="Tahoma"/>
                <w:b/>
                <w:sz w:val="18"/>
                <w:szCs w:val="18"/>
              </w:rPr>
              <w:t>80,4</w:t>
            </w:r>
          </w:p>
        </w:tc>
        <w:tc>
          <w:tcPr>
            <w:tcW w:w="980" w:type="dxa"/>
            <w:tcBorders>
              <w:top w:val="nil"/>
              <w:left w:val="nil"/>
              <w:bottom w:val="single" w:sz="8" w:space="0" w:color="auto"/>
              <w:right w:val="single" w:sz="4" w:space="0" w:color="auto"/>
            </w:tcBorders>
            <w:noWrap/>
            <w:vAlign w:val="center"/>
          </w:tcPr>
          <w:p w:rsidR="004C4431" w:rsidRPr="001E55D1" w:rsidRDefault="004C4431" w:rsidP="000C0DB3">
            <w:pPr>
              <w:jc w:val="center"/>
              <w:rPr>
                <w:rFonts w:ascii="Tahoma" w:hAnsi="Tahoma" w:cs="Tahoma"/>
                <w:b/>
                <w:sz w:val="18"/>
                <w:szCs w:val="18"/>
              </w:rPr>
            </w:pPr>
            <w:r w:rsidRPr="001E55D1">
              <w:rPr>
                <w:rFonts w:ascii="Tahoma" w:hAnsi="Tahoma" w:cs="Tahoma"/>
                <w:b/>
                <w:sz w:val="18"/>
                <w:szCs w:val="18"/>
              </w:rPr>
              <w:t>59,2</w:t>
            </w:r>
          </w:p>
        </w:tc>
        <w:tc>
          <w:tcPr>
            <w:tcW w:w="1017" w:type="dxa"/>
            <w:tcBorders>
              <w:top w:val="nil"/>
              <w:left w:val="nil"/>
              <w:bottom w:val="single" w:sz="8" w:space="0" w:color="auto"/>
              <w:right w:val="single" w:sz="4" w:space="0" w:color="auto"/>
            </w:tcBorders>
            <w:noWrap/>
            <w:vAlign w:val="center"/>
          </w:tcPr>
          <w:p w:rsidR="004C4431" w:rsidRPr="001E55D1" w:rsidRDefault="004C4431" w:rsidP="000C0DB3">
            <w:pPr>
              <w:jc w:val="center"/>
              <w:rPr>
                <w:rFonts w:ascii="Tahoma" w:hAnsi="Tahoma" w:cs="Tahoma"/>
                <w:b/>
                <w:sz w:val="18"/>
                <w:szCs w:val="18"/>
              </w:rPr>
            </w:pPr>
            <w:r w:rsidRPr="001E55D1">
              <w:rPr>
                <w:rFonts w:ascii="Tahoma" w:hAnsi="Tahoma" w:cs="Tahoma"/>
                <w:b/>
                <w:sz w:val="18"/>
                <w:szCs w:val="18"/>
              </w:rPr>
              <w:t>58,9</w:t>
            </w:r>
          </w:p>
        </w:tc>
        <w:tc>
          <w:tcPr>
            <w:tcW w:w="1018" w:type="dxa"/>
            <w:tcBorders>
              <w:top w:val="nil"/>
              <w:left w:val="nil"/>
              <w:bottom w:val="single" w:sz="8" w:space="0" w:color="auto"/>
              <w:right w:val="single" w:sz="4" w:space="0" w:color="auto"/>
            </w:tcBorders>
            <w:noWrap/>
            <w:vAlign w:val="center"/>
          </w:tcPr>
          <w:p w:rsidR="004C4431" w:rsidRPr="001E55D1" w:rsidRDefault="004C4431" w:rsidP="000C0DB3">
            <w:pPr>
              <w:jc w:val="center"/>
              <w:rPr>
                <w:rFonts w:ascii="Tahoma" w:hAnsi="Tahoma" w:cs="Tahoma"/>
                <w:b/>
                <w:sz w:val="18"/>
                <w:szCs w:val="18"/>
              </w:rPr>
            </w:pPr>
            <w:r w:rsidRPr="002C245A">
              <w:rPr>
                <w:rFonts w:ascii="Tahoma" w:hAnsi="Tahoma" w:cs="Tahoma"/>
                <w:b/>
                <w:sz w:val="18"/>
                <w:szCs w:val="18"/>
              </w:rPr>
              <w:t>-26,4</w:t>
            </w:r>
            <w:r w:rsidRPr="001E55D1">
              <w:rPr>
                <w:rFonts w:ascii="Tahoma" w:hAnsi="Tahoma" w:cs="Tahoma"/>
                <w:b/>
                <w:sz w:val="18"/>
                <w:szCs w:val="18"/>
              </w:rPr>
              <w:t>%</w:t>
            </w:r>
          </w:p>
        </w:tc>
        <w:tc>
          <w:tcPr>
            <w:tcW w:w="1179" w:type="dxa"/>
            <w:tcBorders>
              <w:top w:val="nil"/>
              <w:left w:val="nil"/>
              <w:bottom w:val="single" w:sz="8" w:space="0" w:color="auto"/>
              <w:right w:val="single" w:sz="8" w:space="0" w:color="auto"/>
            </w:tcBorders>
            <w:noWrap/>
            <w:vAlign w:val="center"/>
          </w:tcPr>
          <w:p w:rsidR="004C4431" w:rsidRPr="001E55D1" w:rsidRDefault="004C4431" w:rsidP="000C0DB3">
            <w:pPr>
              <w:jc w:val="center"/>
              <w:rPr>
                <w:rFonts w:ascii="Tahoma" w:hAnsi="Tahoma" w:cs="Tahoma"/>
                <w:b/>
                <w:sz w:val="18"/>
                <w:szCs w:val="18"/>
              </w:rPr>
            </w:pPr>
            <w:r w:rsidRPr="002C245A">
              <w:rPr>
                <w:rFonts w:ascii="Tahoma" w:hAnsi="Tahoma" w:cs="Tahoma"/>
                <w:b/>
                <w:sz w:val="18"/>
                <w:szCs w:val="18"/>
              </w:rPr>
              <w:t>-0,5</w:t>
            </w:r>
            <w:r w:rsidRPr="001E55D1">
              <w:rPr>
                <w:rFonts w:ascii="Tahoma" w:hAnsi="Tahoma" w:cs="Tahoma"/>
                <w:b/>
                <w:sz w:val="18"/>
                <w:szCs w:val="18"/>
              </w:rPr>
              <w:t>%</w:t>
            </w:r>
          </w:p>
        </w:tc>
      </w:tr>
    </w:tbl>
    <w:p w:rsidR="004C4431" w:rsidRDefault="004C4431" w:rsidP="004C4431">
      <w:pPr>
        <w:spacing w:before="120" w:after="120" w:line="312" w:lineRule="auto"/>
        <w:jc w:val="both"/>
        <w:rPr>
          <w:rFonts w:ascii="Tahoma" w:hAnsi="Tahoma" w:cs="Tahoma"/>
          <w:sz w:val="16"/>
          <w:szCs w:val="22"/>
        </w:rPr>
      </w:pPr>
      <w:r w:rsidRPr="004C4431">
        <w:rPr>
          <w:rFonts w:ascii="Tahoma" w:hAnsi="Tahoma" w:cs="Tahoma"/>
          <w:b/>
          <w:sz w:val="16"/>
          <w:szCs w:val="22"/>
        </w:rPr>
        <w:t>Πηγή</w:t>
      </w:r>
      <w:r w:rsidRPr="004C4431">
        <w:rPr>
          <w:rFonts w:ascii="Tahoma" w:hAnsi="Tahoma" w:cs="Tahoma"/>
          <w:sz w:val="16"/>
          <w:szCs w:val="22"/>
        </w:rPr>
        <w:t>: ΙΟΒΕ</w:t>
      </w:r>
    </w:p>
    <w:p w:rsidR="00B07258" w:rsidRDefault="00B07258" w:rsidP="004C4431">
      <w:pPr>
        <w:spacing w:before="120" w:after="120" w:line="312" w:lineRule="auto"/>
        <w:jc w:val="both"/>
        <w:rPr>
          <w:rFonts w:ascii="Tahoma" w:hAnsi="Tahoma" w:cs="Tahoma"/>
          <w:sz w:val="16"/>
          <w:szCs w:val="22"/>
        </w:rPr>
        <w:sectPr w:rsidR="00B07258" w:rsidSect="00AE1766">
          <w:pgSz w:w="11906" w:h="16838"/>
          <w:pgMar w:top="1440" w:right="849" w:bottom="1440" w:left="1560" w:header="708" w:footer="708" w:gutter="0"/>
          <w:cols w:space="720"/>
          <w:docGrid w:linePitch="360"/>
        </w:sectPr>
      </w:pPr>
    </w:p>
    <w:p w:rsidR="004C4431" w:rsidRPr="00F97E27" w:rsidRDefault="004C4431" w:rsidP="00B07258">
      <w:pPr>
        <w:spacing w:before="120" w:after="120"/>
        <w:jc w:val="center"/>
        <w:rPr>
          <w:rFonts w:ascii="Tahoma" w:hAnsi="Tahoma" w:cs="Tahoma"/>
          <w:b/>
          <w:szCs w:val="22"/>
        </w:rPr>
      </w:pPr>
      <w:r w:rsidRPr="00F97E27">
        <w:rPr>
          <w:rFonts w:ascii="Tahoma" w:hAnsi="Tahoma" w:cs="Tahoma"/>
          <w:b/>
          <w:szCs w:val="22"/>
        </w:rPr>
        <w:lastRenderedPageBreak/>
        <w:t>Διάγραμμα 3.4</w:t>
      </w:r>
    </w:p>
    <w:p w:rsidR="004C4431" w:rsidRPr="00F97E27" w:rsidRDefault="004C4431" w:rsidP="004C4431">
      <w:pPr>
        <w:spacing w:before="120" w:after="120"/>
        <w:jc w:val="center"/>
        <w:rPr>
          <w:rFonts w:ascii="Tahoma" w:hAnsi="Tahoma" w:cs="Tahoma"/>
          <w:szCs w:val="22"/>
        </w:rPr>
      </w:pPr>
      <w:r w:rsidRPr="00F97E27">
        <w:rPr>
          <w:rFonts w:ascii="Tahoma" w:hAnsi="Tahoma" w:cs="Tahoma"/>
          <w:szCs w:val="22"/>
        </w:rPr>
        <w:t>Εξέλιξη του Δείκτη Κύκλου Εργασιών στο Χονδρικό Εμπόριο (2005=100)</w:t>
      </w:r>
    </w:p>
    <w:p w:rsidR="004C4431" w:rsidRDefault="004C4431" w:rsidP="004C4431">
      <w:pPr>
        <w:spacing w:before="120" w:after="120" w:line="312" w:lineRule="auto"/>
        <w:jc w:val="center"/>
        <w:rPr>
          <w:rFonts w:ascii="Tahoma" w:hAnsi="Tahoma" w:cs="Tahoma"/>
          <w:sz w:val="22"/>
          <w:szCs w:val="22"/>
        </w:rPr>
      </w:pPr>
      <w:r>
        <w:rPr>
          <w:rFonts w:ascii="Tahoma" w:hAnsi="Tahoma" w:cs="Tahoma"/>
          <w:noProof/>
          <w:sz w:val="22"/>
          <w:szCs w:val="22"/>
          <w:lang w:val="en-US" w:eastAsia="en-US"/>
        </w:rPr>
        <w:drawing>
          <wp:inline distT="0" distB="0" distL="0" distR="0">
            <wp:extent cx="5591175" cy="2914650"/>
            <wp:effectExtent l="0" t="0" r="0" b="0"/>
            <wp:docPr id="266" name="Εικόνα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B07258" w:rsidRDefault="004C4431" w:rsidP="00B07258">
      <w:pPr>
        <w:spacing w:before="120" w:after="240"/>
        <w:rPr>
          <w:rFonts w:ascii="Tahoma" w:hAnsi="Tahoma" w:cs="Tahoma"/>
          <w:sz w:val="16"/>
          <w:szCs w:val="22"/>
        </w:rPr>
      </w:pPr>
      <w:r w:rsidRPr="004C4431">
        <w:rPr>
          <w:rFonts w:ascii="Tahoma" w:hAnsi="Tahoma" w:cs="Tahoma"/>
          <w:b/>
          <w:sz w:val="16"/>
          <w:szCs w:val="22"/>
        </w:rPr>
        <w:t>Πηγή</w:t>
      </w:r>
      <w:r w:rsidRPr="004C4431">
        <w:rPr>
          <w:rFonts w:ascii="Tahoma" w:hAnsi="Tahoma" w:cs="Tahoma"/>
          <w:sz w:val="16"/>
          <w:szCs w:val="22"/>
        </w:rPr>
        <w:t>: ΕΛΣΤΑΤ</w:t>
      </w:r>
    </w:p>
    <w:p w:rsidR="00B07258" w:rsidRDefault="00B07258" w:rsidP="00B07258">
      <w:pPr>
        <w:spacing w:before="240" w:after="240" w:line="312" w:lineRule="auto"/>
        <w:rPr>
          <w:rFonts w:ascii="Tahoma" w:hAnsi="Tahoma" w:cs="Tahoma"/>
          <w:b/>
          <w:i/>
          <w:sz w:val="22"/>
          <w:szCs w:val="22"/>
        </w:rPr>
        <w:sectPr w:rsidR="00B07258" w:rsidSect="00AE1766">
          <w:pgSz w:w="11906" w:h="16838"/>
          <w:pgMar w:top="1440" w:right="849" w:bottom="1440" w:left="1560" w:header="708" w:footer="708" w:gutter="0"/>
          <w:cols w:space="720"/>
          <w:docGrid w:linePitch="360"/>
        </w:sectPr>
      </w:pPr>
    </w:p>
    <w:p w:rsidR="00B07258" w:rsidRPr="0088322A" w:rsidRDefault="00B07258" w:rsidP="00B07258">
      <w:pPr>
        <w:spacing w:before="240" w:after="240" w:line="312" w:lineRule="auto"/>
        <w:rPr>
          <w:rFonts w:ascii="Tahoma" w:hAnsi="Tahoma" w:cs="Tahoma"/>
          <w:sz w:val="22"/>
          <w:szCs w:val="22"/>
        </w:rPr>
      </w:pPr>
      <w:r>
        <w:rPr>
          <w:rFonts w:ascii="Tahoma" w:hAnsi="Tahoma" w:cs="Tahoma"/>
          <w:b/>
          <w:i/>
          <w:sz w:val="22"/>
          <w:szCs w:val="22"/>
        </w:rPr>
        <w:lastRenderedPageBreak/>
        <w:t>Υπηρεσίες</w:t>
      </w:r>
    </w:p>
    <w:p w:rsidR="00B07258" w:rsidRDefault="00B07258" w:rsidP="00B07258">
      <w:pPr>
        <w:spacing w:before="240" w:after="240" w:line="312" w:lineRule="auto"/>
        <w:jc w:val="both"/>
        <w:rPr>
          <w:rFonts w:ascii="Tahoma" w:hAnsi="Tahoma" w:cs="Tahoma"/>
          <w:sz w:val="22"/>
          <w:szCs w:val="22"/>
        </w:rPr>
      </w:pPr>
      <w:r>
        <w:rPr>
          <w:rFonts w:ascii="Tahoma" w:hAnsi="Tahoma" w:cs="Tahoma"/>
          <w:sz w:val="22"/>
          <w:szCs w:val="22"/>
        </w:rPr>
        <w:t>Πλήθος κλάδων των υπηρεσιών αντιμετωπίζουν σημαντικές μειώσεις κύκλου εργασιών, έστω και αν σε ορισμένους από αυτούς η πτώση έχει επιβραδυνθεί. Έτσι στο σύνολο του 2011, 13 από τους 14 κλάδους που μετρώνται από ΕΛΣΤΑΤ καταγράφουν απώλειες σε σχέση με πέρυσι. Πιο συγκεκριμένα, εντείνεται ο ρυθμός συρρίκνωσης του κύκλου εργασιών στις υπηρεσίες αρχιτεκτόνων και μηχανικών, με το δείκτη να περιορίζεται εκ νέου κατά 28,0% (αντί μείωσης 16,2% πέρυσι),</w:t>
      </w:r>
      <w:r w:rsidR="00624AD3" w:rsidRPr="00624AD3">
        <w:rPr>
          <w:rFonts w:ascii="Tahoma" w:hAnsi="Tahoma" w:cs="Tahoma"/>
          <w:sz w:val="22"/>
          <w:szCs w:val="22"/>
        </w:rPr>
        <w:t xml:space="preserve"> </w:t>
      </w:r>
      <w:r w:rsidR="00624AD3">
        <w:rPr>
          <w:rFonts w:ascii="Tahoma" w:hAnsi="Tahoma" w:cs="Tahoma"/>
          <w:sz w:val="22"/>
          <w:szCs w:val="22"/>
        </w:rPr>
        <w:t>στις υπηρεσίες διαφήμισης (-20,3%),</w:t>
      </w:r>
      <w:r>
        <w:rPr>
          <w:rFonts w:ascii="Tahoma" w:hAnsi="Tahoma" w:cs="Tahoma"/>
          <w:sz w:val="22"/>
          <w:szCs w:val="22"/>
        </w:rPr>
        <w:t xml:space="preserve"> στις </w:t>
      </w:r>
      <w:r>
        <w:rPr>
          <w:rFonts w:ascii="Tahoma" w:hAnsi="Tahoma" w:cs="Tahoma"/>
          <w:sz w:val="22"/>
          <w:szCs w:val="22"/>
        </w:rPr>
        <w:lastRenderedPageBreak/>
        <w:t xml:space="preserve">υπηρεσίες καθαρισμού (-15,0% αντί </w:t>
      </w:r>
      <w:r w:rsidR="00624AD3">
        <w:rPr>
          <w:rFonts w:ascii="Tahoma" w:hAnsi="Tahoma" w:cs="Tahoma"/>
          <w:sz w:val="22"/>
          <w:szCs w:val="22"/>
        </w:rPr>
        <w:t xml:space="preserve">οριακών απωλειών 0,68% το 2010), </w:t>
      </w:r>
      <w:r>
        <w:rPr>
          <w:rFonts w:ascii="Tahoma" w:hAnsi="Tahoma" w:cs="Tahoma"/>
          <w:sz w:val="22"/>
          <w:szCs w:val="22"/>
        </w:rPr>
        <w:t>και τέλος στις υπηρεσίες προστασίες και έρευνας, όπου ο τζίρος συρρικνώθηκε κατά 8,5% (σε σχέση με αύξηση κατά 1,3% πέρυσι).</w:t>
      </w:r>
    </w:p>
    <w:p w:rsidR="00B07258" w:rsidRDefault="00B07258" w:rsidP="00B07258">
      <w:pPr>
        <w:spacing w:before="240" w:after="240" w:line="312" w:lineRule="auto"/>
        <w:jc w:val="both"/>
        <w:rPr>
          <w:rFonts w:ascii="Tahoma" w:hAnsi="Tahoma" w:cs="Tahoma"/>
          <w:sz w:val="22"/>
          <w:szCs w:val="22"/>
        </w:rPr>
      </w:pPr>
      <w:r>
        <w:rPr>
          <w:rFonts w:ascii="Tahoma" w:hAnsi="Tahoma" w:cs="Tahoma"/>
          <w:sz w:val="22"/>
          <w:szCs w:val="22"/>
        </w:rPr>
        <w:t xml:space="preserve">Στον αντίποδα, στους κλάδους που κινήθηκαν πτωτικά μεν αλλά ηπιότερα σε σχέση με </w:t>
      </w:r>
      <w:r w:rsidR="00624AD3">
        <w:rPr>
          <w:rFonts w:ascii="Tahoma" w:hAnsi="Tahoma" w:cs="Tahoma"/>
          <w:sz w:val="22"/>
          <w:szCs w:val="22"/>
        </w:rPr>
        <w:t>το 2010</w:t>
      </w:r>
      <w:r>
        <w:rPr>
          <w:rFonts w:ascii="Tahoma" w:hAnsi="Tahoma" w:cs="Tahoma"/>
          <w:sz w:val="22"/>
          <w:szCs w:val="22"/>
        </w:rPr>
        <w:t>, ο κύκλος εργασιών στις υπηρεσίες λοιπών επαγγελματικών και επιστημονικών δραστηριοτήτων περιορίζεται κατά 20,0% (αντί -34,1% το 2010) και οι υπηρεσίες διαφήμισης (-19,8% σε σχέση με -24,1% πέρυσι).</w:t>
      </w:r>
    </w:p>
    <w:p w:rsidR="00B07258" w:rsidRDefault="00B07258" w:rsidP="00B07258">
      <w:pPr>
        <w:spacing w:before="120" w:after="240"/>
        <w:rPr>
          <w:rFonts w:ascii="Tahoma" w:hAnsi="Tahoma" w:cs="Tahoma"/>
          <w:sz w:val="16"/>
          <w:szCs w:val="22"/>
        </w:rPr>
        <w:sectPr w:rsidR="00B07258" w:rsidSect="00B07258">
          <w:type w:val="continuous"/>
          <w:pgSz w:w="11906" w:h="16838"/>
          <w:pgMar w:top="1440" w:right="849" w:bottom="1440" w:left="1560" w:header="708" w:footer="708" w:gutter="0"/>
          <w:cols w:num="2" w:space="720"/>
          <w:docGrid w:linePitch="360"/>
        </w:sectPr>
      </w:pPr>
    </w:p>
    <w:p w:rsidR="00B07258" w:rsidRDefault="00B07258" w:rsidP="00B07258">
      <w:pPr>
        <w:spacing w:before="120" w:after="240"/>
        <w:rPr>
          <w:rFonts w:ascii="Tahoma" w:hAnsi="Tahoma" w:cs="Tahoma"/>
          <w:sz w:val="16"/>
          <w:szCs w:val="22"/>
        </w:rPr>
      </w:pPr>
    </w:p>
    <w:p w:rsidR="004C4431" w:rsidRPr="00F97E27" w:rsidRDefault="00B07258" w:rsidP="00F61B95">
      <w:pPr>
        <w:spacing w:before="120" w:after="120"/>
        <w:jc w:val="center"/>
        <w:rPr>
          <w:rFonts w:ascii="Tahoma" w:hAnsi="Tahoma" w:cs="Tahoma"/>
          <w:b/>
          <w:szCs w:val="18"/>
        </w:rPr>
      </w:pPr>
      <w:r>
        <w:rPr>
          <w:rFonts w:ascii="Tahoma" w:hAnsi="Tahoma" w:cs="Tahoma"/>
          <w:b/>
          <w:sz w:val="18"/>
          <w:szCs w:val="18"/>
        </w:rPr>
        <w:br w:type="column"/>
      </w:r>
      <w:r w:rsidR="004C4431" w:rsidRPr="00F97E27">
        <w:rPr>
          <w:rFonts w:ascii="Tahoma" w:hAnsi="Tahoma" w:cs="Tahoma"/>
          <w:b/>
          <w:szCs w:val="18"/>
        </w:rPr>
        <w:lastRenderedPageBreak/>
        <w:t>Διάγραμμα 3.5</w:t>
      </w:r>
    </w:p>
    <w:p w:rsidR="004C4431" w:rsidRPr="00F97E27" w:rsidRDefault="004C4431" w:rsidP="004C4431">
      <w:pPr>
        <w:spacing w:before="120" w:after="120"/>
        <w:jc w:val="center"/>
        <w:rPr>
          <w:rFonts w:ascii="Tahoma" w:hAnsi="Tahoma" w:cs="Tahoma"/>
          <w:szCs w:val="18"/>
        </w:rPr>
      </w:pPr>
      <w:r w:rsidRPr="00F97E27">
        <w:rPr>
          <w:rFonts w:ascii="Tahoma" w:hAnsi="Tahoma" w:cs="Tahoma"/>
          <w:szCs w:val="18"/>
        </w:rPr>
        <w:t xml:space="preserve">Εξέλιξη Δείκτη Κύκλου Εργασιών στον Τομέα Διαφήμισης, Έρευνας Αγοράς και Δημοσκοπήσεων Κοινής Γνώμης. </w:t>
      </w:r>
      <w:r w:rsidRPr="00F97E27">
        <w:rPr>
          <w:rFonts w:ascii="Tahoma" w:hAnsi="Tahoma" w:cs="Tahoma"/>
          <w:bCs/>
          <w:szCs w:val="18"/>
        </w:rPr>
        <w:t>Κλάδος 73 (2005=100)</w:t>
      </w:r>
    </w:p>
    <w:p w:rsidR="004C4431" w:rsidRDefault="004C4431" w:rsidP="00B07258">
      <w:pPr>
        <w:spacing w:before="120" w:after="120" w:line="312" w:lineRule="auto"/>
        <w:jc w:val="center"/>
        <w:rPr>
          <w:rFonts w:ascii="Tahoma" w:hAnsi="Tahoma" w:cs="Tahoma"/>
          <w:sz w:val="22"/>
          <w:szCs w:val="22"/>
        </w:rPr>
      </w:pPr>
      <w:r>
        <w:rPr>
          <w:rFonts w:ascii="Tahoma" w:hAnsi="Tahoma" w:cs="Tahoma"/>
          <w:noProof/>
          <w:sz w:val="22"/>
          <w:szCs w:val="22"/>
          <w:lang w:val="en-US" w:eastAsia="en-US"/>
        </w:rPr>
        <w:drawing>
          <wp:inline distT="0" distB="0" distL="0" distR="0">
            <wp:extent cx="4953000" cy="2905125"/>
            <wp:effectExtent l="0" t="0" r="0" b="0"/>
            <wp:docPr id="265" name="Εικόνα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4C4431" w:rsidRDefault="004C4431" w:rsidP="004C4431">
      <w:pPr>
        <w:spacing w:before="120" w:after="120" w:line="312" w:lineRule="auto"/>
        <w:jc w:val="both"/>
        <w:rPr>
          <w:rFonts w:ascii="Tahoma" w:hAnsi="Tahoma" w:cs="Tahoma"/>
          <w:sz w:val="16"/>
          <w:szCs w:val="22"/>
        </w:rPr>
      </w:pPr>
      <w:r w:rsidRPr="004C4431">
        <w:rPr>
          <w:rFonts w:ascii="Tahoma" w:hAnsi="Tahoma" w:cs="Tahoma"/>
          <w:b/>
          <w:sz w:val="16"/>
          <w:szCs w:val="22"/>
        </w:rPr>
        <w:t>Πηγή</w:t>
      </w:r>
      <w:r w:rsidRPr="004C4431">
        <w:rPr>
          <w:rFonts w:ascii="Tahoma" w:hAnsi="Tahoma" w:cs="Tahoma"/>
          <w:sz w:val="16"/>
          <w:szCs w:val="22"/>
        </w:rPr>
        <w:t>: ΕΛΣΤΑΤ</w:t>
      </w:r>
    </w:p>
    <w:p w:rsidR="00B07258" w:rsidRPr="00F97E27" w:rsidRDefault="00B07258" w:rsidP="00B07258">
      <w:pPr>
        <w:spacing w:before="120" w:after="120"/>
        <w:jc w:val="center"/>
        <w:rPr>
          <w:rFonts w:ascii="Tahoma" w:hAnsi="Tahoma" w:cs="Tahoma"/>
          <w:b/>
          <w:szCs w:val="18"/>
        </w:rPr>
      </w:pPr>
      <w:r w:rsidRPr="00F97E27">
        <w:rPr>
          <w:rFonts w:ascii="Tahoma" w:hAnsi="Tahoma" w:cs="Tahoma"/>
          <w:b/>
          <w:szCs w:val="18"/>
        </w:rPr>
        <w:t>Διάγραμμα 3.6</w:t>
      </w:r>
    </w:p>
    <w:p w:rsidR="00B07258" w:rsidRPr="00F97E27" w:rsidRDefault="00B07258" w:rsidP="00B07258">
      <w:pPr>
        <w:spacing w:before="120" w:after="120"/>
        <w:jc w:val="center"/>
        <w:rPr>
          <w:rFonts w:ascii="Tahoma" w:hAnsi="Tahoma" w:cs="Tahoma"/>
          <w:szCs w:val="18"/>
        </w:rPr>
      </w:pPr>
      <w:r w:rsidRPr="00F97E27">
        <w:rPr>
          <w:rFonts w:ascii="Tahoma" w:hAnsi="Tahoma" w:cs="Tahoma"/>
          <w:szCs w:val="18"/>
        </w:rPr>
        <w:t>Εξέλιξη Δείκτη Κύκλου Εργασιών στον Τομέα Υπηρεσιών Τηλεπικοινωνιών</w:t>
      </w:r>
      <w:r w:rsidRPr="00F97E27">
        <w:rPr>
          <w:rFonts w:ascii="Tahoma" w:hAnsi="Tahoma" w:cs="Tahoma"/>
          <w:b/>
          <w:bCs/>
          <w:szCs w:val="18"/>
        </w:rPr>
        <w:t xml:space="preserve">. </w:t>
      </w:r>
      <w:r w:rsidRPr="00F97E27">
        <w:rPr>
          <w:rFonts w:ascii="Tahoma" w:hAnsi="Tahoma" w:cs="Tahoma"/>
          <w:bCs/>
          <w:szCs w:val="18"/>
        </w:rPr>
        <w:t>Κλάδος 61 (2005=100)</w:t>
      </w:r>
    </w:p>
    <w:p w:rsidR="00B07258" w:rsidRPr="00D739DE" w:rsidRDefault="00B07258" w:rsidP="00B07258">
      <w:pPr>
        <w:spacing w:before="120" w:after="120" w:line="312" w:lineRule="auto"/>
        <w:jc w:val="center"/>
        <w:rPr>
          <w:rFonts w:ascii="Tahoma" w:hAnsi="Tahoma" w:cs="Tahoma"/>
          <w:sz w:val="18"/>
          <w:szCs w:val="22"/>
        </w:rPr>
      </w:pPr>
      <w:r>
        <w:rPr>
          <w:rFonts w:ascii="Tahoma" w:hAnsi="Tahoma" w:cs="Tahoma"/>
          <w:noProof/>
          <w:sz w:val="18"/>
          <w:szCs w:val="22"/>
          <w:lang w:val="en-US" w:eastAsia="en-US"/>
        </w:rPr>
        <w:drawing>
          <wp:inline distT="0" distB="0" distL="0" distR="0">
            <wp:extent cx="5238750" cy="2943225"/>
            <wp:effectExtent l="0" t="0" r="0" b="0"/>
            <wp:docPr id="55" name="Εικόνα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B07258" w:rsidRPr="004C4431" w:rsidRDefault="00B07258" w:rsidP="00B07258">
      <w:pPr>
        <w:spacing w:before="120" w:after="120" w:line="312" w:lineRule="auto"/>
        <w:jc w:val="both"/>
        <w:rPr>
          <w:rFonts w:ascii="Tahoma" w:hAnsi="Tahoma" w:cs="Tahoma"/>
          <w:sz w:val="16"/>
          <w:szCs w:val="22"/>
        </w:rPr>
      </w:pPr>
      <w:r w:rsidRPr="004C4431">
        <w:rPr>
          <w:rFonts w:ascii="Tahoma" w:hAnsi="Tahoma" w:cs="Tahoma"/>
          <w:b/>
          <w:sz w:val="16"/>
          <w:szCs w:val="22"/>
        </w:rPr>
        <w:t>Πηγή</w:t>
      </w:r>
      <w:r w:rsidRPr="004C4431">
        <w:rPr>
          <w:rFonts w:ascii="Tahoma" w:hAnsi="Tahoma" w:cs="Tahoma"/>
          <w:sz w:val="16"/>
          <w:szCs w:val="22"/>
        </w:rPr>
        <w:t>: ΕΛΣΤΑΤ</w:t>
      </w:r>
    </w:p>
    <w:p w:rsidR="00B07258" w:rsidRDefault="00B07258" w:rsidP="004C4431">
      <w:pPr>
        <w:spacing w:before="120" w:after="120" w:line="312" w:lineRule="auto"/>
        <w:jc w:val="both"/>
        <w:rPr>
          <w:rFonts w:ascii="Tahoma" w:hAnsi="Tahoma" w:cs="Tahoma"/>
          <w:sz w:val="16"/>
          <w:szCs w:val="22"/>
        </w:rPr>
        <w:sectPr w:rsidR="00B07258" w:rsidSect="00B07258">
          <w:type w:val="continuous"/>
          <w:pgSz w:w="11906" w:h="16838"/>
          <w:pgMar w:top="1440" w:right="849" w:bottom="1440" w:left="1560" w:header="708" w:footer="708" w:gutter="0"/>
          <w:cols w:space="720"/>
          <w:docGrid w:linePitch="360"/>
        </w:sectPr>
      </w:pPr>
    </w:p>
    <w:p w:rsidR="00B07258" w:rsidRDefault="004C4431" w:rsidP="00491CCA">
      <w:pPr>
        <w:spacing w:before="120" w:after="240" w:line="312" w:lineRule="auto"/>
        <w:jc w:val="both"/>
        <w:rPr>
          <w:rFonts w:ascii="Tahoma" w:hAnsi="Tahoma" w:cs="Tahoma"/>
          <w:sz w:val="22"/>
          <w:szCs w:val="22"/>
        </w:rPr>
      </w:pPr>
      <w:r>
        <w:rPr>
          <w:rFonts w:ascii="Tahoma" w:hAnsi="Tahoma" w:cs="Tahoma"/>
          <w:sz w:val="22"/>
          <w:szCs w:val="22"/>
        </w:rPr>
        <w:lastRenderedPageBreak/>
        <w:t>Παρόμοια εικόνα καταγράφεται στις υπηρεσίες διοικητικών δραστηριοτήτων (-11,9% αντί -30,9%) αλλά και στις υπηρεσίες πλη</w:t>
      </w:r>
      <w:r w:rsidR="00624AD3">
        <w:rPr>
          <w:rFonts w:ascii="Tahoma" w:hAnsi="Tahoma" w:cs="Tahoma"/>
          <w:sz w:val="22"/>
          <w:szCs w:val="22"/>
        </w:rPr>
        <w:t xml:space="preserve">ροφορικής, </w:t>
      </w:r>
      <w:r>
        <w:rPr>
          <w:rFonts w:ascii="Tahoma" w:hAnsi="Tahoma" w:cs="Tahoma"/>
          <w:sz w:val="22"/>
          <w:szCs w:val="22"/>
        </w:rPr>
        <w:t>με το τζίρο να περιορίζεται κατά -5,6% σε σχέση με σημαντικές απώλειες κατά -33,0% πέρυσι. Ο κλάδος των τηλεπικοινωνιών καταγράφει πτώση κατά 8,9% αντί -11,4% το προηγούμενο έτος</w:t>
      </w:r>
      <w:r w:rsidR="00624AD3">
        <w:rPr>
          <w:rFonts w:ascii="Tahoma" w:hAnsi="Tahoma" w:cs="Tahoma"/>
          <w:sz w:val="22"/>
          <w:szCs w:val="22"/>
        </w:rPr>
        <w:t xml:space="preserve">, </w:t>
      </w:r>
      <w:r>
        <w:rPr>
          <w:rFonts w:ascii="Tahoma" w:hAnsi="Tahoma" w:cs="Tahoma"/>
          <w:sz w:val="22"/>
          <w:szCs w:val="22"/>
        </w:rPr>
        <w:t xml:space="preserve">ενώ επιβραδύνεται η συρρίκνωση του τζίρου στον κλάδο νομικών και λογιστικών συμβούλων (-4,5% αντί -6,5%) και στις υπηρεσίες ταχυδρομικών δραστηριοτήτων (-4,4% αντί -7,1% το 2010). </w:t>
      </w:r>
      <w:r w:rsidR="00B07258">
        <w:rPr>
          <w:rFonts w:ascii="Tahoma" w:hAnsi="Tahoma" w:cs="Tahoma"/>
          <w:sz w:val="22"/>
          <w:szCs w:val="22"/>
        </w:rPr>
        <w:t xml:space="preserve">Αντίθετα, αύξηση του κύκλου εργασιών τη χρονιά που </w:t>
      </w:r>
      <w:r w:rsidR="00B07258">
        <w:rPr>
          <w:rFonts w:ascii="Tahoma" w:hAnsi="Tahoma" w:cs="Tahoma"/>
          <w:sz w:val="22"/>
          <w:szCs w:val="22"/>
        </w:rPr>
        <w:lastRenderedPageBreak/>
        <w:t xml:space="preserve">πέρασε, εμφανίστηκε μόνο στον κλάδο επεξεργασίας δεδομένων και δραστηριοτήτων παροχής πληροφόρησης με το σχετικό δείκτη να ενισχύεται όμως μόνο οριακά κατά 1,3% σε συνέχεια βαθιάς κάμψης κατά 10,4% πέρυσι. </w:t>
      </w:r>
    </w:p>
    <w:p w:rsidR="00B07258" w:rsidRDefault="00B07258" w:rsidP="00491CCA">
      <w:pPr>
        <w:spacing w:before="240" w:after="240" w:line="312" w:lineRule="auto"/>
        <w:jc w:val="both"/>
        <w:rPr>
          <w:rFonts w:ascii="Tahoma" w:hAnsi="Tahoma" w:cs="Tahoma"/>
          <w:sz w:val="22"/>
          <w:szCs w:val="22"/>
        </w:rPr>
      </w:pPr>
      <w:r>
        <w:rPr>
          <w:rFonts w:ascii="Tahoma" w:hAnsi="Tahoma" w:cs="Tahoma"/>
          <w:sz w:val="22"/>
          <w:szCs w:val="22"/>
        </w:rPr>
        <w:t xml:space="preserve">Σημαντική τέλος είναι η επίδραση της οικονομικής κρίσης και στον τομέα του τουρισμού. Ο δείκτης στους κλάδους υπηρεσιών καταλύματος και εστίασης (κλάδοι 55 και 56) καταγράφει εκ νέου απώλειες που ξεπερνούν το 7,3% (έναντι απωλειών κατά 8,2% το </w:t>
      </w:r>
      <w:r w:rsidR="00A676AC">
        <w:rPr>
          <w:rFonts w:ascii="Tahoma" w:hAnsi="Tahoma" w:cs="Tahoma"/>
          <w:sz w:val="22"/>
          <w:szCs w:val="22"/>
        </w:rPr>
        <w:t>2010</w:t>
      </w:r>
      <w:r>
        <w:rPr>
          <w:rFonts w:ascii="Tahoma" w:hAnsi="Tahoma" w:cs="Tahoma"/>
          <w:sz w:val="22"/>
          <w:szCs w:val="22"/>
        </w:rPr>
        <w:t>).</w:t>
      </w:r>
    </w:p>
    <w:p w:rsidR="00B07258" w:rsidRDefault="00B07258" w:rsidP="004C4431">
      <w:pPr>
        <w:spacing w:before="240" w:after="240" w:line="312" w:lineRule="auto"/>
        <w:jc w:val="both"/>
        <w:rPr>
          <w:rFonts w:ascii="Tahoma" w:hAnsi="Tahoma" w:cs="Tahoma"/>
          <w:sz w:val="22"/>
          <w:szCs w:val="22"/>
        </w:rPr>
        <w:sectPr w:rsidR="00B07258" w:rsidSect="00491CCA">
          <w:pgSz w:w="11906" w:h="16838"/>
          <w:pgMar w:top="1440" w:right="849" w:bottom="1440" w:left="1560" w:header="708" w:footer="708" w:gutter="0"/>
          <w:cols w:num="2" w:space="720"/>
          <w:docGrid w:linePitch="360"/>
        </w:sectPr>
      </w:pPr>
    </w:p>
    <w:p w:rsidR="004C4431" w:rsidRPr="00F97E27" w:rsidRDefault="004C4431" w:rsidP="00491CCA">
      <w:pPr>
        <w:spacing w:before="240" w:after="120"/>
        <w:jc w:val="center"/>
        <w:rPr>
          <w:rFonts w:ascii="Tahoma" w:hAnsi="Tahoma" w:cs="Tahoma"/>
          <w:b/>
          <w:szCs w:val="16"/>
        </w:rPr>
      </w:pPr>
      <w:r w:rsidRPr="00F97E27">
        <w:rPr>
          <w:rFonts w:ascii="Tahoma" w:hAnsi="Tahoma" w:cs="Tahoma"/>
          <w:b/>
          <w:szCs w:val="16"/>
        </w:rPr>
        <w:lastRenderedPageBreak/>
        <w:t>Διάγραμμα 3.7</w:t>
      </w:r>
    </w:p>
    <w:p w:rsidR="004C4431" w:rsidRPr="00F97E27" w:rsidRDefault="004C4431" w:rsidP="004C4431">
      <w:pPr>
        <w:spacing w:before="120" w:after="120"/>
        <w:jc w:val="center"/>
        <w:rPr>
          <w:rFonts w:ascii="Tahoma" w:hAnsi="Tahoma" w:cs="Tahoma"/>
          <w:szCs w:val="18"/>
        </w:rPr>
      </w:pPr>
      <w:r w:rsidRPr="00F97E27">
        <w:rPr>
          <w:rFonts w:ascii="Tahoma" w:hAnsi="Tahoma" w:cs="Tahoma"/>
          <w:szCs w:val="18"/>
        </w:rPr>
        <w:t>Εξέλιξη Δείκτη Κύκλου Εργασιών στον Τομέα Νομικών, Λογιστικών &amp; Παροχής Συμβουλών Διαχείρισης</w:t>
      </w:r>
      <w:r w:rsidRPr="00F97E27">
        <w:rPr>
          <w:rFonts w:ascii="Tahoma" w:hAnsi="Tahoma" w:cs="Tahoma"/>
          <w:bCs/>
          <w:szCs w:val="18"/>
        </w:rPr>
        <w:t>. Κλάδοι 69+70.2 (2005=100)</w:t>
      </w:r>
    </w:p>
    <w:p w:rsidR="004C4431" w:rsidRDefault="004C4431" w:rsidP="00B07258">
      <w:pPr>
        <w:spacing w:before="120" w:after="120" w:line="312" w:lineRule="auto"/>
        <w:jc w:val="center"/>
        <w:rPr>
          <w:rFonts w:ascii="Tahoma" w:hAnsi="Tahoma" w:cs="Tahoma"/>
          <w:sz w:val="22"/>
          <w:szCs w:val="22"/>
        </w:rPr>
      </w:pPr>
      <w:r>
        <w:rPr>
          <w:rFonts w:ascii="Tahoma" w:hAnsi="Tahoma" w:cs="Tahoma"/>
          <w:noProof/>
          <w:sz w:val="22"/>
          <w:szCs w:val="22"/>
          <w:lang w:val="en-US" w:eastAsia="en-US"/>
        </w:rPr>
        <w:drawing>
          <wp:inline distT="0" distB="0" distL="0" distR="0">
            <wp:extent cx="5390707" cy="3455581"/>
            <wp:effectExtent l="0" t="0" r="0" b="0"/>
            <wp:docPr id="263" name="Γράφημα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4C4431" w:rsidRDefault="004C4431" w:rsidP="004C4431">
      <w:pPr>
        <w:spacing w:before="120" w:after="120" w:line="312" w:lineRule="auto"/>
        <w:jc w:val="both"/>
        <w:rPr>
          <w:rFonts w:ascii="Tahoma" w:hAnsi="Tahoma" w:cs="Tahoma"/>
          <w:sz w:val="16"/>
          <w:szCs w:val="22"/>
        </w:rPr>
      </w:pPr>
      <w:r w:rsidRPr="004C4431">
        <w:rPr>
          <w:rFonts w:ascii="Tahoma" w:hAnsi="Tahoma" w:cs="Tahoma"/>
          <w:b/>
          <w:sz w:val="16"/>
          <w:szCs w:val="22"/>
        </w:rPr>
        <w:t>Πηγή</w:t>
      </w:r>
      <w:r w:rsidRPr="004C4431">
        <w:rPr>
          <w:rFonts w:ascii="Tahoma" w:hAnsi="Tahoma" w:cs="Tahoma"/>
          <w:sz w:val="16"/>
          <w:szCs w:val="22"/>
        </w:rPr>
        <w:t>: ΕΛΣΤΑΤ</w:t>
      </w:r>
    </w:p>
    <w:p w:rsidR="00295EC3" w:rsidRDefault="00295EC3" w:rsidP="004C4431">
      <w:pPr>
        <w:spacing w:before="120" w:after="120" w:line="312" w:lineRule="auto"/>
        <w:jc w:val="both"/>
        <w:rPr>
          <w:rFonts w:ascii="Tahoma" w:hAnsi="Tahoma" w:cs="Tahoma"/>
          <w:sz w:val="16"/>
          <w:szCs w:val="22"/>
        </w:rPr>
        <w:sectPr w:rsidR="00295EC3" w:rsidSect="00B07258">
          <w:type w:val="continuous"/>
          <w:pgSz w:w="11906" w:h="16838"/>
          <w:pgMar w:top="1440" w:right="849" w:bottom="1440" w:left="1560" w:header="708" w:footer="708" w:gutter="0"/>
          <w:cols w:space="720"/>
          <w:docGrid w:linePitch="360"/>
        </w:sectPr>
      </w:pPr>
    </w:p>
    <w:p w:rsidR="004C4431" w:rsidRPr="00F97E27" w:rsidRDefault="004C4431" w:rsidP="00B0040D">
      <w:pPr>
        <w:spacing w:before="120" w:after="120"/>
        <w:jc w:val="center"/>
        <w:rPr>
          <w:rFonts w:ascii="Tahoma" w:hAnsi="Tahoma" w:cs="Tahoma"/>
          <w:b/>
          <w:szCs w:val="18"/>
        </w:rPr>
      </w:pPr>
      <w:r w:rsidRPr="00F97E27">
        <w:rPr>
          <w:rFonts w:ascii="Tahoma" w:hAnsi="Tahoma" w:cs="Tahoma"/>
          <w:b/>
          <w:szCs w:val="18"/>
        </w:rPr>
        <w:lastRenderedPageBreak/>
        <w:t>Διάγραμμα 3.8</w:t>
      </w:r>
    </w:p>
    <w:p w:rsidR="004C4431" w:rsidRPr="00F97E27" w:rsidRDefault="004C4431" w:rsidP="004C4431">
      <w:pPr>
        <w:spacing w:before="120" w:after="120"/>
        <w:jc w:val="center"/>
        <w:rPr>
          <w:rFonts w:ascii="Tahoma" w:hAnsi="Tahoma" w:cs="Tahoma"/>
          <w:szCs w:val="18"/>
        </w:rPr>
      </w:pPr>
      <w:r w:rsidRPr="00F97E27">
        <w:rPr>
          <w:rFonts w:ascii="Tahoma" w:hAnsi="Tahoma" w:cs="Tahoma"/>
          <w:szCs w:val="18"/>
        </w:rPr>
        <w:t xml:space="preserve">Εξέλιξη του δείκτη Κύκλου Εργασιών στον τοµέα Υπηρεσιών Παροχής Καταλύµατος και Εστίασης. </w:t>
      </w:r>
      <w:r w:rsidRPr="00F97E27">
        <w:rPr>
          <w:rFonts w:ascii="Tahoma" w:hAnsi="Tahoma" w:cs="Tahoma"/>
          <w:bCs/>
          <w:szCs w:val="18"/>
        </w:rPr>
        <w:t>Κλάδοι 55 &amp; 56 (2005=100)</w:t>
      </w:r>
    </w:p>
    <w:p w:rsidR="004C4431" w:rsidRDefault="004C4431" w:rsidP="00BA1B31">
      <w:pPr>
        <w:spacing w:before="120" w:after="120" w:line="312" w:lineRule="auto"/>
        <w:jc w:val="center"/>
        <w:rPr>
          <w:rFonts w:ascii="Tahoma" w:hAnsi="Tahoma" w:cs="Tahoma"/>
          <w:sz w:val="22"/>
          <w:szCs w:val="22"/>
        </w:rPr>
      </w:pPr>
      <w:r>
        <w:rPr>
          <w:rFonts w:ascii="Tahoma" w:hAnsi="Tahoma" w:cs="Tahoma"/>
          <w:noProof/>
          <w:sz w:val="22"/>
          <w:szCs w:val="22"/>
          <w:lang w:val="en-US" w:eastAsia="en-US"/>
        </w:rPr>
        <w:drawing>
          <wp:inline distT="0" distB="0" distL="0" distR="0">
            <wp:extent cx="5257800" cy="2838450"/>
            <wp:effectExtent l="0" t="0" r="0" b="0"/>
            <wp:docPr id="262" name="Γράφημα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4C4431" w:rsidRDefault="004C4431" w:rsidP="004C4431">
      <w:pPr>
        <w:spacing w:before="120" w:after="120" w:line="312" w:lineRule="auto"/>
        <w:jc w:val="both"/>
        <w:rPr>
          <w:rFonts w:ascii="Tahoma" w:hAnsi="Tahoma" w:cs="Tahoma"/>
          <w:sz w:val="16"/>
          <w:szCs w:val="22"/>
        </w:rPr>
      </w:pPr>
      <w:r w:rsidRPr="004C4431">
        <w:rPr>
          <w:rFonts w:ascii="Tahoma" w:hAnsi="Tahoma" w:cs="Tahoma"/>
          <w:b/>
          <w:sz w:val="16"/>
          <w:szCs w:val="22"/>
        </w:rPr>
        <w:t>Πηγή</w:t>
      </w:r>
      <w:r w:rsidRPr="004C4431">
        <w:rPr>
          <w:rFonts w:ascii="Tahoma" w:hAnsi="Tahoma" w:cs="Tahoma"/>
          <w:sz w:val="16"/>
          <w:szCs w:val="22"/>
        </w:rPr>
        <w:t>: ΕΛΣΤΑΤ</w:t>
      </w:r>
    </w:p>
    <w:p w:rsidR="00491CCA" w:rsidRDefault="00491CCA" w:rsidP="004C4431">
      <w:pPr>
        <w:spacing w:before="240" w:after="240" w:line="312" w:lineRule="auto"/>
        <w:jc w:val="both"/>
        <w:rPr>
          <w:rFonts w:ascii="Tahoma" w:hAnsi="Tahoma" w:cs="Tahoma"/>
          <w:sz w:val="22"/>
          <w:szCs w:val="22"/>
        </w:rPr>
        <w:sectPr w:rsidR="00491CCA" w:rsidSect="00AE1766">
          <w:pgSz w:w="11906" w:h="16838"/>
          <w:pgMar w:top="1440" w:right="849" w:bottom="1440" w:left="1560" w:header="708" w:footer="708" w:gutter="0"/>
          <w:cols w:space="720"/>
          <w:docGrid w:linePitch="360"/>
        </w:sectPr>
      </w:pPr>
    </w:p>
    <w:p w:rsidR="00491CCA" w:rsidRDefault="004C4431" w:rsidP="004C4431">
      <w:pPr>
        <w:spacing w:before="240" w:after="240" w:line="312" w:lineRule="auto"/>
        <w:jc w:val="both"/>
        <w:rPr>
          <w:rFonts w:ascii="Tahoma" w:hAnsi="Tahoma" w:cs="Tahoma"/>
          <w:sz w:val="22"/>
          <w:szCs w:val="22"/>
        </w:rPr>
      </w:pPr>
      <w:r w:rsidRPr="00A56FCA">
        <w:rPr>
          <w:rFonts w:ascii="Tahoma" w:hAnsi="Tahoma" w:cs="Tahoma"/>
          <w:sz w:val="22"/>
          <w:szCs w:val="22"/>
        </w:rPr>
        <w:lastRenderedPageBreak/>
        <w:t xml:space="preserve">Οι προαναφερθείσες τάσεις </w:t>
      </w:r>
      <w:r>
        <w:rPr>
          <w:rFonts w:ascii="Tahoma" w:hAnsi="Tahoma" w:cs="Tahoma"/>
          <w:sz w:val="22"/>
          <w:szCs w:val="22"/>
        </w:rPr>
        <w:t xml:space="preserve">στις Υπηρεσίες, </w:t>
      </w:r>
      <w:r w:rsidRPr="00A56FCA">
        <w:rPr>
          <w:rFonts w:ascii="Tahoma" w:hAnsi="Tahoma" w:cs="Tahoma"/>
          <w:sz w:val="22"/>
          <w:szCs w:val="22"/>
        </w:rPr>
        <w:t xml:space="preserve">έχουν αποτυπωθεί έγκαιρα στις </w:t>
      </w:r>
      <w:r w:rsidRPr="00E055A1">
        <w:rPr>
          <w:rFonts w:ascii="Tahoma" w:hAnsi="Tahoma" w:cs="Tahoma"/>
          <w:b/>
          <w:sz w:val="22"/>
          <w:szCs w:val="22"/>
        </w:rPr>
        <w:t>έρευνες οικονομικής συγκυρίας του ΙΟΒΕ</w:t>
      </w:r>
      <w:r>
        <w:rPr>
          <w:rFonts w:ascii="Tahoma" w:hAnsi="Tahoma" w:cs="Tahoma"/>
          <w:sz w:val="22"/>
          <w:szCs w:val="22"/>
        </w:rPr>
        <w:t xml:space="preserve">. Συνολικά κατά το 2011, οι επιχειρηματικές προσδοκίες εμφανίζονται να υποχωρούν κατά 3,0%, ρυθμός ασθενέστερος σε σχέση με πέρυσι (-9,3%). Ειδικότερα, ιδιαίτερα απαισιόδοξος εμφανίζεται ο κλάδος των υπηρεσιών πληροφορικής (-32,5% αντί 14,0% το 2010), εικόνα που δε διαφοροποιείται ούτε στις διάφορες υπηρεσίες προς τις επιχειρήσεις (-15,8% αντί </w:t>
      </w:r>
      <w:r>
        <w:rPr>
          <w:rFonts w:ascii="Tahoma" w:hAnsi="Tahoma" w:cs="Tahoma"/>
          <w:sz w:val="22"/>
          <w:szCs w:val="22"/>
        </w:rPr>
        <w:lastRenderedPageBreak/>
        <w:t>για -0,5% πέρυσι). Αντίθετα, αισιοδοξία για το 2012 διαφαίνεται στον κλάδο των χρηματοπιστωτικών οργανισμών, με το σχετικό δείκτη να ενισχύεται κατά 30,6% σε σχέση με απώλειες κατά 35,1% πέρυσι. Σημαντικά καλύτερη είναι η εικόνα και στις υ</w:t>
      </w:r>
      <w:r w:rsidR="00A676AC">
        <w:rPr>
          <w:rFonts w:ascii="Tahoma" w:hAnsi="Tahoma" w:cs="Tahoma"/>
          <w:sz w:val="22"/>
          <w:szCs w:val="22"/>
        </w:rPr>
        <w:t xml:space="preserve">πηρεσίες τουριστικών γραφείων, </w:t>
      </w:r>
      <w:r>
        <w:rPr>
          <w:rFonts w:ascii="Tahoma" w:hAnsi="Tahoma" w:cs="Tahoma"/>
          <w:sz w:val="22"/>
          <w:szCs w:val="22"/>
        </w:rPr>
        <w:t>καθώς οι προσδοκίες ενισχύονται κατά 20,9% (-15,0% πέρυσι), ενώ συγκρατημένη αισιοδοξία υπάρχει στον κλάδο ξενοδοχείων-εστιατορίων.</w:t>
      </w:r>
    </w:p>
    <w:p w:rsidR="00491CCA" w:rsidRDefault="00491CCA" w:rsidP="004C4431">
      <w:pPr>
        <w:spacing w:before="240" w:after="240" w:line="312" w:lineRule="auto"/>
        <w:jc w:val="both"/>
        <w:rPr>
          <w:rFonts w:ascii="Tahoma" w:hAnsi="Tahoma" w:cs="Tahoma"/>
          <w:sz w:val="22"/>
          <w:szCs w:val="22"/>
        </w:rPr>
        <w:sectPr w:rsidR="00491CCA" w:rsidSect="00491CCA">
          <w:type w:val="continuous"/>
          <w:pgSz w:w="11906" w:h="16838"/>
          <w:pgMar w:top="1440" w:right="849" w:bottom="1440" w:left="1560" w:header="708" w:footer="708" w:gutter="0"/>
          <w:cols w:num="2" w:space="720"/>
          <w:docGrid w:linePitch="360"/>
        </w:sectPr>
      </w:pPr>
    </w:p>
    <w:p w:rsidR="004C4431" w:rsidRPr="00C37C1B" w:rsidRDefault="004C4431" w:rsidP="004C4431">
      <w:pPr>
        <w:spacing w:before="120" w:after="120"/>
        <w:jc w:val="center"/>
        <w:rPr>
          <w:rFonts w:ascii="Tahoma" w:hAnsi="Tahoma" w:cs="Tahoma"/>
          <w:b/>
          <w:szCs w:val="22"/>
        </w:rPr>
      </w:pPr>
      <w:r w:rsidRPr="00C37C1B">
        <w:rPr>
          <w:rFonts w:ascii="Tahoma" w:hAnsi="Tahoma" w:cs="Tahoma"/>
          <w:b/>
          <w:szCs w:val="22"/>
        </w:rPr>
        <w:lastRenderedPageBreak/>
        <w:t>Πίνακας 3.6</w:t>
      </w:r>
    </w:p>
    <w:p w:rsidR="004C4431" w:rsidRPr="00C37C1B" w:rsidRDefault="004C4431" w:rsidP="004C4431">
      <w:pPr>
        <w:spacing w:before="120" w:after="120"/>
        <w:jc w:val="center"/>
        <w:rPr>
          <w:rFonts w:ascii="Tahoma" w:hAnsi="Tahoma" w:cs="Tahoma"/>
          <w:szCs w:val="22"/>
        </w:rPr>
      </w:pPr>
      <w:r w:rsidRPr="00C37C1B">
        <w:rPr>
          <w:rFonts w:ascii="Tahoma" w:hAnsi="Tahoma" w:cs="Tahoma"/>
          <w:szCs w:val="22"/>
        </w:rPr>
        <w:t>Κλαδικοί Δείκτες Επιχειρηματικών Προσδοκιών στις Υπηρεσίες (1998-2006=100)</w:t>
      </w:r>
    </w:p>
    <w:tbl>
      <w:tblPr>
        <w:tblW w:w="6280" w:type="dxa"/>
        <w:jc w:val="center"/>
        <w:tblInd w:w="93" w:type="dxa"/>
        <w:tblLook w:val="00A0"/>
      </w:tblPr>
      <w:tblGrid>
        <w:gridCol w:w="2880"/>
        <w:gridCol w:w="675"/>
        <w:gridCol w:w="675"/>
        <w:gridCol w:w="675"/>
        <w:gridCol w:w="880"/>
        <w:gridCol w:w="960"/>
      </w:tblGrid>
      <w:tr w:rsidR="004C4431" w:rsidRPr="00A56FCA" w:rsidTr="000C0DB3">
        <w:trPr>
          <w:trHeight w:val="465"/>
          <w:jc w:val="center"/>
        </w:trPr>
        <w:tc>
          <w:tcPr>
            <w:tcW w:w="2880" w:type="dxa"/>
            <w:tcBorders>
              <w:top w:val="single" w:sz="12" w:space="0" w:color="auto"/>
              <w:left w:val="single" w:sz="12" w:space="0" w:color="auto"/>
              <w:bottom w:val="single" w:sz="8" w:space="0" w:color="auto"/>
              <w:right w:val="single" w:sz="8" w:space="0" w:color="auto"/>
            </w:tcBorders>
            <w:shd w:val="clear" w:color="000000" w:fill="FFFFFF"/>
            <w:noWrap/>
            <w:vAlign w:val="bottom"/>
          </w:tcPr>
          <w:p w:rsidR="004C4431" w:rsidRPr="00BA1B31" w:rsidRDefault="004C4431" w:rsidP="000C0DB3">
            <w:pPr>
              <w:rPr>
                <w:rFonts w:ascii="Tahoma" w:hAnsi="Tahoma" w:cs="Tahoma"/>
                <w:sz w:val="18"/>
                <w:szCs w:val="16"/>
              </w:rPr>
            </w:pPr>
            <w:r w:rsidRPr="00BA1B31">
              <w:rPr>
                <w:rFonts w:ascii="Tahoma" w:hAnsi="Tahoma" w:cs="Tahoma"/>
                <w:sz w:val="18"/>
                <w:szCs w:val="16"/>
              </w:rPr>
              <w:t> </w:t>
            </w:r>
          </w:p>
        </w:tc>
        <w:tc>
          <w:tcPr>
            <w:tcW w:w="520" w:type="dxa"/>
            <w:tcBorders>
              <w:top w:val="single" w:sz="12" w:space="0" w:color="auto"/>
              <w:left w:val="nil"/>
              <w:bottom w:val="single" w:sz="8" w:space="0" w:color="auto"/>
              <w:right w:val="dotted" w:sz="4" w:space="0" w:color="auto"/>
            </w:tcBorders>
            <w:shd w:val="clear" w:color="000000" w:fill="FFFFFF"/>
            <w:vAlign w:val="center"/>
          </w:tcPr>
          <w:p w:rsidR="004C4431" w:rsidRPr="00BA1B31" w:rsidRDefault="004C4431" w:rsidP="000C0DB3">
            <w:pPr>
              <w:jc w:val="center"/>
              <w:rPr>
                <w:rFonts w:ascii="Tahoma" w:hAnsi="Tahoma" w:cs="Tahoma"/>
                <w:b/>
                <w:bCs/>
                <w:sz w:val="18"/>
                <w:szCs w:val="16"/>
              </w:rPr>
            </w:pPr>
            <w:r w:rsidRPr="00BA1B31">
              <w:rPr>
                <w:rFonts w:ascii="Tahoma" w:hAnsi="Tahoma" w:cs="Tahoma"/>
                <w:b/>
                <w:bCs/>
                <w:sz w:val="18"/>
                <w:szCs w:val="16"/>
              </w:rPr>
              <w:t>2009</w:t>
            </w:r>
          </w:p>
        </w:tc>
        <w:tc>
          <w:tcPr>
            <w:tcW w:w="520" w:type="dxa"/>
            <w:tcBorders>
              <w:top w:val="single" w:sz="12" w:space="0" w:color="auto"/>
              <w:left w:val="nil"/>
              <w:bottom w:val="single" w:sz="8" w:space="0" w:color="auto"/>
              <w:right w:val="dotted" w:sz="4" w:space="0" w:color="auto"/>
            </w:tcBorders>
            <w:shd w:val="clear" w:color="000000" w:fill="FFFFFF"/>
            <w:vAlign w:val="center"/>
          </w:tcPr>
          <w:p w:rsidR="004C4431" w:rsidRPr="00BA1B31" w:rsidRDefault="004C4431" w:rsidP="000C0DB3">
            <w:pPr>
              <w:jc w:val="center"/>
              <w:rPr>
                <w:rFonts w:ascii="Tahoma" w:hAnsi="Tahoma" w:cs="Tahoma"/>
                <w:b/>
                <w:bCs/>
                <w:sz w:val="18"/>
                <w:szCs w:val="16"/>
              </w:rPr>
            </w:pPr>
            <w:r w:rsidRPr="00BA1B31">
              <w:rPr>
                <w:rFonts w:ascii="Tahoma" w:hAnsi="Tahoma" w:cs="Tahoma"/>
                <w:b/>
                <w:bCs/>
                <w:sz w:val="18"/>
                <w:szCs w:val="16"/>
              </w:rPr>
              <w:t>2010</w:t>
            </w:r>
          </w:p>
        </w:tc>
        <w:tc>
          <w:tcPr>
            <w:tcW w:w="520" w:type="dxa"/>
            <w:tcBorders>
              <w:top w:val="single" w:sz="12" w:space="0" w:color="auto"/>
              <w:left w:val="nil"/>
              <w:bottom w:val="single" w:sz="8" w:space="0" w:color="auto"/>
              <w:right w:val="dotted" w:sz="4" w:space="0" w:color="auto"/>
            </w:tcBorders>
            <w:shd w:val="clear" w:color="000000" w:fill="FFFFFF"/>
            <w:vAlign w:val="center"/>
          </w:tcPr>
          <w:p w:rsidR="004C4431" w:rsidRPr="00BA1B31" w:rsidRDefault="004C4431" w:rsidP="000C0DB3">
            <w:pPr>
              <w:jc w:val="center"/>
              <w:rPr>
                <w:rFonts w:ascii="Tahoma" w:hAnsi="Tahoma" w:cs="Tahoma"/>
                <w:b/>
                <w:bCs/>
                <w:sz w:val="18"/>
                <w:szCs w:val="16"/>
              </w:rPr>
            </w:pPr>
            <w:r w:rsidRPr="00BA1B31">
              <w:rPr>
                <w:rFonts w:ascii="Tahoma" w:hAnsi="Tahoma" w:cs="Tahoma"/>
                <w:b/>
                <w:bCs/>
                <w:sz w:val="18"/>
                <w:szCs w:val="16"/>
              </w:rPr>
              <w:t>2011</w:t>
            </w:r>
          </w:p>
        </w:tc>
        <w:tc>
          <w:tcPr>
            <w:tcW w:w="880" w:type="dxa"/>
            <w:tcBorders>
              <w:top w:val="single" w:sz="12" w:space="0" w:color="auto"/>
              <w:left w:val="nil"/>
              <w:bottom w:val="single" w:sz="8" w:space="0" w:color="auto"/>
              <w:right w:val="nil"/>
            </w:tcBorders>
            <w:shd w:val="clear" w:color="000000" w:fill="FFFFFF"/>
            <w:vAlign w:val="bottom"/>
          </w:tcPr>
          <w:p w:rsidR="004C4431" w:rsidRPr="00BA1B31" w:rsidRDefault="004C4431" w:rsidP="000C0DB3">
            <w:pPr>
              <w:jc w:val="center"/>
              <w:rPr>
                <w:rFonts w:ascii="Tahoma" w:hAnsi="Tahoma" w:cs="Tahoma"/>
                <w:b/>
                <w:bCs/>
                <w:sz w:val="18"/>
                <w:szCs w:val="16"/>
              </w:rPr>
            </w:pPr>
            <w:r w:rsidRPr="00BA1B31">
              <w:rPr>
                <w:rFonts w:ascii="Tahoma" w:hAnsi="Tahoma" w:cs="Tahoma"/>
                <w:b/>
                <w:bCs/>
                <w:sz w:val="18"/>
                <w:szCs w:val="16"/>
              </w:rPr>
              <w:t>ΠΜ% ‘10/’09</w:t>
            </w:r>
          </w:p>
        </w:tc>
        <w:tc>
          <w:tcPr>
            <w:tcW w:w="960" w:type="dxa"/>
            <w:tcBorders>
              <w:top w:val="single" w:sz="12" w:space="0" w:color="auto"/>
              <w:left w:val="single" w:sz="4" w:space="0" w:color="auto"/>
              <w:bottom w:val="single" w:sz="8" w:space="0" w:color="auto"/>
              <w:right w:val="single" w:sz="12" w:space="0" w:color="auto"/>
            </w:tcBorders>
            <w:shd w:val="clear" w:color="000000" w:fill="FFFFFF"/>
            <w:vAlign w:val="bottom"/>
          </w:tcPr>
          <w:p w:rsidR="004C4431" w:rsidRPr="00BA1B31" w:rsidRDefault="004C4431" w:rsidP="000C0DB3">
            <w:pPr>
              <w:jc w:val="center"/>
              <w:rPr>
                <w:rFonts w:ascii="Tahoma" w:hAnsi="Tahoma" w:cs="Tahoma"/>
                <w:b/>
                <w:bCs/>
                <w:sz w:val="18"/>
                <w:szCs w:val="16"/>
              </w:rPr>
            </w:pPr>
            <w:r w:rsidRPr="00BA1B31">
              <w:rPr>
                <w:rFonts w:ascii="Tahoma" w:hAnsi="Tahoma" w:cs="Tahoma"/>
                <w:b/>
                <w:bCs/>
                <w:sz w:val="18"/>
                <w:szCs w:val="16"/>
              </w:rPr>
              <w:t>ΠΜ% ‘11/’10</w:t>
            </w:r>
          </w:p>
        </w:tc>
      </w:tr>
      <w:tr w:rsidR="004C4431" w:rsidRPr="00A56FCA" w:rsidTr="000C0DB3">
        <w:trPr>
          <w:trHeight w:val="255"/>
          <w:jc w:val="center"/>
        </w:trPr>
        <w:tc>
          <w:tcPr>
            <w:tcW w:w="2880" w:type="dxa"/>
            <w:tcBorders>
              <w:top w:val="nil"/>
              <w:left w:val="single" w:sz="12" w:space="0" w:color="auto"/>
              <w:bottom w:val="dotted" w:sz="4" w:space="0" w:color="auto"/>
              <w:right w:val="single" w:sz="8" w:space="0" w:color="auto"/>
            </w:tcBorders>
            <w:shd w:val="clear" w:color="000000" w:fill="FFFFFF"/>
            <w:noWrap/>
            <w:vAlign w:val="bottom"/>
          </w:tcPr>
          <w:p w:rsidR="004C4431" w:rsidRPr="00BA1B31" w:rsidRDefault="004C4431" w:rsidP="000C0DB3">
            <w:pPr>
              <w:rPr>
                <w:rFonts w:ascii="Tahoma" w:hAnsi="Tahoma" w:cs="Tahoma"/>
                <w:sz w:val="18"/>
                <w:szCs w:val="16"/>
              </w:rPr>
            </w:pPr>
            <w:r w:rsidRPr="00BA1B31">
              <w:rPr>
                <w:rFonts w:ascii="Tahoma" w:hAnsi="Tahoma" w:cs="Tahoma"/>
                <w:sz w:val="18"/>
                <w:szCs w:val="16"/>
              </w:rPr>
              <w:t>Ξενοδοχεία - Εστιατόρια</w:t>
            </w:r>
          </w:p>
        </w:tc>
        <w:tc>
          <w:tcPr>
            <w:tcW w:w="520" w:type="dxa"/>
            <w:tcBorders>
              <w:top w:val="nil"/>
              <w:left w:val="nil"/>
              <w:bottom w:val="dotted" w:sz="4" w:space="0" w:color="auto"/>
              <w:right w:val="dotted" w:sz="4" w:space="0" w:color="auto"/>
            </w:tcBorders>
            <w:shd w:val="clear" w:color="000000" w:fill="FFFFFF"/>
            <w:noWrap/>
            <w:vAlign w:val="bottom"/>
          </w:tcPr>
          <w:p w:rsidR="004C4431" w:rsidRPr="00BA1B31" w:rsidRDefault="004C4431" w:rsidP="000C0DB3">
            <w:pPr>
              <w:jc w:val="right"/>
              <w:rPr>
                <w:rFonts w:ascii="Tahoma" w:hAnsi="Tahoma" w:cs="Tahoma"/>
                <w:sz w:val="18"/>
                <w:szCs w:val="16"/>
              </w:rPr>
            </w:pPr>
            <w:r w:rsidRPr="00BA1B31">
              <w:rPr>
                <w:rFonts w:ascii="Tahoma" w:hAnsi="Tahoma" w:cs="Tahoma"/>
                <w:sz w:val="18"/>
                <w:szCs w:val="16"/>
              </w:rPr>
              <w:t>79,4</w:t>
            </w:r>
          </w:p>
        </w:tc>
        <w:tc>
          <w:tcPr>
            <w:tcW w:w="520" w:type="dxa"/>
            <w:tcBorders>
              <w:top w:val="nil"/>
              <w:left w:val="nil"/>
              <w:bottom w:val="dotted" w:sz="4" w:space="0" w:color="auto"/>
              <w:right w:val="dotted" w:sz="4" w:space="0" w:color="auto"/>
            </w:tcBorders>
            <w:shd w:val="clear" w:color="000000" w:fill="FFFFFF"/>
            <w:noWrap/>
            <w:vAlign w:val="bottom"/>
          </w:tcPr>
          <w:p w:rsidR="004C4431" w:rsidRPr="00BA1B31" w:rsidRDefault="004C4431" w:rsidP="000C0DB3">
            <w:pPr>
              <w:jc w:val="right"/>
              <w:rPr>
                <w:rFonts w:ascii="Tahoma" w:hAnsi="Tahoma" w:cs="Tahoma"/>
                <w:sz w:val="18"/>
                <w:szCs w:val="16"/>
              </w:rPr>
            </w:pPr>
            <w:r w:rsidRPr="00BA1B31">
              <w:rPr>
                <w:rFonts w:ascii="Tahoma" w:hAnsi="Tahoma" w:cs="Tahoma"/>
                <w:sz w:val="18"/>
                <w:szCs w:val="16"/>
              </w:rPr>
              <w:t>73,9</w:t>
            </w:r>
          </w:p>
        </w:tc>
        <w:tc>
          <w:tcPr>
            <w:tcW w:w="520" w:type="dxa"/>
            <w:tcBorders>
              <w:top w:val="nil"/>
              <w:left w:val="nil"/>
              <w:bottom w:val="dotted" w:sz="4" w:space="0" w:color="auto"/>
              <w:right w:val="dotted" w:sz="4" w:space="0" w:color="auto"/>
            </w:tcBorders>
            <w:shd w:val="clear" w:color="000000" w:fill="FFFFFF"/>
            <w:noWrap/>
            <w:vAlign w:val="bottom"/>
          </w:tcPr>
          <w:p w:rsidR="004C4431" w:rsidRPr="00BA1B31" w:rsidRDefault="004C4431" w:rsidP="000C0DB3">
            <w:pPr>
              <w:jc w:val="right"/>
              <w:rPr>
                <w:rFonts w:ascii="Tahoma" w:hAnsi="Tahoma" w:cs="Tahoma"/>
                <w:sz w:val="18"/>
                <w:szCs w:val="16"/>
              </w:rPr>
            </w:pPr>
            <w:r w:rsidRPr="00BA1B31">
              <w:rPr>
                <w:rFonts w:ascii="Tahoma" w:hAnsi="Tahoma" w:cs="Tahoma"/>
                <w:sz w:val="18"/>
                <w:szCs w:val="16"/>
              </w:rPr>
              <w:t>75,8</w:t>
            </w:r>
          </w:p>
        </w:tc>
        <w:tc>
          <w:tcPr>
            <w:tcW w:w="880" w:type="dxa"/>
            <w:tcBorders>
              <w:top w:val="nil"/>
              <w:left w:val="nil"/>
              <w:bottom w:val="dotted" w:sz="4" w:space="0" w:color="auto"/>
              <w:right w:val="dotted" w:sz="4" w:space="0" w:color="auto"/>
            </w:tcBorders>
            <w:shd w:val="clear" w:color="000000" w:fill="FFFFFF"/>
            <w:noWrap/>
            <w:vAlign w:val="center"/>
          </w:tcPr>
          <w:p w:rsidR="004C4431" w:rsidRPr="00BA1B31" w:rsidRDefault="004C4431" w:rsidP="000C0DB3">
            <w:pPr>
              <w:jc w:val="center"/>
              <w:rPr>
                <w:rFonts w:ascii="Tahoma" w:hAnsi="Tahoma" w:cs="Tahoma"/>
                <w:sz w:val="18"/>
                <w:szCs w:val="16"/>
              </w:rPr>
            </w:pPr>
            <w:r w:rsidRPr="00BA1B31">
              <w:rPr>
                <w:rFonts w:ascii="Tahoma" w:hAnsi="Tahoma" w:cs="Tahoma"/>
                <w:sz w:val="18"/>
                <w:szCs w:val="16"/>
              </w:rPr>
              <w:t>-6,9%</w:t>
            </w:r>
          </w:p>
        </w:tc>
        <w:tc>
          <w:tcPr>
            <w:tcW w:w="960" w:type="dxa"/>
            <w:tcBorders>
              <w:top w:val="nil"/>
              <w:left w:val="nil"/>
              <w:bottom w:val="dotted" w:sz="4" w:space="0" w:color="auto"/>
              <w:right w:val="single" w:sz="12" w:space="0" w:color="auto"/>
            </w:tcBorders>
            <w:shd w:val="clear" w:color="000000" w:fill="FFFFFF"/>
            <w:noWrap/>
            <w:vAlign w:val="center"/>
          </w:tcPr>
          <w:p w:rsidR="004C4431" w:rsidRPr="00BA1B31" w:rsidRDefault="004C4431" w:rsidP="000C0DB3">
            <w:pPr>
              <w:jc w:val="center"/>
              <w:rPr>
                <w:rFonts w:ascii="Tahoma" w:hAnsi="Tahoma" w:cs="Tahoma"/>
                <w:sz w:val="18"/>
                <w:szCs w:val="16"/>
              </w:rPr>
            </w:pPr>
            <w:r w:rsidRPr="00BA1B31">
              <w:rPr>
                <w:rFonts w:ascii="Tahoma" w:hAnsi="Tahoma" w:cs="Tahoma"/>
                <w:sz w:val="18"/>
                <w:szCs w:val="16"/>
              </w:rPr>
              <w:t>2,6%</w:t>
            </w:r>
          </w:p>
        </w:tc>
      </w:tr>
      <w:tr w:rsidR="004C4431" w:rsidRPr="00A56FCA" w:rsidTr="000C0DB3">
        <w:trPr>
          <w:trHeight w:val="255"/>
          <w:jc w:val="center"/>
        </w:trPr>
        <w:tc>
          <w:tcPr>
            <w:tcW w:w="2880" w:type="dxa"/>
            <w:tcBorders>
              <w:top w:val="nil"/>
              <w:left w:val="single" w:sz="12" w:space="0" w:color="auto"/>
              <w:bottom w:val="dotted" w:sz="4" w:space="0" w:color="auto"/>
              <w:right w:val="single" w:sz="8" w:space="0" w:color="auto"/>
            </w:tcBorders>
            <w:shd w:val="clear" w:color="000000" w:fill="FFFFFF"/>
            <w:noWrap/>
            <w:vAlign w:val="bottom"/>
          </w:tcPr>
          <w:p w:rsidR="004C4431" w:rsidRPr="00BA1B31" w:rsidRDefault="004C4431" w:rsidP="000C0DB3">
            <w:pPr>
              <w:rPr>
                <w:rFonts w:ascii="Tahoma" w:hAnsi="Tahoma" w:cs="Tahoma"/>
                <w:sz w:val="18"/>
                <w:szCs w:val="16"/>
              </w:rPr>
            </w:pPr>
            <w:r w:rsidRPr="00BA1B31">
              <w:rPr>
                <w:rFonts w:ascii="Tahoma" w:hAnsi="Tahoma" w:cs="Tahoma"/>
                <w:sz w:val="18"/>
                <w:szCs w:val="16"/>
              </w:rPr>
              <w:t xml:space="preserve">Τουριστικά Γραφεία - Πρακτορεία </w:t>
            </w:r>
          </w:p>
        </w:tc>
        <w:tc>
          <w:tcPr>
            <w:tcW w:w="520" w:type="dxa"/>
            <w:tcBorders>
              <w:top w:val="nil"/>
              <w:left w:val="nil"/>
              <w:bottom w:val="dotted" w:sz="4" w:space="0" w:color="auto"/>
              <w:right w:val="dotted" w:sz="4" w:space="0" w:color="auto"/>
            </w:tcBorders>
            <w:shd w:val="clear" w:color="000000" w:fill="FFFFFF"/>
            <w:noWrap/>
            <w:vAlign w:val="bottom"/>
          </w:tcPr>
          <w:p w:rsidR="004C4431" w:rsidRPr="00BA1B31" w:rsidRDefault="004C4431" w:rsidP="000C0DB3">
            <w:pPr>
              <w:jc w:val="right"/>
              <w:rPr>
                <w:rFonts w:ascii="Tahoma" w:hAnsi="Tahoma" w:cs="Tahoma"/>
                <w:sz w:val="18"/>
                <w:szCs w:val="16"/>
              </w:rPr>
            </w:pPr>
            <w:r w:rsidRPr="00BA1B31">
              <w:rPr>
                <w:rFonts w:ascii="Tahoma" w:hAnsi="Tahoma" w:cs="Tahoma"/>
                <w:sz w:val="18"/>
                <w:szCs w:val="16"/>
              </w:rPr>
              <w:t>71,1</w:t>
            </w:r>
          </w:p>
        </w:tc>
        <w:tc>
          <w:tcPr>
            <w:tcW w:w="520" w:type="dxa"/>
            <w:tcBorders>
              <w:top w:val="nil"/>
              <w:left w:val="nil"/>
              <w:bottom w:val="dotted" w:sz="4" w:space="0" w:color="auto"/>
              <w:right w:val="dotted" w:sz="4" w:space="0" w:color="auto"/>
            </w:tcBorders>
            <w:shd w:val="clear" w:color="000000" w:fill="FFFFFF"/>
            <w:noWrap/>
            <w:vAlign w:val="bottom"/>
          </w:tcPr>
          <w:p w:rsidR="004C4431" w:rsidRPr="00BA1B31" w:rsidRDefault="004C4431" w:rsidP="000C0DB3">
            <w:pPr>
              <w:jc w:val="right"/>
              <w:rPr>
                <w:rFonts w:ascii="Tahoma" w:hAnsi="Tahoma" w:cs="Tahoma"/>
                <w:sz w:val="18"/>
                <w:szCs w:val="16"/>
              </w:rPr>
            </w:pPr>
            <w:r w:rsidRPr="00BA1B31">
              <w:rPr>
                <w:rFonts w:ascii="Tahoma" w:hAnsi="Tahoma" w:cs="Tahoma"/>
                <w:sz w:val="18"/>
                <w:szCs w:val="16"/>
              </w:rPr>
              <w:t>60,4</w:t>
            </w:r>
          </w:p>
        </w:tc>
        <w:tc>
          <w:tcPr>
            <w:tcW w:w="520" w:type="dxa"/>
            <w:tcBorders>
              <w:top w:val="nil"/>
              <w:left w:val="nil"/>
              <w:bottom w:val="dotted" w:sz="4" w:space="0" w:color="auto"/>
              <w:right w:val="dotted" w:sz="4" w:space="0" w:color="auto"/>
            </w:tcBorders>
            <w:shd w:val="clear" w:color="000000" w:fill="FFFFFF"/>
            <w:noWrap/>
            <w:vAlign w:val="bottom"/>
          </w:tcPr>
          <w:p w:rsidR="004C4431" w:rsidRPr="00BA1B31" w:rsidRDefault="004C4431" w:rsidP="000C0DB3">
            <w:pPr>
              <w:jc w:val="right"/>
              <w:rPr>
                <w:rFonts w:ascii="Tahoma" w:hAnsi="Tahoma" w:cs="Tahoma"/>
                <w:sz w:val="18"/>
                <w:szCs w:val="16"/>
              </w:rPr>
            </w:pPr>
            <w:r w:rsidRPr="00BA1B31">
              <w:rPr>
                <w:rFonts w:ascii="Tahoma" w:hAnsi="Tahoma" w:cs="Tahoma"/>
                <w:sz w:val="18"/>
                <w:szCs w:val="16"/>
              </w:rPr>
              <w:t>73</w:t>
            </w:r>
          </w:p>
        </w:tc>
        <w:tc>
          <w:tcPr>
            <w:tcW w:w="880" w:type="dxa"/>
            <w:tcBorders>
              <w:top w:val="nil"/>
              <w:left w:val="nil"/>
              <w:bottom w:val="dotted" w:sz="4" w:space="0" w:color="auto"/>
              <w:right w:val="dotted" w:sz="4" w:space="0" w:color="auto"/>
            </w:tcBorders>
            <w:shd w:val="clear" w:color="000000" w:fill="FFFFFF"/>
            <w:noWrap/>
            <w:vAlign w:val="center"/>
          </w:tcPr>
          <w:p w:rsidR="004C4431" w:rsidRPr="00BA1B31" w:rsidRDefault="004C4431" w:rsidP="000C0DB3">
            <w:pPr>
              <w:jc w:val="center"/>
              <w:rPr>
                <w:rFonts w:ascii="Tahoma" w:hAnsi="Tahoma" w:cs="Tahoma"/>
                <w:sz w:val="18"/>
                <w:szCs w:val="16"/>
              </w:rPr>
            </w:pPr>
            <w:r w:rsidRPr="00BA1B31">
              <w:rPr>
                <w:rFonts w:ascii="Tahoma" w:hAnsi="Tahoma" w:cs="Tahoma"/>
                <w:sz w:val="18"/>
                <w:szCs w:val="16"/>
              </w:rPr>
              <w:t>-15,0%</w:t>
            </w:r>
          </w:p>
        </w:tc>
        <w:tc>
          <w:tcPr>
            <w:tcW w:w="960" w:type="dxa"/>
            <w:tcBorders>
              <w:top w:val="nil"/>
              <w:left w:val="nil"/>
              <w:bottom w:val="dotted" w:sz="4" w:space="0" w:color="auto"/>
              <w:right w:val="single" w:sz="12" w:space="0" w:color="auto"/>
            </w:tcBorders>
            <w:shd w:val="clear" w:color="000000" w:fill="FFFFFF"/>
            <w:noWrap/>
            <w:vAlign w:val="center"/>
          </w:tcPr>
          <w:p w:rsidR="004C4431" w:rsidRPr="00BA1B31" w:rsidRDefault="004C4431" w:rsidP="000C0DB3">
            <w:pPr>
              <w:jc w:val="center"/>
              <w:rPr>
                <w:rFonts w:ascii="Tahoma" w:hAnsi="Tahoma" w:cs="Tahoma"/>
                <w:sz w:val="18"/>
                <w:szCs w:val="16"/>
              </w:rPr>
            </w:pPr>
            <w:r w:rsidRPr="00BA1B31">
              <w:rPr>
                <w:rFonts w:ascii="Tahoma" w:hAnsi="Tahoma" w:cs="Tahoma"/>
                <w:sz w:val="18"/>
                <w:szCs w:val="16"/>
              </w:rPr>
              <w:t>20,9%</w:t>
            </w:r>
          </w:p>
        </w:tc>
      </w:tr>
      <w:tr w:rsidR="004C4431" w:rsidRPr="00A56FCA" w:rsidTr="000C0DB3">
        <w:trPr>
          <w:trHeight w:val="255"/>
          <w:jc w:val="center"/>
        </w:trPr>
        <w:tc>
          <w:tcPr>
            <w:tcW w:w="2880" w:type="dxa"/>
            <w:tcBorders>
              <w:top w:val="nil"/>
              <w:left w:val="single" w:sz="12" w:space="0" w:color="auto"/>
              <w:bottom w:val="dotted" w:sz="4" w:space="0" w:color="auto"/>
              <w:right w:val="single" w:sz="8" w:space="0" w:color="auto"/>
            </w:tcBorders>
            <w:shd w:val="clear" w:color="000000" w:fill="FFFFFF"/>
            <w:noWrap/>
            <w:vAlign w:val="bottom"/>
          </w:tcPr>
          <w:p w:rsidR="004C4431" w:rsidRPr="00BA1B31" w:rsidRDefault="004C4431" w:rsidP="000C0DB3">
            <w:pPr>
              <w:rPr>
                <w:rFonts w:ascii="Tahoma" w:hAnsi="Tahoma" w:cs="Tahoma"/>
                <w:sz w:val="18"/>
                <w:szCs w:val="16"/>
              </w:rPr>
            </w:pPr>
            <w:r w:rsidRPr="00BA1B31">
              <w:rPr>
                <w:rFonts w:ascii="Tahoma" w:hAnsi="Tahoma" w:cs="Tahoma"/>
                <w:sz w:val="18"/>
                <w:szCs w:val="16"/>
              </w:rPr>
              <w:t>Διάφορες Υπηρεσίες προς Επιχειρήσεις</w:t>
            </w:r>
          </w:p>
        </w:tc>
        <w:tc>
          <w:tcPr>
            <w:tcW w:w="520" w:type="dxa"/>
            <w:tcBorders>
              <w:top w:val="nil"/>
              <w:left w:val="nil"/>
              <w:bottom w:val="dotted" w:sz="4" w:space="0" w:color="auto"/>
              <w:right w:val="dotted" w:sz="4" w:space="0" w:color="auto"/>
            </w:tcBorders>
            <w:shd w:val="clear" w:color="000000" w:fill="FFFFFF"/>
            <w:noWrap/>
            <w:vAlign w:val="bottom"/>
          </w:tcPr>
          <w:p w:rsidR="004C4431" w:rsidRPr="00BA1B31" w:rsidRDefault="004C4431" w:rsidP="000C0DB3">
            <w:pPr>
              <w:jc w:val="right"/>
              <w:rPr>
                <w:rFonts w:ascii="Tahoma" w:hAnsi="Tahoma" w:cs="Tahoma"/>
                <w:sz w:val="18"/>
                <w:szCs w:val="16"/>
              </w:rPr>
            </w:pPr>
            <w:r w:rsidRPr="00BA1B31">
              <w:rPr>
                <w:rFonts w:ascii="Tahoma" w:hAnsi="Tahoma" w:cs="Tahoma"/>
                <w:sz w:val="18"/>
                <w:szCs w:val="16"/>
              </w:rPr>
              <w:t>61,1</w:t>
            </w:r>
          </w:p>
        </w:tc>
        <w:tc>
          <w:tcPr>
            <w:tcW w:w="520" w:type="dxa"/>
            <w:tcBorders>
              <w:top w:val="nil"/>
              <w:left w:val="nil"/>
              <w:bottom w:val="dotted" w:sz="4" w:space="0" w:color="auto"/>
              <w:right w:val="dotted" w:sz="4" w:space="0" w:color="auto"/>
            </w:tcBorders>
            <w:shd w:val="clear" w:color="000000" w:fill="FFFFFF"/>
            <w:noWrap/>
            <w:vAlign w:val="bottom"/>
          </w:tcPr>
          <w:p w:rsidR="004C4431" w:rsidRPr="00BA1B31" w:rsidRDefault="004C4431" w:rsidP="000C0DB3">
            <w:pPr>
              <w:jc w:val="right"/>
              <w:rPr>
                <w:rFonts w:ascii="Tahoma" w:hAnsi="Tahoma" w:cs="Tahoma"/>
                <w:sz w:val="18"/>
                <w:szCs w:val="16"/>
              </w:rPr>
            </w:pPr>
            <w:r w:rsidRPr="00BA1B31">
              <w:rPr>
                <w:rFonts w:ascii="Tahoma" w:hAnsi="Tahoma" w:cs="Tahoma"/>
                <w:sz w:val="18"/>
                <w:szCs w:val="16"/>
              </w:rPr>
              <w:t>60,8</w:t>
            </w:r>
          </w:p>
        </w:tc>
        <w:tc>
          <w:tcPr>
            <w:tcW w:w="520" w:type="dxa"/>
            <w:tcBorders>
              <w:top w:val="nil"/>
              <w:left w:val="nil"/>
              <w:bottom w:val="dotted" w:sz="4" w:space="0" w:color="auto"/>
              <w:right w:val="dotted" w:sz="4" w:space="0" w:color="auto"/>
            </w:tcBorders>
            <w:shd w:val="clear" w:color="000000" w:fill="FFFFFF"/>
            <w:noWrap/>
            <w:vAlign w:val="bottom"/>
          </w:tcPr>
          <w:p w:rsidR="004C4431" w:rsidRPr="00BA1B31" w:rsidRDefault="004C4431" w:rsidP="000C0DB3">
            <w:pPr>
              <w:jc w:val="right"/>
              <w:rPr>
                <w:rFonts w:ascii="Tahoma" w:hAnsi="Tahoma" w:cs="Tahoma"/>
                <w:sz w:val="18"/>
                <w:szCs w:val="16"/>
              </w:rPr>
            </w:pPr>
            <w:r w:rsidRPr="00BA1B31">
              <w:rPr>
                <w:rFonts w:ascii="Tahoma" w:hAnsi="Tahoma" w:cs="Tahoma"/>
                <w:sz w:val="18"/>
                <w:szCs w:val="16"/>
              </w:rPr>
              <w:t>51,2</w:t>
            </w:r>
          </w:p>
        </w:tc>
        <w:tc>
          <w:tcPr>
            <w:tcW w:w="880" w:type="dxa"/>
            <w:tcBorders>
              <w:top w:val="nil"/>
              <w:left w:val="nil"/>
              <w:bottom w:val="dotted" w:sz="4" w:space="0" w:color="auto"/>
              <w:right w:val="dotted" w:sz="4" w:space="0" w:color="auto"/>
            </w:tcBorders>
            <w:shd w:val="clear" w:color="000000" w:fill="FFFFFF"/>
            <w:noWrap/>
            <w:vAlign w:val="center"/>
          </w:tcPr>
          <w:p w:rsidR="004C4431" w:rsidRPr="00BA1B31" w:rsidRDefault="004C4431" w:rsidP="000C0DB3">
            <w:pPr>
              <w:jc w:val="center"/>
              <w:rPr>
                <w:rFonts w:ascii="Tahoma" w:hAnsi="Tahoma" w:cs="Tahoma"/>
                <w:sz w:val="18"/>
                <w:szCs w:val="16"/>
              </w:rPr>
            </w:pPr>
            <w:r w:rsidRPr="00BA1B31">
              <w:rPr>
                <w:rFonts w:ascii="Tahoma" w:hAnsi="Tahoma" w:cs="Tahoma"/>
                <w:sz w:val="18"/>
                <w:szCs w:val="16"/>
              </w:rPr>
              <w:t>-0,5%</w:t>
            </w:r>
          </w:p>
        </w:tc>
        <w:tc>
          <w:tcPr>
            <w:tcW w:w="960" w:type="dxa"/>
            <w:tcBorders>
              <w:top w:val="nil"/>
              <w:left w:val="nil"/>
              <w:bottom w:val="dotted" w:sz="4" w:space="0" w:color="auto"/>
              <w:right w:val="single" w:sz="12" w:space="0" w:color="auto"/>
            </w:tcBorders>
            <w:shd w:val="clear" w:color="000000" w:fill="FFFFFF"/>
            <w:noWrap/>
            <w:vAlign w:val="center"/>
          </w:tcPr>
          <w:p w:rsidR="004C4431" w:rsidRPr="00BA1B31" w:rsidRDefault="004C4431" w:rsidP="000C0DB3">
            <w:pPr>
              <w:jc w:val="center"/>
              <w:rPr>
                <w:rFonts w:ascii="Tahoma" w:hAnsi="Tahoma" w:cs="Tahoma"/>
                <w:sz w:val="18"/>
                <w:szCs w:val="16"/>
              </w:rPr>
            </w:pPr>
            <w:r w:rsidRPr="00BA1B31">
              <w:rPr>
                <w:rFonts w:ascii="Tahoma" w:hAnsi="Tahoma" w:cs="Tahoma"/>
                <w:sz w:val="18"/>
                <w:szCs w:val="16"/>
              </w:rPr>
              <w:t>-15,8%</w:t>
            </w:r>
          </w:p>
        </w:tc>
      </w:tr>
      <w:tr w:rsidR="004C4431" w:rsidRPr="00A56FCA" w:rsidTr="000C0DB3">
        <w:trPr>
          <w:trHeight w:val="255"/>
          <w:jc w:val="center"/>
        </w:trPr>
        <w:tc>
          <w:tcPr>
            <w:tcW w:w="2880" w:type="dxa"/>
            <w:tcBorders>
              <w:top w:val="nil"/>
              <w:left w:val="single" w:sz="12" w:space="0" w:color="auto"/>
              <w:bottom w:val="dotted" w:sz="4" w:space="0" w:color="auto"/>
              <w:right w:val="single" w:sz="8" w:space="0" w:color="auto"/>
            </w:tcBorders>
            <w:shd w:val="clear" w:color="000000" w:fill="FFFFFF"/>
            <w:noWrap/>
            <w:vAlign w:val="bottom"/>
          </w:tcPr>
          <w:p w:rsidR="004C4431" w:rsidRPr="00BA1B31" w:rsidRDefault="004C4431" w:rsidP="000C0DB3">
            <w:pPr>
              <w:rPr>
                <w:rFonts w:ascii="Tahoma" w:hAnsi="Tahoma" w:cs="Tahoma"/>
                <w:sz w:val="18"/>
                <w:szCs w:val="16"/>
              </w:rPr>
            </w:pPr>
            <w:r w:rsidRPr="00BA1B31">
              <w:rPr>
                <w:rFonts w:ascii="Tahoma" w:hAnsi="Tahoma" w:cs="Tahoma"/>
                <w:sz w:val="18"/>
                <w:szCs w:val="16"/>
              </w:rPr>
              <w:t>Χρηματοπιστωτικοί οργανισμοί</w:t>
            </w:r>
          </w:p>
        </w:tc>
        <w:tc>
          <w:tcPr>
            <w:tcW w:w="520" w:type="dxa"/>
            <w:tcBorders>
              <w:top w:val="nil"/>
              <w:left w:val="nil"/>
              <w:bottom w:val="dotted" w:sz="4" w:space="0" w:color="auto"/>
              <w:right w:val="dotted" w:sz="4" w:space="0" w:color="auto"/>
            </w:tcBorders>
            <w:shd w:val="clear" w:color="000000" w:fill="FFFFFF"/>
            <w:noWrap/>
            <w:vAlign w:val="bottom"/>
          </w:tcPr>
          <w:p w:rsidR="004C4431" w:rsidRPr="00BA1B31" w:rsidRDefault="004C4431" w:rsidP="000C0DB3">
            <w:pPr>
              <w:jc w:val="right"/>
              <w:rPr>
                <w:rFonts w:ascii="Tahoma" w:hAnsi="Tahoma" w:cs="Tahoma"/>
                <w:sz w:val="18"/>
                <w:szCs w:val="16"/>
              </w:rPr>
            </w:pPr>
            <w:r w:rsidRPr="00BA1B31">
              <w:rPr>
                <w:rFonts w:ascii="Tahoma" w:hAnsi="Tahoma" w:cs="Tahoma"/>
                <w:sz w:val="18"/>
                <w:szCs w:val="16"/>
              </w:rPr>
              <w:t>72,4</w:t>
            </w:r>
          </w:p>
        </w:tc>
        <w:tc>
          <w:tcPr>
            <w:tcW w:w="520" w:type="dxa"/>
            <w:tcBorders>
              <w:top w:val="nil"/>
              <w:left w:val="nil"/>
              <w:bottom w:val="dotted" w:sz="4" w:space="0" w:color="auto"/>
              <w:right w:val="dotted" w:sz="4" w:space="0" w:color="auto"/>
            </w:tcBorders>
            <w:shd w:val="clear" w:color="000000" w:fill="FFFFFF"/>
            <w:noWrap/>
            <w:vAlign w:val="bottom"/>
          </w:tcPr>
          <w:p w:rsidR="004C4431" w:rsidRPr="00BA1B31" w:rsidRDefault="004C4431" w:rsidP="000C0DB3">
            <w:pPr>
              <w:jc w:val="right"/>
              <w:rPr>
                <w:rFonts w:ascii="Tahoma" w:hAnsi="Tahoma" w:cs="Tahoma"/>
                <w:sz w:val="18"/>
                <w:szCs w:val="16"/>
              </w:rPr>
            </w:pPr>
            <w:r w:rsidRPr="00BA1B31">
              <w:rPr>
                <w:rFonts w:ascii="Tahoma" w:hAnsi="Tahoma" w:cs="Tahoma"/>
                <w:sz w:val="18"/>
                <w:szCs w:val="16"/>
              </w:rPr>
              <w:t>47</w:t>
            </w:r>
          </w:p>
        </w:tc>
        <w:tc>
          <w:tcPr>
            <w:tcW w:w="520" w:type="dxa"/>
            <w:tcBorders>
              <w:top w:val="nil"/>
              <w:left w:val="nil"/>
              <w:bottom w:val="dotted" w:sz="4" w:space="0" w:color="auto"/>
              <w:right w:val="dotted" w:sz="4" w:space="0" w:color="auto"/>
            </w:tcBorders>
            <w:shd w:val="clear" w:color="000000" w:fill="FFFFFF"/>
            <w:noWrap/>
            <w:vAlign w:val="bottom"/>
          </w:tcPr>
          <w:p w:rsidR="004C4431" w:rsidRPr="00BA1B31" w:rsidRDefault="004C4431" w:rsidP="000C0DB3">
            <w:pPr>
              <w:jc w:val="right"/>
              <w:rPr>
                <w:rFonts w:ascii="Tahoma" w:hAnsi="Tahoma" w:cs="Tahoma"/>
                <w:sz w:val="18"/>
                <w:szCs w:val="16"/>
              </w:rPr>
            </w:pPr>
            <w:r w:rsidRPr="00BA1B31">
              <w:rPr>
                <w:rFonts w:ascii="Tahoma" w:hAnsi="Tahoma" w:cs="Tahoma"/>
                <w:sz w:val="18"/>
                <w:szCs w:val="16"/>
              </w:rPr>
              <w:t>61,4</w:t>
            </w:r>
          </w:p>
        </w:tc>
        <w:tc>
          <w:tcPr>
            <w:tcW w:w="880" w:type="dxa"/>
            <w:tcBorders>
              <w:top w:val="nil"/>
              <w:left w:val="nil"/>
              <w:bottom w:val="dotted" w:sz="4" w:space="0" w:color="auto"/>
              <w:right w:val="dotted" w:sz="4" w:space="0" w:color="auto"/>
            </w:tcBorders>
            <w:shd w:val="clear" w:color="000000" w:fill="FFFFFF"/>
            <w:noWrap/>
            <w:vAlign w:val="center"/>
          </w:tcPr>
          <w:p w:rsidR="004C4431" w:rsidRPr="00BA1B31" w:rsidRDefault="004C4431" w:rsidP="000C0DB3">
            <w:pPr>
              <w:jc w:val="center"/>
              <w:rPr>
                <w:rFonts w:ascii="Tahoma" w:hAnsi="Tahoma" w:cs="Tahoma"/>
                <w:sz w:val="18"/>
                <w:szCs w:val="16"/>
              </w:rPr>
            </w:pPr>
            <w:r w:rsidRPr="00BA1B31">
              <w:rPr>
                <w:rFonts w:ascii="Tahoma" w:hAnsi="Tahoma" w:cs="Tahoma"/>
                <w:sz w:val="18"/>
                <w:szCs w:val="16"/>
              </w:rPr>
              <w:t>-35,1%</w:t>
            </w:r>
          </w:p>
        </w:tc>
        <w:tc>
          <w:tcPr>
            <w:tcW w:w="960" w:type="dxa"/>
            <w:tcBorders>
              <w:top w:val="nil"/>
              <w:left w:val="nil"/>
              <w:bottom w:val="dotted" w:sz="4" w:space="0" w:color="auto"/>
              <w:right w:val="single" w:sz="12" w:space="0" w:color="auto"/>
            </w:tcBorders>
            <w:shd w:val="clear" w:color="000000" w:fill="FFFFFF"/>
            <w:noWrap/>
            <w:vAlign w:val="center"/>
          </w:tcPr>
          <w:p w:rsidR="004C4431" w:rsidRPr="00BA1B31" w:rsidRDefault="004C4431" w:rsidP="000C0DB3">
            <w:pPr>
              <w:jc w:val="center"/>
              <w:rPr>
                <w:rFonts w:ascii="Tahoma" w:hAnsi="Tahoma" w:cs="Tahoma"/>
                <w:sz w:val="18"/>
                <w:szCs w:val="16"/>
              </w:rPr>
            </w:pPr>
            <w:r w:rsidRPr="00BA1B31">
              <w:rPr>
                <w:rFonts w:ascii="Tahoma" w:hAnsi="Tahoma" w:cs="Tahoma"/>
                <w:sz w:val="18"/>
                <w:szCs w:val="16"/>
              </w:rPr>
              <w:t>30,6%</w:t>
            </w:r>
          </w:p>
        </w:tc>
      </w:tr>
      <w:tr w:rsidR="004C4431" w:rsidRPr="00A56FCA" w:rsidTr="000C0DB3">
        <w:trPr>
          <w:trHeight w:val="255"/>
          <w:jc w:val="center"/>
        </w:trPr>
        <w:tc>
          <w:tcPr>
            <w:tcW w:w="2880" w:type="dxa"/>
            <w:tcBorders>
              <w:top w:val="nil"/>
              <w:left w:val="single" w:sz="12" w:space="0" w:color="auto"/>
              <w:bottom w:val="dotted" w:sz="4" w:space="0" w:color="auto"/>
              <w:right w:val="single" w:sz="8" w:space="0" w:color="auto"/>
            </w:tcBorders>
            <w:shd w:val="clear" w:color="000000" w:fill="FFFFFF"/>
            <w:noWrap/>
            <w:vAlign w:val="bottom"/>
          </w:tcPr>
          <w:p w:rsidR="004C4431" w:rsidRPr="00BA1B31" w:rsidRDefault="004C4431" w:rsidP="000C0DB3">
            <w:pPr>
              <w:rPr>
                <w:rFonts w:ascii="Tahoma" w:hAnsi="Tahoma" w:cs="Tahoma"/>
                <w:sz w:val="18"/>
                <w:szCs w:val="16"/>
              </w:rPr>
            </w:pPr>
            <w:r w:rsidRPr="00BA1B31">
              <w:rPr>
                <w:rFonts w:ascii="Tahoma" w:hAnsi="Tahoma" w:cs="Tahoma"/>
                <w:sz w:val="18"/>
                <w:szCs w:val="16"/>
              </w:rPr>
              <w:t>Πληροφορική</w:t>
            </w:r>
          </w:p>
        </w:tc>
        <w:tc>
          <w:tcPr>
            <w:tcW w:w="520" w:type="dxa"/>
            <w:tcBorders>
              <w:top w:val="nil"/>
              <w:left w:val="nil"/>
              <w:bottom w:val="dotted" w:sz="4" w:space="0" w:color="auto"/>
              <w:right w:val="dotted" w:sz="4" w:space="0" w:color="auto"/>
            </w:tcBorders>
            <w:shd w:val="clear" w:color="000000" w:fill="FFFFFF"/>
            <w:noWrap/>
            <w:vAlign w:val="bottom"/>
          </w:tcPr>
          <w:p w:rsidR="004C4431" w:rsidRPr="00BA1B31" w:rsidRDefault="004C4431" w:rsidP="000C0DB3">
            <w:pPr>
              <w:jc w:val="right"/>
              <w:rPr>
                <w:rFonts w:ascii="Tahoma" w:hAnsi="Tahoma" w:cs="Tahoma"/>
                <w:sz w:val="18"/>
                <w:szCs w:val="16"/>
              </w:rPr>
            </w:pPr>
            <w:r w:rsidRPr="00BA1B31">
              <w:rPr>
                <w:rFonts w:ascii="Tahoma" w:hAnsi="Tahoma" w:cs="Tahoma"/>
                <w:sz w:val="18"/>
                <w:szCs w:val="16"/>
              </w:rPr>
              <w:t>65</w:t>
            </w:r>
          </w:p>
        </w:tc>
        <w:tc>
          <w:tcPr>
            <w:tcW w:w="520" w:type="dxa"/>
            <w:tcBorders>
              <w:top w:val="nil"/>
              <w:left w:val="nil"/>
              <w:bottom w:val="dotted" w:sz="4" w:space="0" w:color="auto"/>
              <w:right w:val="dotted" w:sz="4" w:space="0" w:color="auto"/>
            </w:tcBorders>
            <w:shd w:val="clear" w:color="000000" w:fill="FFFFFF"/>
            <w:noWrap/>
            <w:vAlign w:val="bottom"/>
          </w:tcPr>
          <w:p w:rsidR="004C4431" w:rsidRPr="00BA1B31" w:rsidRDefault="004C4431" w:rsidP="000C0DB3">
            <w:pPr>
              <w:jc w:val="right"/>
              <w:rPr>
                <w:rFonts w:ascii="Tahoma" w:hAnsi="Tahoma" w:cs="Tahoma"/>
                <w:sz w:val="18"/>
                <w:szCs w:val="16"/>
              </w:rPr>
            </w:pPr>
            <w:r w:rsidRPr="00BA1B31">
              <w:rPr>
                <w:rFonts w:ascii="Tahoma" w:hAnsi="Tahoma" w:cs="Tahoma"/>
                <w:sz w:val="18"/>
                <w:szCs w:val="16"/>
              </w:rPr>
              <w:t>74,1</w:t>
            </w:r>
          </w:p>
        </w:tc>
        <w:tc>
          <w:tcPr>
            <w:tcW w:w="520" w:type="dxa"/>
            <w:tcBorders>
              <w:top w:val="nil"/>
              <w:left w:val="nil"/>
              <w:bottom w:val="dotted" w:sz="4" w:space="0" w:color="auto"/>
              <w:right w:val="dotted" w:sz="4" w:space="0" w:color="auto"/>
            </w:tcBorders>
            <w:shd w:val="clear" w:color="000000" w:fill="FFFFFF"/>
            <w:noWrap/>
            <w:vAlign w:val="bottom"/>
          </w:tcPr>
          <w:p w:rsidR="004C4431" w:rsidRPr="00BA1B31" w:rsidRDefault="004C4431" w:rsidP="000C0DB3">
            <w:pPr>
              <w:jc w:val="right"/>
              <w:rPr>
                <w:rFonts w:ascii="Tahoma" w:hAnsi="Tahoma" w:cs="Tahoma"/>
                <w:sz w:val="18"/>
                <w:szCs w:val="16"/>
              </w:rPr>
            </w:pPr>
            <w:r w:rsidRPr="00BA1B31">
              <w:rPr>
                <w:rFonts w:ascii="Tahoma" w:hAnsi="Tahoma" w:cs="Tahoma"/>
                <w:sz w:val="18"/>
                <w:szCs w:val="16"/>
              </w:rPr>
              <w:t>50</w:t>
            </w:r>
          </w:p>
        </w:tc>
        <w:tc>
          <w:tcPr>
            <w:tcW w:w="880" w:type="dxa"/>
            <w:tcBorders>
              <w:top w:val="nil"/>
              <w:left w:val="nil"/>
              <w:bottom w:val="dotted" w:sz="4" w:space="0" w:color="auto"/>
              <w:right w:val="dotted" w:sz="4" w:space="0" w:color="auto"/>
            </w:tcBorders>
            <w:shd w:val="clear" w:color="000000" w:fill="FFFFFF"/>
            <w:noWrap/>
            <w:vAlign w:val="center"/>
          </w:tcPr>
          <w:p w:rsidR="004C4431" w:rsidRPr="00BA1B31" w:rsidRDefault="004C4431" w:rsidP="000C0DB3">
            <w:pPr>
              <w:jc w:val="center"/>
              <w:rPr>
                <w:rFonts w:ascii="Tahoma" w:hAnsi="Tahoma" w:cs="Tahoma"/>
                <w:sz w:val="18"/>
                <w:szCs w:val="16"/>
              </w:rPr>
            </w:pPr>
            <w:r w:rsidRPr="00BA1B31">
              <w:rPr>
                <w:rFonts w:ascii="Tahoma" w:hAnsi="Tahoma" w:cs="Tahoma"/>
                <w:sz w:val="18"/>
                <w:szCs w:val="16"/>
              </w:rPr>
              <w:t>14,0%</w:t>
            </w:r>
          </w:p>
        </w:tc>
        <w:tc>
          <w:tcPr>
            <w:tcW w:w="960" w:type="dxa"/>
            <w:tcBorders>
              <w:top w:val="nil"/>
              <w:left w:val="nil"/>
              <w:bottom w:val="dotted" w:sz="4" w:space="0" w:color="auto"/>
              <w:right w:val="single" w:sz="12" w:space="0" w:color="auto"/>
            </w:tcBorders>
            <w:shd w:val="clear" w:color="000000" w:fill="FFFFFF"/>
            <w:noWrap/>
            <w:vAlign w:val="center"/>
          </w:tcPr>
          <w:p w:rsidR="004C4431" w:rsidRPr="00BA1B31" w:rsidRDefault="004C4431" w:rsidP="000C0DB3">
            <w:pPr>
              <w:jc w:val="center"/>
              <w:rPr>
                <w:rFonts w:ascii="Tahoma" w:hAnsi="Tahoma" w:cs="Tahoma"/>
                <w:sz w:val="18"/>
                <w:szCs w:val="16"/>
              </w:rPr>
            </w:pPr>
            <w:r w:rsidRPr="00BA1B31">
              <w:rPr>
                <w:rFonts w:ascii="Tahoma" w:hAnsi="Tahoma" w:cs="Tahoma"/>
                <w:sz w:val="18"/>
                <w:szCs w:val="16"/>
              </w:rPr>
              <w:t>-32,5%</w:t>
            </w:r>
          </w:p>
        </w:tc>
      </w:tr>
      <w:tr w:rsidR="004C4431" w:rsidRPr="00A56FCA" w:rsidTr="000C0DB3">
        <w:trPr>
          <w:trHeight w:val="270"/>
          <w:jc w:val="center"/>
        </w:trPr>
        <w:tc>
          <w:tcPr>
            <w:tcW w:w="2880" w:type="dxa"/>
            <w:tcBorders>
              <w:top w:val="nil"/>
              <w:left w:val="single" w:sz="12" w:space="0" w:color="auto"/>
              <w:bottom w:val="single" w:sz="12" w:space="0" w:color="auto"/>
              <w:right w:val="single" w:sz="8" w:space="0" w:color="auto"/>
            </w:tcBorders>
            <w:shd w:val="clear" w:color="000000" w:fill="FFFFFF"/>
            <w:noWrap/>
            <w:vAlign w:val="bottom"/>
          </w:tcPr>
          <w:p w:rsidR="004C4431" w:rsidRPr="00BA1B31" w:rsidRDefault="004C4431" w:rsidP="000C0DB3">
            <w:pPr>
              <w:rPr>
                <w:rFonts w:ascii="Tahoma" w:hAnsi="Tahoma" w:cs="Tahoma"/>
                <w:b/>
                <w:bCs/>
                <w:sz w:val="18"/>
                <w:szCs w:val="16"/>
              </w:rPr>
            </w:pPr>
            <w:r w:rsidRPr="00BA1B31">
              <w:rPr>
                <w:rFonts w:ascii="Tahoma" w:hAnsi="Tahoma" w:cs="Tahoma"/>
                <w:b/>
                <w:bCs/>
                <w:sz w:val="18"/>
                <w:szCs w:val="16"/>
              </w:rPr>
              <w:t xml:space="preserve">Σύνολο Υπηρεσιών </w:t>
            </w:r>
          </w:p>
        </w:tc>
        <w:tc>
          <w:tcPr>
            <w:tcW w:w="520" w:type="dxa"/>
            <w:tcBorders>
              <w:top w:val="nil"/>
              <w:left w:val="nil"/>
              <w:bottom w:val="single" w:sz="12" w:space="0" w:color="auto"/>
              <w:right w:val="dotted" w:sz="4" w:space="0" w:color="auto"/>
            </w:tcBorders>
            <w:shd w:val="clear" w:color="000000" w:fill="FFFFFF"/>
            <w:noWrap/>
            <w:vAlign w:val="bottom"/>
          </w:tcPr>
          <w:p w:rsidR="004C4431" w:rsidRPr="00BA1B31" w:rsidRDefault="004C4431" w:rsidP="000C0DB3">
            <w:pPr>
              <w:jc w:val="right"/>
              <w:rPr>
                <w:rFonts w:ascii="Tahoma" w:hAnsi="Tahoma" w:cs="Tahoma"/>
                <w:b/>
                <w:bCs/>
                <w:sz w:val="18"/>
                <w:szCs w:val="16"/>
              </w:rPr>
            </w:pPr>
            <w:r w:rsidRPr="00BA1B31">
              <w:rPr>
                <w:rFonts w:ascii="Tahoma" w:hAnsi="Tahoma" w:cs="Tahoma"/>
                <w:b/>
                <w:bCs/>
                <w:sz w:val="18"/>
                <w:szCs w:val="16"/>
              </w:rPr>
              <w:t>70,1</w:t>
            </w:r>
          </w:p>
        </w:tc>
        <w:tc>
          <w:tcPr>
            <w:tcW w:w="520" w:type="dxa"/>
            <w:tcBorders>
              <w:top w:val="nil"/>
              <w:left w:val="nil"/>
              <w:bottom w:val="single" w:sz="12" w:space="0" w:color="auto"/>
              <w:right w:val="dotted" w:sz="4" w:space="0" w:color="auto"/>
            </w:tcBorders>
            <w:shd w:val="clear" w:color="000000" w:fill="FFFFFF"/>
            <w:noWrap/>
            <w:vAlign w:val="bottom"/>
          </w:tcPr>
          <w:p w:rsidR="004C4431" w:rsidRPr="00BA1B31" w:rsidRDefault="004C4431" w:rsidP="000C0DB3">
            <w:pPr>
              <w:jc w:val="right"/>
              <w:rPr>
                <w:rFonts w:ascii="Tahoma" w:hAnsi="Tahoma" w:cs="Tahoma"/>
                <w:b/>
                <w:bCs/>
                <w:sz w:val="18"/>
                <w:szCs w:val="16"/>
              </w:rPr>
            </w:pPr>
            <w:r w:rsidRPr="00BA1B31">
              <w:rPr>
                <w:rFonts w:ascii="Tahoma" w:hAnsi="Tahoma" w:cs="Tahoma"/>
                <w:b/>
                <w:bCs/>
                <w:sz w:val="18"/>
                <w:szCs w:val="16"/>
              </w:rPr>
              <w:t>63,6</w:t>
            </w:r>
          </w:p>
        </w:tc>
        <w:tc>
          <w:tcPr>
            <w:tcW w:w="520" w:type="dxa"/>
            <w:tcBorders>
              <w:top w:val="nil"/>
              <w:left w:val="nil"/>
              <w:bottom w:val="single" w:sz="12" w:space="0" w:color="auto"/>
              <w:right w:val="dotted" w:sz="4" w:space="0" w:color="auto"/>
            </w:tcBorders>
            <w:shd w:val="clear" w:color="000000" w:fill="FFFFFF"/>
            <w:noWrap/>
            <w:vAlign w:val="bottom"/>
          </w:tcPr>
          <w:p w:rsidR="004C4431" w:rsidRPr="00BA1B31" w:rsidRDefault="004C4431" w:rsidP="000C0DB3">
            <w:pPr>
              <w:jc w:val="right"/>
              <w:rPr>
                <w:rFonts w:ascii="Tahoma" w:hAnsi="Tahoma" w:cs="Tahoma"/>
                <w:b/>
                <w:bCs/>
                <w:sz w:val="18"/>
                <w:szCs w:val="16"/>
              </w:rPr>
            </w:pPr>
            <w:r w:rsidRPr="00BA1B31">
              <w:rPr>
                <w:rFonts w:ascii="Tahoma" w:hAnsi="Tahoma" w:cs="Tahoma"/>
                <w:b/>
                <w:bCs/>
                <w:sz w:val="18"/>
                <w:szCs w:val="16"/>
              </w:rPr>
              <w:t>61,7</w:t>
            </w:r>
          </w:p>
        </w:tc>
        <w:tc>
          <w:tcPr>
            <w:tcW w:w="880" w:type="dxa"/>
            <w:tcBorders>
              <w:top w:val="nil"/>
              <w:left w:val="nil"/>
              <w:bottom w:val="single" w:sz="12" w:space="0" w:color="auto"/>
              <w:right w:val="dotted" w:sz="4" w:space="0" w:color="auto"/>
            </w:tcBorders>
            <w:shd w:val="clear" w:color="000000" w:fill="FFFFFF"/>
            <w:noWrap/>
            <w:vAlign w:val="center"/>
          </w:tcPr>
          <w:p w:rsidR="004C4431" w:rsidRPr="00BA1B31" w:rsidRDefault="004C4431" w:rsidP="000C0DB3">
            <w:pPr>
              <w:jc w:val="center"/>
              <w:rPr>
                <w:rFonts w:ascii="Tahoma" w:hAnsi="Tahoma" w:cs="Tahoma"/>
                <w:b/>
                <w:bCs/>
                <w:sz w:val="18"/>
                <w:szCs w:val="16"/>
              </w:rPr>
            </w:pPr>
            <w:r w:rsidRPr="00BA1B31">
              <w:rPr>
                <w:rFonts w:ascii="Tahoma" w:hAnsi="Tahoma" w:cs="Tahoma"/>
                <w:b/>
                <w:bCs/>
                <w:sz w:val="18"/>
                <w:szCs w:val="16"/>
              </w:rPr>
              <w:t>-9,3%</w:t>
            </w:r>
          </w:p>
        </w:tc>
        <w:tc>
          <w:tcPr>
            <w:tcW w:w="960" w:type="dxa"/>
            <w:tcBorders>
              <w:top w:val="nil"/>
              <w:left w:val="nil"/>
              <w:bottom w:val="single" w:sz="12" w:space="0" w:color="auto"/>
              <w:right w:val="single" w:sz="12" w:space="0" w:color="auto"/>
            </w:tcBorders>
            <w:shd w:val="clear" w:color="000000" w:fill="FFFFFF"/>
            <w:noWrap/>
            <w:vAlign w:val="center"/>
          </w:tcPr>
          <w:p w:rsidR="004C4431" w:rsidRPr="00BA1B31" w:rsidRDefault="004C4431" w:rsidP="000C0DB3">
            <w:pPr>
              <w:jc w:val="center"/>
              <w:rPr>
                <w:rFonts w:ascii="Tahoma" w:hAnsi="Tahoma" w:cs="Tahoma"/>
                <w:b/>
                <w:bCs/>
                <w:sz w:val="18"/>
                <w:szCs w:val="16"/>
              </w:rPr>
            </w:pPr>
            <w:r w:rsidRPr="00BA1B31">
              <w:rPr>
                <w:rFonts w:ascii="Tahoma" w:hAnsi="Tahoma" w:cs="Tahoma"/>
                <w:b/>
                <w:bCs/>
                <w:sz w:val="18"/>
                <w:szCs w:val="16"/>
              </w:rPr>
              <w:t>-3,0%</w:t>
            </w:r>
          </w:p>
        </w:tc>
      </w:tr>
    </w:tbl>
    <w:p w:rsidR="004C4431" w:rsidRPr="00B0040D" w:rsidRDefault="004C4431" w:rsidP="004C4431">
      <w:pPr>
        <w:rPr>
          <w:rFonts w:ascii="Tahoma" w:hAnsi="Tahoma" w:cs="Tahoma"/>
          <w:sz w:val="16"/>
          <w:szCs w:val="22"/>
        </w:rPr>
      </w:pPr>
      <w:r w:rsidRPr="00B0040D">
        <w:rPr>
          <w:rFonts w:ascii="Tahoma" w:hAnsi="Tahoma" w:cs="Tahoma"/>
          <w:b/>
          <w:sz w:val="16"/>
          <w:szCs w:val="22"/>
        </w:rPr>
        <w:t>Πηγή</w:t>
      </w:r>
      <w:r w:rsidRPr="00B0040D">
        <w:rPr>
          <w:rFonts w:ascii="Tahoma" w:hAnsi="Tahoma" w:cs="Tahoma"/>
          <w:sz w:val="16"/>
          <w:szCs w:val="22"/>
        </w:rPr>
        <w:t>: ΙΟΒΕ</w:t>
      </w:r>
    </w:p>
    <w:p w:rsidR="004C4431" w:rsidRDefault="004C4431" w:rsidP="004C4431">
      <w:pPr>
        <w:spacing w:line="312" w:lineRule="auto"/>
        <w:jc w:val="both"/>
        <w:rPr>
          <w:rFonts w:ascii="Tahoma" w:hAnsi="Tahoma" w:cs="Tahoma"/>
          <w:sz w:val="22"/>
          <w:szCs w:val="22"/>
        </w:rPr>
      </w:pPr>
    </w:p>
    <w:p w:rsidR="00295EC3" w:rsidRDefault="00295EC3" w:rsidP="004C4431">
      <w:pPr>
        <w:spacing w:line="312" w:lineRule="auto"/>
        <w:jc w:val="both"/>
        <w:rPr>
          <w:rFonts w:ascii="Tahoma" w:hAnsi="Tahoma" w:cs="Tahoma"/>
          <w:sz w:val="22"/>
          <w:szCs w:val="22"/>
        </w:rPr>
        <w:sectPr w:rsidR="00295EC3" w:rsidSect="00491CCA">
          <w:type w:val="continuous"/>
          <w:pgSz w:w="11906" w:h="16838"/>
          <w:pgMar w:top="1440" w:right="849" w:bottom="1440" w:left="1560" w:header="708" w:footer="708" w:gutter="0"/>
          <w:cols w:space="720"/>
          <w:docGrid w:linePitch="360"/>
        </w:sectPr>
      </w:pPr>
    </w:p>
    <w:p w:rsidR="0076390A" w:rsidRDefault="00EF7956" w:rsidP="00F97E27">
      <w:pPr>
        <w:pStyle w:val="new3"/>
        <w:spacing w:before="60" w:line="312" w:lineRule="auto"/>
        <w:ind w:left="0" w:firstLine="0"/>
        <w:jc w:val="both"/>
        <w:outlineLvl w:val="1"/>
      </w:pPr>
      <w:bookmarkStart w:id="169" w:name="_Toc320872885"/>
      <w:bookmarkStart w:id="170" w:name="_Toc273446401"/>
      <w:bookmarkStart w:id="171" w:name="_Toc289262464"/>
      <w:r>
        <w:lastRenderedPageBreak/>
        <w:t>3.</w:t>
      </w:r>
      <w:r w:rsidRPr="00EF7956">
        <w:t>3</w:t>
      </w:r>
      <w:r w:rsidR="0076390A">
        <w:t xml:space="preserve"> </w:t>
      </w:r>
      <w:r w:rsidR="0076390A" w:rsidRPr="00AF1648">
        <w:t>Εξαγωγικές Επιδόσεις της Ελ</w:t>
      </w:r>
      <w:r w:rsidR="0076390A">
        <w:t>ληνικής Οικονομίας</w:t>
      </w:r>
      <w:bookmarkEnd w:id="169"/>
      <w:r w:rsidR="0076390A">
        <w:t xml:space="preserve"> </w:t>
      </w:r>
    </w:p>
    <w:p w:rsidR="002D5118" w:rsidRPr="00D467EA" w:rsidRDefault="002D5118" w:rsidP="002D5118">
      <w:pPr>
        <w:pStyle w:val="new4"/>
        <w:spacing w:before="240" w:after="240" w:line="312" w:lineRule="auto"/>
        <w:jc w:val="both"/>
        <w:rPr>
          <w:rFonts w:cs="Tahoma"/>
          <w:b w:val="0"/>
          <w:bCs w:val="0"/>
          <w:sz w:val="22"/>
          <w:szCs w:val="22"/>
        </w:rPr>
      </w:pPr>
      <w:bookmarkStart w:id="172" w:name="_Toc177820078"/>
      <w:bookmarkStart w:id="173" w:name="_Toc177872453"/>
      <w:bookmarkStart w:id="174" w:name="_Toc177872893"/>
      <w:bookmarkStart w:id="175" w:name="_Toc177820073"/>
      <w:bookmarkStart w:id="176" w:name="_Toc177872448"/>
      <w:bookmarkStart w:id="177" w:name="_Toc177872888"/>
      <w:bookmarkStart w:id="178" w:name="_Toc185664923"/>
      <w:bookmarkStart w:id="179" w:name="_Toc185666345"/>
      <w:bookmarkStart w:id="180" w:name="_Toc185675128"/>
      <w:bookmarkStart w:id="181" w:name="_Toc289262465"/>
      <w:bookmarkStart w:id="182" w:name="_Toc311994669"/>
      <w:bookmarkStart w:id="183" w:name="_Toc289262466"/>
      <w:bookmarkEnd w:id="170"/>
      <w:bookmarkEnd w:id="171"/>
      <w:r>
        <w:rPr>
          <w:rFonts w:cs="Tahoma"/>
          <w:b w:val="0"/>
          <w:bCs w:val="0"/>
          <w:sz w:val="22"/>
          <w:szCs w:val="22"/>
        </w:rPr>
        <w:t>Οι ελληνικές εξαγωγές στο εντεκάμηνο Ιανουαρίου-Νοεμβρίου του 2011 ξεπέρασαν τα € 20 δισεκ., επίδοση που αποτελεί (σε απόλυτους όρους) την υψηλότερη της δεκαετίας, σημειώνοντας έτσι άνοδο κατά 39,1% σε</w:t>
      </w:r>
      <w:r w:rsidRPr="00D467EA">
        <w:rPr>
          <w:rFonts w:cs="Tahoma"/>
          <w:b w:val="0"/>
          <w:bCs w:val="0"/>
          <w:sz w:val="22"/>
          <w:szCs w:val="22"/>
        </w:rPr>
        <w:t xml:space="preserve"> σχέση με το αντίστοιχο χρονικό διάστημα του 2010. Ταυτόχρονα, οι εισαγωγές </w:t>
      </w:r>
      <w:r>
        <w:rPr>
          <w:rFonts w:cs="Tahoma"/>
          <w:b w:val="0"/>
          <w:bCs w:val="0"/>
          <w:sz w:val="22"/>
          <w:szCs w:val="22"/>
        </w:rPr>
        <w:t>κατέγραψαν πτώση</w:t>
      </w:r>
      <w:r w:rsidRPr="00D467EA">
        <w:rPr>
          <w:rFonts w:cs="Tahoma"/>
          <w:b w:val="0"/>
          <w:bCs w:val="0"/>
          <w:sz w:val="22"/>
          <w:szCs w:val="22"/>
        </w:rPr>
        <w:t xml:space="preserve"> -1</w:t>
      </w:r>
      <w:r>
        <w:rPr>
          <w:rFonts w:cs="Tahoma"/>
          <w:b w:val="0"/>
          <w:bCs w:val="0"/>
          <w:sz w:val="22"/>
          <w:szCs w:val="22"/>
        </w:rPr>
        <w:t>0,9</w:t>
      </w:r>
      <w:r w:rsidRPr="00D467EA">
        <w:rPr>
          <w:rFonts w:cs="Tahoma"/>
          <w:b w:val="0"/>
          <w:bCs w:val="0"/>
          <w:sz w:val="22"/>
          <w:szCs w:val="22"/>
        </w:rPr>
        <w:t>%</w:t>
      </w:r>
      <w:r>
        <w:rPr>
          <w:rFonts w:cs="Tahoma"/>
          <w:b w:val="0"/>
          <w:bCs w:val="0"/>
          <w:sz w:val="22"/>
          <w:szCs w:val="22"/>
        </w:rPr>
        <w:t>,</w:t>
      </w:r>
      <w:r w:rsidRPr="00D467EA">
        <w:rPr>
          <w:rFonts w:cs="Tahoma"/>
          <w:b w:val="0"/>
          <w:bCs w:val="0"/>
          <w:sz w:val="22"/>
          <w:szCs w:val="22"/>
        </w:rPr>
        <w:t xml:space="preserve"> με συνέπεια το εμπορικό έλλειμμα να </w:t>
      </w:r>
      <w:r>
        <w:rPr>
          <w:rFonts w:cs="Tahoma"/>
          <w:b w:val="0"/>
          <w:bCs w:val="0"/>
          <w:sz w:val="22"/>
          <w:szCs w:val="22"/>
        </w:rPr>
        <w:t>υποχωρήσει</w:t>
      </w:r>
      <w:r w:rsidRPr="00D467EA">
        <w:rPr>
          <w:rFonts w:cs="Tahoma"/>
          <w:b w:val="0"/>
          <w:bCs w:val="0"/>
          <w:sz w:val="22"/>
          <w:szCs w:val="22"/>
        </w:rPr>
        <w:t xml:space="preserve"> κατά </w:t>
      </w:r>
      <w:r>
        <w:rPr>
          <w:rFonts w:cs="Tahoma"/>
          <w:b w:val="0"/>
          <w:bCs w:val="0"/>
          <w:sz w:val="22"/>
          <w:szCs w:val="22"/>
        </w:rPr>
        <w:t>€ 10,5 δισεκ. (ή -35,6%). Η εξέλιξη αυτή έχει ως αποτέλεσμα η αξία των εξαγωγών της χώρας να καλύπτει το ήμισυ</w:t>
      </w:r>
      <w:r w:rsidRPr="00D467EA">
        <w:rPr>
          <w:rFonts w:cs="Tahoma"/>
          <w:b w:val="0"/>
          <w:bCs w:val="0"/>
          <w:sz w:val="22"/>
          <w:szCs w:val="22"/>
        </w:rPr>
        <w:t xml:space="preserve"> των εισαγωγών</w:t>
      </w:r>
      <w:r>
        <w:rPr>
          <w:rFonts w:cs="Tahoma"/>
          <w:b w:val="0"/>
          <w:bCs w:val="0"/>
          <w:sz w:val="22"/>
          <w:szCs w:val="22"/>
        </w:rPr>
        <w:t xml:space="preserve"> της</w:t>
      </w:r>
      <w:r w:rsidRPr="00D467EA">
        <w:rPr>
          <w:rFonts w:cs="Tahoma"/>
          <w:b w:val="0"/>
          <w:bCs w:val="0"/>
          <w:sz w:val="22"/>
          <w:szCs w:val="22"/>
        </w:rPr>
        <w:t xml:space="preserve"> </w:t>
      </w:r>
      <w:r>
        <w:rPr>
          <w:rFonts w:cs="Tahoma"/>
          <w:b w:val="0"/>
          <w:bCs w:val="0"/>
          <w:sz w:val="22"/>
          <w:szCs w:val="22"/>
        </w:rPr>
        <w:t xml:space="preserve">(51,5%) με την αναλογία να είναι αυξημένη </w:t>
      </w:r>
      <w:r w:rsidRPr="00D467EA">
        <w:rPr>
          <w:rFonts w:cs="Tahoma"/>
          <w:b w:val="0"/>
          <w:bCs w:val="0"/>
          <w:sz w:val="22"/>
          <w:szCs w:val="22"/>
        </w:rPr>
        <w:t xml:space="preserve">κατά </w:t>
      </w:r>
      <w:r>
        <w:rPr>
          <w:rFonts w:cs="Tahoma"/>
          <w:b w:val="0"/>
          <w:bCs w:val="0"/>
          <w:sz w:val="22"/>
          <w:szCs w:val="22"/>
        </w:rPr>
        <w:t>19</w:t>
      </w:r>
      <w:r w:rsidRPr="00D467EA">
        <w:rPr>
          <w:rFonts w:cs="Tahoma"/>
          <w:b w:val="0"/>
          <w:bCs w:val="0"/>
          <w:sz w:val="22"/>
          <w:szCs w:val="22"/>
        </w:rPr>
        <w:t xml:space="preserve"> εκατοστιαίες μονάδες σε σχέση με </w:t>
      </w:r>
      <w:r>
        <w:rPr>
          <w:rFonts w:cs="Tahoma"/>
          <w:b w:val="0"/>
          <w:bCs w:val="0"/>
          <w:sz w:val="22"/>
          <w:szCs w:val="22"/>
        </w:rPr>
        <w:t>πέρυσι</w:t>
      </w:r>
      <w:r w:rsidRPr="00D467EA">
        <w:rPr>
          <w:rFonts w:cs="Tahoma"/>
          <w:b w:val="0"/>
          <w:bCs w:val="0"/>
          <w:sz w:val="22"/>
          <w:szCs w:val="22"/>
        </w:rPr>
        <w:t xml:space="preserve">. </w:t>
      </w:r>
    </w:p>
    <w:p w:rsidR="002D5118" w:rsidRPr="00D467EA" w:rsidRDefault="002D5118" w:rsidP="002D5118">
      <w:pPr>
        <w:pStyle w:val="new4"/>
        <w:spacing w:before="240" w:after="240" w:line="312" w:lineRule="auto"/>
        <w:jc w:val="both"/>
        <w:rPr>
          <w:rFonts w:cs="Tahoma"/>
          <w:b w:val="0"/>
          <w:bCs w:val="0"/>
          <w:sz w:val="22"/>
          <w:szCs w:val="22"/>
        </w:rPr>
      </w:pPr>
      <w:r w:rsidRPr="00D467EA">
        <w:rPr>
          <w:rFonts w:cs="Tahoma"/>
          <w:b w:val="0"/>
          <w:bCs w:val="0"/>
          <w:sz w:val="22"/>
          <w:szCs w:val="22"/>
        </w:rPr>
        <w:t xml:space="preserve">Η αύξηση της αξίας των εξαγωγών </w:t>
      </w:r>
      <w:r>
        <w:rPr>
          <w:rFonts w:cs="Tahoma"/>
          <w:b w:val="0"/>
          <w:bCs w:val="0"/>
          <w:sz w:val="22"/>
          <w:szCs w:val="22"/>
        </w:rPr>
        <w:t>κατά € 5,7</w:t>
      </w:r>
      <w:r w:rsidRPr="00D467EA">
        <w:rPr>
          <w:rFonts w:cs="Tahoma"/>
          <w:b w:val="0"/>
          <w:bCs w:val="0"/>
          <w:sz w:val="22"/>
          <w:szCs w:val="22"/>
        </w:rPr>
        <w:t xml:space="preserve"> δισεκ. </w:t>
      </w:r>
      <w:r>
        <w:rPr>
          <w:rFonts w:cs="Tahoma"/>
          <w:b w:val="0"/>
          <w:bCs w:val="0"/>
          <w:sz w:val="22"/>
          <w:szCs w:val="22"/>
        </w:rPr>
        <w:t xml:space="preserve">είναι κυρίως αποτέλεσμα της αύξησης </w:t>
      </w:r>
      <w:r w:rsidRPr="00D467EA">
        <w:rPr>
          <w:rFonts w:cs="Tahoma"/>
          <w:b w:val="0"/>
          <w:bCs w:val="0"/>
          <w:sz w:val="22"/>
          <w:szCs w:val="22"/>
        </w:rPr>
        <w:t xml:space="preserve">των εξαγωγών στα καύσιμα, </w:t>
      </w:r>
      <w:r>
        <w:rPr>
          <w:rFonts w:cs="Tahoma"/>
          <w:b w:val="0"/>
          <w:bCs w:val="0"/>
          <w:sz w:val="22"/>
          <w:szCs w:val="22"/>
        </w:rPr>
        <w:t xml:space="preserve"> που ήταν τετραπλάσια</w:t>
      </w:r>
      <w:r w:rsidRPr="00D467EA">
        <w:rPr>
          <w:rFonts w:cs="Tahoma"/>
          <w:b w:val="0"/>
          <w:bCs w:val="0"/>
          <w:sz w:val="22"/>
          <w:szCs w:val="22"/>
        </w:rPr>
        <w:t xml:space="preserve"> σε σχέση με πέρυσι και </w:t>
      </w:r>
      <w:r>
        <w:rPr>
          <w:rFonts w:cs="Tahoma"/>
          <w:b w:val="0"/>
          <w:bCs w:val="0"/>
          <w:sz w:val="22"/>
          <w:szCs w:val="22"/>
        </w:rPr>
        <w:t xml:space="preserve">να </w:t>
      </w:r>
      <w:r w:rsidRPr="00D467EA">
        <w:rPr>
          <w:rFonts w:cs="Tahoma"/>
          <w:b w:val="0"/>
          <w:bCs w:val="0"/>
          <w:sz w:val="22"/>
          <w:szCs w:val="22"/>
        </w:rPr>
        <w:t xml:space="preserve">ανέρχεται στα </w:t>
      </w:r>
      <w:r w:rsidR="00A676AC">
        <w:rPr>
          <w:rFonts w:cs="Tahoma"/>
          <w:b w:val="0"/>
          <w:bCs w:val="0"/>
          <w:sz w:val="22"/>
          <w:szCs w:val="22"/>
        </w:rPr>
        <w:t>€</w:t>
      </w:r>
      <w:r>
        <w:rPr>
          <w:rFonts w:cs="Tahoma"/>
          <w:b w:val="0"/>
          <w:bCs w:val="0"/>
          <w:sz w:val="22"/>
          <w:szCs w:val="22"/>
        </w:rPr>
        <w:t>4,4</w:t>
      </w:r>
      <w:r w:rsidR="00A676AC">
        <w:rPr>
          <w:rFonts w:cs="Tahoma"/>
          <w:b w:val="0"/>
          <w:bCs w:val="0"/>
          <w:sz w:val="22"/>
          <w:szCs w:val="22"/>
        </w:rPr>
        <w:t xml:space="preserve"> δισεκ.</w:t>
      </w:r>
      <w:r w:rsidRPr="00D467EA">
        <w:rPr>
          <w:rFonts w:cs="Tahoma"/>
          <w:b w:val="0"/>
          <w:bCs w:val="0"/>
          <w:sz w:val="22"/>
          <w:szCs w:val="22"/>
        </w:rPr>
        <w:t xml:space="preserve">. </w:t>
      </w:r>
      <w:r>
        <w:rPr>
          <w:rFonts w:cs="Tahoma"/>
          <w:b w:val="0"/>
          <w:bCs w:val="0"/>
          <w:sz w:val="22"/>
          <w:szCs w:val="22"/>
        </w:rPr>
        <w:t>Έτσι, το 29% των συνολικών εξαγωγών</w:t>
      </w:r>
      <w:r w:rsidRPr="00D467EA">
        <w:rPr>
          <w:rFonts w:cs="Tahoma"/>
          <w:b w:val="0"/>
          <w:bCs w:val="0"/>
          <w:sz w:val="22"/>
          <w:szCs w:val="22"/>
        </w:rPr>
        <w:t xml:space="preserve"> καλύπτεται από τα πετρελαιοειδή</w:t>
      </w:r>
      <w:r>
        <w:rPr>
          <w:rFonts w:cs="Tahoma"/>
          <w:b w:val="0"/>
          <w:bCs w:val="0"/>
          <w:sz w:val="22"/>
          <w:szCs w:val="22"/>
        </w:rPr>
        <w:t>,</w:t>
      </w:r>
      <w:r w:rsidRPr="00D467EA">
        <w:rPr>
          <w:rFonts w:cs="Tahoma"/>
          <w:b w:val="0"/>
          <w:bCs w:val="0"/>
          <w:sz w:val="22"/>
          <w:szCs w:val="22"/>
        </w:rPr>
        <w:t xml:space="preserve"> όταν </w:t>
      </w:r>
      <w:r>
        <w:rPr>
          <w:rFonts w:cs="Tahoma"/>
          <w:b w:val="0"/>
          <w:bCs w:val="0"/>
          <w:sz w:val="22"/>
          <w:szCs w:val="22"/>
        </w:rPr>
        <w:t>σ</w:t>
      </w:r>
      <w:r w:rsidRPr="00D467EA">
        <w:rPr>
          <w:rFonts w:cs="Tahoma"/>
          <w:b w:val="0"/>
          <w:bCs w:val="0"/>
          <w:sz w:val="22"/>
          <w:szCs w:val="22"/>
        </w:rPr>
        <w:t>την</w:t>
      </w:r>
      <w:r>
        <w:rPr>
          <w:rFonts w:cs="Tahoma"/>
          <w:b w:val="0"/>
          <w:bCs w:val="0"/>
          <w:sz w:val="22"/>
          <w:szCs w:val="22"/>
        </w:rPr>
        <w:t xml:space="preserve"> ίδια</w:t>
      </w:r>
      <w:r w:rsidRPr="00D467EA">
        <w:rPr>
          <w:rFonts w:cs="Tahoma"/>
          <w:b w:val="0"/>
          <w:bCs w:val="0"/>
          <w:sz w:val="22"/>
          <w:szCs w:val="22"/>
        </w:rPr>
        <w:t xml:space="preserve"> περίοδο πέρυσι το μερίδιο τους </w:t>
      </w:r>
      <w:r>
        <w:rPr>
          <w:rFonts w:cs="Tahoma"/>
          <w:b w:val="0"/>
          <w:bCs w:val="0"/>
          <w:sz w:val="22"/>
          <w:szCs w:val="22"/>
        </w:rPr>
        <w:t>ανέρχονταν</w:t>
      </w:r>
      <w:r w:rsidRPr="00D467EA">
        <w:rPr>
          <w:rFonts w:cs="Tahoma"/>
          <w:b w:val="0"/>
          <w:bCs w:val="0"/>
          <w:sz w:val="22"/>
          <w:szCs w:val="22"/>
        </w:rPr>
        <w:t xml:space="preserve"> </w:t>
      </w:r>
      <w:r>
        <w:rPr>
          <w:rFonts w:cs="Tahoma"/>
          <w:b w:val="0"/>
          <w:bCs w:val="0"/>
          <w:sz w:val="22"/>
          <w:szCs w:val="22"/>
        </w:rPr>
        <w:t>στο 10</w:t>
      </w:r>
      <w:r w:rsidRPr="00D467EA">
        <w:rPr>
          <w:rFonts w:cs="Tahoma"/>
          <w:b w:val="0"/>
          <w:bCs w:val="0"/>
          <w:sz w:val="22"/>
          <w:szCs w:val="22"/>
        </w:rPr>
        <w:t xml:space="preserve">%. </w:t>
      </w:r>
      <w:r>
        <w:rPr>
          <w:rFonts w:cs="Tahoma"/>
          <w:b w:val="0"/>
          <w:bCs w:val="0"/>
          <w:sz w:val="22"/>
          <w:szCs w:val="22"/>
        </w:rPr>
        <w:t>Αντίστοιχα</w:t>
      </w:r>
      <w:r w:rsidRPr="00D467EA">
        <w:rPr>
          <w:rFonts w:cs="Tahoma"/>
          <w:b w:val="0"/>
          <w:bCs w:val="0"/>
          <w:sz w:val="22"/>
          <w:szCs w:val="22"/>
        </w:rPr>
        <w:t>, η αξία των εξαγωγών</w:t>
      </w:r>
      <w:r>
        <w:rPr>
          <w:rFonts w:cs="Tahoma"/>
          <w:b w:val="0"/>
          <w:bCs w:val="0"/>
          <w:sz w:val="22"/>
          <w:szCs w:val="22"/>
        </w:rPr>
        <w:t>,</w:t>
      </w:r>
      <w:r w:rsidRPr="00D467EA">
        <w:rPr>
          <w:rFonts w:cs="Tahoma"/>
          <w:b w:val="0"/>
          <w:bCs w:val="0"/>
          <w:sz w:val="22"/>
          <w:szCs w:val="22"/>
        </w:rPr>
        <w:t xml:space="preserve"> εξαιρουμένων των πετρελοειδών</w:t>
      </w:r>
      <w:r>
        <w:rPr>
          <w:rFonts w:cs="Tahoma"/>
          <w:b w:val="0"/>
          <w:bCs w:val="0"/>
          <w:sz w:val="22"/>
          <w:szCs w:val="22"/>
        </w:rPr>
        <w:t xml:space="preserve"> την περίοδο Ιανουαρίου-Νοεμβρίου</w:t>
      </w:r>
      <w:r w:rsidRPr="00D467EA">
        <w:rPr>
          <w:rFonts w:cs="Tahoma"/>
          <w:b w:val="0"/>
          <w:bCs w:val="0"/>
          <w:sz w:val="22"/>
          <w:szCs w:val="22"/>
        </w:rPr>
        <w:t xml:space="preserve"> 2011</w:t>
      </w:r>
      <w:r>
        <w:rPr>
          <w:rFonts w:cs="Tahoma"/>
          <w:b w:val="0"/>
          <w:bCs w:val="0"/>
          <w:sz w:val="22"/>
          <w:szCs w:val="22"/>
        </w:rPr>
        <w:t xml:space="preserve"> ανήλθε στα  € 14,4</w:t>
      </w:r>
      <w:r w:rsidRPr="00D467EA">
        <w:rPr>
          <w:rFonts w:cs="Tahoma"/>
          <w:b w:val="0"/>
          <w:bCs w:val="0"/>
          <w:sz w:val="22"/>
          <w:szCs w:val="22"/>
        </w:rPr>
        <w:t xml:space="preserve"> δισεκ.</w:t>
      </w:r>
      <w:r>
        <w:rPr>
          <w:rFonts w:cs="Tahoma"/>
          <w:b w:val="0"/>
          <w:bCs w:val="0"/>
          <w:sz w:val="22"/>
          <w:szCs w:val="22"/>
        </w:rPr>
        <w:t>,</w:t>
      </w:r>
      <w:r w:rsidRPr="00D467EA">
        <w:rPr>
          <w:rFonts w:cs="Tahoma"/>
          <w:b w:val="0"/>
          <w:bCs w:val="0"/>
          <w:sz w:val="22"/>
          <w:szCs w:val="22"/>
        </w:rPr>
        <w:t xml:space="preserve"> </w:t>
      </w:r>
      <w:r>
        <w:rPr>
          <w:rFonts w:cs="Tahoma"/>
          <w:b w:val="0"/>
          <w:bCs w:val="0"/>
          <w:sz w:val="22"/>
          <w:szCs w:val="22"/>
        </w:rPr>
        <w:t>σημειώνοντας άνοδο κατά 10</w:t>
      </w:r>
      <w:r w:rsidRPr="00D467EA">
        <w:rPr>
          <w:rFonts w:cs="Tahoma"/>
          <w:b w:val="0"/>
          <w:bCs w:val="0"/>
          <w:sz w:val="22"/>
          <w:szCs w:val="22"/>
        </w:rPr>
        <w:t xml:space="preserve">% σε σχέση με πέρυσι.  </w:t>
      </w:r>
    </w:p>
    <w:p w:rsidR="002D5118" w:rsidRPr="00D467EA" w:rsidRDefault="002D5118" w:rsidP="002D5118">
      <w:pPr>
        <w:pStyle w:val="new4"/>
        <w:spacing w:before="240" w:after="240" w:line="312" w:lineRule="auto"/>
        <w:jc w:val="both"/>
        <w:rPr>
          <w:rFonts w:cs="Tahoma"/>
          <w:b w:val="0"/>
          <w:bCs w:val="0"/>
          <w:sz w:val="22"/>
          <w:szCs w:val="22"/>
        </w:rPr>
      </w:pPr>
      <w:r w:rsidRPr="00D467EA">
        <w:rPr>
          <w:rFonts w:cs="Tahoma"/>
          <w:b w:val="0"/>
          <w:bCs w:val="0"/>
          <w:sz w:val="22"/>
          <w:szCs w:val="22"/>
        </w:rPr>
        <w:t xml:space="preserve">Στα </w:t>
      </w:r>
      <w:r>
        <w:rPr>
          <w:rFonts w:cs="Tahoma"/>
          <w:b w:val="0"/>
          <w:bCs w:val="0"/>
          <w:sz w:val="22"/>
          <w:szCs w:val="22"/>
        </w:rPr>
        <w:t>Β</w:t>
      </w:r>
      <w:r w:rsidRPr="00D467EA">
        <w:rPr>
          <w:rFonts w:cs="Tahoma"/>
          <w:b w:val="0"/>
          <w:bCs w:val="0"/>
          <w:sz w:val="22"/>
          <w:szCs w:val="22"/>
        </w:rPr>
        <w:t>ιομηχανικά προϊόντα</w:t>
      </w:r>
      <w:r>
        <w:rPr>
          <w:rFonts w:cs="Tahoma"/>
          <w:b w:val="0"/>
          <w:bCs w:val="0"/>
          <w:sz w:val="22"/>
          <w:szCs w:val="22"/>
        </w:rPr>
        <w:t>,</w:t>
      </w:r>
      <w:r w:rsidRPr="00D467EA">
        <w:rPr>
          <w:rFonts w:cs="Tahoma"/>
          <w:b w:val="0"/>
          <w:bCs w:val="0"/>
          <w:sz w:val="22"/>
          <w:szCs w:val="22"/>
        </w:rPr>
        <w:t xml:space="preserve"> οι εξαγωγές </w:t>
      </w:r>
      <w:r>
        <w:rPr>
          <w:rFonts w:cs="Tahoma"/>
          <w:b w:val="0"/>
          <w:bCs w:val="0"/>
          <w:sz w:val="22"/>
          <w:szCs w:val="22"/>
        </w:rPr>
        <w:t>αυξήθηκαν</w:t>
      </w:r>
      <w:r w:rsidRPr="00D467EA">
        <w:rPr>
          <w:rFonts w:cs="Tahoma"/>
          <w:b w:val="0"/>
          <w:bCs w:val="0"/>
          <w:sz w:val="22"/>
          <w:szCs w:val="22"/>
        </w:rPr>
        <w:t xml:space="preserve"> </w:t>
      </w:r>
      <w:r>
        <w:rPr>
          <w:rFonts w:cs="Tahoma"/>
          <w:b w:val="0"/>
          <w:bCs w:val="0"/>
          <w:sz w:val="22"/>
          <w:szCs w:val="22"/>
        </w:rPr>
        <w:t xml:space="preserve">σχεδόν κατά € 1 δισεκ.  </w:t>
      </w:r>
      <w:r w:rsidRPr="00D467EA">
        <w:rPr>
          <w:rFonts w:cs="Tahoma"/>
          <w:b w:val="0"/>
          <w:bCs w:val="0"/>
          <w:sz w:val="22"/>
          <w:szCs w:val="22"/>
        </w:rPr>
        <w:t xml:space="preserve">(ή </w:t>
      </w:r>
      <w:r>
        <w:rPr>
          <w:rFonts w:cs="Tahoma"/>
          <w:b w:val="0"/>
          <w:bCs w:val="0"/>
          <w:sz w:val="22"/>
          <w:szCs w:val="22"/>
        </w:rPr>
        <w:t>11,4%</w:t>
      </w:r>
      <w:r w:rsidRPr="00D467EA">
        <w:rPr>
          <w:rFonts w:cs="Tahoma"/>
          <w:b w:val="0"/>
          <w:bCs w:val="0"/>
          <w:sz w:val="22"/>
          <w:szCs w:val="22"/>
        </w:rPr>
        <w:t>)</w:t>
      </w:r>
      <w:r>
        <w:rPr>
          <w:rFonts w:cs="Tahoma"/>
          <w:b w:val="0"/>
          <w:bCs w:val="0"/>
          <w:sz w:val="22"/>
          <w:szCs w:val="22"/>
        </w:rPr>
        <w:t>,</w:t>
      </w:r>
      <w:r w:rsidRPr="00D467EA">
        <w:rPr>
          <w:rFonts w:cs="Tahoma"/>
          <w:b w:val="0"/>
          <w:bCs w:val="0"/>
          <w:sz w:val="22"/>
          <w:szCs w:val="22"/>
        </w:rPr>
        <w:t xml:space="preserve"> με το μερίδιο </w:t>
      </w:r>
      <w:r>
        <w:rPr>
          <w:rFonts w:cs="Tahoma"/>
          <w:b w:val="0"/>
          <w:bCs w:val="0"/>
          <w:sz w:val="22"/>
          <w:szCs w:val="22"/>
        </w:rPr>
        <w:t xml:space="preserve">τους </w:t>
      </w:r>
      <w:r w:rsidRPr="00D467EA">
        <w:rPr>
          <w:rFonts w:cs="Tahoma"/>
          <w:b w:val="0"/>
          <w:bCs w:val="0"/>
          <w:sz w:val="22"/>
          <w:szCs w:val="22"/>
        </w:rPr>
        <w:t>όμως να υποχωρ</w:t>
      </w:r>
      <w:r>
        <w:rPr>
          <w:rFonts w:cs="Tahoma"/>
          <w:b w:val="0"/>
          <w:bCs w:val="0"/>
          <w:sz w:val="22"/>
          <w:szCs w:val="22"/>
        </w:rPr>
        <w:t>εί κατά 11</w:t>
      </w:r>
      <w:r w:rsidRPr="00D467EA">
        <w:rPr>
          <w:rFonts w:cs="Tahoma"/>
          <w:b w:val="0"/>
          <w:bCs w:val="0"/>
          <w:sz w:val="22"/>
          <w:szCs w:val="22"/>
        </w:rPr>
        <w:t xml:space="preserve"> εκατοστιαίες μονάδ</w:t>
      </w:r>
      <w:r>
        <w:rPr>
          <w:rFonts w:cs="Tahoma"/>
          <w:b w:val="0"/>
          <w:bCs w:val="0"/>
          <w:sz w:val="22"/>
          <w:szCs w:val="22"/>
        </w:rPr>
        <w:t>ες και να διαμορφώνεται στο 45,9</w:t>
      </w:r>
      <w:r w:rsidRPr="00D467EA">
        <w:rPr>
          <w:rFonts w:cs="Tahoma"/>
          <w:b w:val="0"/>
          <w:bCs w:val="0"/>
          <w:sz w:val="22"/>
          <w:szCs w:val="22"/>
        </w:rPr>
        <w:t xml:space="preserve">%. Μεταξύ των κυριότερων κατηγοριών, </w:t>
      </w:r>
      <w:r>
        <w:rPr>
          <w:rFonts w:cs="Tahoma"/>
          <w:b w:val="0"/>
          <w:bCs w:val="0"/>
          <w:sz w:val="22"/>
          <w:szCs w:val="22"/>
        </w:rPr>
        <w:t xml:space="preserve">η σημαντικότερη </w:t>
      </w:r>
      <w:r w:rsidRPr="00D467EA">
        <w:rPr>
          <w:rFonts w:cs="Tahoma"/>
          <w:b w:val="0"/>
          <w:bCs w:val="0"/>
          <w:sz w:val="22"/>
          <w:szCs w:val="22"/>
        </w:rPr>
        <w:t xml:space="preserve">άνοδος </w:t>
      </w:r>
      <w:r>
        <w:rPr>
          <w:rFonts w:cs="Tahoma"/>
          <w:b w:val="0"/>
          <w:bCs w:val="0"/>
          <w:sz w:val="22"/>
          <w:szCs w:val="22"/>
        </w:rPr>
        <w:t>(+18,9</w:t>
      </w:r>
      <w:r w:rsidRPr="00D467EA">
        <w:rPr>
          <w:rFonts w:cs="Tahoma"/>
          <w:b w:val="0"/>
          <w:bCs w:val="0"/>
          <w:sz w:val="22"/>
          <w:szCs w:val="22"/>
        </w:rPr>
        <w:t xml:space="preserve">% ή </w:t>
      </w:r>
      <w:r>
        <w:rPr>
          <w:rFonts w:cs="Tahoma"/>
          <w:b w:val="0"/>
          <w:bCs w:val="0"/>
          <w:sz w:val="22"/>
          <w:szCs w:val="22"/>
        </w:rPr>
        <w:t>€ 816,7</w:t>
      </w:r>
      <w:r w:rsidRPr="00D467EA">
        <w:rPr>
          <w:rFonts w:cs="Tahoma"/>
          <w:b w:val="0"/>
          <w:bCs w:val="0"/>
          <w:sz w:val="22"/>
          <w:szCs w:val="22"/>
        </w:rPr>
        <w:t xml:space="preserve"> εκατ.</w:t>
      </w:r>
      <w:r>
        <w:rPr>
          <w:rFonts w:cs="Tahoma"/>
          <w:b w:val="0"/>
          <w:bCs w:val="0"/>
          <w:sz w:val="22"/>
          <w:szCs w:val="22"/>
        </w:rPr>
        <w:t>)</w:t>
      </w:r>
      <w:r w:rsidRPr="00D467EA">
        <w:rPr>
          <w:rFonts w:cs="Tahoma"/>
          <w:b w:val="0"/>
          <w:bCs w:val="0"/>
          <w:sz w:val="22"/>
          <w:szCs w:val="22"/>
        </w:rPr>
        <w:t xml:space="preserve"> </w:t>
      </w:r>
      <w:r>
        <w:rPr>
          <w:rFonts w:cs="Tahoma"/>
          <w:b w:val="0"/>
          <w:bCs w:val="0"/>
          <w:sz w:val="22"/>
          <w:szCs w:val="22"/>
        </w:rPr>
        <w:t>παρατηρείται</w:t>
      </w:r>
      <w:r w:rsidRPr="00D467EA">
        <w:rPr>
          <w:rFonts w:cs="Tahoma"/>
          <w:b w:val="0"/>
          <w:bCs w:val="0"/>
          <w:sz w:val="22"/>
          <w:szCs w:val="22"/>
        </w:rPr>
        <w:t xml:space="preserve"> στα Βιομηχανικά είδη </w:t>
      </w:r>
      <w:r w:rsidRPr="00D467EA">
        <w:rPr>
          <w:rFonts w:cs="Tahoma"/>
          <w:b w:val="0"/>
          <w:bCs w:val="0"/>
          <w:sz w:val="22"/>
          <w:szCs w:val="22"/>
        </w:rPr>
        <w:lastRenderedPageBreak/>
        <w:t>ταξινομημένα κατά α’ ύλη</w:t>
      </w:r>
      <w:r>
        <w:rPr>
          <w:rFonts w:cs="Tahoma"/>
          <w:b w:val="0"/>
          <w:bCs w:val="0"/>
          <w:sz w:val="22"/>
          <w:szCs w:val="22"/>
        </w:rPr>
        <w:t>, ενώ</w:t>
      </w:r>
      <w:r w:rsidRPr="00D467EA">
        <w:rPr>
          <w:rFonts w:cs="Tahoma"/>
          <w:b w:val="0"/>
          <w:bCs w:val="0"/>
          <w:sz w:val="22"/>
          <w:szCs w:val="22"/>
        </w:rPr>
        <w:t xml:space="preserve"> στα</w:t>
      </w:r>
      <w:r>
        <w:rPr>
          <w:rFonts w:cs="Tahoma"/>
          <w:b w:val="0"/>
          <w:bCs w:val="0"/>
          <w:sz w:val="22"/>
          <w:szCs w:val="22"/>
        </w:rPr>
        <w:t xml:space="preserve"> Χημικά Προϊόντα και τα Μηχανήματα-</w:t>
      </w:r>
      <w:r w:rsidRPr="00D467EA">
        <w:rPr>
          <w:rFonts w:cs="Tahoma"/>
          <w:b w:val="0"/>
          <w:bCs w:val="0"/>
          <w:sz w:val="22"/>
          <w:szCs w:val="22"/>
        </w:rPr>
        <w:t xml:space="preserve">Υλικό Μεταφορών </w:t>
      </w:r>
      <w:r>
        <w:rPr>
          <w:rFonts w:cs="Tahoma"/>
          <w:b w:val="0"/>
          <w:bCs w:val="0"/>
          <w:sz w:val="22"/>
          <w:szCs w:val="22"/>
        </w:rPr>
        <w:t>η άνοδος διαμορφώθηκε στην περιοχή του 10%. Σ</w:t>
      </w:r>
      <w:r w:rsidRPr="00D467EA">
        <w:rPr>
          <w:rFonts w:cs="Tahoma"/>
          <w:b w:val="0"/>
          <w:bCs w:val="0"/>
          <w:sz w:val="22"/>
          <w:szCs w:val="22"/>
        </w:rPr>
        <w:t xml:space="preserve">τα Διάφορα </w:t>
      </w:r>
      <w:r>
        <w:rPr>
          <w:rFonts w:cs="Tahoma"/>
          <w:b w:val="0"/>
          <w:bCs w:val="0"/>
          <w:sz w:val="22"/>
          <w:szCs w:val="22"/>
        </w:rPr>
        <w:t>Β</w:t>
      </w:r>
      <w:r w:rsidRPr="00D467EA">
        <w:rPr>
          <w:rFonts w:cs="Tahoma"/>
          <w:b w:val="0"/>
          <w:bCs w:val="0"/>
          <w:sz w:val="22"/>
          <w:szCs w:val="22"/>
        </w:rPr>
        <w:t>ιομηχανικά είδη</w:t>
      </w:r>
      <w:r>
        <w:rPr>
          <w:rFonts w:cs="Tahoma"/>
          <w:b w:val="0"/>
          <w:bCs w:val="0"/>
          <w:sz w:val="22"/>
          <w:szCs w:val="22"/>
        </w:rPr>
        <w:t xml:space="preserve"> τέλος, που κατέχουν μερίδιο περίπου 10% στις εγχώριες εξαγωγές, καταγράφεται μικρή πτώση, κατά -1%, με αποτέλεσμα η αξία τους να διαμορφώνεται στα € 1,5 δισεκ.</w:t>
      </w:r>
      <w:r w:rsidRPr="00D467EA">
        <w:rPr>
          <w:rFonts w:cs="Tahoma"/>
          <w:b w:val="0"/>
          <w:bCs w:val="0"/>
          <w:sz w:val="22"/>
          <w:szCs w:val="22"/>
        </w:rPr>
        <w:t xml:space="preserve">. </w:t>
      </w:r>
    </w:p>
    <w:p w:rsidR="002D5118" w:rsidRDefault="002D5118" w:rsidP="002D5118">
      <w:pPr>
        <w:pStyle w:val="new4"/>
        <w:spacing w:before="240" w:after="240" w:line="312" w:lineRule="auto"/>
        <w:jc w:val="both"/>
        <w:rPr>
          <w:rFonts w:cs="Tahoma"/>
          <w:b w:val="0"/>
          <w:bCs w:val="0"/>
          <w:sz w:val="22"/>
          <w:szCs w:val="22"/>
        </w:rPr>
      </w:pPr>
      <w:r>
        <w:rPr>
          <w:rFonts w:cs="Tahoma"/>
          <w:b w:val="0"/>
          <w:bCs w:val="0"/>
          <w:sz w:val="22"/>
          <w:szCs w:val="22"/>
        </w:rPr>
        <w:t>Άνοδος κατά 6% σημειώνεται στις</w:t>
      </w:r>
      <w:r w:rsidRPr="00D467EA">
        <w:rPr>
          <w:rFonts w:cs="Tahoma"/>
          <w:b w:val="0"/>
          <w:bCs w:val="0"/>
          <w:sz w:val="22"/>
          <w:szCs w:val="22"/>
        </w:rPr>
        <w:t xml:space="preserve"> εξαγωγές των Αγροτικών προϊόντων με την αξία τους να </w:t>
      </w:r>
      <w:r>
        <w:rPr>
          <w:rFonts w:cs="Tahoma"/>
          <w:b w:val="0"/>
          <w:bCs w:val="0"/>
          <w:sz w:val="22"/>
          <w:szCs w:val="22"/>
        </w:rPr>
        <w:t>φθάνει στα € 3,7</w:t>
      </w:r>
      <w:r w:rsidRPr="00D467EA">
        <w:rPr>
          <w:rFonts w:cs="Tahoma"/>
          <w:b w:val="0"/>
          <w:bCs w:val="0"/>
          <w:sz w:val="22"/>
          <w:szCs w:val="22"/>
        </w:rPr>
        <w:t xml:space="preserve"> δισεκ.</w:t>
      </w:r>
      <w:r>
        <w:rPr>
          <w:rFonts w:cs="Tahoma"/>
          <w:b w:val="0"/>
          <w:bCs w:val="0"/>
          <w:sz w:val="22"/>
          <w:szCs w:val="22"/>
        </w:rPr>
        <w:t>. Ωστόσο, το μερίδιο τους έχει μειωθεί κατά 6 εκατοστιαίες μονάδες λόγω της αύξησης του μεριδίου των εξαγωγών σ</w:t>
      </w:r>
      <w:r w:rsidRPr="00872B7F">
        <w:rPr>
          <w:rFonts w:cs="Tahoma"/>
          <w:b w:val="0"/>
          <w:bCs w:val="0"/>
          <w:sz w:val="22"/>
          <w:szCs w:val="22"/>
        </w:rPr>
        <w:t>τα πετρελαιοειδή (18,5%)</w:t>
      </w:r>
      <w:r w:rsidRPr="00AB70DF">
        <w:rPr>
          <w:rFonts w:cs="Tahoma"/>
          <w:b w:val="0"/>
          <w:bCs w:val="0"/>
          <w:color w:val="0000FF"/>
          <w:sz w:val="22"/>
          <w:szCs w:val="22"/>
        </w:rPr>
        <w:t xml:space="preserve">. </w:t>
      </w:r>
      <w:r w:rsidRPr="00D467EA">
        <w:rPr>
          <w:rFonts w:cs="Tahoma"/>
          <w:b w:val="0"/>
          <w:bCs w:val="0"/>
          <w:sz w:val="22"/>
          <w:szCs w:val="22"/>
        </w:rPr>
        <w:t xml:space="preserve">Στα Τρόφιμα και ζώα ζωντανά, που </w:t>
      </w:r>
      <w:r>
        <w:rPr>
          <w:rFonts w:cs="Tahoma"/>
          <w:b w:val="0"/>
          <w:bCs w:val="0"/>
          <w:sz w:val="22"/>
          <w:szCs w:val="22"/>
        </w:rPr>
        <w:t>αποτελούν την κυριότερη κατηγορία εξαγώγιμων προϊόντων στα αγροτικά προϊόντα</w:t>
      </w:r>
      <w:r w:rsidRPr="00D467EA">
        <w:rPr>
          <w:rFonts w:cs="Tahoma"/>
          <w:b w:val="0"/>
          <w:bCs w:val="0"/>
          <w:sz w:val="22"/>
          <w:szCs w:val="22"/>
        </w:rPr>
        <w:t xml:space="preserve">, η άνοδος </w:t>
      </w:r>
      <w:r>
        <w:rPr>
          <w:rFonts w:cs="Tahoma"/>
          <w:b w:val="0"/>
          <w:bCs w:val="0"/>
          <w:sz w:val="22"/>
          <w:szCs w:val="22"/>
        </w:rPr>
        <w:t>είναι παραπλήσια με το σύνολο των αγροτικών προϊόντων</w:t>
      </w:r>
      <w:r w:rsidRPr="00D467EA">
        <w:rPr>
          <w:rFonts w:cs="Tahoma"/>
          <w:b w:val="0"/>
          <w:bCs w:val="0"/>
          <w:sz w:val="22"/>
          <w:szCs w:val="22"/>
        </w:rPr>
        <w:t xml:space="preserve"> (ή </w:t>
      </w:r>
      <w:r>
        <w:rPr>
          <w:rFonts w:cs="Tahoma"/>
          <w:b w:val="0"/>
          <w:bCs w:val="0"/>
          <w:sz w:val="22"/>
          <w:szCs w:val="22"/>
        </w:rPr>
        <w:t>€ 162,2</w:t>
      </w:r>
      <w:r w:rsidRPr="00D467EA">
        <w:rPr>
          <w:rFonts w:cs="Tahoma"/>
          <w:b w:val="0"/>
          <w:bCs w:val="0"/>
          <w:sz w:val="22"/>
          <w:szCs w:val="22"/>
        </w:rPr>
        <w:t xml:space="preserve"> εκατ.) </w:t>
      </w:r>
      <w:r>
        <w:rPr>
          <w:rFonts w:cs="Tahoma"/>
          <w:b w:val="0"/>
          <w:bCs w:val="0"/>
          <w:sz w:val="22"/>
          <w:szCs w:val="22"/>
        </w:rPr>
        <w:t>σ</w:t>
      </w:r>
      <w:r w:rsidRPr="00D467EA">
        <w:rPr>
          <w:rFonts w:cs="Tahoma"/>
          <w:b w:val="0"/>
          <w:bCs w:val="0"/>
          <w:sz w:val="22"/>
          <w:szCs w:val="22"/>
        </w:rPr>
        <w:t xml:space="preserve">το </w:t>
      </w:r>
      <w:r>
        <w:rPr>
          <w:rFonts w:cs="Tahoma"/>
          <w:b w:val="0"/>
          <w:bCs w:val="0"/>
          <w:sz w:val="22"/>
          <w:szCs w:val="22"/>
        </w:rPr>
        <w:t>πρώτο εντεκάμηνο</w:t>
      </w:r>
      <w:r w:rsidRPr="00D467EA">
        <w:rPr>
          <w:rFonts w:cs="Tahoma"/>
          <w:b w:val="0"/>
          <w:bCs w:val="0"/>
          <w:sz w:val="22"/>
          <w:szCs w:val="22"/>
        </w:rPr>
        <w:t xml:space="preserve"> του 2011</w:t>
      </w:r>
      <w:r>
        <w:rPr>
          <w:rFonts w:cs="Tahoma"/>
          <w:b w:val="0"/>
          <w:bCs w:val="0"/>
          <w:sz w:val="22"/>
          <w:szCs w:val="22"/>
        </w:rPr>
        <w:t>. Ανοδική είναι επίσης η τάση κ</w:t>
      </w:r>
      <w:r w:rsidR="00A676AC">
        <w:rPr>
          <w:rFonts w:cs="Tahoma"/>
          <w:b w:val="0"/>
          <w:bCs w:val="0"/>
          <w:sz w:val="22"/>
          <w:szCs w:val="22"/>
        </w:rPr>
        <w:t xml:space="preserve">αι στις υπόλοιπες κύριες ομάδες, </w:t>
      </w:r>
      <w:r>
        <w:rPr>
          <w:rFonts w:cs="Tahoma"/>
          <w:b w:val="0"/>
          <w:bCs w:val="0"/>
          <w:sz w:val="22"/>
          <w:szCs w:val="22"/>
        </w:rPr>
        <w:t>με σημαντικότερη εκείνη στα Λάδια και λίπη ζωικής-φυτικής προέλευσης</w:t>
      </w:r>
      <w:r w:rsidRPr="00CF4953">
        <w:rPr>
          <w:rFonts w:cs="Tahoma"/>
          <w:b w:val="0"/>
          <w:bCs w:val="0"/>
          <w:sz w:val="22"/>
          <w:szCs w:val="22"/>
        </w:rPr>
        <w:t xml:space="preserve"> </w:t>
      </w:r>
      <w:r>
        <w:rPr>
          <w:rFonts w:cs="Tahoma"/>
          <w:b w:val="0"/>
          <w:bCs w:val="0"/>
          <w:sz w:val="22"/>
          <w:szCs w:val="22"/>
        </w:rPr>
        <w:t>(+9%), ενώ</w:t>
      </w:r>
      <w:r w:rsidRPr="00D467EA">
        <w:rPr>
          <w:rFonts w:cs="Tahoma"/>
          <w:b w:val="0"/>
          <w:bCs w:val="0"/>
          <w:sz w:val="22"/>
          <w:szCs w:val="22"/>
        </w:rPr>
        <w:t xml:space="preserve"> </w:t>
      </w:r>
      <w:r>
        <w:rPr>
          <w:rFonts w:cs="Tahoma"/>
          <w:b w:val="0"/>
          <w:bCs w:val="0"/>
          <w:sz w:val="22"/>
          <w:szCs w:val="22"/>
        </w:rPr>
        <w:t>σ</w:t>
      </w:r>
      <w:r w:rsidRPr="00D467EA">
        <w:rPr>
          <w:rFonts w:cs="Tahoma"/>
          <w:b w:val="0"/>
          <w:bCs w:val="0"/>
          <w:sz w:val="22"/>
          <w:szCs w:val="22"/>
        </w:rPr>
        <w:t xml:space="preserve">τα Ποτά και καπνός </w:t>
      </w:r>
      <w:r>
        <w:rPr>
          <w:rFonts w:cs="Tahoma"/>
          <w:b w:val="0"/>
          <w:bCs w:val="0"/>
          <w:sz w:val="22"/>
          <w:szCs w:val="22"/>
        </w:rPr>
        <w:t xml:space="preserve">η </w:t>
      </w:r>
      <w:r w:rsidRPr="00D467EA">
        <w:rPr>
          <w:rFonts w:cs="Tahoma"/>
          <w:b w:val="0"/>
          <w:bCs w:val="0"/>
          <w:sz w:val="22"/>
          <w:szCs w:val="22"/>
        </w:rPr>
        <w:t xml:space="preserve">αξία των εξαγωγών </w:t>
      </w:r>
      <w:r>
        <w:rPr>
          <w:rFonts w:cs="Tahoma"/>
          <w:b w:val="0"/>
          <w:bCs w:val="0"/>
          <w:sz w:val="22"/>
          <w:szCs w:val="22"/>
        </w:rPr>
        <w:t>είναι μεγαλύτερη κατά € 17 εκατ. σε σχέση με το αντίστοιχο χρονικό διάστημα</w:t>
      </w:r>
      <w:r w:rsidRPr="00D467EA">
        <w:rPr>
          <w:rFonts w:cs="Tahoma"/>
          <w:b w:val="0"/>
          <w:bCs w:val="0"/>
          <w:sz w:val="22"/>
          <w:szCs w:val="22"/>
        </w:rPr>
        <w:t xml:space="preserve"> του 2010</w:t>
      </w:r>
      <w:r>
        <w:rPr>
          <w:rFonts w:cs="Tahoma"/>
          <w:b w:val="0"/>
          <w:bCs w:val="0"/>
          <w:sz w:val="22"/>
          <w:szCs w:val="22"/>
        </w:rPr>
        <w:t xml:space="preserve"> (+3,5%)</w:t>
      </w:r>
      <w:r w:rsidRPr="00D467EA">
        <w:rPr>
          <w:rFonts w:cs="Tahoma"/>
          <w:b w:val="0"/>
          <w:bCs w:val="0"/>
          <w:sz w:val="22"/>
          <w:szCs w:val="22"/>
        </w:rPr>
        <w:t xml:space="preserve">. </w:t>
      </w:r>
    </w:p>
    <w:p w:rsidR="002D5118" w:rsidRPr="00D467EA" w:rsidRDefault="002D5118" w:rsidP="00E264D6">
      <w:pPr>
        <w:pStyle w:val="new4"/>
        <w:spacing w:before="120" w:after="120" w:line="312" w:lineRule="auto"/>
        <w:jc w:val="both"/>
        <w:rPr>
          <w:rFonts w:cs="Tahoma"/>
          <w:b w:val="0"/>
          <w:bCs w:val="0"/>
          <w:sz w:val="22"/>
          <w:szCs w:val="22"/>
        </w:rPr>
      </w:pPr>
      <w:r>
        <w:rPr>
          <w:rFonts w:cs="Tahoma"/>
          <w:b w:val="0"/>
          <w:bCs w:val="0"/>
          <w:sz w:val="22"/>
          <w:szCs w:val="22"/>
        </w:rPr>
        <w:t>Σ</w:t>
      </w:r>
      <w:r w:rsidRPr="00D467EA">
        <w:rPr>
          <w:rFonts w:cs="Tahoma"/>
          <w:b w:val="0"/>
          <w:bCs w:val="0"/>
          <w:sz w:val="22"/>
          <w:szCs w:val="22"/>
        </w:rPr>
        <w:t>τα μη ταξινομημένα κατά κατηγορίες αγαθά</w:t>
      </w:r>
      <w:r>
        <w:rPr>
          <w:rFonts w:cs="Tahoma"/>
          <w:b w:val="0"/>
          <w:bCs w:val="0"/>
          <w:sz w:val="22"/>
          <w:szCs w:val="22"/>
        </w:rPr>
        <w:t xml:space="preserve"> </w:t>
      </w:r>
      <w:r w:rsidRPr="00D467EA">
        <w:rPr>
          <w:rFonts w:cs="Tahoma"/>
          <w:b w:val="0"/>
          <w:bCs w:val="0"/>
          <w:sz w:val="22"/>
          <w:szCs w:val="22"/>
        </w:rPr>
        <w:t xml:space="preserve">η αξία των εξαγωγών </w:t>
      </w:r>
      <w:r>
        <w:rPr>
          <w:rFonts w:cs="Tahoma"/>
          <w:b w:val="0"/>
          <w:bCs w:val="0"/>
          <w:sz w:val="22"/>
          <w:szCs w:val="22"/>
        </w:rPr>
        <w:t>έχει αυξηθεί κατά 45%</w:t>
      </w:r>
      <w:r w:rsidRPr="00D467EA">
        <w:rPr>
          <w:rFonts w:cs="Tahoma"/>
          <w:b w:val="0"/>
          <w:bCs w:val="0"/>
          <w:sz w:val="22"/>
          <w:szCs w:val="22"/>
        </w:rPr>
        <w:t xml:space="preserve"> σε σχέση με πέρυσι (</w:t>
      </w:r>
      <w:r>
        <w:rPr>
          <w:rFonts w:cs="Tahoma"/>
          <w:b w:val="0"/>
          <w:bCs w:val="0"/>
          <w:sz w:val="22"/>
          <w:szCs w:val="22"/>
        </w:rPr>
        <w:t>€ 187,3</w:t>
      </w:r>
      <w:r w:rsidRPr="00D467EA">
        <w:rPr>
          <w:rFonts w:cs="Tahoma"/>
          <w:b w:val="0"/>
          <w:bCs w:val="0"/>
          <w:sz w:val="22"/>
          <w:szCs w:val="22"/>
        </w:rPr>
        <w:t xml:space="preserve"> εκατ.), ενώ στις πρώτες ύλες, όπου κατέχουν </w:t>
      </w:r>
      <w:r>
        <w:rPr>
          <w:rFonts w:cs="Tahoma"/>
          <w:b w:val="0"/>
          <w:bCs w:val="0"/>
          <w:sz w:val="22"/>
          <w:szCs w:val="22"/>
        </w:rPr>
        <w:t>παρόμοιο</w:t>
      </w:r>
      <w:r w:rsidRPr="00D467EA">
        <w:rPr>
          <w:rFonts w:cs="Tahoma"/>
          <w:b w:val="0"/>
          <w:bCs w:val="0"/>
          <w:sz w:val="22"/>
          <w:szCs w:val="22"/>
        </w:rPr>
        <w:t xml:space="preserve"> μερίδιο (3% περίπου)</w:t>
      </w:r>
      <w:r>
        <w:rPr>
          <w:rFonts w:cs="Tahoma"/>
          <w:b w:val="0"/>
          <w:bCs w:val="0"/>
          <w:sz w:val="22"/>
          <w:szCs w:val="22"/>
        </w:rPr>
        <w:t>, σημειώνεται πτώση -4%, με</w:t>
      </w:r>
      <w:r w:rsidRPr="00D467EA">
        <w:rPr>
          <w:rFonts w:cs="Tahoma"/>
          <w:b w:val="0"/>
          <w:bCs w:val="0"/>
          <w:sz w:val="22"/>
          <w:szCs w:val="22"/>
        </w:rPr>
        <w:t xml:space="preserve"> την αξία </w:t>
      </w:r>
      <w:r>
        <w:rPr>
          <w:rFonts w:cs="Tahoma"/>
          <w:b w:val="0"/>
          <w:bCs w:val="0"/>
          <w:sz w:val="22"/>
          <w:szCs w:val="22"/>
        </w:rPr>
        <w:t xml:space="preserve">τους </w:t>
      </w:r>
      <w:r w:rsidRPr="00D467EA">
        <w:rPr>
          <w:rFonts w:cs="Tahoma"/>
          <w:b w:val="0"/>
          <w:bCs w:val="0"/>
          <w:sz w:val="22"/>
          <w:szCs w:val="22"/>
        </w:rPr>
        <w:t>να διαμορφώνεται στα</w:t>
      </w:r>
      <w:r>
        <w:rPr>
          <w:rFonts w:cs="Tahoma"/>
          <w:b w:val="0"/>
          <w:bCs w:val="0"/>
          <w:sz w:val="22"/>
          <w:szCs w:val="22"/>
        </w:rPr>
        <w:t xml:space="preserve"> €</w:t>
      </w:r>
      <w:r w:rsidRPr="00D467EA">
        <w:rPr>
          <w:rFonts w:cs="Tahoma"/>
          <w:b w:val="0"/>
          <w:bCs w:val="0"/>
          <w:sz w:val="22"/>
          <w:szCs w:val="22"/>
        </w:rPr>
        <w:t xml:space="preserve"> </w:t>
      </w:r>
      <w:r>
        <w:rPr>
          <w:rFonts w:cs="Tahoma"/>
          <w:b w:val="0"/>
          <w:bCs w:val="0"/>
          <w:sz w:val="22"/>
          <w:szCs w:val="22"/>
        </w:rPr>
        <w:t>790,0</w:t>
      </w:r>
      <w:r w:rsidRPr="00D467EA">
        <w:rPr>
          <w:rFonts w:cs="Tahoma"/>
          <w:b w:val="0"/>
          <w:bCs w:val="0"/>
          <w:sz w:val="22"/>
          <w:szCs w:val="22"/>
        </w:rPr>
        <w:t xml:space="preserve"> εκατ.. </w:t>
      </w:r>
    </w:p>
    <w:p w:rsidR="00A676AC" w:rsidRDefault="002D5118" w:rsidP="00E264D6">
      <w:pPr>
        <w:pStyle w:val="new4"/>
        <w:spacing w:before="60" w:line="312" w:lineRule="auto"/>
        <w:jc w:val="both"/>
        <w:rPr>
          <w:rFonts w:cs="Tahoma"/>
          <w:b w:val="0"/>
          <w:bCs w:val="0"/>
          <w:sz w:val="22"/>
          <w:szCs w:val="22"/>
        </w:rPr>
      </w:pPr>
      <w:r w:rsidRPr="00AF1648">
        <w:rPr>
          <w:rFonts w:cs="Tahoma"/>
          <w:b w:val="0"/>
          <w:bCs w:val="0"/>
          <w:sz w:val="22"/>
          <w:szCs w:val="22"/>
        </w:rPr>
        <w:t xml:space="preserve">Σε όρους γεωγραφικής κατεύθυνσης, οι εξαγωγές </w:t>
      </w:r>
      <w:r>
        <w:rPr>
          <w:rFonts w:cs="Tahoma"/>
          <w:b w:val="0"/>
          <w:bCs w:val="0"/>
          <w:sz w:val="22"/>
          <w:szCs w:val="22"/>
        </w:rPr>
        <w:t>προς τ</w:t>
      </w:r>
      <w:r w:rsidRPr="00AF1648">
        <w:rPr>
          <w:rFonts w:cs="Tahoma"/>
          <w:b w:val="0"/>
          <w:bCs w:val="0"/>
          <w:sz w:val="22"/>
          <w:szCs w:val="22"/>
        </w:rPr>
        <w:t>ην ΕΕ-27</w:t>
      </w:r>
      <w:r>
        <w:rPr>
          <w:rFonts w:cs="Tahoma"/>
          <w:b w:val="0"/>
          <w:bCs w:val="0"/>
          <w:sz w:val="22"/>
          <w:szCs w:val="22"/>
        </w:rPr>
        <w:t xml:space="preserve"> κατέγραψαν άνοδο κατά 12,2% (ή € 1,1 δισεκ.) </w:t>
      </w:r>
      <w:r w:rsidRPr="00AF1648">
        <w:rPr>
          <w:rFonts w:cs="Tahoma"/>
          <w:b w:val="0"/>
          <w:bCs w:val="0"/>
          <w:sz w:val="22"/>
          <w:szCs w:val="22"/>
        </w:rPr>
        <w:t>το</w:t>
      </w:r>
      <w:r w:rsidRPr="00D50A9C">
        <w:rPr>
          <w:rFonts w:cs="Tahoma"/>
          <w:b w:val="0"/>
          <w:bCs w:val="0"/>
          <w:sz w:val="22"/>
          <w:szCs w:val="22"/>
        </w:rPr>
        <w:t xml:space="preserve"> </w:t>
      </w:r>
      <w:r>
        <w:rPr>
          <w:rFonts w:cs="Tahoma"/>
          <w:b w:val="0"/>
          <w:bCs w:val="0"/>
          <w:sz w:val="22"/>
          <w:szCs w:val="22"/>
        </w:rPr>
        <w:t xml:space="preserve">εντεκάμηνο </w:t>
      </w:r>
      <w:r>
        <w:rPr>
          <w:rFonts w:cs="Tahoma"/>
          <w:b w:val="0"/>
          <w:bCs w:val="0"/>
          <w:sz w:val="22"/>
          <w:szCs w:val="22"/>
        </w:rPr>
        <w:lastRenderedPageBreak/>
        <w:t>Ιανουαρίου-Νοεμβρίου του 2011. Η αύξηση αυτή είναι κυρίως αποτέλεσμα</w:t>
      </w:r>
      <w:r w:rsidRPr="00AF1648">
        <w:rPr>
          <w:rFonts w:cs="Tahoma"/>
          <w:b w:val="0"/>
          <w:bCs w:val="0"/>
          <w:sz w:val="22"/>
          <w:szCs w:val="22"/>
        </w:rPr>
        <w:t xml:space="preserve"> </w:t>
      </w:r>
      <w:r>
        <w:rPr>
          <w:rFonts w:cs="Tahoma"/>
          <w:b w:val="0"/>
          <w:bCs w:val="0"/>
          <w:sz w:val="22"/>
          <w:szCs w:val="22"/>
        </w:rPr>
        <w:t>της ανόδου των εξαγωγών</w:t>
      </w:r>
      <w:r w:rsidRPr="00AF1648">
        <w:rPr>
          <w:rFonts w:cs="Tahoma"/>
          <w:b w:val="0"/>
          <w:bCs w:val="0"/>
          <w:sz w:val="22"/>
          <w:szCs w:val="22"/>
        </w:rPr>
        <w:t xml:space="preserve"> </w:t>
      </w:r>
      <w:r>
        <w:rPr>
          <w:rFonts w:cs="Tahoma"/>
          <w:b w:val="0"/>
          <w:bCs w:val="0"/>
          <w:sz w:val="22"/>
          <w:szCs w:val="22"/>
        </w:rPr>
        <w:t xml:space="preserve">προς </w:t>
      </w:r>
      <w:r w:rsidRPr="00AF1648">
        <w:rPr>
          <w:rFonts w:cs="Tahoma"/>
          <w:b w:val="0"/>
          <w:bCs w:val="0"/>
          <w:sz w:val="22"/>
          <w:szCs w:val="22"/>
        </w:rPr>
        <w:t xml:space="preserve">τις χώρες της </w:t>
      </w:r>
      <w:r>
        <w:rPr>
          <w:rFonts w:cs="Tahoma"/>
          <w:b w:val="0"/>
          <w:bCs w:val="0"/>
          <w:sz w:val="22"/>
          <w:szCs w:val="22"/>
        </w:rPr>
        <w:t>Ε</w:t>
      </w:r>
      <w:r w:rsidRPr="00AF1648">
        <w:rPr>
          <w:rFonts w:cs="Tahoma"/>
          <w:b w:val="0"/>
          <w:bCs w:val="0"/>
          <w:sz w:val="22"/>
          <w:szCs w:val="22"/>
        </w:rPr>
        <w:t>υρωζώνης</w:t>
      </w:r>
      <w:r>
        <w:rPr>
          <w:rFonts w:cs="Tahoma"/>
          <w:b w:val="0"/>
          <w:bCs w:val="0"/>
          <w:sz w:val="22"/>
          <w:szCs w:val="22"/>
        </w:rPr>
        <w:t xml:space="preserve">-17 – που απορροφούν τα 2/3 των εξαγωγών προς την ΕΕ – κατά 900 εκατ. ευρώ (+14,2%). Η μεγαλύτερη άνοδος σημειώνεται στην Ιταλία (+23,5% ή € 370,3 εκατ.) που αποτελεί το μεγαλύτερο εμπορικό εταίρο της χώρας, ενώ εξίσου σημαντική είναι αύξηση προς την Κύπρο (20,5% ή € 216,9 εκατ.). </w:t>
      </w:r>
      <w:r w:rsidRPr="001743FA">
        <w:rPr>
          <w:rFonts w:cs="Tahoma"/>
          <w:b w:val="0"/>
          <w:bCs w:val="0"/>
          <w:sz w:val="22"/>
          <w:szCs w:val="22"/>
        </w:rPr>
        <w:t>Αντίθετα</w:t>
      </w:r>
      <w:r>
        <w:rPr>
          <w:rFonts w:cs="Tahoma"/>
          <w:b w:val="0"/>
          <w:bCs w:val="0"/>
          <w:sz w:val="22"/>
          <w:szCs w:val="22"/>
        </w:rPr>
        <w:t>,</w:t>
      </w:r>
      <w:r w:rsidRPr="001743FA">
        <w:rPr>
          <w:rFonts w:cs="Tahoma"/>
          <w:b w:val="0"/>
          <w:bCs w:val="0"/>
          <w:sz w:val="22"/>
          <w:szCs w:val="22"/>
        </w:rPr>
        <w:t xml:space="preserve"> στη Γερμανία, το μεγαλύτερο εμπορικό εταίρο</w:t>
      </w:r>
      <w:r>
        <w:rPr>
          <w:rFonts w:cs="Tahoma"/>
          <w:b w:val="0"/>
          <w:bCs w:val="0"/>
          <w:sz w:val="22"/>
          <w:szCs w:val="22"/>
        </w:rPr>
        <w:t xml:space="preserve"> της χώρας τα προηγούμενα έτη</w:t>
      </w:r>
      <w:r w:rsidRPr="001743FA">
        <w:rPr>
          <w:rFonts w:cs="Tahoma"/>
          <w:b w:val="0"/>
          <w:bCs w:val="0"/>
          <w:sz w:val="22"/>
          <w:szCs w:val="22"/>
        </w:rPr>
        <w:t>, καταγράφ</w:t>
      </w:r>
      <w:r>
        <w:rPr>
          <w:rFonts w:cs="Tahoma"/>
          <w:b w:val="0"/>
          <w:bCs w:val="0"/>
          <w:sz w:val="22"/>
          <w:szCs w:val="22"/>
        </w:rPr>
        <w:t>εται πτώση -2</w:t>
      </w:r>
      <w:r w:rsidRPr="001743FA">
        <w:rPr>
          <w:rFonts w:cs="Tahoma"/>
          <w:b w:val="0"/>
          <w:bCs w:val="0"/>
          <w:sz w:val="22"/>
          <w:szCs w:val="22"/>
        </w:rPr>
        <w:t>% σε σχέση με πέρυσι</w:t>
      </w:r>
      <w:r>
        <w:rPr>
          <w:rFonts w:cs="Tahoma"/>
          <w:b w:val="0"/>
          <w:bCs w:val="0"/>
          <w:sz w:val="22"/>
          <w:szCs w:val="22"/>
        </w:rPr>
        <w:t>,</w:t>
      </w:r>
      <w:r w:rsidRPr="001743FA">
        <w:rPr>
          <w:rFonts w:cs="Tahoma"/>
          <w:b w:val="0"/>
          <w:bCs w:val="0"/>
          <w:sz w:val="22"/>
          <w:szCs w:val="22"/>
        </w:rPr>
        <w:t xml:space="preserve"> μ</w:t>
      </w:r>
      <w:r>
        <w:rPr>
          <w:rFonts w:cs="Tahoma"/>
          <w:b w:val="0"/>
          <w:bCs w:val="0"/>
          <w:sz w:val="22"/>
          <w:szCs w:val="22"/>
        </w:rPr>
        <w:t>ε την αξία των εξαγωγών να διαμορφώνεται</w:t>
      </w:r>
      <w:r w:rsidRPr="001743FA">
        <w:rPr>
          <w:rFonts w:cs="Tahoma"/>
          <w:b w:val="0"/>
          <w:bCs w:val="0"/>
          <w:sz w:val="22"/>
          <w:szCs w:val="22"/>
        </w:rPr>
        <w:t xml:space="preserve"> στα </w:t>
      </w:r>
      <w:r>
        <w:rPr>
          <w:rFonts w:cs="Tahoma"/>
          <w:b w:val="0"/>
          <w:bCs w:val="0"/>
          <w:sz w:val="22"/>
          <w:szCs w:val="22"/>
        </w:rPr>
        <w:t>€ 1,6</w:t>
      </w:r>
      <w:r w:rsidRPr="001743FA">
        <w:rPr>
          <w:rFonts w:cs="Tahoma"/>
          <w:b w:val="0"/>
          <w:bCs w:val="0"/>
          <w:sz w:val="22"/>
          <w:szCs w:val="22"/>
        </w:rPr>
        <w:t xml:space="preserve"> </w:t>
      </w:r>
      <w:r>
        <w:rPr>
          <w:rFonts w:cs="Tahoma"/>
          <w:b w:val="0"/>
          <w:bCs w:val="0"/>
          <w:sz w:val="22"/>
          <w:szCs w:val="22"/>
        </w:rPr>
        <w:t>δισεκ.</w:t>
      </w:r>
      <w:r w:rsidRPr="001743FA">
        <w:rPr>
          <w:rFonts w:cs="Tahoma"/>
          <w:b w:val="0"/>
          <w:bCs w:val="0"/>
          <w:sz w:val="22"/>
          <w:szCs w:val="22"/>
        </w:rPr>
        <w:t>.</w:t>
      </w:r>
      <w:r>
        <w:rPr>
          <w:rFonts w:cs="Tahoma"/>
          <w:b w:val="0"/>
          <w:bCs w:val="0"/>
          <w:sz w:val="22"/>
          <w:szCs w:val="22"/>
        </w:rPr>
        <w:t xml:space="preserve"> Στις χώρες </w:t>
      </w:r>
      <w:r w:rsidRPr="00AF1648">
        <w:rPr>
          <w:rFonts w:cs="Tahoma"/>
          <w:b w:val="0"/>
          <w:bCs w:val="0"/>
          <w:sz w:val="22"/>
          <w:szCs w:val="22"/>
        </w:rPr>
        <w:t xml:space="preserve">εκτός </w:t>
      </w:r>
      <w:r>
        <w:rPr>
          <w:rFonts w:cs="Tahoma"/>
          <w:b w:val="0"/>
          <w:bCs w:val="0"/>
          <w:sz w:val="22"/>
          <w:szCs w:val="22"/>
        </w:rPr>
        <w:t>Ε</w:t>
      </w:r>
      <w:r w:rsidRPr="00AF1648">
        <w:rPr>
          <w:rFonts w:cs="Tahoma"/>
          <w:b w:val="0"/>
          <w:bCs w:val="0"/>
          <w:sz w:val="22"/>
          <w:szCs w:val="22"/>
        </w:rPr>
        <w:t>υρωζώνης,</w:t>
      </w:r>
      <w:r>
        <w:rPr>
          <w:rFonts w:cs="Tahoma"/>
          <w:b w:val="0"/>
          <w:bCs w:val="0"/>
          <w:sz w:val="22"/>
          <w:szCs w:val="22"/>
        </w:rPr>
        <w:t xml:space="preserve"> η άνοδος ανέρχεται στο 7,8% (+ € 232,3 εκατ.) με τις εξαγωγές προς το Ηνωμένο Βασίλειο – το μεγαλύτερο εμπορικό εταίρο στις χώρες εκτός Ευρωζώνης – να </w:t>
      </w:r>
      <w:r>
        <w:rPr>
          <w:rFonts w:cs="Tahoma"/>
          <w:b w:val="0"/>
          <w:bCs w:val="0"/>
          <w:sz w:val="22"/>
          <w:szCs w:val="22"/>
        </w:rPr>
        <w:lastRenderedPageBreak/>
        <w:t>σημειώνουν μικρή άνοδο (2,6%) και τη συνολική αξία τους να διαμορφώνεται στα € 820,2 εκατ..</w:t>
      </w:r>
      <w:r w:rsidR="00E8075B">
        <w:rPr>
          <w:rFonts w:cs="Tahoma"/>
          <w:b w:val="0"/>
          <w:bCs w:val="0"/>
          <w:sz w:val="22"/>
          <w:szCs w:val="22"/>
        </w:rPr>
        <w:t xml:space="preserve"> </w:t>
      </w:r>
    </w:p>
    <w:p w:rsidR="00B0040D" w:rsidRDefault="00E8075B" w:rsidP="00E264D6">
      <w:pPr>
        <w:pStyle w:val="new4"/>
        <w:spacing w:before="60" w:line="312" w:lineRule="auto"/>
        <w:jc w:val="both"/>
        <w:rPr>
          <w:rFonts w:cs="Tahoma"/>
          <w:b w:val="0"/>
          <w:bCs w:val="0"/>
          <w:sz w:val="22"/>
          <w:szCs w:val="22"/>
        </w:rPr>
      </w:pPr>
      <w:r>
        <w:rPr>
          <w:rFonts w:cs="Tahoma"/>
          <w:b w:val="0"/>
          <w:bCs w:val="0"/>
          <w:sz w:val="22"/>
          <w:szCs w:val="22"/>
        </w:rPr>
        <w:t>Σημαντική ώθηση στο εξωτερικό εμπόριο της χώρας προσφέρουν οι εξαγωγές προς την Τουρκία, τις ΗΠΑ και την Σιγκαπούρη. Η Τουρκία αναδεικνύεται σε τρίτο σε σημαντικότητα εμπορικό εταίρο, καθώς η αξία των εξαγωγών έχει διπλασιαστεί συγκριτικά με πέρυσι (€ 1,6 δισεκ.), εξέλιξη που υποδεικνύει τα οφέλη που μπορούν οι δύο χώρες να αποκομίσουν από την ενίσχυση των μεταξύ τους δεσμών. Αντίστοιχη τάση, καταγράφεται στις εξαγωγές προς τις ΗΠΑ οι οποίες κατά το α’ ενδεκάμηνο του 2011 διαμορφώθηκαν στα € 1,1 δισεκ., με αποτέλεσμα το μερίδιο τους να αυξηθεί κατά 1,6 εκατοστιαίες μονάδες (5,4%).</w:t>
      </w:r>
    </w:p>
    <w:p w:rsidR="00E8075B" w:rsidRDefault="00E8075B" w:rsidP="002D5118">
      <w:pPr>
        <w:pStyle w:val="new4"/>
        <w:spacing w:before="240" w:after="240" w:line="312" w:lineRule="auto"/>
        <w:jc w:val="both"/>
        <w:rPr>
          <w:rFonts w:cs="Tahoma"/>
          <w:b w:val="0"/>
          <w:bCs w:val="0"/>
          <w:sz w:val="22"/>
          <w:szCs w:val="22"/>
        </w:rPr>
        <w:sectPr w:rsidR="00E8075B" w:rsidSect="00E8075B">
          <w:pgSz w:w="11906" w:h="16838"/>
          <w:pgMar w:top="1440" w:right="849" w:bottom="1440" w:left="1560" w:header="708" w:footer="708" w:gutter="0"/>
          <w:cols w:num="2" w:space="720"/>
          <w:docGrid w:linePitch="360"/>
        </w:sectPr>
      </w:pPr>
    </w:p>
    <w:p w:rsidR="00E8075B" w:rsidRDefault="00E8075B" w:rsidP="001C45FA">
      <w:pPr>
        <w:pStyle w:val="new4"/>
        <w:spacing w:before="120" w:after="120" w:line="312" w:lineRule="auto"/>
        <w:jc w:val="both"/>
        <w:rPr>
          <w:rFonts w:cs="Tahoma"/>
          <w:b w:val="0"/>
          <w:bCs w:val="0"/>
          <w:sz w:val="22"/>
          <w:szCs w:val="22"/>
        </w:rPr>
        <w:sectPr w:rsidR="00E8075B" w:rsidSect="00E8075B">
          <w:type w:val="continuous"/>
          <w:pgSz w:w="11906" w:h="16838"/>
          <w:pgMar w:top="1440" w:right="849" w:bottom="1440" w:left="1560" w:header="708" w:footer="708" w:gutter="0"/>
          <w:cols w:space="720"/>
          <w:docGrid w:linePitch="360"/>
        </w:sectPr>
      </w:pPr>
    </w:p>
    <w:p w:rsidR="002D5118" w:rsidRPr="001C45FA" w:rsidRDefault="002D5118" w:rsidP="00E264D6">
      <w:pPr>
        <w:pStyle w:val="new4"/>
        <w:spacing w:line="240" w:lineRule="auto"/>
      </w:pPr>
      <w:r w:rsidRPr="001C45FA">
        <w:lastRenderedPageBreak/>
        <w:t>Πίνακας</w:t>
      </w:r>
      <w:r w:rsidR="00C97DAD" w:rsidRPr="001C45FA">
        <w:t xml:space="preserve"> 3.7</w:t>
      </w:r>
    </w:p>
    <w:p w:rsidR="002D5118" w:rsidRPr="001C45FA" w:rsidRDefault="002D5118" w:rsidP="006E72E1">
      <w:pPr>
        <w:spacing w:before="120" w:after="120"/>
        <w:ind w:firstLine="720"/>
        <w:jc w:val="center"/>
        <w:rPr>
          <w:rFonts w:ascii="Tahoma" w:hAnsi="Tahoma" w:cs="Tahoma"/>
        </w:rPr>
      </w:pPr>
      <w:r w:rsidRPr="001C45FA">
        <w:rPr>
          <w:rFonts w:ascii="Tahoma" w:hAnsi="Tahoma" w:cs="Tahoma"/>
        </w:rPr>
        <w:t>Εξαγωγές κατά μονοψήφια κατηγορία σε τρέχουσες τιμές (εκατ. €)</w:t>
      </w:r>
    </w:p>
    <w:tbl>
      <w:tblPr>
        <w:tblStyle w:val="TableGrid"/>
        <w:tblW w:w="9841" w:type="dxa"/>
        <w:jc w:val="center"/>
        <w:tblInd w:w="-1152" w:type="dxa"/>
        <w:tblLayout w:type="fixed"/>
        <w:tblLook w:val="01E0"/>
      </w:tblPr>
      <w:tblGrid>
        <w:gridCol w:w="3826"/>
        <w:gridCol w:w="1276"/>
        <w:gridCol w:w="1276"/>
        <w:gridCol w:w="1276"/>
        <w:gridCol w:w="1093"/>
        <w:gridCol w:w="1094"/>
      </w:tblGrid>
      <w:tr w:rsidR="002D5118" w:rsidRPr="00AB6B4B" w:rsidTr="00E8075B">
        <w:trPr>
          <w:trHeight w:val="280"/>
          <w:jc w:val="center"/>
        </w:trPr>
        <w:tc>
          <w:tcPr>
            <w:tcW w:w="9840" w:type="dxa"/>
            <w:gridSpan w:val="6"/>
            <w:tcBorders>
              <w:top w:val="single" w:sz="12" w:space="0" w:color="auto"/>
              <w:left w:val="nil"/>
              <w:bottom w:val="dotted" w:sz="4" w:space="0" w:color="auto"/>
              <w:right w:val="nil"/>
            </w:tcBorders>
          </w:tcPr>
          <w:p w:rsidR="002D5118" w:rsidRPr="00AB6B4B" w:rsidRDefault="002D5118" w:rsidP="00227662">
            <w:pPr>
              <w:jc w:val="center"/>
              <w:rPr>
                <w:rFonts w:ascii="Tahoma" w:hAnsi="Tahoma" w:cs="Tahoma"/>
                <w:b/>
              </w:rPr>
            </w:pPr>
            <w:r>
              <w:rPr>
                <w:rFonts w:ascii="Tahoma" w:hAnsi="Tahoma" w:cs="Tahoma"/>
                <w:b/>
              </w:rPr>
              <w:t>Ιανουάριος-Νοέμβριος</w:t>
            </w:r>
            <w:r w:rsidRPr="00AB6B4B">
              <w:rPr>
                <w:rFonts w:ascii="Tahoma" w:hAnsi="Tahoma" w:cs="Tahoma"/>
                <w:b/>
              </w:rPr>
              <w:t xml:space="preserve"> 2011</w:t>
            </w:r>
          </w:p>
        </w:tc>
      </w:tr>
      <w:tr w:rsidR="002D5118" w:rsidRPr="00AB6B4B" w:rsidTr="00E8075B">
        <w:trPr>
          <w:trHeight w:val="280"/>
          <w:jc w:val="center"/>
        </w:trPr>
        <w:tc>
          <w:tcPr>
            <w:tcW w:w="3827" w:type="dxa"/>
            <w:tcBorders>
              <w:top w:val="dotted" w:sz="4" w:space="0" w:color="auto"/>
              <w:left w:val="nil"/>
              <w:bottom w:val="dotted" w:sz="4" w:space="0" w:color="auto"/>
              <w:right w:val="dotted" w:sz="4" w:space="0" w:color="auto"/>
            </w:tcBorders>
          </w:tcPr>
          <w:p w:rsidR="002D5118" w:rsidRPr="00AB6B4B" w:rsidRDefault="002D5118" w:rsidP="00227662">
            <w:pPr>
              <w:rPr>
                <w:rFonts w:ascii="Tahoma" w:hAnsi="Tahoma" w:cs="Tahoma"/>
              </w:rPr>
            </w:pPr>
          </w:p>
        </w:tc>
        <w:tc>
          <w:tcPr>
            <w:tcW w:w="2551" w:type="dxa"/>
            <w:gridSpan w:val="2"/>
            <w:tcBorders>
              <w:top w:val="dotted" w:sz="4" w:space="0" w:color="auto"/>
              <w:left w:val="dotted" w:sz="4" w:space="0" w:color="auto"/>
              <w:bottom w:val="dotted" w:sz="4" w:space="0" w:color="auto"/>
              <w:right w:val="dotted" w:sz="4" w:space="0" w:color="auto"/>
            </w:tcBorders>
          </w:tcPr>
          <w:p w:rsidR="002D5118" w:rsidRPr="00AB6B4B" w:rsidRDefault="002D5118" w:rsidP="00227662">
            <w:pPr>
              <w:jc w:val="center"/>
              <w:rPr>
                <w:rFonts w:ascii="Tahoma" w:hAnsi="Tahoma" w:cs="Tahoma"/>
                <w:b/>
              </w:rPr>
            </w:pPr>
            <w:r w:rsidRPr="00AB6B4B">
              <w:rPr>
                <w:rFonts w:ascii="Tahoma" w:hAnsi="Tahoma" w:cs="Tahoma"/>
                <w:b/>
              </w:rPr>
              <w:t xml:space="preserve">Αξία (εκατ. </w:t>
            </w:r>
            <w:r w:rsidRPr="00AB6B4B">
              <w:rPr>
                <w:rFonts w:ascii="Tahoma" w:hAnsi="Tahoma" w:cs="Tahoma"/>
                <w:b/>
                <w:bCs/>
                <w:sz w:val="18"/>
                <w:szCs w:val="18"/>
              </w:rPr>
              <w:t>€)</w:t>
            </w:r>
          </w:p>
        </w:tc>
        <w:tc>
          <w:tcPr>
            <w:tcW w:w="1276" w:type="dxa"/>
            <w:tcBorders>
              <w:top w:val="dotted" w:sz="4" w:space="0" w:color="auto"/>
              <w:left w:val="dotted" w:sz="4" w:space="0" w:color="auto"/>
              <w:bottom w:val="dotted" w:sz="4" w:space="0" w:color="auto"/>
              <w:right w:val="dotted" w:sz="4" w:space="0" w:color="auto"/>
            </w:tcBorders>
          </w:tcPr>
          <w:p w:rsidR="002D5118" w:rsidRPr="00AB6B4B" w:rsidRDefault="002D5118" w:rsidP="00227662">
            <w:pPr>
              <w:jc w:val="center"/>
              <w:rPr>
                <w:rFonts w:ascii="Tahoma" w:hAnsi="Tahoma" w:cs="Tahoma"/>
                <w:b/>
              </w:rPr>
            </w:pPr>
            <w:r w:rsidRPr="00AB6B4B">
              <w:rPr>
                <w:rFonts w:ascii="Tahoma" w:hAnsi="Tahoma" w:cs="Tahoma"/>
                <w:b/>
              </w:rPr>
              <w:t>ΠΜ(%)</w:t>
            </w:r>
          </w:p>
        </w:tc>
        <w:tc>
          <w:tcPr>
            <w:tcW w:w="2187" w:type="dxa"/>
            <w:gridSpan w:val="2"/>
            <w:tcBorders>
              <w:top w:val="dotted" w:sz="4" w:space="0" w:color="auto"/>
              <w:left w:val="dotted" w:sz="4" w:space="0" w:color="auto"/>
              <w:bottom w:val="dotted" w:sz="4" w:space="0" w:color="auto"/>
              <w:right w:val="nil"/>
            </w:tcBorders>
          </w:tcPr>
          <w:p w:rsidR="002D5118" w:rsidRPr="00AB6B4B" w:rsidRDefault="002D5118" w:rsidP="00227662">
            <w:pPr>
              <w:jc w:val="center"/>
              <w:rPr>
                <w:rFonts w:ascii="Tahoma" w:hAnsi="Tahoma" w:cs="Tahoma"/>
                <w:b/>
              </w:rPr>
            </w:pPr>
            <w:r w:rsidRPr="00AB6B4B">
              <w:rPr>
                <w:rFonts w:ascii="Tahoma" w:hAnsi="Tahoma" w:cs="Tahoma"/>
                <w:b/>
              </w:rPr>
              <w:t>Σύνθεση (%)</w:t>
            </w:r>
          </w:p>
        </w:tc>
      </w:tr>
      <w:tr w:rsidR="002D5118" w:rsidRPr="00AB6B4B" w:rsidTr="00E8075B">
        <w:trPr>
          <w:trHeight w:val="280"/>
          <w:jc w:val="center"/>
        </w:trPr>
        <w:tc>
          <w:tcPr>
            <w:tcW w:w="3827" w:type="dxa"/>
            <w:tcBorders>
              <w:top w:val="dotted" w:sz="4" w:space="0" w:color="auto"/>
              <w:left w:val="nil"/>
              <w:bottom w:val="single" w:sz="12" w:space="0" w:color="auto"/>
              <w:right w:val="dotted" w:sz="4" w:space="0" w:color="auto"/>
            </w:tcBorders>
          </w:tcPr>
          <w:p w:rsidR="002D5118" w:rsidRPr="00AB6B4B" w:rsidRDefault="002D5118" w:rsidP="00227662">
            <w:pPr>
              <w:rPr>
                <w:rFonts w:ascii="Tahoma" w:hAnsi="Tahoma" w:cs="Tahoma"/>
              </w:rPr>
            </w:pPr>
          </w:p>
        </w:tc>
        <w:tc>
          <w:tcPr>
            <w:tcW w:w="1276" w:type="dxa"/>
            <w:tcBorders>
              <w:top w:val="dotted" w:sz="4" w:space="0" w:color="auto"/>
              <w:left w:val="dotted" w:sz="4" w:space="0" w:color="auto"/>
              <w:bottom w:val="single" w:sz="12" w:space="0" w:color="auto"/>
              <w:right w:val="dotted" w:sz="4" w:space="0" w:color="auto"/>
            </w:tcBorders>
          </w:tcPr>
          <w:p w:rsidR="002D5118" w:rsidRPr="00AB6B4B" w:rsidRDefault="002D5118" w:rsidP="00227662">
            <w:pPr>
              <w:jc w:val="center"/>
              <w:rPr>
                <w:rFonts w:ascii="Tahoma" w:hAnsi="Tahoma" w:cs="Tahoma"/>
                <w:b/>
              </w:rPr>
            </w:pPr>
            <w:r w:rsidRPr="00AB6B4B">
              <w:rPr>
                <w:rFonts w:ascii="Tahoma" w:hAnsi="Tahoma" w:cs="Tahoma"/>
                <w:b/>
              </w:rPr>
              <w:t>2011</w:t>
            </w:r>
          </w:p>
        </w:tc>
        <w:tc>
          <w:tcPr>
            <w:tcW w:w="1276" w:type="dxa"/>
            <w:tcBorders>
              <w:top w:val="dotted" w:sz="4" w:space="0" w:color="auto"/>
              <w:left w:val="dotted" w:sz="4" w:space="0" w:color="auto"/>
              <w:bottom w:val="single" w:sz="12" w:space="0" w:color="auto"/>
              <w:right w:val="dotted" w:sz="4" w:space="0" w:color="auto"/>
            </w:tcBorders>
          </w:tcPr>
          <w:p w:rsidR="002D5118" w:rsidRPr="00AB6B4B" w:rsidRDefault="002D5118" w:rsidP="00227662">
            <w:pPr>
              <w:jc w:val="center"/>
              <w:rPr>
                <w:rFonts w:ascii="Tahoma" w:hAnsi="Tahoma" w:cs="Tahoma"/>
                <w:b/>
              </w:rPr>
            </w:pPr>
            <w:r w:rsidRPr="00AB6B4B">
              <w:rPr>
                <w:rFonts w:ascii="Tahoma" w:hAnsi="Tahoma" w:cs="Tahoma"/>
                <w:b/>
              </w:rPr>
              <w:t>2010</w:t>
            </w:r>
          </w:p>
        </w:tc>
        <w:tc>
          <w:tcPr>
            <w:tcW w:w="1276" w:type="dxa"/>
            <w:tcBorders>
              <w:top w:val="dotted" w:sz="4" w:space="0" w:color="auto"/>
              <w:left w:val="dotted" w:sz="4" w:space="0" w:color="auto"/>
              <w:bottom w:val="single" w:sz="12" w:space="0" w:color="auto"/>
              <w:right w:val="dotted" w:sz="4" w:space="0" w:color="auto"/>
            </w:tcBorders>
          </w:tcPr>
          <w:p w:rsidR="002D5118" w:rsidRPr="00AB6B4B" w:rsidRDefault="002D5118" w:rsidP="00227662">
            <w:pPr>
              <w:jc w:val="center"/>
              <w:rPr>
                <w:rFonts w:ascii="Tahoma" w:hAnsi="Tahoma" w:cs="Tahoma"/>
                <w:b/>
              </w:rPr>
            </w:pPr>
            <w:r>
              <w:rPr>
                <w:rFonts w:ascii="Tahoma" w:hAnsi="Tahoma" w:cs="Tahoma"/>
                <w:b/>
              </w:rPr>
              <w:t>’</w:t>
            </w:r>
            <w:r w:rsidRPr="00AB6B4B">
              <w:rPr>
                <w:rFonts w:ascii="Tahoma" w:hAnsi="Tahoma" w:cs="Tahoma"/>
                <w:b/>
              </w:rPr>
              <w:t>11/</w:t>
            </w:r>
            <w:r>
              <w:rPr>
                <w:rFonts w:ascii="Tahoma" w:hAnsi="Tahoma" w:cs="Tahoma"/>
                <w:b/>
              </w:rPr>
              <w:t>’</w:t>
            </w:r>
            <w:r w:rsidRPr="00AB6B4B">
              <w:rPr>
                <w:rFonts w:ascii="Tahoma" w:hAnsi="Tahoma" w:cs="Tahoma"/>
                <w:b/>
              </w:rPr>
              <w:t>10</w:t>
            </w:r>
          </w:p>
        </w:tc>
        <w:tc>
          <w:tcPr>
            <w:tcW w:w="1093" w:type="dxa"/>
            <w:tcBorders>
              <w:top w:val="dotted" w:sz="4" w:space="0" w:color="auto"/>
              <w:left w:val="dotted" w:sz="4" w:space="0" w:color="auto"/>
              <w:bottom w:val="single" w:sz="12" w:space="0" w:color="auto"/>
              <w:right w:val="dotted" w:sz="4" w:space="0" w:color="auto"/>
            </w:tcBorders>
          </w:tcPr>
          <w:p w:rsidR="002D5118" w:rsidRPr="00AB6B4B" w:rsidRDefault="002D5118" w:rsidP="00227662">
            <w:pPr>
              <w:jc w:val="center"/>
              <w:rPr>
                <w:rFonts w:ascii="Tahoma" w:hAnsi="Tahoma" w:cs="Tahoma"/>
                <w:b/>
              </w:rPr>
            </w:pPr>
            <w:r w:rsidRPr="00AB6B4B">
              <w:rPr>
                <w:rFonts w:ascii="Tahoma" w:hAnsi="Tahoma" w:cs="Tahoma"/>
                <w:b/>
              </w:rPr>
              <w:t>2011</w:t>
            </w:r>
          </w:p>
        </w:tc>
        <w:tc>
          <w:tcPr>
            <w:tcW w:w="1093" w:type="dxa"/>
            <w:tcBorders>
              <w:top w:val="dotted" w:sz="4" w:space="0" w:color="auto"/>
              <w:left w:val="dotted" w:sz="4" w:space="0" w:color="auto"/>
              <w:bottom w:val="single" w:sz="12" w:space="0" w:color="auto"/>
              <w:right w:val="nil"/>
            </w:tcBorders>
          </w:tcPr>
          <w:p w:rsidR="002D5118" w:rsidRPr="00AB6B4B" w:rsidRDefault="002D5118" w:rsidP="00227662">
            <w:pPr>
              <w:jc w:val="center"/>
              <w:rPr>
                <w:rFonts w:ascii="Tahoma" w:hAnsi="Tahoma" w:cs="Tahoma"/>
                <w:b/>
              </w:rPr>
            </w:pPr>
            <w:r w:rsidRPr="00AB6B4B">
              <w:rPr>
                <w:rFonts w:ascii="Tahoma" w:hAnsi="Tahoma" w:cs="Tahoma"/>
                <w:b/>
              </w:rPr>
              <w:t>2010</w:t>
            </w:r>
          </w:p>
        </w:tc>
      </w:tr>
      <w:tr w:rsidR="002D5118" w:rsidRPr="00AB6B4B" w:rsidTr="00E8075B">
        <w:trPr>
          <w:trHeight w:val="245"/>
          <w:jc w:val="center"/>
        </w:trPr>
        <w:tc>
          <w:tcPr>
            <w:tcW w:w="3827" w:type="dxa"/>
            <w:tcBorders>
              <w:top w:val="single" w:sz="12" w:space="0" w:color="auto"/>
              <w:left w:val="nil"/>
              <w:bottom w:val="dotted" w:sz="4" w:space="0" w:color="auto"/>
              <w:right w:val="dotted" w:sz="4" w:space="0" w:color="auto"/>
            </w:tcBorders>
            <w:vAlign w:val="bottom"/>
          </w:tcPr>
          <w:p w:rsidR="002D5118" w:rsidRPr="00AB6B4B" w:rsidRDefault="002D5118" w:rsidP="00227662">
            <w:pPr>
              <w:rPr>
                <w:rFonts w:ascii="Tahoma" w:hAnsi="Tahoma" w:cs="Tahoma"/>
                <w:b/>
                <w:bCs/>
                <w:sz w:val="18"/>
                <w:szCs w:val="18"/>
              </w:rPr>
            </w:pPr>
            <w:r w:rsidRPr="00AB6B4B">
              <w:rPr>
                <w:rFonts w:ascii="Tahoma" w:hAnsi="Tahoma" w:cs="Tahoma"/>
                <w:b/>
                <w:bCs/>
                <w:sz w:val="18"/>
                <w:szCs w:val="18"/>
              </w:rPr>
              <w:t>Αγροτικά προϊόντα</w:t>
            </w:r>
          </w:p>
        </w:tc>
        <w:tc>
          <w:tcPr>
            <w:tcW w:w="1276" w:type="dxa"/>
            <w:tcBorders>
              <w:top w:val="single" w:sz="12"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3.738,6</w:t>
            </w:r>
          </w:p>
        </w:tc>
        <w:tc>
          <w:tcPr>
            <w:tcW w:w="1276" w:type="dxa"/>
            <w:tcBorders>
              <w:top w:val="single" w:sz="12"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3.537,3</w:t>
            </w:r>
          </w:p>
        </w:tc>
        <w:tc>
          <w:tcPr>
            <w:tcW w:w="1276" w:type="dxa"/>
            <w:tcBorders>
              <w:top w:val="single" w:sz="12"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5,7%</w:t>
            </w:r>
          </w:p>
        </w:tc>
        <w:tc>
          <w:tcPr>
            <w:tcW w:w="1093" w:type="dxa"/>
            <w:tcBorders>
              <w:top w:val="single" w:sz="12"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18,5%</w:t>
            </w:r>
          </w:p>
        </w:tc>
        <w:tc>
          <w:tcPr>
            <w:tcW w:w="1093" w:type="dxa"/>
            <w:tcBorders>
              <w:top w:val="single" w:sz="12" w:space="0" w:color="auto"/>
              <w:left w:val="dotted" w:sz="4" w:space="0" w:color="auto"/>
              <w:bottom w:val="dotted" w:sz="4" w:space="0" w:color="auto"/>
              <w:right w:val="nil"/>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24,3%</w:t>
            </w:r>
          </w:p>
        </w:tc>
      </w:tr>
      <w:tr w:rsidR="002D5118" w:rsidRPr="00AB6B4B" w:rsidTr="00E8075B">
        <w:trPr>
          <w:trHeight w:val="245"/>
          <w:jc w:val="center"/>
        </w:trPr>
        <w:tc>
          <w:tcPr>
            <w:tcW w:w="3827" w:type="dxa"/>
            <w:tcBorders>
              <w:top w:val="dotted" w:sz="4" w:space="0" w:color="auto"/>
              <w:left w:val="nil"/>
              <w:bottom w:val="dotted" w:sz="4" w:space="0" w:color="auto"/>
              <w:right w:val="dotted" w:sz="4" w:space="0" w:color="auto"/>
            </w:tcBorders>
            <w:vAlign w:val="bottom"/>
          </w:tcPr>
          <w:p w:rsidR="002D5118" w:rsidRPr="00AB6B4B" w:rsidRDefault="002D5118" w:rsidP="00227662">
            <w:pPr>
              <w:rPr>
                <w:rFonts w:ascii="Tahoma" w:hAnsi="Tahoma" w:cs="Tahoma"/>
                <w:sz w:val="18"/>
                <w:szCs w:val="18"/>
              </w:rPr>
            </w:pPr>
            <w:r w:rsidRPr="00AB6B4B">
              <w:rPr>
                <w:rFonts w:ascii="Tahoma" w:hAnsi="Tahoma" w:cs="Tahoma"/>
                <w:sz w:val="18"/>
                <w:szCs w:val="18"/>
              </w:rPr>
              <w:t>Τρόφιμα και ζώα ζωντανά</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2.956,7</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2.794,6</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5,8%</w:t>
            </w:r>
          </w:p>
        </w:tc>
        <w:tc>
          <w:tcPr>
            <w:tcW w:w="1093"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14,6%</w:t>
            </w:r>
          </w:p>
        </w:tc>
        <w:tc>
          <w:tcPr>
            <w:tcW w:w="1093" w:type="dxa"/>
            <w:tcBorders>
              <w:top w:val="dotted" w:sz="4" w:space="0" w:color="auto"/>
              <w:left w:val="dotted" w:sz="4" w:space="0" w:color="auto"/>
              <w:bottom w:val="dotted" w:sz="4" w:space="0" w:color="auto"/>
              <w:right w:val="nil"/>
            </w:tcBorders>
            <w:vAlign w:val="bottom"/>
          </w:tcPr>
          <w:p w:rsidR="002D5118" w:rsidRDefault="002D5118" w:rsidP="00227662">
            <w:pPr>
              <w:jc w:val="right"/>
              <w:rPr>
                <w:rFonts w:ascii="Tahoma" w:hAnsi="Tahoma" w:cs="Tahoma"/>
                <w:sz w:val="18"/>
                <w:szCs w:val="18"/>
              </w:rPr>
            </w:pPr>
            <w:r>
              <w:rPr>
                <w:rFonts w:ascii="Tahoma" w:hAnsi="Tahoma" w:cs="Tahoma"/>
                <w:sz w:val="18"/>
                <w:szCs w:val="18"/>
              </w:rPr>
              <w:t>19,2%</w:t>
            </w:r>
          </w:p>
        </w:tc>
      </w:tr>
      <w:tr w:rsidR="002D5118" w:rsidRPr="00AB6B4B" w:rsidTr="00E8075B">
        <w:trPr>
          <w:trHeight w:val="245"/>
          <w:jc w:val="center"/>
        </w:trPr>
        <w:tc>
          <w:tcPr>
            <w:tcW w:w="3827" w:type="dxa"/>
            <w:tcBorders>
              <w:top w:val="dotted" w:sz="4" w:space="0" w:color="auto"/>
              <w:left w:val="nil"/>
              <w:bottom w:val="dotted" w:sz="4" w:space="0" w:color="auto"/>
              <w:right w:val="dotted" w:sz="4" w:space="0" w:color="auto"/>
            </w:tcBorders>
            <w:vAlign w:val="bottom"/>
          </w:tcPr>
          <w:p w:rsidR="002D5118" w:rsidRPr="00AB6B4B" w:rsidRDefault="002D5118" w:rsidP="00227662">
            <w:pPr>
              <w:rPr>
                <w:rFonts w:ascii="Tahoma" w:hAnsi="Tahoma" w:cs="Tahoma"/>
                <w:color w:val="000000"/>
                <w:sz w:val="18"/>
                <w:szCs w:val="18"/>
              </w:rPr>
            </w:pPr>
            <w:r w:rsidRPr="00AB6B4B">
              <w:rPr>
                <w:rFonts w:ascii="Tahoma" w:hAnsi="Tahoma" w:cs="Tahoma"/>
                <w:color w:val="000000"/>
                <w:sz w:val="18"/>
                <w:szCs w:val="18"/>
              </w:rPr>
              <w:t>Ποτά &amp; καπνός</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515,3</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497,9</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3,5%</w:t>
            </w:r>
          </w:p>
        </w:tc>
        <w:tc>
          <w:tcPr>
            <w:tcW w:w="1093"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2,5%</w:t>
            </w:r>
          </w:p>
        </w:tc>
        <w:tc>
          <w:tcPr>
            <w:tcW w:w="1093" w:type="dxa"/>
            <w:tcBorders>
              <w:top w:val="dotted" w:sz="4" w:space="0" w:color="auto"/>
              <w:left w:val="dotted" w:sz="4" w:space="0" w:color="auto"/>
              <w:bottom w:val="dotted" w:sz="4" w:space="0" w:color="auto"/>
              <w:right w:val="nil"/>
            </w:tcBorders>
            <w:vAlign w:val="bottom"/>
          </w:tcPr>
          <w:p w:rsidR="002D5118" w:rsidRDefault="002D5118" w:rsidP="00227662">
            <w:pPr>
              <w:jc w:val="right"/>
              <w:rPr>
                <w:rFonts w:ascii="Tahoma" w:hAnsi="Tahoma" w:cs="Tahoma"/>
                <w:sz w:val="18"/>
                <w:szCs w:val="18"/>
              </w:rPr>
            </w:pPr>
            <w:r>
              <w:rPr>
                <w:rFonts w:ascii="Tahoma" w:hAnsi="Tahoma" w:cs="Tahoma"/>
                <w:sz w:val="18"/>
                <w:szCs w:val="18"/>
              </w:rPr>
              <w:t>3,4%</w:t>
            </w:r>
          </w:p>
        </w:tc>
      </w:tr>
      <w:tr w:rsidR="002D5118" w:rsidRPr="00AB6B4B" w:rsidTr="00E8075B">
        <w:trPr>
          <w:trHeight w:val="245"/>
          <w:jc w:val="center"/>
        </w:trPr>
        <w:tc>
          <w:tcPr>
            <w:tcW w:w="3827" w:type="dxa"/>
            <w:tcBorders>
              <w:top w:val="dotted" w:sz="4" w:space="0" w:color="auto"/>
              <w:left w:val="nil"/>
              <w:bottom w:val="dotted" w:sz="4" w:space="0" w:color="auto"/>
              <w:right w:val="dotted" w:sz="4" w:space="0" w:color="auto"/>
            </w:tcBorders>
            <w:vAlign w:val="bottom"/>
          </w:tcPr>
          <w:p w:rsidR="002D5118" w:rsidRPr="00AB6B4B" w:rsidRDefault="002D5118" w:rsidP="00227662">
            <w:pPr>
              <w:rPr>
                <w:rFonts w:ascii="Tahoma" w:hAnsi="Tahoma" w:cs="Tahoma"/>
                <w:color w:val="000000"/>
                <w:sz w:val="18"/>
                <w:szCs w:val="18"/>
              </w:rPr>
            </w:pPr>
            <w:r w:rsidRPr="00AB6B4B">
              <w:rPr>
                <w:rFonts w:ascii="Tahoma" w:hAnsi="Tahoma" w:cs="Tahoma"/>
                <w:color w:val="000000"/>
                <w:sz w:val="18"/>
                <w:szCs w:val="18"/>
              </w:rPr>
              <w:t>Λάδια και λίπη ζωικής ή φυτικής προέλευσης</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266,6</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244,8</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8,9%</w:t>
            </w:r>
          </w:p>
        </w:tc>
        <w:tc>
          <w:tcPr>
            <w:tcW w:w="1093"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1,3%</w:t>
            </w:r>
          </w:p>
        </w:tc>
        <w:tc>
          <w:tcPr>
            <w:tcW w:w="1093" w:type="dxa"/>
            <w:tcBorders>
              <w:top w:val="dotted" w:sz="4" w:space="0" w:color="auto"/>
              <w:left w:val="dotted" w:sz="4" w:space="0" w:color="auto"/>
              <w:bottom w:val="dotted" w:sz="4" w:space="0" w:color="auto"/>
              <w:right w:val="nil"/>
            </w:tcBorders>
            <w:vAlign w:val="bottom"/>
          </w:tcPr>
          <w:p w:rsidR="002D5118" w:rsidRDefault="002D5118" w:rsidP="00227662">
            <w:pPr>
              <w:jc w:val="right"/>
              <w:rPr>
                <w:rFonts w:ascii="Tahoma" w:hAnsi="Tahoma" w:cs="Tahoma"/>
                <w:sz w:val="18"/>
                <w:szCs w:val="18"/>
              </w:rPr>
            </w:pPr>
            <w:r>
              <w:rPr>
                <w:rFonts w:ascii="Tahoma" w:hAnsi="Tahoma" w:cs="Tahoma"/>
                <w:sz w:val="18"/>
                <w:szCs w:val="18"/>
              </w:rPr>
              <w:t>1,7%</w:t>
            </w:r>
          </w:p>
        </w:tc>
      </w:tr>
      <w:tr w:rsidR="002D5118" w:rsidRPr="00AB6B4B" w:rsidTr="00E8075B">
        <w:trPr>
          <w:trHeight w:val="245"/>
          <w:jc w:val="center"/>
        </w:trPr>
        <w:tc>
          <w:tcPr>
            <w:tcW w:w="3827" w:type="dxa"/>
            <w:tcBorders>
              <w:top w:val="dotted" w:sz="4" w:space="0" w:color="auto"/>
              <w:left w:val="nil"/>
              <w:bottom w:val="dotted" w:sz="4" w:space="0" w:color="auto"/>
              <w:right w:val="dotted" w:sz="4" w:space="0" w:color="auto"/>
            </w:tcBorders>
            <w:vAlign w:val="bottom"/>
          </w:tcPr>
          <w:p w:rsidR="002D5118" w:rsidRPr="00AB6B4B" w:rsidRDefault="002D5118" w:rsidP="00227662">
            <w:pPr>
              <w:rPr>
                <w:rFonts w:ascii="Tahoma" w:hAnsi="Tahoma" w:cs="Tahoma"/>
                <w:b/>
                <w:bCs/>
                <w:sz w:val="18"/>
                <w:szCs w:val="18"/>
              </w:rPr>
            </w:pPr>
            <w:r w:rsidRPr="00AB6B4B">
              <w:rPr>
                <w:rFonts w:ascii="Tahoma" w:hAnsi="Tahoma" w:cs="Tahoma"/>
                <w:b/>
                <w:bCs/>
                <w:sz w:val="18"/>
                <w:szCs w:val="18"/>
              </w:rPr>
              <w:t>Πρώτες ύλες</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790,0</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818,1</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-3,4%</w:t>
            </w:r>
          </w:p>
        </w:tc>
        <w:tc>
          <w:tcPr>
            <w:tcW w:w="1093"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3,9%</w:t>
            </w:r>
          </w:p>
        </w:tc>
        <w:tc>
          <w:tcPr>
            <w:tcW w:w="1093" w:type="dxa"/>
            <w:tcBorders>
              <w:top w:val="dotted" w:sz="4" w:space="0" w:color="auto"/>
              <w:left w:val="dotted" w:sz="4" w:space="0" w:color="auto"/>
              <w:bottom w:val="dotted" w:sz="4" w:space="0" w:color="auto"/>
              <w:right w:val="nil"/>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5,6%</w:t>
            </w:r>
          </w:p>
        </w:tc>
      </w:tr>
      <w:tr w:rsidR="002D5118" w:rsidRPr="00AB6B4B" w:rsidTr="00E8075B">
        <w:trPr>
          <w:trHeight w:val="245"/>
          <w:jc w:val="center"/>
        </w:trPr>
        <w:tc>
          <w:tcPr>
            <w:tcW w:w="3827" w:type="dxa"/>
            <w:tcBorders>
              <w:top w:val="dotted" w:sz="4" w:space="0" w:color="auto"/>
              <w:left w:val="nil"/>
              <w:bottom w:val="dotted" w:sz="4" w:space="0" w:color="auto"/>
              <w:right w:val="dotted" w:sz="4" w:space="0" w:color="auto"/>
            </w:tcBorders>
            <w:vAlign w:val="bottom"/>
          </w:tcPr>
          <w:p w:rsidR="002D5118" w:rsidRPr="00AB6B4B" w:rsidRDefault="002D5118" w:rsidP="00227662">
            <w:pPr>
              <w:rPr>
                <w:rFonts w:ascii="Tahoma" w:hAnsi="Tahoma" w:cs="Tahoma"/>
                <w:color w:val="000000"/>
                <w:sz w:val="18"/>
                <w:szCs w:val="18"/>
              </w:rPr>
            </w:pPr>
            <w:r w:rsidRPr="00AB6B4B">
              <w:rPr>
                <w:rFonts w:ascii="Tahoma" w:hAnsi="Tahoma" w:cs="Tahoma"/>
                <w:color w:val="000000"/>
                <w:sz w:val="18"/>
                <w:szCs w:val="18"/>
              </w:rPr>
              <w:t>Πρώτες ύλες μη εδώδιμες εκτός από καύσιμα</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790,0</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818,1</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-3,4%</w:t>
            </w:r>
          </w:p>
        </w:tc>
        <w:tc>
          <w:tcPr>
            <w:tcW w:w="1093"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3,9%</w:t>
            </w:r>
          </w:p>
        </w:tc>
        <w:tc>
          <w:tcPr>
            <w:tcW w:w="1093" w:type="dxa"/>
            <w:tcBorders>
              <w:top w:val="dotted" w:sz="4" w:space="0" w:color="auto"/>
              <w:left w:val="dotted" w:sz="4" w:space="0" w:color="auto"/>
              <w:bottom w:val="dotted" w:sz="4" w:space="0" w:color="auto"/>
              <w:right w:val="nil"/>
            </w:tcBorders>
            <w:vAlign w:val="bottom"/>
          </w:tcPr>
          <w:p w:rsidR="002D5118" w:rsidRDefault="002D5118" w:rsidP="00227662">
            <w:pPr>
              <w:jc w:val="right"/>
              <w:rPr>
                <w:rFonts w:ascii="Tahoma" w:hAnsi="Tahoma" w:cs="Tahoma"/>
                <w:sz w:val="18"/>
                <w:szCs w:val="18"/>
              </w:rPr>
            </w:pPr>
            <w:r>
              <w:rPr>
                <w:rFonts w:ascii="Tahoma" w:hAnsi="Tahoma" w:cs="Tahoma"/>
                <w:sz w:val="18"/>
                <w:szCs w:val="18"/>
              </w:rPr>
              <w:t>5,6%</w:t>
            </w:r>
          </w:p>
        </w:tc>
      </w:tr>
      <w:tr w:rsidR="002D5118" w:rsidRPr="00AB6B4B" w:rsidTr="00E8075B">
        <w:trPr>
          <w:trHeight w:val="245"/>
          <w:jc w:val="center"/>
        </w:trPr>
        <w:tc>
          <w:tcPr>
            <w:tcW w:w="3827" w:type="dxa"/>
            <w:tcBorders>
              <w:top w:val="dotted" w:sz="4" w:space="0" w:color="auto"/>
              <w:left w:val="nil"/>
              <w:bottom w:val="dotted" w:sz="4" w:space="0" w:color="auto"/>
              <w:right w:val="dotted" w:sz="4" w:space="0" w:color="auto"/>
            </w:tcBorders>
            <w:vAlign w:val="bottom"/>
          </w:tcPr>
          <w:p w:rsidR="002D5118" w:rsidRPr="00AB6B4B" w:rsidRDefault="002D5118" w:rsidP="00227662">
            <w:pPr>
              <w:rPr>
                <w:rFonts w:ascii="Tahoma" w:hAnsi="Tahoma" w:cs="Tahoma"/>
                <w:b/>
                <w:bCs/>
                <w:sz w:val="18"/>
                <w:szCs w:val="18"/>
              </w:rPr>
            </w:pPr>
            <w:r w:rsidRPr="00AB6B4B">
              <w:rPr>
                <w:rFonts w:ascii="Tahoma" w:hAnsi="Tahoma" w:cs="Tahoma"/>
                <w:b/>
                <w:bCs/>
                <w:sz w:val="18"/>
                <w:szCs w:val="18"/>
              </w:rPr>
              <w:t>Καύσιμα</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5.805,7</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1.427,7</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306,7%</w:t>
            </w:r>
          </w:p>
        </w:tc>
        <w:tc>
          <w:tcPr>
            <w:tcW w:w="1093"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28,7%</w:t>
            </w:r>
          </w:p>
        </w:tc>
        <w:tc>
          <w:tcPr>
            <w:tcW w:w="1093" w:type="dxa"/>
            <w:tcBorders>
              <w:top w:val="dotted" w:sz="4" w:space="0" w:color="auto"/>
              <w:left w:val="dotted" w:sz="4" w:space="0" w:color="auto"/>
              <w:bottom w:val="dotted" w:sz="4" w:space="0" w:color="auto"/>
              <w:right w:val="nil"/>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9,8%</w:t>
            </w:r>
          </w:p>
        </w:tc>
      </w:tr>
      <w:tr w:rsidR="002D5118" w:rsidRPr="00AB6B4B" w:rsidTr="00E8075B">
        <w:trPr>
          <w:trHeight w:val="245"/>
          <w:jc w:val="center"/>
        </w:trPr>
        <w:tc>
          <w:tcPr>
            <w:tcW w:w="3827" w:type="dxa"/>
            <w:tcBorders>
              <w:top w:val="dotted" w:sz="4" w:space="0" w:color="auto"/>
              <w:left w:val="nil"/>
              <w:bottom w:val="dotted" w:sz="4" w:space="0" w:color="auto"/>
              <w:right w:val="dotted" w:sz="4" w:space="0" w:color="auto"/>
            </w:tcBorders>
            <w:vAlign w:val="bottom"/>
          </w:tcPr>
          <w:p w:rsidR="002D5118" w:rsidRPr="00AB6B4B" w:rsidRDefault="002D5118" w:rsidP="00227662">
            <w:pPr>
              <w:rPr>
                <w:rFonts w:ascii="Tahoma" w:hAnsi="Tahoma" w:cs="Tahoma"/>
                <w:color w:val="000000"/>
                <w:sz w:val="18"/>
                <w:szCs w:val="18"/>
              </w:rPr>
            </w:pPr>
            <w:r w:rsidRPr="00AB6B4B">
              <w:rPr>
                <w:rFonts w:ascii="Tahoma" w:hAnsi="Tahoma" w:cs="Tahoma"/>
                <w:color w:val="000000"/>
                <w:sz w:val="18"/>
                <w:szCs w:val="18"/>
              </w:rPr>
              <w:t>Ορυκτά, καύσιμα, λιπαντικά, κ.λπ.</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5.805,7</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1.427,7</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306,7%</w:t>
            </w:r>
          </w:p>
        </w:tc>
        <w:tc>
          <w:tcPr>
            <w:tcW w:w="1093"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28,7%</w:t>
            </w:r>
          </w:p>
        </w:tc>
        <w:tc>
          <w:tcPr>
            <w:tcW w:w="1093" w:type="dxa"/>
            <w:tcBorders>
              <w:top w:val="dotted" w:sz="4" w:space="0" w:color="auto"/>
              <w:left w:val="dotted" w:sz="4" w:space="0" w:color="auto"/>
              <w:bottom w:val="dotted" w:sz="4" w:space="0" w:color="auto"/>
              <w:right w:val="nil"/>
            </w:tcBorders>
            <w:vAlign w:val="bottom"/>
          </w:tcPr>
          <w:p w:rsidR="002D5118" w:rsidRDefault="002D5118" w:rsidP="00227662">
            <w:pPr>
              <w:jc w:val="right"/>
              <w:rPr>
                <w:rFonts w:ascii="Tahoma" w:hAnsi="Tahoma" w:cs="Tahoma"/>
                <w:sz w:val="18"/>
                <w:szCs w:val="18"/>
              </w:rPr>
            </w:pPr>
            <w:r>
              <w:rPr>
                <w:rFonts w:ascii="Tahoma" w:hAnsi="Tahoma" w:cs="Tahoma"/>
                <w:sz w:val="18"/>
                <w:szCs w:val="18"/>
              </w:rPr>
              <w:t>9,8%</w:t>
            </w:r>
          </w:p>
        </w:tc>
      </w:tr>
      <w:tr w:rsidR="002D5118" w:rsidRPr="00AB6B4B" w:rsidTr="00E8075B">
        <w:trPr>
          <w:trHeight w:val="245"/>
          <w:jc w:val="center"/>
        </w:trPr>
        <w:tc>
          <w:tcPr>
            <w:tcW w:w="3827" w:type="dxa"/>
            <w:tcBorders>
              <w:top w:val="dotted" w:sz="4" w:space="0" w:color="auto"/>
              <w:left w:val="nil"/>
              <w:bottom w:val="dotted" w:sz="4" w:space="0" w:color="auto"/>
              <w:right w:val="dotted" w:sz="4" w:space="0" w:color="auto"/>
            </w:tcBorders>
            <w:vAlign w:val="bottom"/>
          </w:tcPr>
          <w:p w:rsidR="002D5118" w:rsidRPr="00AB6B4B" w:rsidRDefault="002D5118" w:rsidP="00227662">
            <w:pPr>
              <w:rPr>
                <w:rFonts w:ascii="Tahoma" w:hAnsi="Tahoma" w:cs="Tahoma"/>
                <w:b/>
                <w:bCs/>
                <w:sz w:val="18"/>
                <w:szCs w:val="18"/>
              </w:rPr>
            </w:pPr>
            <w:r w:rsidRPr="00AB6B4B">
              <w:rPr>
                <w:rFonts w:ascii="Tahoma" w:hAnsi="Tahoma" w:cs="Tahoma"/>
                <w:b/>
                <w:bCs/>
                <w:sz w:val="18"/>
                <w:szCs w:val="18"/>
              </w:rPr>
              <w:t>Βιομηχανικά προϊόντα</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9.289,1</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8.340,6</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11,4%</w:t>
            </w:r>
          </w:p>
        </w:tc>
        <w:tc>
          <w:tcPr>
            <w:tcW w:w="1093"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45,9%</w:t>
            </w:r>
          </w:p>
        </w:tc>
        <w:tc>
          <w:tcPr>
            <w:tcW w:w="1093" w:type="dxa"/>
            <w:tcBorders>
              <w:top w:val="dotted" w:sz="4" w:space="0" w:color="auto"/>
              <w:left w:val="dotted" w:sz="4" w:space="0" w:color="auto"/>
              <w:bottom w:val="dotted" w:sz="4" w:space="0" w:color="auto"/>
              <w:right w:val="nil"/>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57,4%</w:t>
            </w:r>
          </w:p>
        </w:tc>
      </w:tr>
      <w:tr w:rsidR="002D5118" w:rsidRPr="00AB6B4B" w:rsidTr="00E8075B">
        <w:trPr>
          <w:trHeight w:val="245"/>
          <w:jc w:val="center"/>
        </w:trPr>
        <w:tc>
          <w:tcPr>
            <w:tcW w:w="3827" w:type="dxa"/>
            <w:tcBorders>
              <w:top w:val="dotted" w:sz="4" w:space="0" w:color="auto"/>
              <w:left w:val="nil"/>
              <w:bottom w:val="dotted" w:sz="4" w:space="0" w:color="auto"/>
              <w:right w:val="dotted" w:sz="4" w:space="0" w:color="auto"/>
            </w:tcBorders>
            <w:vAlign w:val="bottom"/>
          </w:tcPr>
          <w:p w:rsidR="002D5118" w:rsidRPr="00AB6B4B" w:rsidRDefault="002D5118" w:rsidP="00227662">
            <w:pPr>
              <w:rPr>
                <w:rFonts w:ascii="Tahoma" w:hAnsi="Tahoma" w:cs="Tahoma"/>
                <w:color w:val="000000"/>
                <w:sz w:val="18"/>
                <w:szCs w:val="18"/>
              </w:rPr>
            </w:pPr>
            <w:r w:rsidRPr="00AB6B4B">
              <w:rPr>
                <w:rFonts w:ascii="Tahoma" w:hAnsi="Tahoma" w:cs="Tahoma"/>
                <w:color w:val="000000"/>
                <w:sz w:val="18"/>
                <w:szCs w:val="18"/>
              </w:rPr>
              <w:t>Χημικά προϊόντα &amp; συναφή (μ.α.κ.)</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2.148,4</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2.149,1</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0,0%</w:t>
            </w:r>
          </w:p>
        </w:tc>
        <w:tc>
          <w:tcPr>
            <w:tcW w:w="1093"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10,6%</w:t>
            </w:r>
          </w:p>
        </w:tc>
        <w:tc>
          <w:tcPr>
            <w:tcW w:w="1093" w:type="dxa"/>
            <w:tcBorders>
              <w:top w:val="dotted" w:sz="4" w:space="0" w:color="auto"/>
              <w:left w:val="dotted" w:sz="4" w:space="0" w:color="auto"/>
              <w:bottom w:val="dotted" w:sz="4" w:space="0" w:color="auto"/>
              <w:right w:val="nil"/>
            </w:tcBorders>
            <w:vAlign w:val="bottom"/>
          </w:tcPr>
          <w:p w:rsidR="002D5118" w:rsidRDefault="002D5118" w:rsidP="00227662">
            <w:pPr>
              <w:jc w:val="right"/>
              <w:rPr>
                <w:rFonts w:ascii="Tahoma" w:hAnsi="Tahoma" w:cs="Tahoma"/>
                <w:sz w:val="18"/>
                <w:szCs w:val="18"/>
              </w:rPr>
            </w:pPr>
            <w:r>
              <w:rPr>
                <w:rFonts w:ascii="Tahoma" w:hAnsi="Tahoma" w:cs="Tahoma"/>
                <w:sz w:val="18"/>
                <w:szCs w:val="18"/>
              </w:rPr>
              <w:t>14,8%</w:t>
            </w:r>
          </w:p>
        </w:tc>
      </w:tr>
      <w:tr w:rsidR="002D5118" w:rsidRPr="00AB6B4B" w:rsidTr="00E8075B">
        <w:trPr>
          <w:trHeight w:val="507"/>
          <w:jc w:val="center"/>
        </w:trPr>
        <w:tc>
          <w:tcPr>
            <w:tcW w:w="3827" w:type="dxa"/>
            <w:tcBorders>
              <w:top w:val="dotted" w:sz="4" w:space="0" w:color="auto"/>
              <w:left w:val="nil"/>
              <w:bottom w:val="dotted" w:sz="4" w:space="0" w:color="auto"/>
              <w:right w:val="dotted" w:sz="4" w:space="0" w:color="auto"/>
            </w:tcBorders>
            <w:vAlign w:val="bottom"/>
          </w:tcPr>
          <w:p w:rsidR="002D5118" w:rsidRPr="00AB6B4B" w:rsidRDefault="002D5118" w:rsidP="00227662">
            <w:pPr>
              <w:rPr>
                <w:rFonts w:ascii="Tahoma" w:hAnsi="Tahoma" w:cs="Tahoma"/>
                <w:color w:val="000000"/>
                <w:sz w:val="18"/>
                <w:szCs w:val="18"/>
              </w:rPr>
            </w:pPr>
            <w:r w:rsidRPr="00AB6B4B">
              <w:rPr>
                <w:rFonts w:ascii="Tahoma" w:hAnsi="Tahoma" w:cs="Tahoma"/>
                <w:color w:val="000000"/>
                <w:sz w:val="18"/>
                <w:szCs w:val="18"/>
              </w:rPr>
              <w:t>Βιομηχανικά είδη ταξινομημένα κατά πρώτη ύλη</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3.817,3</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3.000,6</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27,2%</w:t>
            </w:r>
          </w:p>
        </w:tc>
        <w:tc>
          <w:tcPr>
            <w:tcW w:w="1093"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18,9%</w:t>
            </w:r>
          </w:p>
        </w:tc>
        <w:tc>
          <w:tcPr>
            <w:tcW w:w="1093" w:type="dxa"/>
            <w:tcBorders>
              <w:top w:val="dotted" w:sz="4" w:space="0" w:color="auto"/>
              <w:left w:val="dotted" w:sz="4" w:space="0" w:color="auto"/>
              <w:bottom w:val="dotted" w:sz="4" w:space="0" w:color="auto"/>
              <w:right w:val="nil"/>
            </w:tcBorders>
            <w:vAlign w:val="bottom"/>
          </w:tcPr>
          <w:p w:rsidR="002D5118" w:rsidRDefault="002D5118" w:rsidP="00227662">
            <w:pPr>
              <w:jc w:val="right"/>
              <w:rPr>
                <w:rFonts w:ascii="Tahoma" w:hAnsi="Tahoma" w:cs="Tahoma"/>
                <w:sz w:val="18"/>
                <w:szCs w:val="18"/>
              </w:rPr>
            </w:pPr>
            <w:r>
              <w:rPr>
                <w:rFonts w:ascii="Tahoma" w:hAnsi="Tahoma" w:cs="Tahoma"/>
                <w:sz w:val="18"/>
                <w:szCs w:val="18"/>
              </w:rPr>
              <w:t>20,6%</w:t>
            </w:r>
          </w:p>
        </w:tc>
      </w:tr>
      <w:tr w:rsidR="002D5118" w:rsidRPr="00AB6B4B" w:rsidTr="00E8075B">
        <w:trPr>
          <w:trHeight w:val="262"/>
          <w:jc w:val="center"/>
        </w:trPr>
        <w:tc>
          <w:tcPr>
            <w:tcW w:w="3827" w:type="dxa"/>
            <w:tcBorders>
              <w:top w:val="dotted" w:sz="4" w:space="0" w:color="auto"/>
              <w:left w:val="nil"/>
              <w:bottom w:val="dotted" w:sz="4" w:space="0" w:color="auto"/>
              <w:right w:val="dotted" w:sz="4" w:space="0" w:color="auto"/>
            </w:tcBorders>
            <w:vAlign w:val="bottom"/>
          </w:tcPr>
          <w:p w:rsidR="002D5118" w:rsidRPr="00AB6B4B" w:rsidRDefault="002D5118" w:rsidP="00227662">
            <w:pPr>
              <w:rPr>
                <w:rFonts w:ascii="Tahoma" w:hAnsi="Tahoma" w:cs="Tahoma"/>
                <w:color w:val="000000"/>
                <w:sz w:val="18"/>
                <w:szCs w:val="18"/>
              </w:rPr>
            </w:pPr>
            <w:r w:rsidRPr="00AB6B4B">
              <w:rPr>
                <w:rFonts w:ascii="Tahoma" w:hAnsi="Tahoma" w:cs="Tahoma"/>
                <w:color w:val="000000"/>
                <w:sz w:val="18"/>
                <w:szCs w:val="18"/>
              </w:rPr>
              <w:t>Μηχανήματα &amp; υλικό μεταφορών</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1.864,9</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1.720,1</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8,4%</w:t>
            </w:r>
          </w:p>
        </w:tc>
        <w:tc>
          <w:tcPr>
            <w:tcW w:w="1093"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9,2%</w:t>
            </w:r>
          </w:p>
        </w:tc>
        <w:tc>
          <w:tcPr>
            <w:tcW w:w="1093" w:type="dxa"/>
            <w:tcBorders>
              <w:top w:val="dotted" w:sz="4" w:space="0" w:color="auto"/>
              <w:left w:val="dotted" w:sz="4" w:space="0" w:color="auto"/>
              <w:bottom w:val="dotted" w:sz="4" w:space="0" w:color="auto"/>
              <w:right w:val="nil"/>
            </w:tcBorders>
            <w:vAlign w:val="bottom"/>
          </w:tcPr>
          <w:p w:rsidR="002D5118" w:rsidRDefault="002D5118" w:rsidP="00227662">
            <w:pPr>
              <w:jc w:val="right"/>
              <w:rPr>
                <w:rFonts w:ascii="Tahoma" w:hAnsi="Tahoma" w:cs="Tahoma"/>
                <w:sz w:val="18"/>
                <w:szCs w:val="18"/>
              </w:rPr>
            </w:pPr>
            <w:r>
              <w:rPr>
                <w:rFonts w:ascii="Tahoma" w:hAnsi="Tahoma" w:cs="Tahoma"/>
                <w:sz w:val="18"/>
                <w:szCs w:val="18"/>
              </w:rPr>
              <w:t>11,8%</w:t>
            </w:r>
          </w:p>
        </w:tc>
      </w:tr>
      <w:tr w:rsidR="002D5118" w:rsidRPr="00AB6B4B" w:rsidTr="00E8075B">
        <w:trPr>
          <w:trHeight w:val="245"/>
          <w:jc w:val="center"/>
        </w:trPr>
        <w:tc>
          <w:tcPr>
            <w:tcW w:w="3827" w:type="dxa"/>
            <w:tcBorders>
              <w:top w:val="dotted" w:sz="4" w:space="0" w:color="auto"/>
              <w:left w:val="nil"/>
              <w:bottom w:val="dotted" w:sz="4" w:space="0" w:color="auto"/>
              <w:right w:val="dotted" w:sz="4" w:space="0" w:color="auto"/>
            </w:tcBorders>
            <w:vAlign w:val="bottom"/>
          </w:tcPr>
          <w:p w:rsidR="002D5118" w:rsidRPr="00AB6B4B" w:rsidRDefault="002D5118" w:rsidP="00227662">
            <w:pPr>
              <w:rPr>
                <w:rFonts w:ascii="Tahoma" w:hAnsi="Tahoma" w:cs="Tahoma"/>
                <w:color w:val="000000"/>
                <w:sz w:val="18"/>
                <w:szCs w:val="18"/>
              </w:rPr>
            </w:pPr>
            <w:r w:rsidRPr="00AB6B4B">
              <w:rPr>
                <w:rFonts w:ascii="Tahoma" w:hAnsi="Tahoma" w:cs="Tahoma"/>
                <w:color w:val="000000"/>
                <w:sz w:val="18"/>
                <w:szCs w:val="18"/>
              </w:rPr>
              <w:t>Διάφορα βιομηχανικά είδη</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1.458,5</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1.470,8</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-0,8%</w:t>
            </w:r>
          </w:p>
        </w:tc>
        <w:tc>
          <w:tcPr>
            <w:tcW w:w="1093"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7,2%</w:t>
            </w:r>
          </w:p>
        </w:tc>
        <w:tc>
          <w:tcPr>
            <w:tcW w:w="1093" w:type="dxa"/>
            <w:tcBorders>
              <w:top w:val="dotted" w:sz="4" w:space="0" w:color="auto"/>
              <w:left w:val="dotted" w:sz="4" w:space="0" w:color="auto"/>
              <w:bottom w:val="dotted" w:sz="4" w:space="0" w:color="auto"/>
              <w:right w:val="nil"/>
            </w:tcBorders>
            <w:vAlign w:val="bottom"/>
          </w:tcPr>
          <w:p w:rsidR="002D5118" w:rsidRDefault="002D5118" w:rsidP="00227662">
            <w:pPr>
              <w:jc w:val="right"/>
              <w:rPr>
                <w:rFonts w:ascii="Tahoma" w:hAnsi="Tahoma" w:cs="Tahoma"/>
                <w:sz w:val="18"/>
                <w:szCs w:val="18"/>
              </w:rPr>
            </w:pPr>
            <w:r>
              <w:rPr>
                <w:rFonts w:ascii="Tahoma" w:hAnsi="Tahoma" w:cs="Tahoma"/>
                <w:sz w:val="18"/>
                <w:szCs w:val="18"/>
              </w:rPr>
              <w:t>10,1%</w:t>
            </w:r>
          </w:p>
        </w:tc>
      </w:tr>
      <w:tr w:rsidR="002D5118" w:rsidRPr="00AB6B4B" w:rsidTr="00E8075B">
        <w:trPr>
          <w:trHeight w:val="245"/>
          <w:jc w:val="center"/>
        </w:trPr>
        <w:tc>
          <w:tcPr>
            <w:tcW w:w="3827" w:type="dxa"/>
            <w:tcBorders>
              <w:top w:val="dotted" w:sz="4" w:space="0" w:color="auto"/>
              <w:left w:val="nil"/>
              <w:bottom w:val="dotted" w:sz="4" w:space="0" w:color="auto"/>
              <w:right w:val="dotted" w:sz="4" w:space="0" w:color="auto"/>
            </w:tcBorders>
            <w:vAlign w:val="bottom"/>
          </w:tcPr>
          <w:p w:rsidR="002D5118" w:rsidRPr="00AB6B4B" w:rsidRDefault="002D5118" w:rsidP="00227662">
            <w:pPr>
              <w:rPr>
                <w:rFonts w:ascii="Tahoma" w:hAnsi="Tahoma" w:cs="Tahoma"/>
                <w:b/>
                <w:bCs/>
                <w:sz w:val="18"/>
                <w:szCs w:val="18"/>
              </w:rPr>
            </w:pPr>
            <w:r w:rsidRPr="00AB6B4B">
              <w:rPr>
                <w:rFonts w:ascii="Tahoma" w:hAnsi="Tahoma" w:cs="Tahoma"/>
                <w:b/>
                <w:bCs/>
                <w:sz w:val="18"/>
                <w:szCs w:val="18"/>
              </w:rPr>
              <w:t>Άλλα</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605,7</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418,4</w:t>
            </w:r>
          </w:p>
        </w:tc>
        <w:tc>
          <w:tcPr>
            <w:tcW w:w="1276"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44,8%</w:t>
            </w:r>
          </w:p>
        </w:tc>
        <w:tc>
          <w:tcPr>
            <w:tcW w:w="1093" w:type="dxa"/>
            <w:tcBorders>
              <w:top w:val="dotted" w:sz="4" w:space="0" w:color="auto"/>
              <w:left w:val="dotted" w:sz="4" w:space="0" w:color="auto"/>
              <w:bottom w:val="dotted" w:sz="4" w:space="0" w:color="auto"/>
              <w:right w:val="dotted" w:sz="4" w:space="0" w:color="auto"/>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3,0%</w:t>
            </w:r>
          </w:p>
        </w:tc>
        <w:tc>
          <w:tcPr>
            <w:tcW w:w="1093" w:type="dxa"/>
            <w:tcBorders>
              <w:top w:val="dotted" w:sz="4" w:space="0" w:color="auto"/>
              <w:left w:val="dotted" w:sz="4" w:space="0" w:color="auto"/>
              <w:bottom w:val="dotted" w:sz="4" w:space="0" w:color="auto"/>
              <w:right w:val="nil"/>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2,9%</w:t>
            </w:r>
          </w:p>
        </w:tc>
      </w:tr>
      <w:tr w:rsidR="002D5118" w:rsidRPr="00AB6B4B" w:rsidTr="00E8075B">
        <w:trPr>
          <w:trHeight w:val="490"/>
          <w:jc w:val="center"/>
        </w:trPr>
        <w:tc>
          <w:tcPr>
            <w:tcW w:w="3827" w:type="dxa"/>
            <w:tcBorders>
              <w:top w:val="dotted" w:sz="4" w:space="0" w:color="auto"/>
              <w:left w:val="nil"/>
              <w:bottom w:val="single" w:sz="8" w:space="0" w:color="auto"/>
              <w:right w:val="dotted" w:sz="4" w:space="0" w:color="auto"/>
            </w:tcBorders>
            <w:vAlign w:val="bottom"/>
          </w:tcPr>
          <w:p w:rsidR="002D5118" w:rsidRPr="00AB6B4B" w:rsidRDefault="002D5118" w:rsidP="00227662">
            <w:pPr>
              <w:rPr>
                <w:rFonts w:ascii="Tahoma" w:hAnsi="Tahoma" w:cs="Tahoma"/>
                <w:color w:val="000000"/>
                <w:sz w:val="18"/>
                <w:szCs w:val="18"/>
              </w:rPr>
            </w:pPr>
            <w:r w:rsidRPr="00AB6B4B">
              <w:rPr>
                <w:rFonts w:ascii="Tahoma" w:hAnsi="Tahoma" w:cs="Tahoma"/>
                <w:color w:val="000000"/>
                <w:sz w:val="18"/>
                <w:szCs w:val="18"/>
              </w:rPr>
              <w:t>Είδη &amp; συναλλαγές μη ταξινομημένα κατά κατηγορίες</w:t>
            </w:r>
          </w:p>
        </w:tc>
        <w:tc>
          <w:tcPr>
            <w:tcW w:w="1276" w:type="dxa"/>
            <w:tcBorders>
              <w:top w:val="dotted" w:sz="4" w:space="0" w:color="auto"/>
              <w:left w:val="dotted" w:sz="4" w:space="0" w:color="auto"/>
              <w:bottom w:val="single" w:sz="8"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605,7</w:t>
            </w:r>
          </w:p>
        </w:tc>
        <w:tc>
          <w:tcPr>
            <w:tcW w:w="1276" w:type="dxa"/>
            <w:tcBorders>
              <w:top w:val="dotted" w:sz="4" w:space="0" w:color="auto"/>
              <w:left w:val="dotted" w:sz="4" w:space="0" w:color="auto"/>
              <w:bottom w:val="single" w:sz="8"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418,4</w:t>
            </w:r>
          </w:p>
        </w:tc>
        <w:tc>
          <w:tcPr>
            <w:tcW w:w="1276" w:type="dxa"/>
            <w:tcBorders>
              <w:top w:val="dotted" w:sz="4" w:space="0" w:color="auto"/>
              <w:left w:val="dotted" w:sz="4" w:space="0" w:color="auto"/>
              <w:bottom w:val="single" w:sz="8"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44,8%</w:t>
            </w:r>
          </w:p>
        </w:tc>
        <w:tc>
          <w:tcPr>
            <w:tcW w:w="1093" w:type="dxa"/>
            <w:tcBorders>
              <w:top w:val="dotted" w:sz="4" w:space="0" w:color="auto"/>
              <w:left w:val="dotted" w:sz="4" w:space="0" w:color="auto"/>
              <w:bottom w:val="single" w:sz="8" w:space="0" w:color="auto"/>
              <w:right w:val="dotted" w:sz="4" w:space="0" w:color="auto"/>
            </w:tcBorders>
            <w:vAlign w:val="bottom"/>
          </w:tcPr>
          <w:p w:rsidR="002D5118" w:rsidRDefault="002D5118" w:rsidP="00227662">
            <w:pPr>
              <w:jc w:val="right"/>
              <w:rPr>
                <w:rFonts w:ascii="Tahoma" w:hAnsi="Tahoma" w:cs="Tahoma"/>
                <w:sz w:val="18"/>
                <w:szCs w:val="18"/>
              </w:rPr>
            </w:pPr>
            <w:r>
              <w:rPr>
                <w:rFonts w:ascii="Tahoma" w:hAnsi="Tahoma" w:cs="Tahoma"/>
                <w:sz w:val="18"/>
                <w:szCs w:val="18"/>
              </w:rPr>
              <w:t>3,0%</w:t>
            </w:r>
          </w:p>
        </w:tc>
        <w:tc>
          <w:tcPr>
            <w:tcW w:w="1093" w:type="dxa"/>
            <w:tcBorders>
              <w:top w:val="dotted" w:sz="4" w:space="0" w:color="auto"/>
              <w:left w:val="dotted" w:sz="4" w:space="0" w:color="auto"/>
              <w:bottom w:val="single" w:sz="8" w:space="0" w:color="auto"/>
              <w:right w:val="nil"/>
            </w:tcBorders>
            <w:vAlign w:val="bottom"/>
          </w:tcPr>
          <w:p w:rsidR="002D5118" w:rsidRDefault="002D5118" w:rsidP="00227662">
            <w:pPr>
              <w:jc w:val="right"/>
              <w:rPr>
                <w:rFonts w:ascii="Tahoma" w:hAnsi="Tahoma" w:cs="Tahoma"/>
                <w:sz w:val="18"/>
                <w:szCs w:val="18"/>
              </w:rPr>
            </w:pPr>
            <w:r>
              <w:rPr>
                <w:rFonts w:ascii="Tahoma" w:hAnsi="Tahoma" w:cs="Tahoma"/>
                <w:sz w:val="18"/>
                <w:szCs w:val="18"/>
              </w:rPr>
              <w:t>2,9%</w:t>
            </w:r>
          </w:p>
        </w:tc>
      </w:tr>
      <w:tr w:rsidR="002D5118" w:rsidRPr="00AB6B4B" w:rsidTr="00E8075B">
        <w:trPr>
          <w:trHeight w:val="262"/>
          <w:jc w:val="center"/>
        </w:trPr>
        <w:tc>
          <w:tcPr>
            <w:tcW w:w="3827" w:type="dxa"/>
            <w:tcBorders>
              <w:top w:val="single" w:sz="8" w:space="0" w:color="auto"/>
              <w:left w:val="nil"/>
              <w:bottom w:val="single" w:sz="12" w:space="0" w:color="auto"/>
              <w:right w:val="dotted" w:sz="4" w:space="0" w:color="auto"/>
            </w:tcBorders>
            <w:vAlign w:val="bottom"/>
          </w:tcPr>
          <w:p w:rsidR="002D5118" w:rsidRPr="00AB6B4B" w:rsidRDefault="002D5118" w:rsidP="00227662">
            <w:pPr>
              <w:rPr>
                <w:rFonts w:ascii="Tahoma" w:hAnsi="Tahoma" w:cs="Tahoma"/>
                <w:b/>
                <w:bCs/>
                <w:sz w:val="18"/>
                <w:szCs w:val="18"/>
              </w:rPr>
            </w:pPr>
            <w:r w:rsidRPr="00AB6B4B">
              <w:rPr>
                <w:rFonts w:ascii="Tahoma" w:hAnsi="Tahoma" w:cs="Tahoma"/>
                <w:b/>
                <w:bCs/>
                <w:sz w:val="18"/>
                <w:szCs w:val="18"/>
              </w:rPr>
              <w:t>Συνολικές εξαγωγές</w:t>
            </w:r>
          </w:p>
        </w:tc>
        <w:tc>
          <w:tcPr>
            <w:tcW w:w="1276" w:type="dxa"/>
            <w:tcBorders>
              <w:top w:val="single" w:sz="8" w:space="0" w:color="auto"/>
              <w:left w:val="dotted" w:sz="4" w:space="0" w:color="auto"/>
              <w:bottom w:val="single" w:sz="12" w:space="0" w:color="auto"/>
              <w:right w:val="dotted" w:sz="4" w:space="0" w:color="auto"/>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20.229,0</w:t>
            </w:r>
          </w:p>
        </w:tc>
        <w:tc>
          <w:tcPr>
            <w:tcW w:w="1276" w:type="dxa"/>
            <w:tcBorders>
              <w:top w:val="single" w:sz="8" w:space="0" w:color="auto"/>
              <w:left w:val="dotted" w:sz="4" w:space="0" w:color="auto"/>
              <w:bottom w:val="single" w:sz="12" w:space="0" w:color="auto"/>
              <w:right w:val="dotted" w:sz="4" w:space="0" w:color="auto"/>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14.542,0</w:t>
            </w:r>
          </w:p>
        </w:tc>
        <w:tc>
          <w:tcPr>
            <w:tcW w:w="1276" w:type="dxa"/>
            <w:tcBorders>
              <w:top w:val="single" w:sz="8" w:space="0" w:color="auto"/>
              <w:left w:val="dotted" w:sz="4" w:space="0" w:color="auto"/>
              <w:bottom w:val="single" w:sz="12" w:space="0" w:color="auto"/>
              <w:right w:val="dotted" w:sz="4" w:space="0" w:color="auto"/>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39,1%</w:t>
            </w:r>
          </w:p>
        </w:tc>
        <w:tc>
          <w:tcPr>
            <w:tcW w:w="1093" w:type="dxa"/>
            <w:tcBorders>
              <w:top w:val="single" w:sz="8" w:space="0" w:color="auto"/>
              <w:left w:val="dotted" w:sz="4" w:space="0" w:color="auto"/>
              <w:bottom w:val="single" w:sz="12" w:space="0" w:color="auto"/>
              <w:right w:val="dotted" w:sz="4" w:space="0" w:color="auto"/>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100,0%</w:t>
            </w:r>
          </w:p>
        </w:tc>
        <w:tc>
          <w:tcPr>
            <w:tcW w:w="1093" w:type="dxa"/>
            <w:tcBorders>
              <w:top w:val="single" w:sz="8" w:space="0" w:color="auto"/>
              <w:left w:val="dotted" w:sz="4" w:space="0" w:color="auto"/>
              <w:bottom w:val="single" w:sz="12" w:space="0" w:color="auto"/>
              <w:right w:val="nil"/>
            </w:tcBorders>
            <w:vAlign w:val="bottom"/>
          </w:tcPr>
          <w:p w:rsidR="002D5118" w:rsidRDefault="002D5118" w:rsidP="00227662">
            <w:pPr>
              <w:jc w:val="right"/>
              <w:rPr>
                <w:rFonts w:ascii="Tahoma" w:hAnsi="Tahoma" w:cs="Tahoma"/>
                <w:b/>
                <w:bCs/>
                <w:sz w:val="18"/>
                <w:szCs w:val="18"/>
              </w:rPr>
            </w:pPr>
            <w:r>
              <w:rPr>
                <w:rFonts w:ascii="Tahoma" w:hAnsi="Tahoma" w:cs="Tahoma"/>
                <w:b/>
                <w:bCs/>
                <w:sz w:val="18"/>
                <w:szCs w:val="18"/>
              </w:rPr>
              <w:t>100,0%</w:t>
            </w:r>
          </w:p>
        </w:tc>
      </w:tr>
    </w:tbl>
    <w:p w:rsidR="002D5118" w:rsidRPr="006E72E1" w:rsidRDefault="002D5118" w:rsidP="006E72E1">
      <w:pPr>
        <w:ind w:left="-720" w:firstLine="720"/>
        <w:rPr>
          <w:rFonts w:ascii="Tahoma" w:hAnsi="Tahoma" w:cs="Tahoma"/>
          <w:sz w:val="16"/>
          <w:szCs w:val="18"/>
        </w:rPr>
      </w:pPr>
      <w:r w:rsidRPr="006E72E1">
        <w:rPr>
          <w:rFonts w:ascii="Tahoma" w:hAnsi="Tahoma" w:cs="Tahoma"/>
          <w:sz w:val="16"/>
          <w:szCs w:val="18"/>
        </w:rPr>
        <w:t>* Προσωρινά στοιχεία</w:t>
      </w:r>
    </w:p>
    <w:p w:rsidR="002D5118" w:rsidRDefault="002D5118" w:rsidP="006E72E1">
      <w:pPr>
        <w:ind w:left="-900" w:firstLine="900"/>
        <w:rPr>
          <w:rFonts w:ascii="Tahoma" w:hAnsi="Tahoma" w:cs="Tahoma"/>
          <w:sz w:val="16"/>
          <w:szCs w:val="18"/>
        </w:rPr>
      </w:pPr>
      <w:r w:rsidRPr="006E72E1">
        <w:rPr>
          <w:rFonts w:ascii="Tahoma" w:hAnsi="Tahoma" w:cs="Tahoma"/>
          <w:b/>
          <w:sz w:val="16"/>
          <w:szCs w:val="18"/>
        </w:rPr>
        <w:lastRenderedPageBreak/>
        <w:t>Πηγή</w:t>
      </w:r>
      <w:r w:rsidRPr="006E72E1">
        <w:rPr>
          <w:rFonts w:ascii="Tahoma" w:hAnsi="Tahoma" w:cs="Tahoma"/>
          <w:sz w:val="16"/>
          <w:szCs w:val="18"/>
        </w:rPr>
        <w:t>: ΠΣΕ-ΚΕΕΜ-ΕΛΣΤΑΤ</w:t>
      </w:r>
    </w:p>
    <w:p w:rsidR="00295EC3" w:rsidRDefault="00295EC3" w:rsidP="006E72E1">
      <w:pPr>
        <w:ind w:left="-900" w:firstLine="900"/>
        <w:rPr>
          <w:rFonts w:ascii="Tahoma" w:hAnsi="Tahoma" w:cs="Tahoma"/>
          <w:sz w:val="16"/>
          <w:szCs w:val="18"/>
        </w:rPr>
        <w:sectPr w:rsidR="00295EC3" w:rsidSect="00E8075B">
          <w:type w:val="continuous"/>
          <w:pgSz w:w="11906" w:h="16838"/>
          <w:pgMar w:top="1440" w:right="849" w:bottom="1440" w:left="1560" w:header="708" w:footer="708" w:gutter="0"/>
          <w:cols w:space="720"/>
          <w:docGrid w:linePitch="360"/>
        </w:sectPr>
      </w:pPr>
    </w:p>
    <w:bookmarkEnd w:id="172"/>
    <w:bookmarkEnd w:id="173"/>
    <w:bookmarkEnd w:id="174"/>
    <w:bookmarkEnd w:id="175"/>
    <w:bookmarkEnd w:id="176"/>
    <w:bookmarkEnd w:id="177"/>
    <w:bookmarkEnd w:id="178"/>
    <w:bookmarkEnd w:id="179"/>
    <w:bookmarkEnd w:id="180"/>
    <w:p w:rsidR="006E72E1" w:rsidRDefault="002D5118" w:rsidP="00E8075B">
      <w:pPr>
        <w:pStyle w:val="new4"/>
        <w:spacing w:before="60" w:after="240" w:line="312" w:lineRule="auto"/>
        <w:jc w:val="both"/>
        <w:rPr>
          <w:rFonts w:cs="Tahoma"/>
          <w:b w:val="0"/>
          <w:bCs w:val="0"/>
          <w:sz w:val="22"/>
          <w:szCs w:val="22"/>
        </w:rPr>
      </w:pPr>
      <w:r>
        <w:rPr>
          <w:rFonts w:cs="Tahoma"/>
          <w:b w:val="0"/>
          <w:bCs w:val="0"/>
          <w:sz w:val="22"/>
          <w:szCs w:val="22"/>
        </w:rPr>
        <w:lastRenderedPageBreak/>
        <w:t>Αξιοσημείωτη τέλος, είναι η απορρόφηση ελληνικών προϊόντων από τη Σιγκαπούρη, με την αξία των εξαγωγών που κατευθύνονται σε αυτή να ανέρχεται στα € 525,2 εκατ.</w:t>
      </w:r>
      <w:r w:rsidR="00A676AC">
        <w:rPr>
          <w:rFonts w:cs="Tahoma"/>
          <w:b w:val="0"/>
          <w:bCs w:val="0"/>
          <w:sz w:val="22"/>
          <w:szCs w:val="22"/>
        </w:rPr>
        <w:t>,</w:t>
      </w:r>
      <w:r>
        <w:rPr>
          <w:rFonts w:cs="Tahoma"/>
          <w:b w:val="0"/>
          <w:bCs w:val="0"/>
          <w:sz w:val="22"/>
          <w:szCs w:val="22"/>
        </w:rPr>
        <w:t xml:space="preserve"> όταν το αντίστοιχο διάστημα του 2010 δεν ξεπερνούσε τα € 67 εκατ. </w:t>
      </w:r>
    </w:p>
    <w:p w:rsidR="00E8075B" w:rsidRDefault="002D5118" w:rsidP="00E8075B">
      <w:pPr>
        <w:pStyle w:val="new4"/>
        <w:spacing w:before="240" w:after="240" w:line="312" w:lineRule="auto"/>
        <w:jc w:val="both"/>
        <w:rPr>
          <w:rFonts w:cs="Tahoma"/>
          <w:b w:val="0"/>
          <w:bCs w:val="0"/>
          <w:sz w:val="22"/>
          <w:szCs w:val="22"/>
        </w:rPr>
      </w:pPr>
      <w:r>
        <w:rPr>
          <w:rFonts w:cs="Tahoma"/>
          <w:b w:val="0"/>
          <w:bCs w:val="0"/>
          <w:sz w:val="22"/>
          <w:szCs w:val="22"/>
        </w:rPr>
        <w:t>Οι εξαγωγές εμφανίζουν άνοδο 20,4% προς τις χώρες</w:t>
      </w:r>
      <w:r w:rsidRPr="00BD7DD5">
        <w:rPr>
          <w:rFonts w:cs="Tahoma"/>
          <w:b w:val="0"/>
          <w:bCs w:val="0"/>
          <w:sz w:val="22"/>
          <w:szCs w:val="22"/>
        </w:rPr>
        <w:t xml:space="preserve"> των Βαλκανίων</w:t>
      </w:r>
      <w:r>
        <w:rPr>
          <w:rFonts w:cs="Tahoma"/>
          <w:b w:val="0"/>
          <w:bCs w:val="0"/>
          <w:sz w:val="22"/>
          <w:szCs w:val="22"/>
        </w:rPr>
        <w:t xml:space="preserve">, με το μερίδιο τους όμως, να υποχωρεί </w:t>
      </w:r>
      <w:r w:rsidR="00E8075B">
        <w:rPr>
          <w:rFonts w:cs="Tahoma"/>
          <w:b w:val="0"/>
          <w:bCs w:val="0"/>
          <w:sz w:val="22"/>
          <w:szCs w:val="22"/>
        </w:rPr>
        <w:t xml:space="preserve">κατά 2,3 εκατοστιαίες μονάδες. </w:t>
      </w:r>
      <w:r w:rsidR="00A676AC">
        <w:rPr>
          <w:rFonts w:cs="Tahoma"/>
          <w:b w:val="0"/>
          <w:bCs w:val="0"/>
          <w:sz w:val="22"/>
          <w:szCs w:val="22"/>
        </w:rPr>
        <w:t>Η μεγαλύτερη αύξηση</w:t>
      </w:r>
      <w:r>
        <w:rPr>
          <w:rFonts w:cs="Tahoma"/>
          <w:b w:val="0"/>
          <w:bCs w:val="0"/>
          <w:sz w:val="22"/>
          <w:szCs w:val="22"/>
        </w:rPr>
        <w:t xml:space="preserve"> σημειώνεται στις εξαγωγές προς την Σερβία-Μαυροβούνιο-Κόσοβο (+56,2% ή € 135,1 εκ</w:t>
      </w:r>
      <w:r w:rsidR="00A676AC">
        <w:rPr>
          <w:rFonts w:cs="Tahoma"/>
          <w:b w:val="0"/>
          <w:bCs w:val="0"/>
          <w:sz w:val="22"/>
          <w:szCs w:val="22"/>
        </w:rPr>
        <w:t xml:space="preserve">ατ.) και προς την ΠΓΔΜ (+47,9%), </w:t>
      </w:r>
      <w:r>
        <w:rPr>
          <w:rFonts w:cs="Tahoma"/>
          <w:b w:val="0"/>
          <w:bCs w:val="0"/>
          <w:sz w:val="22"/>
          <w:szCs w:val="22"/>
        </w:rPr>
        <w:t>με τη συνολική αξία των εξαγωγών να διαμορφώνεται στα € 294,3 εκατ.. Εξίσου σημαντική, δεδομένου του μεριδίου που κατέχει στο σύνολο των ελληνικών εξαγωγών, είναι η αύξησή  τους προς την Βουλγαρία (18,5% ή € 177,6 εκατ.),</w:t>
      </w:r>
      <w:r w:rsidRPr="00AB410D">
        <w:rPr>
          <w:rFonts w:cs="Tahoma"/>
          <w:b w:val="0"/>
          <w:bCs w:val="0"/>
          <w:sz w:val="22"/>
          <w:szCs w:val="22"/>
        </w:rPr>
        <w:t xml:space="preserve"> </w:t>
      </w:r>
      <w:r>
        <w:rPr>
          <w:rFonts w:cs="Tahoma"/>
          <w:b w:val="0"/>
          <w:bCs w:val="0"/>
          <w:sz w:val="22"/>
          <w:szCs w:val="22"/>
        </w:rPr>
        <w:t xml:space="preserve">σε αντίθεση με την Ρουμανία όπου η αξία τους έχει παραμείνει αμετάβλητη σε σχέση με </w:t>
      </w:r>
      <w:r w:rsidR="00A676AC">
        <w:rPr>
          <w:rFonts w:cs="Tahoma"/>
          <w:b w:val="0"/>
          <w:bCs w:val="0"/>
          <w:sz w:val="22"/>
          <w:szCs w:val="22"/>
        </w:rPr>
        <w:t>πρό</w:t>
      </w:r>
      <w:r>
        <w:rPr>
          <w:rFonts w:cs="Tahoma"/>
          <w:b w:val="0"/>
          <w:bCs w:val="0"/>
          <w:sz w:val="22"/>
          <w:szCs w:val="22"/>
        </w:rPr>
        <w:t>π</w:t>
      </w:r>
      <w:r w:rsidR="00A676AC">
        <w:rPr>
          <w:rFonts w:cs="Tahoma"/>
          <w:b w:val="0"/>
          <w:bCs w:val="0"/>
          <w:sz w:val="22"/>
          <w:szCs w:val="22"/>
        </w:rPr>
        <w:t>ερ</w:t>
      </w:r>
      <w:r>
        <w:rPr>
          <w:rFonts w:cs="Tahoma"/>
          <w:b w:val="0"/>
          <w:bCs w:val="0"/>
          <w:sz w:val="22"/>
          <w:szCs w:val="22"/>
        </w:rPr>
        <w:t>σι (€ 557,5 εκατ.). Διεύρυνση των εξαγωγών καταγράφεται επίσης προς την Κροατία (+30,1%) και τη Βοσνία-Ερζεγοβίνη (+24,3%), αν και το μερίδιο τους είναι πολύ μικρό.</w:t>
      </w:r>
    </w:p>
    <w:p w:rsidR="00E8075B" w:rsidRDefault="00E8075B" w:rsidP="00E8075B">
      <w:pPr>
        <w:pStyle w:val="new4"/>
        <w:spacing w:before="240" w:after="240" w:line="312" w:lineRule="auto"/>
        <w:jc w:val="both"/>
        <w:rPr>
          <w:b w:val="0"/>
          <w:sz w:val="22"/>
          <w:szCs w:val="22"/>
        </w:rPr>
      </w:pPr>
      <w:r>
        <w:rPr>
          <w:b w:val="0"/>
          <w:sz w:val="22"/>
          <w:szCs w:val="22"/>
        </w:rPr>
        <w:t>Στις χώρες της Βόρειας</w:t>
      </w:r>
      <w:r w:rsidRPr="008829E2">
        <w:rPr>
          <w:b w:val="0"/>
          <w:sz w:val="22"/>
          <w:szCs w:val="22"/>
        </w:rPr>
        <w:t xml:space="preserve"> Αμερική</w:t>
      </w:r>
      <w:r>
        <w:rPr>
          <w:b w:val="0"/>
          <w:sz w:val="22"/>
          <w:szCs w:val="22"/>
        </w:rPr>
        <w:t>ς εκτός των ΗΠΑ, ανοδικά κινούνται οι εξαγωγές προς τον Καναδά (16</w:t>
      </w:r>
      <w:r w:rsidRPr="00EF2741">
        <w:rPr>
          <w:b w:val="0"/>
          <w:sz w:val="22"/>
          <w:szCs w:val="22"/>
        </w:rPr>
        <w:t>%)</w:t>
      </w:r>
      <w:r>
        <w:rPr>
          <w:b w:val="0"/>
          <w:sz w:val="22"/>
          <w:szCs w:val="22"/>
        </w:rPr>
        <w:t>,</w:t>
      </w:r>
      <w:r w:rsidRPr="00EF2741">
        <w:rPr>
          <w:b w:val="0"/>
          <w:sz w:val="22"/>
          <w:szCs w:val="22"/>
        </w:rPr>
        <w:t xml:space="preserve"> </w:t>
      </w:r>
      <w:r>
        <w:rPr>
          <w:b w:val="0"/>
          <w:sz w:val="22"/>
          <w:szCs w:val="22"/>
        </w:rPr>
        <w:t>αντισταθμίζοντας εν μέρει την υποχώρηση στην αξία των εξαγωγών προς το Μεξικό</w:t>
      </w:r>
      <w:r w:rsidRPr="00EF2741">
        <w:rPr>
          <w:b w:val="0"/>
          <w:sz w:val="22"/>
          <w:szCs w:val="22"/>
        </w:rPr>
        <w:t xml:space="preserve"> (</w:t>
      </w:r>
      <w:r>
        <w:rPr>
          <w:b w:val="0"/>
          <w:sz w:val="22"/>
          <w:szCs w:val="22"/>
        </w:rPr>
        <w:t>-35,5</w:t>
      </w:r>
      <w:r w:rsidRPr="00EF2741">
        <w:rPr>
          <w:b w:val="0"/>
          <w:sz w:val="22"/>
          <w:szCs w:val="22"/>
        </w:rPr>
        <w:t>%)</w:t>
      </w:r>
      <w:r>
        <w:rPr>
          <w:b w:val="0"/>
          <w:sz w:val="22"/>
          <w:szCs w:val="22"/>
        </w:rPr>
        <w:t xml:space="preserve">. </w:t>
      </w:r>
    </w:p>
    <w:p w:rsidR="00E8075B" w:rsidRDefault="00E8075B" w:rsidP="00E8075B">
      <w:pPr>
        <w:pStyle w:val="new4"/>
        <w:spacing w:before="240" w:after="240" w:line="312" w:lineRule="auto"/>
        <w:jc w:val="both"/>
        <w:rPr>
          <w:b w:val="0"/>
          <w:sz w:val="22"/>
          <w:szCs w:val="22"/>
        </w:rPr>
      </w:pPr>
      <w:r>
        <w:rPr>
          <w:b w:val="0"/>
          <w:sz w:val="22"/>
          <w:szCs w:val="22"/>
        </w:rPr>
        <w:t>Αντίθετα, μεγάλη άνοδος καταγράφεται στις εξαγωγές ελληνικών προϊόντων προς τη Βόρεια Αφρική και τη</w:t>
      </w:r>
      <w:r w:rsidRPr="008829E2">
        <w:rPr>
          <w:b w:val="0"/>
          <w:sz w:val="22"/>
          <w:szCs w:val="22"/>
        </w:rPr>
        <w:t xml:space="preserve"> Μέση Ανατολή</w:t>
      </w:r>
      <w:r>
        <w:rPr>
          <w:b w:val="0"/>
          <w:sz w:val="22"/>
          <w:szCs w:val="22"/>
        </w:rPr>
        <w:t xml:space="preserve">, η αξία των οποίων είναι διπλάσια εκείνης κατά το α’ </w:t>
      </w:r>
      <w:r>
        <w:rPr>
          <w:b w:val="0"/>
          <w:sz w:val="22"/>
          <w:szCs w:val="22"/>
        </w:rPr>
        <w:lastRenderedPageBreak/>
        <w:t xml:space="preserve">εντεκάμηνο του 2010, με αποτέλεσμα να διαμορφώνεται στα </w:t>
      </w:r>
      <w:r>
        <w:rPr>
          <w:rFonts w:cs="Tahoma"/>
          <w:b w:val="0"/>
          <w:bCs w:val="0"/>
          <w:sz w:val="22"/>
          <w:szCs w:val="22"/>
        </w:rPr>
        <w:t xml:space="preserve">€ </w:t>
      </w:r>
      <w:r>
        <w:rPr>
          <w:b w:val="0"/>
          <w:sz w:val="22"/>
          <w:szCs w:val="22"/>
        </w:rPr>
        <w:t xml:space="preserve">1,8 δισεκ. (+ </w:t>
      </w:r>
      <w:r>
        <w:rPr>
          <w:rFonts w:cs="Tahoma"/>
          <w:b w:val="0"/>
          <w:bCs w:val="0"/>
          <w:sz w:val="22"/>
          <w:szCs w:val="22"/>
        </w:rPr>
        <w:t xml:space="preserve">€ </w:t>
      </w:r>
      <w:r>
        <w:rPr>
          <w:b w:val="0"/>
          <w:sz w:val="22"/>
          <w:szCs w:val="22"/>
        </w:rPr>
        <w:t xml:space="preserve">803 εκατ.). Σημαντικότερος εμπορικός εταίρος στην περιοχή αναδεικνύονται τα Ην. Αραβικά Εμιράτα, καθώς η αξία των εξαγωγών έχει υπερδιπλασιαστεί σε σχέση με </w:t>
      </w:r>
      <w:r w:rsidR="00A676AC">
        <w:rPr>
          <w:b w:val="0"/>
          <w:sz w:val="22"/>
          <w:szCs w:val="22"/>
        </w:rPr>
        <w:t>το 2010</w:t>
      </w:r>
      <w:r>
        <w:rPr>
          <w:b w:val="0"/>
          <w:sz w:val="22"/>
          <w:szCs w:val="22"/>
        </w:rPr>
        <w:t>, ενώ σημαντική είναι η άνοδος των εξαγωγών προς την Αλγερία με την αξία τους  –η 2</w:t>
      </w:r>
      <w:r w:rsidRPr="00DF004D">
        <w:rPr>
          <w:b w:val="0"/>
          <w:sz w:val="22"/>
          <w:szCs w:val="22"/>
          <w:vertAlign w:val="superscript"/>
        </w:rPr>
        <w:t>η</w:t>
      </w:r>
      <w:r>
        <w:rPr>
          <w:b w:val="0"/>
          <w:sz w:val="22"/>
          <w:szCs w:val="22"/>
        </w:rPr>
        <w:t xml:space="preserve"> υψηλότερη στην περιοχή – να διαμορφώνεται στα </w:t>
      </w:r>
      <w:r>
        <w:rPr>
          <w:rFonts w:cs="Tahoma"/>
          <w:b w:val="0"/>
          <w:bCs w:val="0"/>
          <w:sz w:val="22"/>
          <w:szCs w:val="22"/>
        </w:rPr>
        <w:t xml:space="preserve">€ </w:t>
      </w:r>
      <w:r>
        <w:rPr>
          <w:b w:val="0"/>
          <w:sz w:val="22"/>
          <w:szCs w:val="22"/>
        </w:rPr>
        <w:t xml:space="preserve">315,9 εκατ.. Παρόμοια τάση καταγράφεται και για την Αίγυπτο, χώρα που αποτελεί διαχρονικά σημαντικό εμπορικό εταίρο της Ελλάδας, με την αξία των εξαγωγών να προσεγγίζει τα </w:t>
      </w:r>
      <w:r>
        <w:rPr>
          <w:rFonts w:cs="Tahoma"/>
          <w:b w:val="0"/>
          <w:bCs w:val="0"/>
          <w:sz w:val="22"/>
          <w:szCs w:val="22"/>
        </w:rPr>
        <w:t xml:space="preserve">€ </w:t>
      </w:r>
      <w:r>
        <w:rPr>
          <w:b w:val="0"/>
          <w:sz w:val="22"/>
          <w:szCs w:val="22"/>
        </w:rPr>
        <w:t>286 εκατ</w:t>
      </w:r>
      <w:r w:rsidRPr="00A36FCC">
        <w:rPr>
          <w:b w:val="0"/>
          <w:sz w:val="22"/>
          <w:szCs w:val="22"/>
        </w:rPr>
        <w:t>.</w:t>
      </w:r>
      <w:r>
        <w:rPr>
          <w:b w:val="0"/>
          <w:sz w:val="22"/>
          <w:szCs w:val="22"/>
        </w:rPr>
        <w:t xml:space="preserve">. </w:t>
      </w:r>
    </w:p>
    <w:p w:rsidR="00E8075B" w:rsidRDefault="00E8075B" w:rsidP="00E8075B">
      <w:pPr>
        <w:pStyle w:val="new4"/>
        <w:spacing w:before="240" w:after="240" w:line="312" w:lineRule="auto"/>
        <w:jc w:val="both"/>
        <w:rPr>
          <w:b w:val="0"/>
          <w:sz w:val="22"/>
          <w:szCs w:val="22"/>
        </w:rPr>
      </w:pPr>
      <w:r>
        <w:rPr>
          <w:b w:val="0"/>
          <w:sz w:val="22"/>
          <w:szCs w:val="22"/>
        </w:rPr>
        <w:t xml:space="preserve">Όσον αφορά στις εξαγωγές προς τις χώρες της Κοινοπολιτείας Ανεξαρτήτων Κρατών, η άνοδός </w:t>
      </w:r>
      <w:r>
        <w:rPr>
          <w:rFonts w:cs="Tahoma"/>
          <w:b w:val="0"/>
          <w:bCs w:val="0"/>
          <w:sz w:val="22"/>
          <w:szCs w:val="22"/>
        </w:rPr>
        <w:t xml:space="preserve">τους </w:t>
      </w:r>
      <w:r>
        <w:rPr>
          <w:b w:val="0"/>
          <w:sz w:val="22"/>
          <w:szCs w:val="22"/>
        </w:rPr>
        <w:t xml:space="preserve">κατά </w:t>
      </w:r>
      <w:r>
        <w:rPr>
          <w:rFonts w:cs="Tahoma"/>
          <w:b w:val="0"/>
          <w:bCs w:val="0"/>
          <w:sz w:val="22"/>
          <w:szCs w:val="22"/>
        </w:rPr>
        <w:t xml:space="preserve">€ </w:t>
      </w:r>
      <w:r>
        <w:rPr>
          <w:b w:val="0"/>
          <w:sz w:val="22"/>
          <w:szCs w:val="22"/>
        </w:rPr>
        <w:t>180,6 εκατ. (+42,7%) ερμηνεύεται από την αύξηση των εξαγωγών προς την Ρωσία (</w:t>
      </w:r>
      <w:r>
        <w:rPr>
          <w:rFonts w:cs="Tahoma"/>
          <w:b w:val="0"/>
          <w:bCs w:val="0"/>
          <w:sz w:val="22"/>
          <w:szCs w:val="22"/>
        </w:rPr>
        <w:t xml:space="preserve">€ </w:t>
      </w:r>
      <w:r>
        <w:rPr>
          <w:b w:val="0"/>
          <w:sz w:val="22"/>
          <w:szCs w:val="22"/>
        </w:rPr>
        <w:t>70,2 εκατ. ή 24,2%) την Ουκρανία, προς την οποία οι εξαγωγές σχεδόν διπλασιάστηκαν (</w:t>
      </w:r>
      <w:r>
        <w:rPr>
          <w:rFonts w:cs="Tahoma"/>
          <w:b w:val="0"/>
          <w:bCs w:val="0"/>
          <w:sz w:val="22"/>
          <w:szCs w:val="22"/>
        </w:rPr>
        <w:t xml:space="preserve">€ </w:t>
      </w:r>
      <w:r>
        <w:rPr>
          <w:b w:val="0"/>
          <w:sz w:val="22"/>
          <w:szCs w:val="22"/>
        </w:rPr>
        <w:t xml:space="preserve">108,9 εκατ. συνολική αξία) και την Γεωργία, όπου η αξία τους ήταν σχεδόν εξαπλάσια της αντίστοιχης </w:t>
      </w:r>
      <w:r w:rsidR="00A676AC">
        <w:rPr>
          <w:b w:val="0"/>
          <w:sz w:val="22"/>
          <w:szCs w:val="22"/>
        </w:rPr>
        <w:t xml:space="preserve">του 2010 </w:t>
      </w:r>
      <w:r>
        <w:rPr>
          <w:b w:val="0"/>
          <w:sz w:val="22"/>
          <w:szCs w:val="22"/>
        </w:rPr>
        <w:t>(</w:t>
      </w:r>
      <w:r>
        <w:rPr>
          <w:rFonts w:cs="Tahoma"/>
          <w:b w:val="0"/>
          <w:bCs w:val="0"/>
          <w:sz w:val="22"/>
          <w:szCs w:val="22"/>
        </w:rPr>
        <w:t xml:space="preserve">€ </w:t>
      </w:r>
      <w:r>
        <w:rPr>
          <w:b w:val="0"/>
          <w:sz w:val="22"/>
          <w:szCs w:val="22"/>
        </w:rPr>
        <w:t>61 εκατ.). Ανοδικά συνεχίζουν να κινούνται οι εξαγωγές ελληνικών προϊόντων προς την Κίνα</w:t>
      </w:r>
      <w:r w:rsidRPr="008829E2">
        <w:rPr>
          <w:b w:val="0"/>
          <w:sz w:val="22"/>
          <w:szCs w:val="22"/>
        </w:rPr>
        <w:t>,</w:t>
      </w:r>
      <w:r>
        <w:rPr>
          <w:b w:val="0"/>
          <w:sz w:val="22"/>
          <w:szCs w:val="22"/>
        </w:rPr>
        <w:t xml:space="preserve"> ως αποτέλεσμα της ενίσχυσης των εμπορικών σχέσεων που καταγράφονται τα τελευταία χρόνια μεταξύ των δύο χωρών, με την αξία τους να είναι διπλάσια σχεδόν της </w:t>
      </w:r>
      <w:r w:rsidR="00A676AC">
        <w:rPr>
          <w:b w:val="0"/>
          <w:sz w:val="22"/>
          <w:szCs w:val="22"/>
        </w:rPr>
        <w:t>προπέρσινης</w:t>
      </w:r>
      <w:r>
        <w:rPr>
          <w:b w:val="0"/>
          <w:sz w:val="22"/>
          <w:szCs w:val="22"/>
        </w:rPr>
        <w:t xml:space="preserve"> (</w:t>
      </w:r>
      <w:r>
        <w:rPr>
          <w:rFonts w:cs="Tahoma"/>
          <w:b w:val="0"/>
          <w:bCs w:val="0"/>
          <w:sz w:val="22"/>
          <w:szCs w:val="22"/>
        </w:rPr>
        <w:t xml:space="preserve">€ </w:t>
      </w:r>
      <w:r>
        <w:rPr>
          <w:b w:val="0"/>
          <w:sz w:val="22"/>
          <w:szCs w:val="22"/>
        </w:rPr>
        <w:t xml:space="preserve">260,7 εκατ.). Ενδεικτικό στοιχείο της δυνατότητας ενίσχυσης του εξαγωγικού εμπορίου της Ελλάδας προς την χώρα αυτή αποτελεί το γεγονός ότι το μερίδιό της στις συνολικές εξαγωγές συνεχίζει να είναι πολύ μικρό (1%).  </w:t>
      </w:r>
    </w:p>
    <w:p w:rsidR="008C3385" w:rsidRDefault="008C3385" w:rsidP="00E8075B">
      <w:pPr>
        <w:pStyle w:val="new4"/>
        <w:spacing w:before="240" w:after="240" w:line="312" w:lineRule="auto"/>
        <w:jc w:val="both"/>
        <w:sectPr w:rsidR="008C3385" w:rsidSect="008C3385">
          <w:type w:val="continuous"/>
          <w:pgSz w:w="11906" w:h="16838"/>
          <w:pgMar w:top="1440" w:right="849" w:bottom="1440" w:left="1560" w:header="708" w:footer="708" w:gutter="0"/>
          <w:cols w:num="2" w:space="720"/>
          <w:docGrid w:linePitch="360"/>
        </w:sectPr>
      </w:pPr>
    </w:p>
    <w:p w:rsidR="008C3385" w:rsidRDefault="008C3385" w:rsidP="008C3385">
      <w:pPr>
        <w:pStyle w:val="new4"/>
        <w:spacing w:before="120" w:after="120" w:line="312" w:lineRule="auto"/>
        <w:sectPr w:rsidR="008C3385" w:rsidSect="00E8075B">
          <w:type w:val="continuous"/>
          <w:pgSz w:w="11906" w:h="16838"/>
          <w:pgMar w:top="1440" w:right="849" w:bottom="1440" w:left="1560" w:header="708" w:footer="708" w:gutter="0"/>
          <w:cols w:space="720"/>
          <w:docGrid w:linePitch="360"/>
        </w:sectPr>
      </w:pPr>
    </w:p>
    <w:p w:rsidR="008C3385" w:rsidRPr="001C45FA" w:rsidRDefault="008C3385" w:rsidP="008C3385">
      <w:pPr>
        <w:pStyle w:val="new4"/>
        <w:spacing w:before="120" w:after="120" w:line="312" w:lineRule="auto"/>
      </w:pPr>
      <w:r w:rsidRPr="001C45FA">
        <w:lastRenderedPageBreak/>
        <w:t>Πίνακας 3.8</w:t>
      </w:r>
    </w:p>
    <w:p w:rsidR="008C3385" w:rsidRPr="001C45FA" w:rsidRDefault="008C3385" w:rsidP="008C3385">
      <w:pPr>
        <w:pStyle w:val="new4"/>
        <w:spacing w:before="120" w:after="120" w:line="240" w:lineRule="auto"/>
        <w:rPr>
          <w:rFonts w:cs="Tahoma"/>
          <w:b w:val="0"/>
          <w:bCs w:val="0"/>
        </w:rPr>
      </w:pPr>
      <w:bookmarkStart w:id="184" w:name="_Toc230757359"/>
      <w:bookmarkStart w:id="185" w:name="_Toc237064466"/>
      <w:bookmarkStart w:id="186" w:name="_Toc237064859"/>
      <w:r w:rsidRPr="001C45FA">
        <w:rPr>
          <w:rFonts w:cs="Tahoma"/>
          <w:b w:val="0"/>
          <w:bCs w:val="0"/>
        </w:rPr>
        <w:t xml:space="preserve">Εξαγωγές ανά προορισμό </w:t>
      </w:r>
      <w:r w:rsidRPr="001C45FA">
        <w:rPr>
          <w:rFonts w:cs="Tahoma"/>
          <w:b w:val="0"/>
        </w:rPr>
        <w:t>την περίοδο Ιανουαρίου-Νοεμβρίου 2011 και 2010</w:t>
      </w:r>
    </w:p>
    <w:tbl>
      <w:tblPr>
        <w:tblW w:w="9069" w:type="dxa"/>
        <w:jc w:val="center"/>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92"/>
        <w:gridCol w:w="1106"/>
        <w:gridCol w:w="1106"/>
        <w:gridCol w:w="909"/>
        <w:gridCol w:w="1028"/>
        <w:gridCol w:w="1028"/>
      </w:tblGrid>
      <w:tr w:rsidR="008C3385" w:rsidRPr="00B01983" w:rsidTr="003133F2">
        <w:trPr>
          <w:trHeight w:val="159"/>
          <w:jc w:val="center"/>
        </w:trPr>
        <w:tc>
          <w:tcPr>
            <w:tcW w:w="3892" w:type="dxa"/>
            <w:tcBorders>
              <w:top w:val="single" w:sz="12" w:space="0" w:color="auto"/>
              <w:left w:val="nil"/>
              <w:bottom w:val="dotted" w:sz="4" w:space="0" w:color="auto"/>
              <w:right w:val="single" w:sz="8" w:space="0" w:color="auto"/>
            </w:tcBorders>
            <w:shd w:val="clear" w:color="auto" w:fill="auto"/>
            <w:noWrap/>
            <w:vAlign w:val="bottom"/>
          </w:tcPr>
          <w:p w:rsidR="008C3385" w:rsidRPr="00B01983" w:rsidRDefault="008C3385" w:rsidP="003133F2">
            <w:pPr>
              <w:rPr>
                <w:rFonts w:ascii="Tahoma" w:hAnsi="Tahoma" w:cs="Tahoma"/>
                <w:sz w:val="16"/>
                <w:szCs w:val="16"/>
              </w:rPr>
            </w:pPr>
          </w:p>
        </w:tc>
        <w:tc>
          <w:tcPr>
            <w:tcW w:w="2212" w:type="dxa"/>
            <w:gridSpan w:val="2"/>
            <w:tcBorders>
              <w:top w:val="single" w:sz="12" w:space="0" w:color="auto"/>
              <w:left w:val="single" w:sz="8" w:space="0" w:color="auto"/>
              <w:bottom w:val="dotted" w:sz="4" w:space="0" w:color="auto"/>
              <w:right w:val="single" w:sz="8" w:space="0" w:color="C0C0C0"/>
            </w:tcBorders>
            <w:shd w:val="clear" w:color="000000" w:fill="FFFFFF"/>
            <w:vAlign w:val="bottom"/>
          </w:tcPr>
          <w:p w:rsidR="008C3385" w:rsidRPr="00981939" w:rsidRDefault="008C3385" w:rsidP="003133F2">
            <w:pPr>
              <w:jc w:val="center"/>
              <w:rPr>
                <w:rFonts w:ascii="Tahoma" w:hAnsi="Tahoma" w:cs="Tahoma"/>
                <w:b/>
                <w:bCs/>
              </w:rPr>
            </w:pPr>
            <w:r w:rsidRPr="00981939">
              <w:rPr>
                <w:rFonts w:ascii="Tahoma" w:hAnsi="Tahoma" w:cs="Tahoma"/>
                <w:b/>
                <w:bCs/>
              </w:rPr>
              <w:t>Αξία (εκατ. €)</w:t>
            </w:r>
          </w:p>
        </w:tc>
        <w:tc>
          <w:tcPr>
            <w:tcW w:w="1118" w:type="dxa"/>
            <w:tcBorders>
              <w:top w:val="single" w:sz="12" w:space="0" w:color="auto"/>
              <w:left w:val="single" w:sz="8" w:space="0" w:color="C0C0C0"/>
              <w:bottom w:val="dotted" w:sz="4" w:space="0" w:color="auto"/>
              <w:right w:val="single" w:sz="8" w:space="0" w:color="C0C0C0"/>
            </w:tcBorders>
            <w:shd w:val="clear" w:color="000000" w:fill="FFFFFF"/>
          </w:tcPr>
          <w:p w:rsidR="008C3385" w:rsidRPr="00BB41D7" w:rsidRDefault="008C3385" w:rsidP="003133F2">
            <w:pPr>
              <w:rPr>
                <w:rFonts w:ascii="Tahoma" w:hAnsi="Tahoma" w:cs="Tahoma"/>
                <w:b/>
                <w:bCs/>
                <w:sz w:val="18"/>
                <w:szCs w:val="18"/>
              </w:rPr>
            </w:pPr>
          </w:p>
        </w:tc>
        <w:tc>
          <w:tcPr>
            <w:tcW w:w="1847" w:type="dxa"/>
            <w:gridSpan w:val="2"/>
            <w:tcBorders>
              <w:top w:val="single" w:sz="12" w:space="0" w:color="auto"/>
              <w:left w:val="single" w:sz="8" w:space="0" w:color="C0C0C0"/>
              <w:bottom w:val="dotted" w:sz="4" w:space="0" w:color="auto"/>
              <w:right w:val="nil"/>
            </w:tcBorders>
            <w:shd w:val="clear" w:color="000000" w:fill="FFFFFF"/>
            <w:vAlign w:val="bottom"/>
          </w:tcPr>
          <w:p w:rsidR="008C3385" w:rsidRPr="00981939" w:rsidRDefault="008C3385" w:rsidP="003133F2">
            <w:pPr>
              <w:jc w:val="center"/>
              <w:rPr>
                <w:rFonts w:ascii="Tahoma" w:hAnsi="Tahoma" w:cs="Tahoma"/>
                <w:b/>
                <w:bCs/>
              </w:rPr>
            </w:pPr>
            <w:r w:rsidRPr="00981939">
              <w:rPr>
                <w:rFonts w:ascii="Tahoma" w:hAnsi="Tahoma" w:cs="Tahoma"/>
                <w:b/>
                <w:bCs/>
              </w:rPr>
              <w:t>Σύνθεση</w:t>
            </w:r>
          </w:p>
        </w:tc>
      </w:tr>
      <w:tr w:rsidR="008C3385" w:rsidRPr="00B01983" w:rsidTr="003133F2">
        <w:trPr>
          <w:trHeight w:val="510"/>
          <w:jc w:val="center"/>
        </w:trPr>
        <w:tc>
          <w:tcPr>
            <w:tcW w:w="3892" w:type="dxa"/>
            <w:tcBorders>
              <w:top w:val="dotted" w:sz="4" w:space="0" w:color="auto"/>
              <w:left w:val="nil"/>
              <w:bottom w:val="single" w:sz="12" w:space="0" w:color="auto"/>
              <w:right w:val="single" w:sz="8" w:space="0" w:color="auto"/>
            </w:tcBorders>
            <w:shd w:val="clear" w:color="auto" w:fill="auto"/>
            <w:noWrap/>
            <w:vAlign w:val="bottom"/>
          </w:tcPr>
          <w:p w:rsidR="008C3385" w:rsidRPr="00B01983" w:rsidRDefault="008C3385" w:rsidP="003133F2">
            <w:pPr>
              <w:rPr>
                <w:rFonts w:ascii="Tahoma" w:hAnsi="Tahoma" w:cs="Tahoma"/>
                <w:sz w:val="16"/>
                <w:szCs w:val="16"/>
              </w:rPr>
            </w:pPr>
            <w:r w:rsidRPr="00B01983">
              <w:rPr>
                <w:rFonts w:ascii="Tahoma" w:hAnsi="Tahoma" w:cs="Tahoma"/>
                <w:sz w:val="16"/>
                <w:szCs w:val="16"/>
              </w:rPr>
              <w:t> </w:t>
            </w:r>
          </w:p>
        </w:tc>
        <w:tc>
          <w:tcPr>
            <w:tcW w:w="1106" w:type="dxa"/>
            <w:tcBorders>
              <w:top w:val="dotted" w:sz="4" w:space="0" w:color="auto"/>
              <w:left w:val="single" w:sz="8" w:space="0" w:color="auto"/>
              <w:bottom w:val="single" w:sz="12" w:space="0" w:color="auto"/>
              <w:right w:val="dotted" w:sz="4" w:space="0" w:color="auto"/>
            </w:tcBorders>
            <w:shd w:val="clear" w:color="000000" w:fill="FFFFFF"/>
            <w:vAlign w:val="bottom"/>
          </w:tcPr>
          <w:p w:rsidR="008C3385" w:rsidRPr="00981939" w:rsidRDefault="008C3385" w:rsidP="003133F2">
            <w:pPr>
              <w:jc w:val="center"/>
              <w:rPr>
                <w:rFonts w:ascii="Tahoma" w:hAnsi="Tahoma" w:cs="Tahoma"/>
                <w:bCs/>
              </w:rPr>
            </w:pPr>
            <w:r w:rsidRPr="00981939">
              <w:rPr>
                <w:rFonts w:ascii="Tahoma" w:hAnsi="Tahoma" w:cs="Tahoma"/>
                <w:b/>
                <w:bCs/>
                <w:lang w:val="en-US"/>
              </w:rPr>
              <w:t>201</w:t>
            </w:r>
            <w:r w:rsidRPr="00981939">
              <w:rPr>
                <w:rFonts w:ascii="Tahoma" w:hAnsi="Tahoma" w:cs="Tahoma"/>
                <w:b/>
                <w:bCs/>
              </w:rPr>
              <w:t>1</w:t>
            </w:r>
            <w:r w:rsidRPr="00981939">
              <w:rPr>
                <w:rFonts w:ascii="Tahoma" w:hAnsi="Tahoma" w:cs="Tahoma"/>
                <w:bCs/>
              </w:rPr>
              <w:t>*</w:t>
            </w:r>
          </w:p>
        </w:tc>
        <w:tc>
          <w:tcPr>
            <w:tcW w:w="1106" w:type="dxa"/>
            <w:tcBorders>
              <w:top w:val="dotted" w:sz="4" w:space="0" w:color="auto"/>
              <w:left w:val="dotted" w:sz="4" w:space="0" w:color="auto"/>
              <w:bottom w:val="single" w:sz="12" w:space="0" w:color="auto"/>
              <w:right w:val="dotted" w:sz="4" w:space="0" w:color="auto"/>
            </w:tcBorders>
            <w:shd w:val="clear" w:color="000000" w:fill="FFFFFF"/>
            <w:vAlign w:val="bottom"/>
          </w:tcPr>
          <w:p w:rsidR="008C3385" w:rsidRPr="00981939" w:rsidRDefault="008C3385" w:rsidP="003133F2">
            <w:pPr>
              <w:jc w:val="center"/>
              <w:rPr>
                <w:rFonts w:ascii="Tahoma" w:hAnsi="Tahoma" w:cs="Tahoma"/>
                <w:bCs/>
              </w:rPr>
            </w:pPr>
            <w:r w:rsidRPr="00981939">
              <w:rPr>
                <w:rFonts w:ascii="Tahoma" w:hAnsi="Tahoma" w:cs="Tahoma"/>
                <w:b/>
                <w:bCs/>
              </w:rPr>
              <w:t>2010</w:t>
            </w:r>
            <w:r w:rsidRPr="00981939">
              <w:rPr>
                <w:rFonts w:ascii="Tahoma" w:hAnsi="Tahoma" w:cs="Tahoma"/>
                <w:bCs/>
              </w:rPr>
              <w:t>*</w:t>
            </w:r>
          </w:p>
        </w:tc>
        <w:tc>
          <w:tcPr>
            <w:tcW w:w="1118" w:type="dxa"/>
            <w:tcBorders>
              <w:top w:val="dotted" w:sz="4" w:space="0" w:color="auto"/>
              <w:left w:val="dotted" w:sz="4" w:space="0" w:color="auto"/>
              <w:bottom w:val="single" w:sz="12" w:space="0" w:color="auto"/>
              <w:right w:val="dotted" w:sz="4" w:space="0" w:color="auto"/>
            </w:tcBorders>
            <w:shd w:val="clear" w:color="000000" w:fill="FFFFFF"/>
            <w:vAlign w:val="bottom"/>
          </w:tcPr>
          <w:p w:rsidR="008C3385" w:rsidRDefault="008C3385" w:rsidP="003133F2">
            <w:pPr>
              <w:jc w:val="center"/>
              <w:rPr>
                <w:rFonts w:ascii="Tahoma" w:hAnsi="Tahoma" w:cs="Tahoma"/>
                <w:b/>
                <w:bCs/>
                <w:sz w:val="16"/>
                <w:szCs w:val="16"/>
              </w:rPr>
            </w:pPr>
          </w:p>
          <w:p w:rsidR="008C3385" w:rsidRPr="00643CF6" w:rsidRDefault="008C3385" w:rsidP="003133F2">
            <w:pPr>
              <w:jc w:val="center"/>
              <w:rPr>
                <w:rFonts w:ascii="Tahoma" w:hAnsi="Tahoma" w:cs="Tahoma"/>
                <w:b/>
                <w:bCs/>
                <w:sz w:val="14"/>
                <w:szCs w:val="14"/>
              </w:rPr>
            </w:pPr>
            <w:r w:rsidRPr="00643CF6">
              <w:rPr>
                <w:rFonts w:ascii="Tahoma" w:hAnsi="Tahoma" w:cs="Tahoma"/>
                <w:b/>
                <w:bCs/>
                <w:sz w:val="14"/>
                <w:szCs w:val="14"/>
              </w:rPr>
              <w:t>Π.Μ. (%)</w:t>
            </w:r>
          </w:p>
          <w:p w:rsidR="008C3385" w:rsidRPr="00B01983" w:rsidRDefault="008C3385" w:rsidP="003133F2">
            <w:pPr>
              <w:jc w:val="center"/>
              <w:rPr>
                <w:rFonts w:ascii="Tahoma" w:hAnsi="Tahoma" w:cs="Tahoma"/>
                <w:b/>
                <w:bCs/>
                <w:sz w:val="16"/>
                <w:szCs w:val="16"/>
              </w:rPr>
            </w:pPr>
            <w:r>
              <w:rPr>
                <w:rFonts w:ascii="Tahoma" w:hAnsi="Tahoma" w:cs="Tahoma"/>
                <w:b/>
                <w:bCs/>
                <w:sz w:val="16"/>
                <w:szCs w:val="16"/>
              </w:rPr>
              <w:t>’11/’10</w:t>
            </w:r>
          </w:p>
        </w:tc>
        <w:tc>
          <w:tcPr>
            <w:tcW w:w="819" w:type="dxa"/>
            <w:tcBorders>
              <w:top w:val="dotted" w:sz="4" w:space="0" w:color="auto"/>
              <w:left w:val="dotted" w:sz="4" w:space="0" w:color="auto"/>
              <w:bottom w:val="single" w:sz="12" w:space="0" w:color="auto"/>
              <w:right w:val="dotted" w:sz="4" w:space="0" w:color="auto"/>
            </w:tcBorders>
            <w:shd w:val="clear" w:color="000000" w:fill="FFFFFF"/>
            <w:vAlign w:val="bottom"/>
          </w:tcPr>
          <w:p w:rsidR="008C3385" w:rsidRPr="00981939" w:rsidRDefault="008C3385" w:rsidP="003133F2">
            <w:pPr>
              <w:jc w:val="center"/>
              <w:rPr>
                <w:rFonts w:ascii="Tahoma" w:hAnsi="Tahoma" w:cs="Tahoma"/>
                <w:bCs/>
              </w:rPr>
            </w:pPr>
            <w:r w:rsidRPr="00981939">
              <w:rPr>
                <w:rFonts w:ascii="Tahoma" w:hAnsi="Tahoma" w:cs="Tahoma"/>
                <w:b/>
                <w:bCs/>
              </w:rPr>
              <w:t>20</w:t>
            </w:r>
            <w:r w:rsidRPr="00981939">
              <w:rPr>
                <w:rFonts w:ascii="Tahoma" w:hAnsi="Tahoma" w:cs="Tahoma"/>
                <w:b/>
                <w:bCs/>
                <w:lang w:val="en-US"/>
              </w:rPr>
              <w:t>1</w:t>
            </w:r>
            <w:r w:rsidRPr="00981939">
              <w:rPr>
                <w:rFonts w:ascii="Tahoma" w:hAnsi="Tahoma" w:cs="Tahoma"/>
                <w:b/>
                <w:bCs/>
              </w:rPr>
              <w:t>1</w:t>
            </w:r>
          </w:p>
        </w:tc>
        <w:tc>
          <w:tcPr>
            <w:tcW w:w="1028" w:type="dxa"/>
            <w:tcBorders>
              <w:top w:val="dotted" w:sz="4" w:space="0" w:color="auto"/>
              <w:left w:val="dotted" w:sz="4" w:space="0" w:color="auto"/>
              <w:bottom w:val="single" w:sz="12" w:space="0" w:color="auto"/>
              <w:right w:val="nil"/>
            </w:tcBorders>
            <w:shd w:val="clear" w:color="000000" w:fill="FFFFFF"/>
            <w:vAlign w:val="bottom"/>
          </w:tcPr>
          <w:p w:rsidR="008C3385" w:rsidRPr="00981939" w:rsidRDefault="008C3385" w:rsidP="003133F2">
            <w:pPr>
              <w:jc w:val="center"/>
              <w:rPr>
                <w:rFonts w:ascii="Tahoma" w:hAnsi="Tahoma" w:cs="Tahoma"/>
                <w:bCs/>
              </w:rPr>
            </w:pPr>
            <w:r w:rsidRPr="00981939">
              <w:rPr>
                <w:rFonts w:ascii="Tahoma" w:hAnsi="Tahoma" w:cs="Tahoma"/>
                <w:b/>
                <w:bCs/>
              </w:rPr>
              <w:t>2010</w:t>
            </w:r>
          </w:p>
        </w:tc>
      </w:tr>
      <w:tr w:rsidR="008C3385" w:rsidRPr="00B01983" w:rsidTr="003133F2">
        <w:trPr>
          <w:trHeight w:val="255"/>
          <w:jc w:val="center"/>
        </w:trPr>
        <w:tc>
          <w:tcPr>
            <w:tcW w:w="3892" w:type="dxa"/>
            <w:tcBorders>
              <w:top w:val="single" w:sz="12" w:space="0" w:color="auto"/>
              <w:left w:val="nil"/>
              <w:bottom w:val="dotted" w:sz="4" w:space="0" w:color="auto"/>
              <w:right w:val="single" w:sz="8" w:space="0" w:color="auto"/>
            </w:tcBorders>
            <w:shd w:val="clear" w:color="000000" w:fill="FFFFFF"/>
            <w:noWrap/>
            <w:vAlign w:val="bottom"/>
          </w:tcPr>
          <w:p w:rsidR="008C3385" w:rsidRPr="004B67CF" w:rsidRDefault="008C3385" w:rsidP="003133F2">
            <w:pPr>
              <w:rPr>
                <w:rFonts w:ascii="Tahoma" w:hAnsi="Tahoma" w:cs="Tahoma"/>
                <w:b/>
                <w:bCs/>
              </w:rPr>
            </w:pPr>
            <w:r w:rsidRPr="004B67CF">
              <w:rPr>
                <w:rFonts w:ascii="Tahoma" w:hAnsi="Tahoma" w:cs="Tahoma"/>
                <w:b/>
                <w:bCs/>
              </w:rPr>
              <w:t>ΟΟΣΑ (29 χώρες)</w:t>
            </w:r>
          </w:p>
        </w:tc>
        <w:tc>
          <w:tcPr>
            <w:tcW w:w="1106" w:type="dxa"/>
            <w:tcBorders>
              <w:top w:val="single" w:sz="12" w:space="0" w:color="auto"/>
              <w:left w:val="single" w:sz="8" w:space="0" w:color="auto"/>
              <w:bottom w:val="dotted" w:sz="4" w:space="0" w:color="auto"/>
              <w:right w:val="dotted" w:sz="4" w:space="0" w:color="auto"/>
            </w:tcBorders>
            <w:shd w:val="clear" w:color="auto" w:fill="auto"/>
            <w:noWrap/>
            <w:vAlign w:val="bottom"/>
          </w:tcPr>
          <w:p w:rsidR="008C3385" w:rsidRDefault="008C3385" w:rsidP="003133F2">
            <w:pPr>
              <w:jc w:val="center"/>
              <w:rPr>
                <w:rFonts w:ascii="Tahoma" w:hAnsi="Tahoma" w:cs="Tahoma"/>
                <w:color w:val="000000"/>
              </w:rPr>
            </w:pPr>
            <w:r>
              <w:rPr>
                <w:rFonts w:ascii="Tahoma" w:hAnsi="Tahoma" w:cs="Tahoma"/>
                <w:color w:val="000000"/>
              </w:rPr>
              <w:t>10.459,4</w:t>
            </w:r>
          </w:p>
        </w:tc>
        <w:tc>
          <w:tcPr>
            <w:tcW w:w="1106" w:type="dxa"/>
            <w:tcBorders>
              <w:top w:val="single" w:sz="12" w:space="0" w:color="auto"/>
              <w:left w:val="dotted" w:sz="4" w:space="0" w:color="auto"/>
              <w:bottom w:val="dotted" w:sz="4" w:space="0" w:color="auto"/>
              <w:right w:val="dotted" w:sz="4" w:space="0" w:color="auto"/>
            </w:tcBorders>
            <w:shd w:val="clear" w:color="auto" w:fill="auto"/>
            <w:noWrap/>
            <w:vAlign w:val="bottom"/>
          </w:tcPr>
          <w:p w:rsidR="008C3385" w:rsidRDefault="008C3385" w:rsidP="003133F2">
            <w:pPr>
              <w:jc w:val="center"/>
              <w:rPr>
                <w:rFonts w:ascii="Tahoma" w:hAnsi="Tahoma" w:cs="Tahoma"/>
                <w:color w:val="000000"/>
              </w:rPr>
            </w:pPr>
            <w:r>
              <w:rPr>
                <w:rFonts w:ascii="Tahoma" w:hAnsi="Tahoma" w:cs="Tahoma"/>
                <w:color w:val="000000"/>
              </w:rPr>
              <w:t>8.410,0</w:t>
            </w:r>
          </w:p>
        </w:tc>
        <w:tc>
          <w:tcPr>
            <w:tcW w:w="1118" w:type="dxa"/>
            <w:tcBorders>
              <w:top w:val="single" w:sz="12" w:space="0" w:color="auto"/>
              <w:left w:val="dotted" w:sz="4" w:space="0" w:color="auto"/>
              <w:bottom w:val="dotted" w:sz="4" w:space="0" w:color="auto"/>
              <w:right w:val="dotted" w:sz="4" w:space="0" w:color="auto"/>
            </w:tcBorders>
            <w:vAlign w:val="bottom"/>
          </w:tcPr>
          <w:p w:rsidR="008C3385" w:rsidRDefault="008C3385" w:rsidP="003133F2">
            <w:pPr>
              <w:jc w:val="right"/>
              <w:rPr>
                <w:rFonts w:ascii="Tahoma" w:hAnsi="Tahoma" w:cs="Tahoma"/>
              </w:rPr>
            </w:pPr>
            <w:r>
              <w:rPr>
                <w:rFonts w:ascii="Tahoma" w:hAnsi="Tahoma" w:cs="Tahoma"/>
              </w:rPr>
              <w:t>24,4%</w:t>
            </w:r>
          </w:p>
        </w:tc>
        <w:tc>
          <w:tcPr>
            <w:tcW w:w="819" w:type="dxa"/>
            <w:tcBorders>
              <w:top w:val="single" w:sz="12" w:space="0" w:color="auto"/>
              <w:left w:val="dotted" w:sz="4" w:space="0" w:color="auto"/>
              <w:bottom w:val="dotted" w:sz="4" w:space="0" w:color="auto"/>
              <w:right w:val="dotted" w:sz="4" w:space="0" w:color="auto"/>
            </w:tcBorders>
            <w:shd w:val="clear" w:color="auto" w:fill="auto"/>
            <w:noWrap/>
            <w:vAlign w:val="bottom"/>
          </w:tcPr>
          <w:p w:rsidR="008C3385" w:rsidRDefault="008C3385" w:rsidP="003133F2">
            <w:pPr>
              <w:jc w:val="right"/>
              <w:rPr>
                <w:rFonts w:ascii="Tahoma" w:hAnsi="Tahoma" w:cs="Tahoma"/>
              </w:rPr>
            </w:pPr>
            <w:r>
              <w:rPr>
                <w:rFonts w:ascii="Tahoma" w:hAnsi="Tahoma" w:cs="Tahoma"/>
              </w:rPr>
              <w:t>51,7%</w:t>
            </w:r>
          </w:p>
        </w:tc>
        <w:tc>
          <w:tcPr>
            <w:tcW w:w="1028" w:type="dxa"/>
            <w:tcBorders>
              <w:top w:val="single" w:sz="12" w:space="0" w:color="auto"/>
              <w:left w:val="dotted" w:sz="4" w:space="0" w:color="auto"/>
              <w:bottom w:val="dotted" w:sz="4" w:space="0" w:color="auto"/>
              <w:right w:val="nil"/>
            </w:tcBorders>
            <w:shd w:val="clear" w:color="auto" w:fill="auto"/>
            <w:noWrap/>
            <w:vAlign w:val="bottom"/>
          </w:tcPr>
          <w:p w:rsidR="008C3385" w:rsidRDefault="008C3385" w:rsidP="003133F2">
            <w:pPr>
              <w:jc w:val="right"/>
              <w:rPr>
                <w:rFonts w:ascii="Tahoma" w:hAnsi="Tahoma" w:cs="Tahoma"/>
              </w:rPr>
            </w:pPr>
            <w:r>
              <w:rPr>
                <w:rFonts w:ascii="Tahoma" w:hAnsi="Tahoma" w:cs="Tahoma"/>
              </w:rPr>
              <w:t>57,8%</w:t>
            </w:r>
          </w:p>
        </w:tc>
      </w:tr>
      <w:tr w:rsidR="008C3385" w:rsidRPr="00B01983" w:rsidTr="003133F2">
        <w:trPr>
          <w:trHeight w:val="255"/>
          <w:jc w:val="center"/>
        </w:trPr>
        <w:tc>
          <w:tcPr>
            <w:tcW w:w="3892" w:type="dxa"/>
            <w:tcBorders>
              <w:top w:val="dotted" w:sz="4" w:space="0" w:color="auto"/>
              <w:left w:val="nil"/>
              <w:bottom w:val="dotted" w:sz="4" w:space="0" w:color="auto"/>
              <w:right w:val="single" w:sz="8" w:space="0" w:color="auto"/>
            </w:tcBorders>
            <w:shd w:val="clear" w:color="000000" w:fill="FFFFFF"/>
            <w:noWrap/>
            <w:vAlign w:val="bottom"/>
          </w:tcPr>
          <w:p w:rsidR="008C3385" w:rsidRPr="004B67CF" w:rsidRDefault="008C3385" w:rsidP="003133F2">
            <w:pPr>
              <w:rPr>
                <w:rFonts w:ascii="Tahoma" w:hAnsi="Tahoma" w:cs="Tahoma"/>
                <w:b/>
                <w:bCs/>
                <w:lang w:val="en-US"/>
              </w:rPr>
            </w:pPr>
            <w:r w:rsidRPr="004B67CF">
              <w:rPr>
                <w:rFonts w:ascii="Tahoma" w:hAnsi="Tahoma" w:cs="Tahoma"/>
                <w:b/>
                <w:bCs/>
              </w:rPr>
              <w:t>ΕΕ</w:t>
            </w:r>
            <w:r w:rsidRPr="004B67CF">
              <w:rPr>
                <w:rFonts w:ascii="Tahoma" w:hAnsi="Tahoma" w:cs="Tahoma"/>
                <w:b/>
                <w:bCs/>
                <w:lang w:val="en-US"/>
              </w:rPr>
              <w:t>-</w:t>
            </w:r>
            <w:r w:rsidRPr="004B67CF">
              <w:rPr>
                <w:rFonts w:ascii="Tahoma" w:hAnsi="Tahoma" w:cs="Tahoma"/>
                <w:b/>
                <w:bCs/>
              </w:rPr>
              <w:t>27</w:t>
            </w:r>
          </w:p>
        </w:tc>
        <w:tc>
          <w:tcPr>
            <w:tcW w:w="1106" w:type="dxa"/>
            <w:tcBorders>
              <w:top w:val="dotted" w:sz="4" w:space="0" w:color="auto"/>
              <w:left w:val="single" w:sz="8" w:space="0" w:color="auto"/>
              <w:bottom w:val="dotted" w:sz="4" w:space="0" w:color="auto"/>
              <w:right w:val="dotted" w:sz="4" w:space="0" w:color="auto"/>
            </w:tcBorders>
            <w:shd w:val="clear" w:color="auto" w:fill="auto"/>
            <w:noWrap/>
            <w:vAlign w:val="bottom"/>
          </w:tcPr>
          <w:p w:rsidR="008C3385" w:rsidRDefault="008C3385" w:rsidP="003133F2">
            <w:pPr>
              <w:jc w:val="center"/>
              <w:rPr>
                <w:rFonts w:ascii="Tahoma" w:hAnsi="Tahoma" w:cs="Tahoma"/>
              </w:rPr>
            </w:pPr>
            <w:r>
              <w:rPr>
                <w:rFonts w:ascii="Tahoma" w:hAnsi="Tahoma" w:cs="Tahoma"/>
              </w:rPr>
              <w:t> 10.437,7</w:t>
            </w:r>
          </w:p>
        </w:tc>
        <w:tc>
          <w:tcPr>
            <w:tcW w:w="1106" w:type="dxa"/>
            <w:tcBorders>
              <w:top w:val="dotted" w:sz="4" w:space="0" w:color="auto"/>
              <w:left w:val="dotted" w:sz="4" w:space="0" w:color="auto"/>
              <w:bottom w:val="dotted" w:sz="4" w:space="0" w:color="auto"/>
              <w:right w:val="dotted" w:sz="4" w:space="0" w:color="auto"/>
            </w:tcBorders>
            <w:shd w:val="clear" w:color="auto" w:fill="auto"/>
            <w:noWrap/>
            <w:vAlign w:val="bottom"/>
          </w:tcPr>
          <w:p w:rsidR="008C3385" w:rsidRDefault="008C3385" w:rsidP="003133F2">
            <w:pPr>
              <w:jc w:val="center"/>
              <w:rPr>
                <w:rFonts w:ascii="Tahoma" w:hAnsi="Tahoma" w:cs="Tahoma"/>
              </w:rPr>
            </w:pPr>
            <w:r>
              <w:rPr>
                <w:rFonts w:ascii="Tahoma" w:hAnsi="Tahoma" w:cs="Tahoma"/>
              </w:rPr>
              <w:t xml:space="preserve"> 9.305,3 </w:t>
            </w:r>
          </w:p>
        </w:tc>
        <w:tc>
          <w:tcPr>
            <w:tcW w:w="1118" w:type="dxa"/>
            <w:tcBorders>
              <w:top w:val="dotted" w:sz="4" w:space="0" w:color="auto"/>
              <w:left w:val="dotted" w:sz="4" w:space="0" w:color="auto"/>
              <w:bottom w:val="dotted" w:sz="4" w:space="0" w:color="auto"/>
              <w:right w:val="dotted" w:sz="4" w:space="0" w:color="auto"/>
            </w:tcBorders>
            <w:vAlign w:val="bottom"/>
          </w:tcPr>
          <w:p w:rsidR="008C3385" w:rsidRDefault="008C3385" w:rsidP="003133F2">
            <w:pPr>
              <w:jc w:val="right"/>
              <w:rPr>
                <w:rFonts w:ascii="Tahoma" w:hAnsi="Tahoma" w:cs="Tahoma"/>
              </w:rPr>
            </w:pPr>
            <w:r>
              <w:rPr>
                <w:rFonts w:ascii="Tahoma" w:hAnsi="Tahoma" w:cs="Tahoma"/>
              </w:rPr>
              <w:t>12,2%</w:t>
            </w:r>
          </w:p>
        </w:tc>
        <w:tc>
          <w:tcPr>
            <w:tcW w:w="819" w:type="dxa"/>
            <w:tcBorders>
              <w:top w:val="dotted" w:sz="4" w:space="0" w:color="auto"/>
              <w:left w:val="dotted" w:sz="4" w:space="0" w:color="auto"/>
              <w:bottom w:val="dotted" w:sz="4" w:space="0" w:color="auto"/>
              <w:right w:val="dotted" w:sz="4" w:space="0" w:color="auto"/>
            </w:tcBorders>
            <w:shd w:val="clear" w:color="auto" w:fill="auto"/>
            <w:noWrap/>
            <w:vAlign w:val="bottom"/>
          </w:tcPr>
          <w:p w:rsidR="008C3385" w:rsidRDefault="008C3385" w:rsidP="003133F2">
            <w:pPr>
              <w:jc w:val="right"/>
              <w:rPr>
                <w:rFonts w:ascii="Tahoma" w:hAnsi="Tahoma" w:cs="Tahoma"/>
              </w:rPr>
            </w:pPr>
            <w:r>
              <w:rPr>
                <w:rFonts w:ascii="Tahoma" w:hAnsi="Tahoma" w:cs="Tahoma"/>
              </w:rPr>
              <w:t>51,6%</w:t>
            </w:r>
          </w:p>
        </w:tc>
        <w:tc>
          <w:tcPr>
            <w:tcW w:w="1028" w:type="dxa"/>
            <w:tcBorders>
              <w:top w:val="dotted" w:sz="4" w:space="0" w:color="auto"/>
              <w:left w:val="dotted" w:sz="4" w:space="0" w:color="auto"/>
              <w:bottom w:val="dotted" w:sz="4" w:space="0" w:color="auto"/>
              <w:right w:val="nil"/>
            </w:tcBorders>
            <w:shd w:val="clear" w:color="auto" w:fill="auto"/>
            <w:noWrap/>
            <w:vAlign w:val="bottom"/>
          </w:tcPr>
          <w:p w:rsidR="008C3385" w:rsidRDefault="008C3385" w:rsidP="003133F2">
            <w:pPr>
              <w:jc w:val="right"/>
              <w:rPr>
                <w:rFonts w:ascii="Tahoma" w:hAnsi="Tahoma" w:cs="Tahoma"/>
              </w:rPr>
            </w:pPr>
            <w:r>
              <w:rPr>
                <w:rFonts w:ascii="Tahoma" w:hAnsi="Tahoma" w:cs="Tahoma"/>
              </w:rPr>
              <w:t>64,0%</w:t>
            </w:r>
          </w:p>
        </w:tc>
      </w:tr>
      <w:tr w:rsidR="008C3385" w:rsidRPr="00B01983" w:rsidTr="003133F2">
        <w:trPr>
          <w:trHeight w:val="255"/>
          <w:jc w:val="center"/>
        </w:trPr>
        <w:tc>
          <w:tcPr>
            <w:tcW w:w="3892" w:type="dxa"/>
            <w:tcBorders>
              <w:top w:val="dotted" w:sz="4" w:space="0" w:color="auto"/>
              <w:left w:val="nil"/>
              <w:bottom w:val="dotted" w:sz="4" w:space="0" w:color="auto"/>
              <w:right w:val="single" w:sz="8" w:space="0" w:color="auto"/>
            </w:tcBorders>
            <w:shd w:val="clear" w:color="000000" w:fill="FFFFFF"/>
            <w:noWrap/>
            <w:vAlign w:val="bottom"/>
          </w:tcPr>
          <w:p w:rsidR="008C3385" w:rsidRPr="004B67CF" w:rsidRDefault="008C3385" w:rsidP="003133F2">
            <w:pPr>
              <w:rPr>
                <w:rFonts w:ascii="Tahoma" w:hAnsi="Tahoma" w:cs="Tahoma"/>
                <w:b/>
                <w:bCs/>
              </w:rPr>
            </w:pPr>
            <w:r w:rsidRPr="004B67CF">
              <w:rPr>
                <w:rFonts w:ascii="Tahoma" w:hAnsi="Tahoma" w:cs="Tahoma"/>
                <w:b/>
                <w:bCs/>
              </w:rPr>
              <w:t>Ευρωζώνη-17</w:t>
            </w:r>
          </w:p>
        </w:tc>
        <w:tc>
          <w:tcPr>
            <w:tcW w:w="1106" w:type="dxa"/>
            <w:tcBorders>
              <w:top w:val="dotted" w:sz="4" w:space="0" w:color="auto"/>
              <w:left w:val="single" w:sz="8" w:space="0" w:color="auto"/>
              <w:bottom w:val="dotted" w:sz="4" w:space="0" w:color="auto"/>
              <w:right w:val="dotted" w:sz="4" w:space="0" w:color="auto"/>
            </w:tcBorders>
            <w:shd w:val="clear" w:color="auto" w:fill="auto"/>
            <w:noWrap/>
            <w:vAlign w:val="bottom"/>
          </w:tcPr>
          <w:p w:rsidR="008C3385" w:rsidRDefault="008C3385" w:rsidP="003133F2">
            <w:pPr>
              <w:jc w:val="center"/>
              <w:rPr>
                <w:rFonts w:ascii="Tahoma" w:hAnsi="Tahoma" w:cs="Tahoma"/>
              </w:rPr>
            </w:pPr>
            <w:r>
              <w:rPr>
                <w:rFonts w:ascii="Tahoma" w:hAnsi="Tahoma" w:cs="Tahoma"/>
              </w:rPr>
              <w:t> 7.226,3</w:t>
            </w:r>
          </w:p>
        </w:tc>
        <w:tc>
          <w:tcPr>
            <w:tcW w:w="1106" w:type="dxa"/>
            <w:tcBorders>
              <w:top w:val="dotted" w:sz="4" w:space="0" w:color="auto"/>
              <w:left w:val="dotted" w:sz="4" w:space="0" w:color="auto"/>
              <w:bottom w:val="dotted" w:sz="4" w:space="0" w:color="auto"/>
              <w:right w:val="dotted" w:sz="4" w:space="0" w:color="auto"/>
            </w:tcBorders>
            <w:shd w:val="clear" w:color="auto" w:fill="auto"/>
            <w:noWrap/>
            <w:vAlign w:val="bottom"/>
          </w:tcPr>
          <w:p w:rsidR="008C3385" w:rsidRDefault="008C3385" w:rsidP="003133F2">
            <w:pPr>
              <w:jc w:val="center"/>
              <w:rPr>
                <w:rFonts w:ascii="Tahoma" w:hAnsi="Tahoma" w:cs="Tahoma"/>
              </w:rPr>
            </w:pPr>
            <w:r>
              <w:rPr>
                <w:rFonts w:ascii="Tahoma" w:hAnsi="Tahoma" w:cs="Tahoma"/>
              </w:rPr>
              <w:t>6.326,2 </w:t>
            </w:r>
          </w:p>
        </w:tc>
        <w:tc>
          <w:tcPr>
            <w:tcW w:w="1118" w:type="dxa"/>
            <w:tcBorders>
              <w:top w:val="dotted" w:sz="4" w:space="0" w:color="auto"/>
              <w:left w:val="dotted" w:sz="4" w:space="0" w:color="auto"/>
              <w:bottom w:val="dotted" w:sz="4" w:space="0" w:color="auto"/>
              <w:right w:val="dotted" w:sz="4" w:space="0" w:color="auto"/>
            </w:tcBorders>
            <w:vAlign w:val="bottom"/>
          </w:tcPr>
          <w:p w:rsidR="008C3385" w:rsidRDefault="008C3385" w:rsidP="003133F2">
            <w:pPr>
              <w:jc w:val="right"/>
              <w:rPr>
                <w:rFonts w:ascii="Tahoma" w:hAnsi="Tahoma" w:cs="Tahoma"/>
              </w:rPr>
            </w:pPr>
            <w:r>
              <w:rPr>
                <w:rFonts w:ascii="Tahoma" w:hAnsi="Tahoma" w:cs="Tahoma"/>
              </w:rPr>
              <w:t>14,2%</w:t>
            </w:r>
          </w:p>
        </w:tc>
        <w:tc>
          <w:tcPr>
            <w:tcW w:w="819" w:type="dxa"/>
            <w:tcBorders>
              <w:top w:val="dotted" w:sz="4" w:space="0" w:color="auto"/>
              <w:left w:val="dotted" w:sz="4" w:space="0" w:color="auto"/>
              <w:bottom w:val="dotted" w:sz="4" w:space="0" w:color="auto"/>
              <w:right w:val="dotted" w:sz="4" w:space="0" w:color="auto"/>
            </w:tcBorders>
            <w:shd w:val="clear" w:color="auto" w:fill="auto"/>
            <w:noWrap/>
            <w:vAlign w:val="bottom"/>
          </w:tcPr>
          <w:p w:rsidR="008C3385" w:rsidRDefault="008C3385" w:rsidP="003133F2">
            <w:pPr>
              <w:jc w:val="right"/>
              <w:rPr>
                <w:rFonts w:ascii="Tahoma" w:hAnsi="Tahoma" w:cs="Tahoma"/>
              </w:rPr>
            </w:pPr>
            <w:r>
              <w:rPr>
                <w:rFonts w:ascii="Tahoma" w:hAnsi="Tahoma" w:cs="Tahoma"/>
              </w:rPr>
              <w:t>35,7%</w:t>
            </w:r>
          </w:p>
        </w:tc>
        <w:tc>
          <w:tcPr>
            <w:tcW w:w="1028" w:type="dxa"/>
            <w:tcBorders>
              <w:top w:val="dotted" w:sz="4" w:space="0" w:color="auto"/>
              <w:left w:val="dotted" w:sz="4" w:space="0" w:color="auto"/>
              <w:bottom w:val="dotted" w:sz="4" w:space="0" w:color="auto"/>
              <w:right w:val="nil"/>
            </w:tcBorders>
            <w:shd w:val="clear" w:color="auto" w:fill="auto"/>
            <w:noWrap/>
            <w:vAlign w:val="bottom"/>
          </w:tcPr>
          <w:p w:rsidR="008C3385" w:rsidRDefault="008C3385" w:rsidP="003133F2">
            <w:pPr>
              <w:jc w:val="right"/>
              <w:rPr>
                <w:rFonts w:ascii="Tahoma" w:hAnsi="Tahoma" w:cs="Tahoma"/>
              </w:rPr>
            </w:pPr>
            <w:r>
              <w:rPr>
                <w:rFonts w:ascii="Tahoma" w:hAnsi="Tahoma" w:cs="Tahoma"/>
              </w:rPr>
              <w:t>43,5%</w:t>
            </w:r>
          </w:p>
        </w:tc>
      </w:tr>
      <w:tr w:rsidR="008C3385" w:rsidRPr="00B01983" w:rsidTr="003133F2">
        <w:trPr>
          <w:trHeight w:val="255"/>
          <w:jc w:val="center"/>
        </w:trPr>
        <w:tc>
          <w:tcPr>
            <w:tcW w:w="3892" w:type="dxa"/>
            <w:tcBorders>
              <w:top w:val="dotted" w:sz="4" w:space="0" w:color="auto"/>
              <w:left w:val="nil"/>
              <w:bottom w:val="dotted" w:sz="4" w:space="0" w:color="auto"/>
              <w:right w:val="single" w:sz="8" w:space="0" w:color="auto"/>
            </w:tcBorders>
            <w:shd w:val="clear" w:color="000000" w:fill="FFFFFF"/>
            <w:noWrap/>
            <w:vAlign w:val="bottom"/>
          </w:tcPr>
          <w:p w:rsidR="008C3385" w:rsidRPr="004B67CF" w:rsidRDefault="008C3385" w:rsidP="003133F2">
            <w:pPr>
              <w:rPr>
                <w:rFonts w:ascii="Tahoma" w:hAnsi="Tahoma" w:cs="Tahoma"/>
                <w:b/>
                <w:bCs/>
              </w:rPr>
            </w:pPr>
            <w:r w:rsidRPr="004B67CF">
              <w:rPr>
                <w:rFonts w:ascii="Tahoma" w:hAnsi="Tahoma" w:cs="Tahoma"/>
                <w:b/>
                <w:bCs/>
              </w:rPr>
              <w:t>Β. Αμερική</w:t>
            </w:r>
          </w:p>
        </w:tc>
        <w:tc>
          <w:tcPr>
            <w:tcW w:w="1106" w:type="dxa"/>
            <w:tcBorders>
              <w:top w:val="dotted" w:sz="4" w:space="0" w:color="auto"/>
              <w:left w:val="single" w:sz="8" w:space="0" w:color="auto"/>
              <w:bottom w:val="dotted" w:sz="4" w:space="0" w:color="auto"/>
              <w:right w:val="dotted" w:sz="4" w:space="0" w:color="auto"/>
            </w:tcBorders>
            <w:shd w:val="clear" w:color="auto" w:fill="auto"/>
            <w:noWrap/>
            <w:vAlign w:val="bottom"/>
          </w:tcPr>
          <w:p w:rsidR="008C3385" w:rsidRDefault="008C3385" w:rsidP="003133F2">
            <w:pPr>
              <w:jc w:val="center"/>
              <w:rPr>
                <w:rFonts w:ascii="Tahoma" w:hAnsi="Tahoma" w:cs="Tahoma"/>
              </w:rPr>
            </w:pPr>
            <w:r>
              <w:rPr>
                <w:rFonts w:ascii="Tahoma" w:hAnsi="Tahoma" w:cs="Tahoma"/>
              </w:rPr>
              <w:t>1.258,2</w:t>
            </w:r>
          </w:p>
        </w:tc>
        <w:tc>
          <w:tcPr>
            <w:tcW w:w="1106" w:type="dxa"/>
            <w:tcBorders>
              <w:top w:val="dotted" w:sz="4" w:space="0" w:color="auto"/>
              <w:left w:val="dotted" w:sz="4" w:space="0" w:color="auto"/>
              <w:bottom w:val="dotted" w:sz="4" w:space="0" w:color="auto"/>
              <w:right w:val="dotted" w:sz="4" w:space="0" w:color="auto"/>
            </w:tcBorders>
            <w:shd w:val="clear" w:color="auto" w:fill="auto"/>
            <w:noWrap/>
            <w:vAlign w:val="bottom"/>
          </w:tcPr>
          <w:p w:rsidR="008C3385" w:rsidRDefault="008C3385" w:rsidP="003133F2">
            <w:pPr>
              <w:jc w:val="center"/>
              <w:rPr>
                <w:rFonts w:ascii="Tahoma" w:hAnsi="Tahoma" w:cs="Tahoma"/>
              </w:rPr>
            </w:pPr>
            <w:r>
              <w:rPr>
                <w:rFonts w:ascii="Tahoma" w:hAnsi="Tahoma" w:cs="Tahoma"/>
              </w:rPr>
              <w:t>736,6</w:t>
            </w:r>
          </w:p>
        </w:tc>
        <w:tc>
          <w:tcPr>
            <w:tcW w:w="1118" w:type="dxa"/>
            <w:tcBorders>
              <w:top w:val="dotted" w:sz="4" w:space="0" w:color="auto"/>
              <w:left w:val="dotted" w:sz="4" w:space="0" w:color="auto"/>
              <w:bottom w:val="dotted" w:sz="4" w:space="0" w:color="auto"/>
              <w:right w:val="dotted" w:sz="4" w:space="0" w:color="auto"/>
            </w:tcBorders>
            <w:vAlign w:val="bottom"/>
          </w:tcPr>
          <w:p w:rsidR="008C3385" w:rsidRDefault="008C3385" w:rsidP="003133F2">
            <w:pPr>
              <w:jc w:val="right"/>
              <w:rPr>
                <w:rFonts w:ascii="Tahoma" w:hAnsi="Tahoma" w:cs="Tahoma"/>
              </w:rPr>
            </w:pPr>
            <w:r>
              <w:rPr>
                <w:rFonts w:ascii="Tahoma" w:hAnsi="Tahoma" w:cs="Tahoma"/>
              </w:rPr>
              <w:t>70,8%</w:t>
            </w:r>
          </w:p>
        </w:tc>
        <w:tc>
          <w:tcPr>
            <w:tcW w:w="819" w:type="dxa"/>
            <w:tcBorders>
              <w:top w:val="dotted" w:sz="4" w:space="0" w:color="auto"/>
              <w:left w:val="dotted" w:sz="4" w:space="0" w:color="auto"/>
              <w:bottom w:val="dotted" w:sz="4" w:space="0" w:color="auto"/>
              <w:right w:val="dotted" w:sz="4" w:space="0" w:color="auto"/>
            </w:tcBorders>
            <w:shd w:val="clear" w:color="auto" w:fill="auto"/>
            <w:noWrap/>
            <w:vAlign w:val="bottom"/>
          </w:tcPr>
          <w:p w:rsidR="008C3385" w:rsidRDefault="008C3385" w:rsidP="003133F2">
            <w:pPr>
              <w:jc w:val="right"/>
              <w:rPr>
                <w:rFonts w:ascii="Tahoma" w:hAnsi="Tahoma" w:cs="Tahoma"/>
              </w:rPr>
            </w:pPr>
            <w:r>
              <w:rPr>
                <w:rFonts w:ascii="Tahoma" w:hAnsi="Tahoma" w:cs="Tahoma"/>
              </w:rPr>
              <w:t>6,2%</w:t>
            </w:r>
          </w:p>
        </w:tc>
        <w:tc>
          <w:tcPr>
            <w:tcW w:w="1028" w:type="dxa"/>
            <w:tcBorders>
              <w:top w:val="dotted" w:sz="4" w:space="0" w:color="auto"/>
              <w:left w:val="dotted" w:sz="4" w:space="0" w:color="auto"/>
              <w:bottom w:val="dotted" w:sz="4" w:space="0" w:color="auto"/>
              <w:right w:val="nil"/>
            </w:tcBorders>
            <w:shd w:val="clear" w:color="auto" w:fill="auto"/>
            <w:noWrap/>
            <w:vAlign w:val="bottom"/>
          </w:tcPr>
          <w:p w:rsidR="008C3385" w:rsidRDefault="008C3385" w:rsidP="003133F2">
            <w:pPr>
              <w:jc w:val="right"/>
              <w:rPr>
                <w:rFonts w:ascii="Tahoma" w:hAnsi="Tahoma" w:cs="Tahoma"/>
              </w:rPr>
            </w:pPr>
            <w:r>
              <w:rPr>
                <w:rFonts w:ascii="Tahoma" w:hAnsi="Tahoma" w:cs="Tahoma"/>
              </w:rPr>
              <w:t>5,1%</w:t>
            </w:r>
          </w:p>
        </w:tc>
      </w:tr>
      <w:tr w:rsidR="008C3385" w:rsidRPr="00B01983" w:rsidTr="003133F2">
        <w:trPr>
          <w:trHeight w:val="255"/>
          <w:jc w:val="center"/>
        </w:trPr>
        <w:tc>
          <w:tcPr>
            <w:tcW w:w="3892" w:type="dxa"/>
            <w:tcBorders>
              <w:top w:val="dotted" w:sz="4" w:space="0" w:color="auto"/>
              <w:left w:val="nil"/>
              <w:bottom w:val="dotted" w:sz="4" w:space="0" w:color="auto"/>
              <w:right w:val="single" w:sz="8" w:space="0" w:color="auto"/>
            </w:tcBorders>
            <w:shd w:val="clear" w:color="000000" w:fill="FFFFFF"/>
            <w:noWrap/>
            <w:vAlign w:val="bottom"/>
          </w:tcPr>
          <w:p w:rsidR="008C3385" w:rsidRPr="004B67CF" w:rsidRDefault="008C3385" w:rsidP="003133F2">
            <w:pPr>
              <w:rPr>
                <w:rFonts w:ascii="Tahoma" w:hAnsi="Tahoma" w:cs="Tahoma"/>
                <w:b/>
                <w:bCs/>
              </w:rPr>
            </w:pPr>
            <w:r w:rsidRPr="004B67CF">
              <w:rPr>
                <w:rFonts w:ascii="Tahoma" w:hAnsi="Tahoma" w:cs="Tahoma"/>
                <w:b/>
                <w:bCs/>
              </w:rPr>
              <w:t>Άλλες ανεπτυγμένες χώρες</w:t>
            </w:r>
          </w:p>
        </w:tc>
        <w:tc>
          <w:tcPr>
            <w:tcW w:w="1106" w:type="dxa"/>
            <w:tcBorders>
              <w:top w:val="dotted" w:sz="4" w:space="0" w:color="auto"/>
              <w:left w:val="single" w:sz="8" w:space="0" w:color="auto"/>
              <w:bottom w:val="dotted" w:sz="4" w:space="0" w:color="auto"/>
              <w:right w:val="dotted" w:sz="4" w:space="0" w:color="auto"/>
            </w:tcBorders>
            <w:shd w:val="clear" w:color="auto" w:fill="auto"/>
            <w:noWrap/>
            <w:vAlign w:val="bottom"/>
          </w:tcPr>
          <w:p w:rsidR="008C3385" w:rsidRDefault="008C3385" w:rsidP="003133F2">
            <w:pPr>
              <w:jc w:val="center"/>
              <w:rPr>
                <w:rFonts w:ascii="Tahoma" w:hAnsi="Tahoma" w:cs="Tahoma"/>
              </w:rPr>
            </w:pPr>
            <w:r>
              <w:rPr>
                <w:rFonts w:ascii="Tahoma" w:hAnsi="Tahoma" w:cs="Tahoma"/>
              </w:rPr>
              <w:t>132,0</w:t>
            </w:r>
          </w:p>
        </w:tc>
        <w:tc>
          <w:tcPr>
            <w:tcW w:w="1106" w:type="dxa"/>
            <w:tcBorders>
              <w:top w:val="dotted" w:sz="4" w:space="0" w:color="auto"/>
              <w:left w:val="dotted" w:sz="4" w:space="0" w:color="auto"/>
              <w:bottom w:val="dotted" w:sz="4" w:space="0" w:color="auto"/>
              <w:right w:val="dotted" w:sz="4" w:space="0" w:color="auto"/>
            </w:tcBorders>
            <w:shd w:val="clear" w:color="auto" w:fill="auto"/>
            <w:noWrap/>
            <w:vAlign w:val="bottom"/>
          </w:tcPr>
          <w:p w:rsidR="008C3385" w:rsidRDefault="008C3385" w:rsidP="003133F2">
            <w:pPr>
              <w:jc w:val="center"/>
              <w:rPr>
                <w:rFonts w:ascii="Tahoma" w:hAnsi="Tahoma" w:cs="Tahoma"/>
              </w:rPr>
            </w:pPr>
            <w:r>
              <w:rPr>
                <w:rFonts w:ascii="Tahoma" w:hAnsi="Tahoma" w:cs="Tahoma"/>
              </w:rPr>
              <w:t>116,4</w:t>
            </w:r>
          </w:p>
        </w:tc>
        <w:tc>
          <w:tcPr>
            <w:tcW w:w="1118" w:type="dxa"/>
            <w:tcBorders>
              <w:top w:val="dotted" w:sz="4" w:space="0" w:color="auto"/>
              <w:left w:val="dotted" w:sz="4" w:space="0" w:color="auto"/>
              <w:bottom w:val="dotted" w:sz="4" w:space="0" w:color="auto"/>
              <w:right w:val="dotted" w:sz="4" w:space="0" w:color="auto"/>
            </w:tcBorders>
            <w:vAlign w:val="bottom"/>
          </w:tcPr>
          <w:p w:rsidR="008C3385" w:rsidRDefault="008C3385" w:rsidP="003133F2">
            <w:pPr>
              <w:jc w:val="right"/>
              <w:rPr>
                <w:rFonts w:ascii="Tahoma" w:hAnsi="Tahoma" w:cs="Tahoma"/>
              </w:rPr>
            </w:pPr>
            <w:r>
              <w:rPr>
                <w:rFonts w:ascii="Tahoma" w:hAnsi="Tahoma" w:cs="Tahoma"/>
              </w:rPr>
              <w:t>13,4%</w:t>
            </w:r>
          </w:p>
        </w:tc>
        <w:tc>
          <w:tcPr>
            <w:tcW w:w="819" w:type="dxa"/>
            <w:tcBorders>
              <w:top w:val="dotted" w:sz="4" w:space="0" w:color="auto"/>
              <w:left w:val="dotted" w:sz="4" w:space="0" w:color="auto"/>
              <w:bottom w:val="dotted" w:sz="4" w:space="0" w:color="auto"/>
              <w:right w:val="dotted" w:sz="4" w:space="0" w:color="auto"/>
            </w:tcBorders>
            <w:shd w:val="clear" w:color="auto" w:fill="auto"/>
            <w:noWrap/>
            <w:vAlign w:val="bottom"/>
          </w:tcPr>
          <w:p w:rsidR="008C3385" w:rsidRDefault="008C3385" w:rsidP="003133F2">
            <w:pPr>
              <w:jc w:val="right"/>
              <w:rPr>
                <w:rFonts w:ascii="Tahoma" w:hAnsi="Tahoma" w:cs="Tahoma"/>
              </w:rPr>
            </w:pPr>
            <w:r>
              <w:rPr>
                <w:rFonts w:ascii="Tahoma" w:hAnsi="Tahoma" w:cs="Tahoma"/>
              </w:rPr>
              <w:t>0,7%</w:t>
            </w:r>
          </w:p>
        </w:tc>
        <w:tc>
          <w:tcPr>
            <w:tcW w:w="1028" w:type="dxa"/>
            <w:tcBorders>
              <w:top w:val="dotted" w:sz="4" w:space="0" w:color="auto"/>
              <w:left w:val="dotted" w:sz="4" w:space="0" w:color="auto"/>
              <w:bottom w:val="dotted" w:sz="4" w:space="0" w:color="auto"/>
              <w:right w:val="nil"/>
            </w:tcBorders>
            <w:shd w:val="clear" w:color="auto" w:fill="auto"/>
            <w:noWrap/>
            <w:vAlign w:val="bottom"/>
          </w:tcPr>
          <w:p w:rsidR="008C3385" w:rsidRDefault="008C3385" w:rsidP="003133F2">
            <w:pPr>
              <w:jc w:val="right"/>
              <w:rPr>
                <w:rFonts w:ascii="Tahoma" w:hAnsi="Tahoma" w:cs="Tahoma"/>
              </w:rPr>
            </w:pPr>
            <w:r>
              <w:rPr>
                <w:rFonts w:ascii="Tahoma" w:hAnsi="Tahoma" w:cs="Tahoma"/>
              </w:rPr>
              <w:t>0,8%</w:t>
            </w:r>
          </w:p>
        </w:tc>
      </w:tr>
      <w:tr w:rsidR="008C3385" w:rsidRPr="00B01983" w:rsidTr="003133F2">
        <w:trPr>
          <w:trHeight w:val="255"/>
          <w:jc w:val="center"/>
        </w:trPr>
        <w:tc>
          <w:tcPr>
            <w:tcW w:w="3892" w:type="dxa"/>
            <w:tcBorders>
              <w:top w:val="dotted" w:sz="4" w:space="0" w:color="auto"/>
              <w:left w:val="nil"/>
              <w:bottom w:val="dotted" w:sz="4" w:space="0" w:color="auto"/>
              <w:right w:val="single" w:sz="8" w:space="0" w:color="auto"/>
            </w:tcBorders>
            <w:shd w:val="clear" w:color="000000" w:fill="FFFFFF"/>
            <w:noWrap/>
            <w:vAlign w:val="bottom"/>
          </w:tcPr>
          <w:p w:rsidR="008C3385" w:rsidRPr="004B67CF" w:rsidRDefault="008C3385" w:rsidP="003133F2">
            <w:pPr>
              <w:rPr>
                <w:rFonts w:ascii="Tahoma" w:hAnsi="Tahoma" w:cs="Tahoma"/>
                <w:b/>
                <w:bCs/>
              </w:rPr>
            </w:pPr>
            <w:r w:rsidRPr="004B67CF">
              <w:rPr>
                <w:rFonts w:ascii="Tahoma" w:hAnsi="Tahoma" w:cs="Tahoma"/>
                <w:b/>
                <w:bCs/>
              </w:rPr>
              <w:t>Υπόλοιπες ΟΟΣΑ  (εκτός Ν.Κορέας)</w:t>
            </w:r>
          </w:p>
        </w:tc>
        <w:tc>
          <w:tcPr>
            <w:tcW w:w="1106" w:type="dxa"/>
            <w:tcBorders>
              <w:top w:val="dotted" w:sz="4" w:space="0" w:color="auto"/>
              <w:left w:val="single" w:sz="8" w:space="0" w:color="auto"/>
              <w:bottom w:val="dotted" w:sz="4" w:space="0" w:color="auto"/>
              <w:right w:val="dotted" w:sz="4" w:space="0" w:color="auto"/>
            </w:tcBorders>
            <w:shd w:val="clear" w:color="auto" w:fill="auto"/>
            <w:noWrap/>
            <w:vAlign w:val="bottom"/>
          </w:tcPr>
          <w:p w:rsidR="008C3385" w:rsidRDefault="008C3385" w:rsidP="003133F2">
            <w:pPr>
              <w:jc w:val="center"/>
              <w:rPr>
                <w:rFonts w:ascii="Tahoma" w:hAnsi="Tahoma" w:cs="Tahoma"/>
              </w:rPr>
            </w:pPr>
            <w:r>
              <w:rPr>
                <w:rFonts w:ascii="Tahoma" w:hAnsi="Tahoma" w:cs="Tahoma"/>
              </w:rPr>
              <w:t>1.710,2</w:t>
            </w:r>
          </w:p>
        </w:tc>
        <w:tc>
          <w:tcPr>
            <w:tcW w:w="1106" w:type="dxa"/>
            <w:tcBorders>
              <w:top w:val="dotted" w:sz="4" w:space="0" w:color="auto"/>
              <w:left w:val="dotted" w:sz="4" w:space="0" w:color="auto"/>
              <w:bottom w:val="dotted" w:sz="4" w:space="0" w:color="auto"/>
              <w:right w:val="dotted" w:sz="4" w:space="0" w:color="auto"/>
            </w:tcBorders>
            <w:shd w:val="clear" w:color="auto" w:fill="auto"/>
            <w:noWrap/>
            <w:vAlign w:val="bottom"/>
          </w:tcPr>
          <w:p w:rsidR="008C3385" w:rsidRDefault="008C3385" w:rsidP="003133F2">
            <w:pPr>
              <w:jc w:val="center"/>
              <w:rPr>
                <w:rFonts w:ascii="Tahoma" w:hAnsi="Tahoma" w:cs="Tahoma"/>
              </w:rPr>
            </w:pPr>
            <w:r>
              <w:rPr>
                <w:rFonts w:ascii="Tahoma" w:hAnsi="Tahoma" w:cs="Tahoma"/>
              </w:rPr>
              <w:t>939,8</w:t>
            </w:r>
          </w:p>
        </w:tc>
        <w:tc>
          <w:tcPr>
            <w:tcW w:w="1118" w:type="dxa"/>
            <w:tcBorders>
              <w:top w:val="dotted" w:sz="4" w:space="0" w:color="auto"/>
              <w:left w:val="dotted" w:sz="4" w:space="0" w:color="auto"/>
              <w:bottom w:val="dotted" w:sz="4" w:space="0" w:color="auto"/>
              <w:right w:val="dotted" w:sz="4" w:space="0" w:color="auto"/>
            </w:tcBorders>
            <w:vAlign w:val="bottom"/>
          </w:tcPr>
          <w:p w:rsidR="008C3385" w:rsidRDefault="008C3385" w:rsidP="003133F2">
            <w:pPr>
              <w:jc w:val="right"/>
              <w:rPr>
                <w:rFonts w:ascii="Tahoma" w:hAnsi="Tahoma" w:cs="Tahoma"/>
              </w:rPr>
            </w:pPr>
            <w:r>
              <w:rPr>
                <w:rFonts w:ascii="Tahoma" w:hAnsi="Tahoma" w:cs="Tahoma"/>
              </w:rPr>
              <w:t>82,0%</w:t>
            </w:r>
          </w:p>
        </w:tc>
        <w:tc>
          <w:tcPr>
            <w:tcW w:w="819" w:type="dxa"/>
            <w:tcBorders>
              <w:top w:val="dotted" w:sz="4" w:space="0" w:color="auto"/>
              <w:left w:val="dotted" w:sz="4" w:space="0" w:color="auto"/>
              <w:bottom w:val="dotted" w:sz="4" w:space="0" w:color="auto"/>
              <w:right w:val="dotted" w:sz="4" w:space="0" w:color="auto"/>
            </w:tcBorders>
            <w:shd w:val="clear" w:color="auto" w:fill="auto"/>
            <w:noWrap/>
            <w:vAlign w:val="bottom"/>
          </w:tcPr>
          <w:p w:rsidR="008C3385" w:rsidRDefault="008C3385" w:rsidP="003133F2">
            <w:pPr>
              <w:jc w:val="right"/>
              <w:rPr>
                <w:rFonts w:ascii="Tahoma" w:hAnsi="Tahoma" w:cs="Tahoma"/>
              </w:rPr>
            </w:pPr>
            <w:r>
              <w:rPr>
                <w:rFonts w:ascii="Tahoma" w:hAnsi="Tahoma" w:cs="Tahoma"/>
              </w:rPr>
              <w:t>8,5%</w:t>
            </w:r>
          </w:p>
        </w:tc>
        <w:tc>
          <w:tcPr>
            <w:tcW w:w="1028" w:type="dxa"/>
            <w:tcBorders>
              <w:top w:val="dotted" w:sz="4" w:space="0" w:color="auto"/>
              <w:left w:val="dotted" w:sz="4" w:space="0" w:color="auto"/>
              <w:bottom w:val="dotted" w:sz="4" w:space="0" w:color="auto"/>
              <w:right w:val="nil"/>
            </w:tcBorders>
            <w:shd w:val="clear" w:color="auto" w:fill="auto"/>
            <w:noWrap/>
            <w:vAlign w:val="bottom"/>
          </w:tcPr>
          <w:p w:rsidR="008C3385" w:rsidRDefault="008C3385" w:rsidP="003133F2">
            <w:pPr>
              <w:jc w:val="right"/>
              <w:rPr>
                <w:rFonts w:ascii="Tahoma" w:hAnsi="Tahoma" w:cs="Tahoma"/>
              </w:rPr>
            </w:pPr>
            <w:r>
              <w:rPr>
                <w:rFonts w:ascii="Tahoma" w:hAnsi="Tahoma" w:cs="Tahoma"/>
              </w:rPr>
              <w:t>6,5%</w:t>
            </w:r>
          </w:p>
        </w:tc>
      </w:tr>
      <w:tr w:rsidR="008C3385" w:rsidRPr="00B01983" w:rsidTr="003133F2">
        <w:trPr>
          <w:trHeight w:val="255"/>
          <w:jc w:val="center"/>
        </w:trPr>
        <w:tc>
          <w:tcPr>
            <w:tcW w:w="3892" w:type="dxa"/>
            <w:tcBorders>
              <w:top w:val="dotted" w:sz="4" w:space="0" w:color="auto"/>
              <w:left w:val="nil"/>
              <w:bottom w:val="dotted" w:sz="4" w:space="0" w:color="auto"/>
              <w:right w:val="single" w:sz="8" w:space="0" w:color="auto"/>
            </w:tcBorders>
            <w:shd w:val="clear" w:color="000000" w:fill="FFFFFF"/>
            <w:noWrap/>
            <w:vAlign w:val="bottom"/>
          </w:tcPr>
          <w:p w:rsidR="008C3385" w:rsidRPr="004B67CF" w:rsidRDefault="008C3385" w:rsidP="003133F2">
            <w:pPr>
              <w:rPr>
                <w:rFonts w:ascii="Tahoma" w:hAnsi="Tahoma" w:cs="Tahoma"/>
                <w:b/>
                <w:bCs/>
              </w:rPr>
            </w:pPr>
            <w:r w:rsidRPr="004B67CF">
              <w:rPr>
                <w:rFonts w:ascii="Tahoma" w:hAnsi="Tahoma" w:cs="Tahoma"/>
                <w:b/>
                <w:bCs/>
              </w:rPr>
              <w:t>Βαλκάνια</w:t>
            </w:r>
          </w:p>
        </w:tc>
        <w:tc>
          <w:tcPr>
            <w:tcW w:w="1106" w:type="dxa"/>
            <w:tcBorders>
              <w:top w:val="dotted" w:sz="4" w:space="0" w:color="auto"/>
              <w:left w:val="single" w:sz="8" w:space="0" w:color="auto"/>
              <w:bottom w:val="dotted" w:sz="4" w:space="0" w:color="auto"/>
              <w:right w:val="dotted" w:sz="4" w:space="0" w:color="auto"/>
            </w:tcBorders>
            <w:shd w:val="clear" w:color="auto" w:fill="auto"/>
            <w:noWrap/>
            <w:vAlign w:val="bottom"/>
          </w:tcPr>
          <w:p w:rsidR="008C3385" w:rsidRDefault="008C3385" w:rsidP="003133F2">
            <w:pPr>
              <w:jc w:val="center"/>
              <w:rPr>
                <w:rFonts w:ascii="Tahoma" w:hAnsi="Tahoma" w:cs="Tahoma"/>
              </w:rPr>
            </w:pPr>
            <w:r>
              <w:rPr>
                <w:rFonts w:ascii="Tahoma" w:hAnsi="Tahoma" w:cs="Tahoma"/>
              </w:rPr>
              <w:t>3.001,1</w:t>
            </w:r>
          </w:p>
        </w:tc>
        <w:tc>
          <w:tcPr>
            <w:tcW w:w="1106" w:type="dxa"/>
            <w:tcBorders>
              <w:top w:val="dotted" w:sz="4" w:space="0" w:color="auto"/>
              <w:left w:val="dotted" w:sz="4" w:space="0" w:color="auto"/>
              <w:bottom w:val="dotted" w:sz="4" w:space="0" w:color="auto"/>
              <w:right w:val="dotted" w:sz="4" w:space="0" w:color="auto"/>
            </w:tcBorders>
            <w:shd w:val="clear" w:color="auto" w:fill="auto"/>
            <w:noWrap/>
            <w:vAlign w:val="bottom"/>
          </w:tcPr>
          <w:p w:rsidR="008C3385" w:rsidRDefault="008C3385" w:rsidP="003133F2">
            <w:pPr>
              <w:jc w:val="center"/>
              <w:rPr>
                <w:rFonts w:ascii="Tahoma" w:hAnsi="Tahoma" w:cs="Tahoma"/>
              </w:rPr>
            </w:pPr>
            <w:r>
              <w:rPr>
                <w:rFonts w:ascii="Tahoma" w:hAnsi="Tahoma" w:cs="Tahoma"/>
              </w:rPr>
              <w:t>2.493,0</w:t>
            </w:r>
          </w:p>
        </w:tc>
        <w:tc>
          <w:tcPr>
            <w:tcW w:w="1118" w:type="dxa"/>
            <w:tcBorders>
              <w:top w:val="dotted" w:sz="4" w:space="0" w:color="auto"/>
              <w:left w:val="dotted" w:sz="4" w:space="0" w:color="auto"/>
              <w:bottom w:val="dotted" w:sz="4" w:space="0" w:color="auto"/>
              <w:right w:val="dotted" w:sz="4" w:space="0" w:color="auto"/>
            </w:tcBorders>
            <w:vAlign w:val="bottom"/>
          </w:tcPr>
          <w:p w:rsidR="008C3385" w:rsidRDefault="008C3385" w:rsidP="003133F2">
            <w:pPr>
              <w:jc w:val="right"/>
              <w:rPr>
                <w:rFonts w:ascii="Tahoma" w:hAnsi="Tahoma" w:cs="Tahoma"/>
              </w:rPr>
            </w:pPr>
            <w:r>
              <w:rPr>
                <w:rFonts w:ascii="Tahoma" w:hAnsi="Tahoma" w:cs="Tahoma"/>
              </w:rPr>
              <w:t>20,4%</w:t>
            </w:r>
          </w:p>
        </w:tc>
        <w:tc>
          <w:tcPr>
            <w:tcW w:w="819" w:type="dxa"/>
            <w:tcBorders>
              <w:top w:val="dotted" w:sz="4" w:space="0" w:color="auto"/>
              <w:left w:val="dotted" w:sz="4" w:space="0" w:color="auto"/>
              <w:bottom w:val="dotted" w:sz="4" w:space="0" w:color="auto"/>
              <w:right w:val="dotted" w:sz="4" w:space="0" w:color="auto"/>
            </w:tcBorders>
            <w:shd w:val="clear" w:color="auto" w:fill="auto"/>
            <w:noWrap/>
            <w:vAlign w:val="bottom"/>
          </w:tcPr>
          <w:p w:rsidR="008C3385" w:rsidRDefault="008C3385" w:rsidP="003133F2">
            <w:pPr>
              <w:jc w:val="right"/>
              <w:rPr>
                <w:rFonts w:ascii="Tahoma" w:hAnsi="Tahoma" w:cs="Tahoma"/>
              </w:rPr>
            </w:pPr>
            <w:r>
              <w:rPr>
                <w:rFonts w:ascii="Tahoma" w:hAnsi="Tahoma" w:cs="Tahoma"/>
              </w:rPr>
              <w:t>14,8%</w:t>
            </w:r>
          </w:p>
        </w:tc>
        <w:tc>
          <w:tcPr>
            <w:tcW w:w="1028" w:type="dxa"/>
            <w:tcBorders>
              <w:top w:val="dotted" w:sz="4" w:space="0" w:color="auto"/>
              <w:left w:val="dotted" w:sz="4" w:space="0" w:color="auto"/>
              <w:bottom w:val="dotted" w:sz="4" w:space="0" w:color="auto"/>
              <w:right w:val="nil"/>
            </w:tcBorders>
            <w:shd w:val="clear" w:color="auto" w:fill="auto"/>
            <w:noWrap/>
            <w:vAlign w:val="bottom"/>
          </w:tcPr>
          <w:p w:rsidR="008C3385" w:rsidRDefault="008C3385" w:rsidP="003133F2">
            <w:pPr>
              <w:jc w:val="right"/>
              <w:rPr>
                <w:rFonts w:ascii="Tahoma" w:hAnsi="Tahoma" w:cs="Tahoma"/>
              </w:rPr>
            </w:pPr>
            <w:r>
              <w:rPr>
                <w:rFonts w:ascii="Tahoma" w:hAnsi="Tahoma" w:cs="Tahoma"/>
              </w:rPr>
              <w:t>17,1%</w:t>
            </w:r>
          </w:p>
        </w:tc>
      </w:tr>
      <w:tr w:rsidR="008C3385" w:rsidRPr="00B01983" w:rsidTr="003133F2">
        <w:trPr>
          <w:trHeight w:val="255"/>
          <w:jc w:val="center"/>
        </w:trPr>
        <w:tc>
          <w:tcPr>
            <w:tcW w:w="3892" w:type="dxa"/>
            <w:tcBorders>
              <w:top w:val="dotted" w:sz="4" w:space="0" w:color="auto"/>
              <w:left w:val="nil"/>
              <w:bottom w:val="dotted" w:sz="4" w:space="0" w:color="auto"/>
              <w:right w:val="single" w:sz="8" w:space="0" w:color="auto"/>
            </w:tcBorders>
            <w:shd w:val="clear" w:color="000000" w:fill="FFFFFF"/>
            <w:noWrap/>
            <w:vAlign w:val="bottom"/>
          </w:tcPr>
          <w:p w:rsidR="008C3385" w:rsidRPr="004B67CF" w:rsidRDefault="008C3385" w:rsidP="003133F2">
            <w:pPr>
              <w:rPr>
                <w:rFonts w:ascii="Tahoma" w:hAnsi="Tahoma" w:cs="Tahoma"/>
                <w:b/>
                <w:bCs/>
              </w:rPr>
            </w:pPr>
            <w:r w:rsidRPr="004B67CF">
              <w:rPr>
                <w:rFonts w:ascii="Tahoma" w:hAnsi="Tahoma" w:cs="Tahoma"/>
                <w:b/>
                <w:bCs/>
              </w:rPr>
              <w:t>Κοινοπολ. Ανεξάρτ. Κρατών (ΚΑΚ)</w:t>
            </w:r>
          </w:p>
        </w:tc>
        <w:tc>
          <w:tcPr>
            <w:tcW w:w="1106" w:type="dxa"/>
            <w:tcBorders>
              <w:top w:val="dotted" w:sz="4" w:space="0" w:color="auto"/>
              <w:left w:val="single" w:sz="8" w:space="0" w:color="auto"/>
              <w:bottom w:val="dotted" w:sz="4" w:space="0" w:color="auto"/>
              <w:right w:val="dotted" w:sz="4" w:space="0" w:color="auto"/>
            </w:tcBorders>
            <w:shd w:val="clear" w:color="auto" w:fill="auto"/>
            <w:noWrap/>
            <w:vAlign w:val="bottom"/>
          </w:tcPr>
          <w:p w:rsidR="008C3385" w:rsidRDefault="008C3385" w:rsidP="003133F2">
            <w:pPr>
              <w:jc w:val="center"/>
              <w:rPr>
                <w:rFonts w:ascii="Tahoma" w:hAnsi="Tahoma" w:cs="Tahoma"/>
              </w:rPr>
            </w:pPr>
            <w:r>
              <w:rPr>
                <w:rFonts w:ascii="Tahoma" w:hAnsi="Tahoma" w:cs="Tahoma"/>
              </w:rPr>
              <w:t>603,0</w:t>
            </w:r>
          </w:p>
        </w:tc>
        <w:tc>
          <w:tcPr>
            <w:tcW w:w="1106" w:type="dxa"/>
            <w:tcBorders>
              <w:top w:val="dotted" w:sz="4" w:space="0" w:color="auto"/>
              <w:left w:val="dotted" w:sz="4" w:space="0" w:color="auto"/>
              <w:bottom w:val="dotted" w:sz="4" w:space="0" w:color="auto"/>
              <w:right w:val="dotted" w:sz="4" w:space="0" w:color="auto"/>
            </w:tcBorders>
            <w:shd w:val="clear" w:color="auto" w:fill="auto"/>
            <w:noWrap/>
            <w:vAlign w:val="bottom"/>
          </w:tcPr>
          <w:p w:rsidR="008C3385" w:rsidRDefault="008C3385" w:rsidP="003133F2">
            <w:pPr>
              <w:jc w:val="center"/>
              <w:rPr>
                <w:rFonts w:ascii="Tahoma" w:hAnsi="Tahoma" w:cs="Tahoma"/>
              </w:rPr>
            </w:pPr>
            <w:r>
              <w:rPr>
                <w:rFonts w:ascii="Tahoma" w:hAnsi="Tahoma" w:cs="Tahoma"/>
              </w:rPr>
              <w:t>422,5</w:t>
            </w:r>
          </w:p>
        </w:tc>
        <w:tc>
          <w:tcPr>
            <w:tcW w:w="1118" w:type="dxa"/>
            <w:tcBorders>
              <w:top w:val="dotted" w:sz="4" w:space="0" w:color="auto"/>
              <w:left w:val="dotted" w:sz="4" w:space="0" w:color="auto"/>
              <w:bottom w:val="dotted" w:sz="4" w:space="0" w:color="auto"/>
              <w:right w:val="dotted" w:sz="4" w:space="0" w:color="auto"/>
            </w:tcBorders>
            <w:vAlign w:val="bottom"/>
          </w:tcPr>
          <w:p w:rsidR="008C3385" w:rsidRDefault="008C3385" w:rsidP="003133F2">
            <w:pPr>
              <w:jc w:val="right"/>
              <w:rPr>
                <w:rFonts w:ascii="Tahoma" w:hAnsi="Tahoma" w:cs="Tahoma"/>
              </w:rPr>
            </w:pPr>
            <w:r>
              <w:rPr>
                <w:rFonts w:ascii="Tahoma" w:hAnsi="Tahoma" w:cs="Tahoma"/>
              </w:rPr>
              <w:t>42,7%</w:t>
            </w:r>
          </w:p>
        </w:tc>
        <w:tc>
          <w:tcPr>
            <w:tcW w:w="819" w:type="dxa"/>
            <w:tcBorders>
              <w:top w:val="dotted" w:sz="4" w:space="0" w:color="auto"/>
              <w:left w:val="dotted" w:sz="4" w:space="0" w:color="auto"/>
              <w:bottom w:val="dotted" w:sz="4" w:space="0" w:color="auto"/>
              <w:right w:val="dotted" w:sz="4" w:space="0" w:color="auto"/>
            </w:tcBorders>
            <w:shd w:val="clear" w:color="auto" w:fill="auto"/>
            <w:noWrap/>
            <w:vAlign w:val="bottom"/>
          </w:tcPr>
          <w:p w:rsidR="008C3385" w:rsidRDefault="008C3385" w:rsidP="003133F2">
            <w:pPr>
              <w:jc w:val="right"/>
              <w:rPr>
                <w:rFonts w:ascii="Tahoma" w:hAnsi="Tahoma" w:cs="Tahoma"/>
              </w:rPr>
            </w:pPr>
            <w:r>
              <w:rPr>
                <w:rFonts w:ascii="Tahoma" w:hAnsi="Tahoma" w:cs="Tahoma"/>
              </w:rPr>
              <w:t>3,0%</w:t>
            </w:r>
          </w:p>
        </w:tc>
        <w:tc>
          <w:tcPr>
            <w:tcW w:w="1028" w:type="dxa"/>
            <w:tcBorders>
              <w:top w:val="dotted" w:sz="4" w:space="0" w:color="auto"/>
              <w:left w:val="dotted" w:sz="4" w:space="0" w:color="auto"/>
              <w:bottom w:val="dotted" w:sz="4" w:space="0" w:color="auto"/>
              <w:right w:val="nil"/>
            </w:tcBorders>
            <w:shd w:val="clear" w:color="auto" w:fill="auto"/>
            <w:noWrap/>
            <w:vAlign w:val="bottom"/>
          </w:tcPr>
          <w:p w:rsidR="008C3385" w:rsidRDefault="008C3385" w:rsidP="003133F2">
            <w:pPr>
              <w:jc w:val="right"/>
              <w:rPr>
                <w:rFonts w:ascii="Tahoma" w:hAnsi="Tahoma" w:cs="Tahoma"/>
              </w:rPr>
            </w:pPr>
            <w:r>
              <w:rPr>
                <w:rFonts w:ascii="Tahoma" w:hAnsi="Tahoma" w:cs="Tahoma"/>
              </w:rPr>
              <w:t>2,9%</w:t>
            </w:r>
          </w:p>
        </w:tc>
      </w:tr>
      <w:tr w:rsidR="008C3385" w:rsidRPr="00B01983" w:rsidTr="003133F2">
        <w:trPr>
          <w:trHeight w:val="255"/>
          <w:jc w:val="center"/>
        </w:trPr>
        <w:tc>
          <w:tcPr>
            <w:tcW w:w="3892" w:type="dxa"/>
            <w:tcBorders>
              <w:top w:val="dotted" w:sz="4" w:space="0" w:color="auto"/>
              <w:left w:val="nil"/>
              <w:bottom w:val="dotted" w:sz="4" w:space="0" w:color="auto"/>
              <w:right w:val="single" w:sz="8" w:space="0" w:color="auto"/>
            </w:tcBorders>
            <w:shd w:val="clear" w:color="000000" w:fill="FFFFFF"/>
            <w:noWrap/>
            <w:vAlign w:val="bottom"/>
          </w:tcPr>
          <w:p w:rsidR="008C3385" w:rsidRPr="004B67CF" w:rsidRDefault="008C3385" w:rsidP="003133F2">
            <w:pPr>
              <w:rPr>
                <w:rFonts w:ascii="Tahoma" w:hAnsi="Tahoma" w:cs="Tahoma"/>
                <w:b/>
                <w:bCs/>
              </w:rPr>
            </w:pPr>
            <w:r w:rsidRPr="004B67CF">
              <w:rPr>
                <w:rFonts w:ascii="Tahoma" w:hAnsi="Tahoma" w:cs="Tahoma"/>
                <w:b/>
                <w:bCs/>
              </w:rPr>
              <w:t>Β. Αφρική &amp; Μ. Ανατολή</w:t>
            </w:r>
          </w:p>
        </w:tc>
        <w:tc>
          <w:tcPr>
            <w:tcW w:w="1106" w:type="dxa"/>
            <w:tcBorders>
              <w:top w:val="dotted" w:sz="4" w:space="0" w:color="auto"/>
              <w:left w:val="single" w:sz="8" w:space="0" w:color="auto"/>
              <w:bottom w:val="dotted" w:sz="4" w:space="0" w:color="auto"/>
              <w:right w:val="dotted" w:sz="4" w:space="0" w:color="auto"/>
            </w:tcBorders>
            <w:shd w:val="clear" w:color="auto" w:fill="auto"/>
            <w:noWrap/>
            <w:vAlign w:val="bottom"/>
          </w:tcPr>
          <w:p w:rsidR="008C3385" w:rsidRDefault="008C3385" w:rsidP="003133F2">
            <w:pPr>
              <w:jc w:val="center"/>
              <w:rPr>
                <w:rFonts w:ascii="Tahoma" w:hAnsi="Tahoma" w:cs="Tahoma"/>
              </w:rPr>
            </w:pPr>
            <w:r>
              <w:rPr>
                <w:rFonts w:ascii="Tahoma" w:hAnsi="Tahoma" w:cs="Tahoma"/>
              </w:rPr>
              <w:t>1.808,5</w:t>
            </w:r>
          </w:p>
        </w:tc>
        <w:tc>
          <w:tcPr>
            <w:tcW w:w="1106" w:type="dxa"/>
            <w:tcBorders>
              <w:top w:val="dotted" w:sz="4" w:space="0" w:color="auto"/>
              <w:left w:val="dotted" w:sz="4" w:space="0" w:color="auto"/>
              <w:bottom w:val="dotted" w:sz="4" w:space="0" w:color="auto"/>
              <w:right w:val="dotted" w:sz="4" w:space="0" w:color="auto"/>
            </w:tcBorders>
            <w:shd w:val="clear" w:color="auto" w:fill="auto"/>
            <w:noWrap/>
            <w:vAlign w:val="bottom"/>
          </w:tcPr>
          <w:p w:rsidR="008C3385" w:rsidRDefault="008C3385" w:rsidP="003133F2">
            <w:pPr>
              <w:jc w:val="center"/>
              <w:rPr>
                <w:rFonts w:ascii="Tahoma" w:hAnsi="Tahoma" w:cs="Tahoma"/>
              </w:rPr>
            </w:pPr>
            <w:r>
              <w:rPr>
                <w:rFonts w:ascii="Tahoma" w:hAnsi="Tahoma" w:cs="Tahoma"/>
              </w:rPr>
              <w:t>1.005,4</w:t>
            </w:r>
          </w:p>
        </w:tc>
        <w:tc>
          <w:tcPr>
            <w:tcW w:w="1118" w:type="dxa"/>
            <w:tcBorders>
              <w:top w:val="dotted" w:sz="4" w:space="0" w:color="auto"/>
              <w:left w:val="dotted" w:sz="4" w:space="0" w:color="auto"/>
              <w:bottom w:val="dotted" w:sz="4" w:space="0" w:color="auto"/>
              <w:right w:val="dotted" w:sz="4" w:space="0" w:color="auto"/>
            </w:tcBorders>
            <w:vAlign w:val="bottom"/>
          </w:tcPr>
          <w:p w:rsidR="008C3385" w:rsidRDefault="008C3385" w:rsidP="003133F2">
            <w:pPr>
              <w:jc w:val="right"/>
              <w:rPr>
                <w:rFonts w:ascii="Tahoma" w:hAnsi="Tahoma" w:cs="Tahoma"/>
              </w:rPr>
            </w:pPr>
            <w:r>
              <w:rPr>
                <w:rFonts w:ascii="Tahoma" w:hAnsi="Tahoma" w:cs="Tahoma"/>
              </w:rPr>
              <w:t>79,9%</w:t>
            </w:r>
          </w:p>
        </w:tc>
        <w:tc>
          <w:tcPr>
            <w:tcW w:w="819" w:type="dxa"/>
            <w:tcBorders>
              <w:top w:val="dotted" w:sz="4" w:space="0" w:color="auto"/>
              <w:left w:val="dotted" w:sz="4" w:space="0" w:color="auto"/>
              <w:bottom w:val="dotted" w:sz="4" w:space="0" w:color="auto"/>
              <w:right w:val="dotted" w:sz="4" w:space="0" w:color="auto"/>
            </w:tcBorders>
            <w:shd w:val="clear" w:color="auto" w:fill="auto"/>
            <w:noWrap/>
            <w:vAlign w:val="bottom"/>
          </w:tcPr>
          <w:p w:rsidR="008C3385" w:rsidRDefault="008C3385" w:rsidP="003133F2">
            <w:pPr>
              <w:jc w:val="right"/>
              <w:rPr>
                <w:rFonts w:ascii="Tahoma" w:hAnsi="Tahoma" w:cs="Tahoma"/>
              </w:rPr>
            </w:pPr>
            <w:r>
              <w:rPr>
                <w:rFonts w:ascii="Tahoma" w:hAnsi="Tahoma" w:cs="Tahoma"/>
              </w:rPr>
              <w:t>8,9%</w:t>
            </w:r>
          </w:p>
        </w:tc>
        <w:tc>
          <w:tcPr>
            <w:tcW w:w="1028" w:type="dxa"/>
            <w:tcBorders>
              <w:top w:val="dotted" w:sz="4" w:space="0" w:color="auto"/>
              <w:left w:val="dotted" w:sz="4" w:space="0" w:color="auto"/>
              <w:bottom w:val="dotted" w:sz="4" w:space="0" w:color="auto"/>
              <w:right w:val="nil"/>
            </w:tcBorders>
            <w:shd w:val="clear" w:color="auto" w:fill="auto"/>
            <w:noWrap/>
            <w:vAlign w:val="bottom"/>
          </w:tcPr>
          <w:p w:rsidR="008C3385" w:rsidRDefault="008C3385" w:rsidP="003133F2">
            <w:pPr>
              <w:jc w:val="right"/>
              <w:rPr>
                <w:rFonts w:ascii="Tahoma" w:hAnsi="Tahoma" w:cs="Tahoma"/>
              </w:rPr>
            </w:pPr>
            <w:r>
              <w:rPr>
                <w:rFonts w:ascii="Tahoma" w:hAnsi="Tahoma" w:cs="Tahoma"/>
              </w:rPr>
              <w:t>6,9%</w:t>
            </w:r>
          </w:p>
        </w:tc>
      </w:tr>
      <w:tr w:rsidR="008C3385" w:rsidRPr="00B01983" w:rsidTr="003133F2">
        <w:trPr>
          <w:trHeight w:val="255"/>
          <w:jc w:val="center"/>
        </w:trPr>
        <w:tc>
          <w:tcPr>
            <w:tcW w:w="3892" w:type="dxa"/>
            <w:tcBorders>
              <w:top w:val="dotted" w:sz="4" w:space="0" w:color="auto"/>
              <w:left w:val="nil"/>
              <w:bottom w:val="dotted" w:sz="4" w:space="0" w:color="auto"/>
              <w:right w:val="single" w:sz="8" w:space="0" w:color="auto"/>
            </w:tcBorders>
            <w:shd w:val="clear" w:color="000000" w:fill="FFFFFF"/>
            <w:noWrap/>
            <w:vAlign w:val="bottom"/>
          </w:tcPr>
          <w:p w:rsidR="008C3385" w:rsidRPr="004B67CF" w:rsidRDefault="008C3385" w:rsidP="003133F2">
            <w:pPr>
              <w:rPr>
                <w:rFonts w:ascii="Tahoma" w:hAnsi="Tahoma" w:cs="Tahoma"/>
                <w:b/>
                <w:bCs/>
              </w:rPr>
            </w:pPr>
            <w:r w:rsidRPr="004B67CF">
              <w:rPr>
                <w:rFonts w:ascii="Tahoma" w:hAnsi="Tahoma" w:cs="Tahoma"/>
                <w:b/>
                <w:bCs/>
              </w:rPr>
              <w:t>Χώρες Αφρικής (εκτός Β. Αφρικής)</w:t>
            </w:r>
          </w:p>
        </w:tc>
        <w:tc>
          <w:tcPr>
            <w:tcW w:w="1106" w:type="dxa"/>
            <w:tcBorders>
              <w:top w:val="dotted" w:sz="4" w:space="0" w:color="auto"/>
              <w:left w:val="single" w:sz="8" w:space="0" w:color="auto"/>
              <w:bottom w:val="dotted" w:sz="4" w:space="0" w:color="auto"/>
              <w:right w:val="dotted" w:sz="4" w:space="0" w:color="auto"/>
            </w:tcBorders>
            <w:shd w:val="clear" w:color="auto" w:fill="auto"/>
            <w:noWrap/>
            <w:vAlign w:val="bottom"/>
          </w:tcPr>
          <w:p w:rsidR="008C3385" w:rsidRDefault="008C3385" w:rsidP="003133F2">
            <w:pPr>
              <w:jc w:val="center"/>
              <w:rPr>
                <w:rFonts w:ascii="Tahoma" w:hAnsi="Tahoma" w:cs="Tahoma"/>
              </w:rPr>
            </w:pPr>
            <w:r>
              <w:rPr>
                <w:rFonts w:ascii="Tahoma" w:hAnsi="Tahoma" w:cs="Tahoma"/>
              </w:rPr>
              <w:t>124,1</w:t>
            </w:r>
          </w:p>
        </w:tc>
        <w:tc>
          <w:tcPr>
            <w:tcW w:w="1106" w:type="dxa"/>
            <w:tcBorders>
              <w:top w:val="dotted" w:sz="4" w:space="0" w:color="auto"/>
              <w:left w:val="dotted" w:sz="4" w:space="0" w:color="auto"/>
              <w:bottom w:val="dotted" w:sz="4" w:space="0" w:color="auto"/>
              <w:right w:val="dotted" w:sz="4" w:space="0" w:color="auto"/>
            </w:tcBorders>
            <w:shd w:val="clear" w:color="auto" w:fill="auto"/>
            <w:noWrap/>
            <w:vAlign w:val="bottom"/>
          </w:tcPr>
          <w:p w:rsidR="008C3385" w:rsidRDefault="008C3385" w:rsidP="003133F2">
            <w:pPr>
              <w:jc w:val="center"/>
              <w:rPr>
                <w:rFonts w:ascii="Tahoma" w:hAnsi="Tahoma" w:cs="Tahoma"/>
              </w:rPr>
            </w:pPr>
            <w:r>
              <w:rPr>
                <w:rFonts w:ascii="Tahoma" w:hAnsi="Tahoma" w:cs="Tahoma"/>
              </w:rPr>
              <w:t>98,1</w:t>
            </w:r>
          </w:p>
        </w:tc>
        <w:tc>
          <w:tcPr>
            <w:tcW w:w="1118" w:type="dxa"/>
            <w:tcBorders>
              <w:top w:val="dotted" w:sz="4" w:space="0" w:color="auto"/>
              <w:left w:val="dotted" w:sz="4" w:space="0" w:color="auto"/>
              <w:bottom w:val="dotted" w:sz="4" w:space="0" w:color="auto"/>
              <w:right w:val="dotted" w:sz="4" w:space="0" w:color="auto"/>
            </w:tcBorders>
            <w:vAlign w:val="bottom"/>
          </w:tcPr>
          <w:p w:rsidR="008C3385" w:rsidRDefault="008C3385" w:rsidP="003133F2">
            <w:pPr>
              <w:jc w:val="right"/>
              <w:rPr>
                <w:rFonts w:ascii="Tahoma" w:hAnsi="Tahoma" w:cs="Tahoma"/>
              </w:rPr>
            </w:pPr>
            <w:r>
              <w:rPr>
                <w:rFonts w:ascii="Tahoma" w:hAnsi="Tahoma" w:cs="Tahoma"/>
              </w:rPr>
              <w:t>26,5%</w:t>
            </w:r>
          </w:p>
        </w:tc>
        <w:tc>
          <w:tcPr>
            <w:tcW w:w="819" w:type="dxa"/>
            <w:tcBorders>
              <w:top w:val="dotted" w:sz="4" w:space="0" w:color="auto"/>
              <w:left w:val="dotted" w:sz="4" w:space="0" w:color="auto"/>
              <w:bottom w:val="dotted" w:sz="4" w:space="0" w:color="auto"/>
              <w:right w:val="dotted" w:sz="4" w:space="0" w:color="auto"/>
            </w:tcBorders>
            <w:shd w:val="clear" w:color="auto" w:fill="auto"/>
            <w:noWrap/>
            <w:vAlign w:val="bottom"/>
          </w:tcPr>
          <w:p w:rsidR="008C3385" w:rsidRDefault="008C3385" w:rsidP="003133F2">
            <w:pPr>
              <w:jc w:val="right"/>
              <w:rPr>
                <w:rFonts w:ascii="Tahoma" w:hAnsi="Tahoma" w:cs="Tahoma"/>
              </w:rPr>
            </w:pPr>
            <w:r>
              <w:rPr>
                <w:rFonts w:ascii="Tahoma" w:hAnsi="Tahoma" w:cs="Tahoma"/>
              </w:rPr>
              <w:t>0,6%</w:t>
            </w:r>
          </w:p>
        </w:tc>
        <w:tc>
          <w:tcPr>
            <w:tcW w:w="1028" w:type="dxa"/>
            <w:tcBorders>
              <w:top w:val="dotted" w:sz="4" w:space="0" w:color="auto"/>
              <w:left w:val="dotted" w:sz="4" w:space="0" w:color="auto"/>
              <w:bottom w:val="dotted" w:sz="4" w:space="0" w:color="auto"/>
              <w:right w:val="nil"/>
            </w:tcBorders>
            <w:shd w:val="clear" w:color="auto" w:fill="auto"/>
            <w:noWrap/>
            <w:vAlign w:val="bottom"/>
          </w:tcPr>
          <w:p w:rsidR="008C3385" w:rsidRDefault="008C3385" w:rsidP="003133F2">
            <w:pPr>
              <w:jc w:val="right"/>
              <w:rPr>
                <w:rFonts w:ascii="Tahoma" w:hAnsi="Tahoma" w:cs="Tahoma"/>
              </w:rPr>
            </w:pPr>
            <w:r>
              <w:rPr>
                <w:rFonts w:ascii="Tahoma" w:hAnsi="Tahoma" w:cs="Tahoma"/>
              </w:rPr>
              <w:t>0,7%</w:t>
            </w:r>
          </w:p>
        </w:tc>
      </w:tr>
      <w:tr w:rsidR="008C3385" w:rsidRPr="00B01983" w:rsidTr="003133F2">
        <w:trPr>
          <w:trHeight w:val="255"/>
          <w:jc w:val="center"/>
        </w:trPr>
        <w:tc>
          <w:tcPr>
            <w:tcW w:w="3892" w:type="dxa"/>
            <w:tcBorders>
              <w:top w:val="dotted" w:sz="4" w:space="0" w:color="auto"/>
              <w:left w:val="nil"/>
              <w:bottom w:val="dotted" w:sz="4" w:space="0" w:color="auto"/>
              <w:right w:val="single" w:sz="8" w:space="0" w:color="auto"/>
            </w:tcBorders>
            <w:shd w:val="clear" w:color="000000" w:fill="FFFFFF"/>
            <w:noWrap/>
            <w:vAlign w:val="bottom"/>
          </w:tcPr>
          <w:p w:rsidR="008C3385" w:rsidRPr="004B67CF" w:rsidRDefault="008C3385" w:rsidP="003133F2">
            <w:pPr>
              <w:rPr>
                <w:rFonts w:ascii="Tahoma" w:hAnsi="Tahoma" w:cs="Tahoma"/>
                <w:b/>
                <w:bCs/>
              </w:rPr>
            </w:pPr>
            <w:r w:rsidRPr="004B67CF">
              <w:rPr>
                <w:rFonts w:ascii="Tahoma" w:hAnsi="Tahoma" w:cs="Tahoma"/>
                <w:b/>
                <w:bCs/>
              </w:rPr>
              <w:t>Ν.Α. Ασία</w:t>
            </w:r>
          </w:p>
        </w:tc>
        <w:tc>
          <w:tcPr>
            <w:tcW w:w="1106" w:type="dxa"/>
            <w:tcBorders>
              <w:top w:val="dotted" w:sz="4" w:space="0" w:color="auto"/>
              <w:left w:val="single" w:sz="8" w:space="0" w:color="auto"/>
              <w:bottom w:val="dotted" w:sz="4" w:space="0" w:color="auto"/>
              <w:right w:val="dotted" w:sz="4" w:space="0" w:color="auto"/>
            </w:tcBorders>
            <w:shd w:val="clear" w:color="auto" w:fill="auto"/>
            <w:noWrap/>
            <w:vAlign w:val="bottom"/>
          </w:tcPr>
          <w:p w:rsidR="008C3385" w:rsidRDefault="008C3385" w:rsidP="003133F2">
            <w:pPr>
              <w:jc w:val="center"/>
              <w:rPr>
                <w:rFonts w:ascii="Tahoma" w:hAnsi="Tahoma" w:cs="Tahoma"/>
              </w:rPr>
            </w:pPr>
            <w:r>
              <w:rPr>
                <w:rFonts w:ascii="Tahoma" w:hAnsi="Tahoma" w:cs="Tahoma"/>
              </w:rPr>
              <w:t>725,4</w:t>
            </w:r>
          </w:p>
        </w:tc>
        <w:tc>
          <w:tcPr>
            <w:tcW w:w="1106" w:type="dxa"/>
            <w:tcBorders>
              <w:top w:val="dotted" w:sz="4" w:space="0" w:color="auto"/>
              <w:left w:val="dotted" w:sz="4" w:space="0" w:color="auto"/>
              <w:bottom w:val="dotted" w:sz="4" w:space="0" w:color="auto"/>
              <w:right w:val="dotted" w:sz="4" w:space="0" w:color="auto"/>
            </w:tcBorders>
            <w:shd w:val="clear" w:color="auto" w:fill="auto"/>
            <w:noWrap/>
            <w:vAlign w:val="bottom"/>
          </w:tcPr>
          <w:p w:rsidR="008C3385" w:rsidRDefault="008C3385" w:rsidP="003133F2">
            <w:pPr>
              <w:jc w:val="center"/>
              <w:rPr>
                <w:rFonts w:ascii="Tahoma" w:hAnsi="Tahoma" w:cs="Tahoma"/>
              </w:rPr>
            </w:pPr>
            <w:r>
              <w:rPr>
                <w:rFonts w:ascii="Tahoma" w:hAnsi="Tahoma" w:cs="Tahoma"/>
              </w:rPr>
              <w:t>218,1</w:t>
            </w:r>
          </w:p>
        </w:tc>
        <w:tc>
          <w:tcPr>
            <w:tcW w:w="1118" w:type="dxa"/>
            <w:tcBorders>
              <w:top w:val="dotted" w:sz="4" w:space="0" w:color="auto"/>
              <w:left w:val="dotted" w:sz="4" w:space="0" w:color="auto"/>
              <w:bottom w:val="dotted" w:sz="4" w:space="0" w:color="auto"/>
              <w:right w:val="dotted" w:sz="4" w:space="0" w:color="auto"/>
            </w:tcBorders>
            <w:vAlign w:val="bottom"/>
          </w:tcPr>
          <w:p w:rsidR="008C3385" w:rsidRDefault="008C3385" w:rsidP="003133F2">
            <w:pPr>
              <w:jc w:val="right"/>
              <w:rPr>
                <w:rFonts w:ascii="Tahoma" w:hAnsi="Tahoma" w:cs="Tahoma"/>
              </w:rPr>
            </w:pPr>
            <w:r>
              <w:rPr>
                <w:rFonts w:ascii="Tahoma" w:hAnsi="Tahoma" w:cs="Tahoma"/>
              </w:rPr>
              <w:t>232,6%</w:t>
            </w:r>
          </w:p>
        </w:tc>
        <w:tc>
          <w:tcPr>
            <w:tcW w:w="819" w:type="dxa"/>
            <w:tcBorders>
              <w:top w:val="dotted" w:sz="4" w:space="0" w:color="auto"/>
              <w:left w:val="dotted" w:sz="4" w:space="0" w:color="auto"/>
              <w:bottom w:val="dotted" w:sz="4" w:space="0" w:color="auto"/>
              <w:right w:val="dotted" w:sz="4" w:space="0" w:color="auto"/>
            </w:tcBorders>
            <w:shd w:val="clear" w:color="auto" w:fill="auto"/>
            <w:noWrap/>
            <w:vAlign w:val="bottom"/>
          </w:tcPr>
          <w:p w:rsidR="008C3385" w:rsidRDefault="008C3385" w:rsidP="003133F2">
            <w:pPr>
              <w:jc w:val="right"/>
              <w:rPr>
                <w:rFonts w:ascii="Tahoma" w:hAnsi="Tahoma" w:cs="Tahoma"/>
              </w:rPr>
            </w:pPr>
            <w:r>
              <w:rPr>
                <w:rFonts w:ascii="Tahoma" w:hAnsi="Tahoma" w:cs="Tahoma"/>
              </w:rPr>
              <w:t>3,6%</w:t>
            </w:r>
          </w:p>
        </w:tc>
        <w:tc>
          <w:tcPr>
            <w:tcW w:w="1028" w:type="dxa"/>
            <w:tcBorders>
              <w:top w:val="dotted" w:sz="4" w:space="0" w:color="auto"/>
              <w:left w:val="dotted" w:sz="4" w:space="0" w:color="auto"/>
              <w:bottom w:val="dotted" w:sz="4" w:space="0" w:color="auto"/>
              <w:right w:val="nil"/>
            </w:tcBorders>
            <w:shd w:val="clear" w:color="auto" w:fill="auto"/>
            <w:noWrap/>
            <w:vAlign w:val="bottom"/>
          </w:tcPr>
          <w:p w:rsidR="008C3385" w:rsidRDefault="008C3385" w:rsidP="003133F2">
            <w:pPr>
              <w:jc w:val="right"/>
              <w:rPr>
                <w:rFonts w:ascii="Tahoma" w:hAnsi="Tahoma" w:cs="Tahoma"/>
              </w:rPr>
            </w:pPr>
            <w:r>
              <w:rPr>
                <w:rFonts w:ascii="Tahoma" w:hAnsi="Tahoma" w:cs="Tahoma"/>
              </w:rPr>
              <w:t>1,5%</w:t>
            </w:r>
          </w:p>
        </w:tc>
      </w:tr>
      <w:tr w:rsidR="008C3385" w:rsidRPr="00B01983" w:rsidTr="003133F2">
        <w:trPr>
          <w:trHeight w:val="255"/>
          <w:jc w:val="center"/>
        </w:trPr>
        <w:tc>
          <w:tcPr>
            <w:tcW w:w="3892" w:type="dxa"/>
            <w:tcBorders>
              <w:top w:val="dotted" w:sz="4" w:space="0" w:color="auto"/>
              <w:left w:val="nil"/>
              <w:bottom w:val="dotted" w:sz="4" w:space="0" w:color="auto"/>
              <w:right w:val="single" w:sz="8" w:space="0" w:color="auto"/>
            </w:tcBorders>
            <w:shd w:val="clear" w:color="000000" w:fill="FFFFFF"/>
            <w:noWrap/>
            <w:vAlign w:val="bottom"/>
          </w:tcPr>
          <w:p w:rsidR="008C3385" w:rsidRPr="004B67CF" w:rsidRDefault="008C3385" w:rsidP="003133F2">
            <w:pPr>
              <w:rPr>
                <w:rFonts w:ascii="Tahoma" w:hAnsi="Tahoma" w:cs="Tahoma"/>
                <w:b/>
                <w:bCs/>
              </w:rPr>
            </w:pPr>
            <w:r w:rsidRPr="004B67CF">
              <w:rPr>
                <w:rFonts w:ascii="Tahoma" w:hAnsi="Tahoma" w:cs="Tahoma"/>
                <w:b/>
                <w:bCs/>
              </w:rPr>
              <w:t>Λατ. Αμερική</w:t>
            </w:r>
          </w:p>
        </w:tc>
        <w:tc>
          <w:tcPr>
            <w:tcW w:w="1106" w:type="dxa"/>
            <w:tcBorders>
              <w:top w:val="dotted" w:sz="4" w:space="0" w:color="auto"/>
              <w:left w:val="single" w:sz="8" w:space="0" w:color="auto"/>
              <w:bottom w:val="dotted" w:sz="4" w:space="0" w:color="auto"/>
              <w:right w:val="dotted" w:sz="4" w:space="0" w:color="auto"/>
            </w:tcBorders>
            <w:shd w:val="clear" w:color="auto" w:fill="auto"/>
            <w:noWrap/>
            <w:vAlign w:val="bottom"/>
          </w:tcPr>
          <w:p w:rsidR="008C3385" w:rsidRDefault="008C3385" w:rsidP="003133F2">
            <w:pPr>
              <w:jc w:val="center"/>
              <w:rPr>
                <w:rFonts w:ascii="Tahoma" w:hAnsi="Tahoma" w:cs="Tahoma"/>
              </w:rPr>
            </w:pPr>
            <w:r>
              <w:rPr>
                <w:rFonts w:ascii="Tahoma" w:hAnsi="Tahoma" w:cs="Tahoma"/>
              </w:rPr>
              <w:t>71,1</w:t>
            </w:r>
          </w:p>
        </w:tc>
        <w:tc>
          <w:tcPr>
            <w:tcW w:w="1106" w:type="dxa"/>
            <w:tcBorders>
              <w:top w:val="dotted" w:sz="4" w:space="0" w:color="auto"/>
              <w:left w:val="dotted" w:sz="4" w:space="0" w:color="auto"/>
              <w:bottom w:val="dotted" w:sz="4" w:space="0" w:color="auto"/>
              <w:right w:val="dotted" w:sz="4" w:space="0" w:color="auto"/>
            </w:tcBorders>
            <w:shd w:val="clear" w:color="auto" w:fill="auto"/>
            <w:noWrap/>
            <w:vAlign w:val="bottom"/>
          </w:tcPr>
          <w:p w:rsidR="008C3385" w:rsidRDefault="008C3385" w:rsidP="003133F2">
            <w:pPr>
              <w:jc w:val="center"/>
              <w:rPr>
                <w:rFonts w:ascii="Tahoma" w:hAnsi="Tahoma" w:cs="Tahoma"/>
              </w:rPr>
            </w:pPr>
            <w:r>
              <w:rPr>
                <w:rFonts w:ascii="Tahoma" w:hAnsi="Tahoma" w:cs="Tahoma"/>
              </w:rPr>
              <w:t>48,9</w:t>
            </w:r>
          </w:p>
        </w:tc>
        <w:tc>
          <w:tcPr>
            <w:tcW w:w="1118" w:type="dxa"/>
            <w:tcBorders>
              <w:top w:val="dotted" w:sz="4" w:space="0" w:color="auto"/>
              <w:left w:val="dotted" w:sz="4" w:space="0" w:color="auto"/>
              <w:bottom w:val="dotted" w:sz="4" w:space="0" w:color="auto"/>
              <w:right w:val="dotted" w:sz="4" w:space="0" w:color="auto"/>
            </w:tcBorders>
            <w:vAlign w:val="bottom"/>
          </w:tcPr>
          <w:p w:rsidR="008C3385" w:rsidRDefault="008C3385" w:rsidP="003133F2">
            <w:pPr>
              <w:jc w:val="right"/>
              <w:rPr>
                <w:rFonts w:ascii="Tahoma" w:hAnsi="Tahoma" w:cs="Tahoma"/>
              </w:rPr>
            </w:pPr>
            <w:r>
              <w:rPr>
                <w:rFonts w:ascii="Tahoma" w:hAnsi="Tahoma" w:cs="Tahoma"/>
              </w:rPr>
              <w:t>45,4%</w:t>
            </w:r>
          </w:p>
        </w:tc>
        <w:tc>
          <w:tcPr>
            <w:tcW w:w="819" w:type="dxa"/>
            <w:tcBorders>
              <w:top w:val="dotted" w:sz="4" w:space="0" w:color="auto"/>
              <w:left w:val="dotted" w:sz="4" w:space="0" w:color="auto"/>
              <w:bottom w:val="dotted" w:sz="4" w:space="0" w:color="auto"/>
              <w:right w:val="dotted" w:sz="4" w:space="0" w:color="auto"/>
            </w:tcBorders>
            <w:shd w:val="clear" w:color="auto" w:fill="auto"/>
            <w:noWrap/>
            <w:vAlign w:val="bottom"/>
          </w:tcPr>
          <w:p w:rsidR="008C3385" w:rsidRDefault="008C3385" w:rsidP="003133F2">
            <w:pPr>
              <w:jc w:val="right"/>
              <w:rPr>
                <w:rFonts w:ascii="Tahoma" w:hAnsi="Tahoma" w:cs="Tahoma"/>
              </w:rPr>
            </w:pPr>
            <w:r>
              <w:rPr>
                <w:rFonts w:ascii="Tahoma" w:hAnsi="Tahoma" w:cs="Tahoma"/>
              </w:rPr>
              <w:t>0,4%</w:t>
            </w:r>
          </w:p>
        </w:tc>
        <w:tc>
          <w:tcPr>
            <w:tcW w:w="1028" w:type="dxa"/>
            <w:tcBorders>
              <w:top w:val="dotted" w:sz="4" w:space="0" w:color="auto"/>
              <w:left w:val="dotted" w:sz="4" w:space="0" w:color="auto"/>
              <w:bottom w:val="dotted" w:sz="4" w:space="0" w:color="auto"/>
              <w:right w:val="nil"/>
            </w:tcBorders>
            <w:shd w:val="clear" w:color="auto" w:fill="auto"/>
            <w:noWrap/>
            <w:vAlign w:val="bottom"/>
          </w:tcPr>
          <w:p w:rsidR="008C3385" w:rsidRDefault="008C3385" w:rsidP="003133F2">
            <w:pPr>
              <w:jc w:val="right"/>
              <w:rPr>
                <w:rFonts w:ascii="Tahoma" w:hAnsi="Tahoma" w:cs="Tahoma"/>
              </w:rPr>
            </w:pPr>
            <w:r>
              <w:rPr>
                <w:rFonts w:ascii="Tahoma" w:hAnsi="Tahoma" w:cs="Tahoma"/>
              </w:rPr>
              <w:t>0,3%</w:t>
            </w:r>
          </w:p>
        </w:tc>
      </w:tr>
      <w:tr w:rsidR="008C3385" w:rsidRPr="00B01983" w:rsidTr="003133F2">
        <w:trPr>
          <w:trHeight w:val="255"/>
          <w:jc w:val="center"/>
        </w:trPr>
        <w:tc>
          <w:tcPr>
            <w:tcW w:w="3892" w:type="dxa"/>
            <w:tcBorders>
              <w:top w:val="dotted" w:sz="4" w:space="0" w:color="auto"/>
              <w:left w:val="nil"/>
              <w:bottom w:val="single" w:sz="4" w:space="0" w:color="auto"/>
              <w:right w:val="single" w:sz="8" w:space="0" w:color="auto"/>
            </w:tcBorders>
            <w:shd w:val="clear" w:color="000000" w:fill="FFFFFF"/>
            <w:noWrap/>
            <w:vAlign w:val="bottom"/>
          </w:tcPr>
          <w:p w:rsidR="008C3385" w:rsidRPr="004B67CF" w:rsidRDefault="008C3385" w:rsidP="003133F2">
            <w:pPr>
              <w:rPr>
                <w:rFonts w:ascii="Tahoma" w:hAnsi="Tahoma" w:cs="Tahoma"/>
                <w:b/>
                <w:bCs/>
              </w:rPr>
            </w:pPr>
            <w:r w:rsidRPr="004B67CF">
              <w:rPr>
                <w:rFonts w:ascii="Tahoma" w:hAnsi="Tahoma" w:cs="Tahoma"/>
                <w:b/>
                <w:bCs/>
              </w:rPr>
              <w:t>Λοιπές Χώρες</w:t>
            </w:r>
          </w:p>
        </w:tc>
        <w:tc>
          <w:tcPr>
            <w:tcW w:w="1106" w:type="dxa"/>
            <w:tcBorders>
              <w:top w:val="dotted" w:sz="4" w:space="0" w:color="auto"/>
              <w:left w:val="single" w:sz="8" w:space="0" w:color="auto"/>
              <w:bottom w:val="single" w:sz="4" w:space="0" w:color="auto"/>
              <w:right w:val="dotted" w:sz="4" w:space="0" w:color="auto"/>
            </w:tcBorders>
            <w:shd w:val="clear" w:color="auto" w:fill="auto"/>
            <w:noWrap/>
            <w:vAlign w:val="bottom"/>
          </w:tcPr>
          <w:p w:rsidR="008C3385" w:rsidRDefault="008C3385" w:rsidP="003133F2">
            <w:pPr>
              <w:jc w:val="center"/>
              <w:rPr>
                <w:rFonts w:ascii="Tahoma" w:hAnsi="Tahoma" w:cs="Tahoma"/>
              </w:rPr>
            </w:pPr>
            <w:r>
              <w:rPr>
                <w:rFonts w:ascii="Tahoma" w:hAnsi="Tahoma" w:cs="Tahoma"/>
              </w:rPr>
              <w:t>2.052,9</w:t>
            </w:r>
          </w:p>
        </w:tc>
        <w:tc>
          <w:tcPr>
            <w:tcW w:w="1106" w:type="dxa"/>
            <w:tcBorders>
              <w:top w:val="dotted" w:sz="4" w:space="0" w:color="auto"/>
              <w:left w:val="dotted" w:sz="4" w:space="0" w:color="auto"/>
              <w:bottom w:val="single" w:sz="4" w:space="0" w:color="auto"/>
              <w:right w:val="dotted" w:sz="4" w:space="0" w:color="auto"/>
            </w:tcBorders>
            <w:shd w:val="clear" w:color="auto" w:fill="auto"/>
            <w:noWrap/>
            <w:vAlign w:val="bottom"/>
          </w:tcPr>
          <w:p w:rsidR="008C3385" w:rsidRDefault="008C3385" w:rsidP="003133F2">
            <w:pPr>
              <w:jc w:val="center"/>
              <w:rPr>
                <w:rFonts w:ascii="Tahoma" w:hAnsi="Tahoma" w:cs="Tahoma"/>
              </w:rPr>
            </w:pPr>
            <w:r>
              <w:rPr>
                <w:rFonts w:ascii="Tahoma" w:hAnsi="Tahoma" w:cs="Tahoma"/>
              </w:rPr>
              <w:t>674,0</w:t>
            </w:r>
          </w:p>
        </w:tc>
        <w:tc>
          <w:tcPr>
            <w:tcW w:w="1118" w:type="dxa"/>
            <w:tcBorders>
              <w:top w:val="dotted" w:sz="4" w:space="0" w:color="auto"/>
              <w:left w:val="dotted" w:sz="4" w:space="0" w:color="auto"/>
              <w:bottom w:val="single" w:sz="4" w:space="0" w:color="auto"/>
              <w:right w:val="dotted" w:sz="4" w:space="0" w:color="auto"/>
            </w:tcBorders>
            <w:vAlign w:val="bottom"/>
          </w:tcPr>
          <w:p w:rsidR="008C3385" w:rsidRDefault="008C3385" w:rsidP="003133F2">
            <w:pPr>
              <w:jc w:val="right"/>
              <w:rPr>
                <w:rFonts w:ascii="Tahoma" w:hAnsi="Tahoma" w:cs="Tahoma"/>
              </w:rPr>
            </w:pPr>
            <w:r>
              <w:rPr>
                <w:rFonts w:ascii="Tahoma" w:hAnsi="Tahoma" w:cs="Tahoma"/>
              </w:rPr>
              <w:t>204,6%</w:t>
            </w:r>
          </w:p>
        </w:tc>
        <w:tc>
          <w:tcPr>
            <w:tcW w:w="819" w:type="dxa"/>
            <w:tcBorders>
              <w:top w:val="dotted" w:sz="4" w:space="0" w:color="auto"/>
              <w:left w:val="dotted" w:sz="4" w:space="0" w:color="auto"/>
              <w:bottom w:val="single" w:sz="4" w:space="0" w:color="auto"/>
              <w:right w:val="dotted" w:sz="4" w:space="0" w:color="auto"/>
            </w:tcBorders>
            <w:shd w:val="clear" w:color="auto" w:fill="auto"/>
            <w:noWrap/>
            <w:vAlign w:val="bottom"/>
          </w:tcPr>
          <w:p w:rsidR="008C3385" w:rsidRDefault="008C3385" w:rsidP="003133F2">
            <w:pPr>
              <w:jc w:val="right"/>
              <w:rPr>
                <w:rFonts w:ascii="Tahoma" w:hAnsi="Tahoma" w:cs="Tahoma"/>
              </w:rPr>
            </w:pPr>
            <w:r>
              <w:rPr>
                <w:rFonts w:ascii="Tahoma" w:hAnsi="Tahoma" w:cs="Tahoma"/>
              </w:rPr>
              <w:t>10,1%</w:t>
            </w:r>
          </w:p>
        </w:tc>
        <w:tc>
          <w:tcPr>
            <w:tcW w:w="1028" w:type="dxa"/>
            <w:tcBorders>
              <w:top w:val="dotted" w:sz="4" w:space="0" w:color="auto"/>
              <w:left w:val="dotted" w:sz="4" w:space="0" w:color="auto"/>
              <w:bottom w:val="single" w:sz="4" w:space="0" w:color="auto"/>
              <w:right w:val="nil"/>
            </w:tcBorders>
            <w:shd w:val="clear" w:color="auto" w:fill="auto"/>
            <w:noWrap/>
            <w:vAlign w:val="bottom"/>
          </w:tcPr>
          <w:p w:rsidR="008C3385" w:rsidRDefault="008C3385" w:rsidP="003133F2">
            <w:pPr>
              <w:jc w:val="right"/>
              <w:rPr>
                <w:rFonts w:ascii="Tahoma" w:hAnsi="Tahoma" w:cs="Tahoma"/>
              </w:rPr>
            </w:pPr>
            <w:r>
              <w:rPr>
                <w:rFonts w:ascii="Tahoma" w:hAnsi="Tahoma" w:cs="Tahoma"/>
              </w:rPr>
              <w:t>4,6%</w:t>
            </w:r>
          </w:p>
        </w:tc>
      </w:tr>
      <w:tr w:rsidR="008C3385" w:rsidRPr="00B01983" w:rsidTr="003133F2">
        <w:trPr>
          <w:trHeight w:val="255"/>
          <w:jc w:val="center"/>
        </w:trPr>
        <w:tc>
          <w:tcPr>
            <w:tcW w:w="3892" w:type="dxa"/>
            <w:tcBorders>
              <w:top w:val="single" w:sz="4" w:space="0" w:color="auto"/>
              <w:left w:val="nil"/>
              <w:bottom w:val="single" w:sz="12" w:space="0" w:color="auto"/>
              <w:right w:val="single" w:sz="8" w:space="0" w:color="auto"/>
            </w:tcBorders>
            <w:shd w:val="clear" w:color="000000" w:fill="FFFFFF"/>
            <w:noWrap/>
            <w:vAlign w:val="bottom"/>
          </w:tcPr>
          <w:p w:rsidR="008C3385" w:rsidRPr="004B67CF" w:rsidRDefault="008C3385" w:rsidP="003133F2">
            <w:pPr>
              <w:rPr>
                <w:rFonts w:ascii="Tahoma" w:hAnsi="Tahoma" w:cs="Tahoma"/>
                <w:b/>
                <w:bCs/>
              </w:rPr>
            </w:pPr>
            <w:r w:rsidRPr="004B67CF">
              <w:rPr>
                <w:rFonts w:ascii="Tahoma" w:hAnsi="Tahoma" w:cs="Tahoma"/>
                <w:b/>
                <w:bCs/>
              </w:rPr>
              <w:t>Σύνολο</w:t>
            </w:r>
          </w:p>
        </w:tc>
        <w:tc>
          <w:tcPr>
            <w:tcW w:w="1106" w:type="dxa"/>
            <w:tcBorders>
              <w:top w:val="single" w:sz="4" w:space="0" w:color="auto"/>
              <w:left w:val="single" w:sz="8" w:space="0" w:color="auto"/>
              <w:bottom w:val="single" w:sz="12" w:space="0" w:color="auto"/>
              <w:right w:val="dotted" w:sz="4" w:space="0" w:color="auto"/>
            </w:tcBorders>
            <w:shd w:val="clear" w:color="auto" w:fill="auto"/>
            <w:noWrap/>
            <w:vAlign w:val="bottom"/>
          </w:tcPr>
          <w:p w:rsidR="008C3385" w:rsidRDefault="008C3385" w:rsidP="003133F2">
            <w:pPr>
              <w:jc w:val="center"/>
              <w:rPr>
                <w:rFonts w:ascii="Tahoma" w:hAnsi="Tahoma" w:cs="Tahoma"/>
                <w:b/>
                <w:bCs/>
                <w:color w:val="000000"/>
              </w:rPr>
            </w:pPr>
            <w:r>
              <w:rPr>
                <w:rFonts w:ascii="Tahoma" w:hAnsi="Tahoma" w:cs="Tahoma"/>
                <w:b/>
                <w:bCs/>
                <w:color w:val="000000"/>
              </w:rPr>
              <w:t>20.229,0</w:t>
            </w:r>
          </w:p>
        </w:tc>
        <w:tc>
          <w:tcPr>
            <w:tcW w:w="1106" w:type="dxa"/>
            <w:tcBorders>
              <w:top w:val="single" w:sz="4" w:space="0" w:color="auto"/>
              <w:left w:val="dotted" w:sz="4" w:space="0" w:color="auto"/>
              <w:bottom w:val="single" w:sz="12" w:space="0" w:color="auto"/>
              <w:right w:val="dotted" w:sz="4" w:space="0" w:color="auto"/>
            </w:tcBorders>
            <w:shd w:val="clear" w:color="auto" w:fill="auto"/>
            <w:noWrap/>
            <w:vAlign w:val="bottom"/>
          </w:tcPr>
          <w:p w:rsidR="008C3385" w:rsidRDefault="008C3385" w:rsidP="003133F2">
            <w:pPr>
              <w:jc w:val="center"/>
              <w:rPr>
                <w:rFonts w:ascii="Tahoma" w:hAnsi="Tahoma" w:cs="Tahoma"/>
                <w:b/>
                <w:bCs/>
                <w:color w:val="000000"/>
              </w:rPr>
            </w:pPr>
            <w:r>
              <w:rPr>
                <w:rFonts w:ascii="Tahoma" w:hAnsi="Tahoma" w:cs="Tahoma"/>
                <w:b/>
                <w:bCs/>
                <w:color w:val="000000"/>
              </w:rPr>
              <w:t>14.542,0</w:t>
            </w:r>
          </w:p>
        </w:tc>
        <w:tc>
          <w:tcPr>
            <w:tcW w:w="1118" w:type="dxa"/>
            <w:tcBorders>
              <w:top w:val="single" w:sz="4" w:space="0" w:color="auto"/>
              <w:left w:val="dotted" w:sz="4" w:space="0" w:color="auto"/>
              <w:bottom w:val="single" w:sz="12" w:space="0" w:color="auto"/>
              <w:right w:val="dotted" w:sz="4" w:space="0" w:color="auto"/>
            </w:tcBorders>
            <w:vAlign w:val="bottom"/>
          </w:tcPr>
          <w:p w:rsidR="008C3385" w:rsidRDefault="008C3385" w:rsidP="003133F2">
            <w:pPr>
              <w:jc w:val="right"/>
              <w:rPr>
                <w:rFonts w:ascii="Tahoma" w:hAnsi="Tahoma" w:cs="Tahoma"/>
                <w:b/>
                <w:bCs/>
              </w:rPr>
            </w:pPr>
            <w:r>
              <w:rPr>
                <w:rFonts w:ascii="Tahoma" w:hAnsi="Tahoma" w:cs="Tahoma"/>
                <w:b/>
                <w:bCs/>
              </w:rPr>
              <w:t>39,1%</w:t>
            </w:r>
          </w:p>
        </w:tc>
        <w:tc>
          <w:tcPr>
            <w:tcW w:w="819" w:type="dxa"/>
            <w:tcBorders>
              <w:top w:val="single" w:sz="4" w:space="0" w:color="auto"/>
              <w:left w:val="dotted" w:sz="4" w:space="0" w:color="auto"/>
              <w:bottom w:val="single" w:sz="12" w:space="0" w:color="auto"/>
              <w:right w:val="dotted" w:sz="4" w:space="0" w:color="auto"/>
            </w:tcBorders>
            <w:shd w:val="clear" w:color="auto" w:fill="auto"/>
            <w:noWrap/>
            <w:vAlign w:val="bottom"/>
          </w:tcPr>
          <w:p w:rsidR="008C3385" w:rsidRDefault="008C3385" w:rsidP="003133F2">
            <w:pPr>
              <w:jc w:val="right"/>
              <w:rPr>
                <w:rFonts w:ascii="Tahoma" w:hAnsi="Tahoma" w:cs="Tahoma"/>
                <w:b/>
                <w:bCs/>
              </w:rPr>
            </w:pPr>
            <w:r>
              <w:rPr>
                <w:rFonts w:ascii="Tahoma" w:hAnsi="Tahoma" w:cs="Tahoma"/>
                <w:b/>
                <w:bCs/>
              </w:rPr>
              <w:t>100,0%</w:t>
            </w:r>
          </w:p>
        </w:tc>
        <w:tc>
          <w:tcPr>
            <w:tcW w:w="1028" w:type="dxa"/>
            <w:tcBorders>
              <w:top w:val="single" w:sz="4" w:space="0" w:color="auto"/>
              <w:left w:val="dotted" w:sz="4" w:space="0" w:color="auto"/>
              <w:bottom w:val="single" w:sz="12" w:space="0" w:color="auto"/>
              <w:right w:val="nil"/>
            </w:tcBorders>
            <w:shd w:val="clear" w:color="auto" w:fill="auto"/>
            <w:noWrap/>
            <w:vAlign w:val="bottom"/>
          </w:tcPr>
          <w:p w:rsidR="008C3385" w:rsidRDefault="008C3385" w:rsidP="003133F2">
            <w:pPr>
              <w:jc w:val="right"/>
              <w:rPr>
                <w:rFonts w:ascii="Tahoma" w:hAnsi="Tahoma" w:cs="Tahoma"/>
                <w:b/>
                <w:bCs/>
              </w:rPr>
            </w:pPr>
            <w:r>
              <w:rPr>
                <w:rFonts w:ascii="Tahoma" w:hAnsi="Tahoma" w:cs="Tahoma"/>
                <w:b/>
                <w:bCs/>
              </w:rPr>
              <w:t>100,0%</w:t>
            </w:r>
          </w:p>
        </w:tc>
      </w:tr>
    </w:tbl>
    <w:bookmarkEnd w:id="184"/>
    <w:bookmarkEnd w:id="185"/>
    <w:bookmarkEnd w:id="186"/>
    <w:p w:rsidR="008C3385" w:rsidRPr="006E72E1" w:rsidRDefault="008C3385" w:rsidP="008C3385">
      <w:pPr>
        <w:rPr>
          <w:rFonts w:ascii="Tahoma" w:hAnsi="Tahoma" w:cs="Tahoma"/>
          <w:sz w:val="16"/>
          <w:szCs w:val="18"/>
        </w:rPr>
      </w:pPr>
      <w:r w:rsidRPr="006E72E1">
        <w:rPr>
          <w:rFonts w:ascii="Tahoma" w:hAnsi="Tahoma" w:cs="Tahoma"/>
          <w:sz w:val="16"/>
          <w:szCs w:val="18"/>
        </w:rPr>
        <w:t>* Προσωρινά στοιχεία</w:t>
      </w:r>
    </w:p>
    <w:p w:rsidR="008C3385" w:rsidRDefault="008C3385" w:rsidP="008C3385">
      <w:pPr>
        <w:rPr>
          <w:rFonts w:ascii="Tahoma" w:hAnsi="Tahoma" w:cs="Tahoma"/>
          <w:sz w:val="16"/>
          <w:szCs w:val="18"/>
        </w:rPr>
      </w:pPr>
      <w:r w:rsidRPr="006E72E1">
        <w:rPr>
          <w:rFonts w:ascii="Tahoma" w:hAnsi="Tahoma" w:cs="Tahoma"/>
          <w:b/>
          <w:sz w:val="16"/>
          <w:szCs w:val="18"/>
        </w:rPr>
        <w:t>Πηγή</w:t>
      </w:r>
      <w:r w:rsidRPr="006E72E1">
        <w:rPr>
          <w:rFonts w:ascii="Tahoma" w:hAnsi="Tahoma" w:cs="Tahoma"/>
          <w:sz w:val="16"/>
          <w:szCs w:val="18"/>
        </w:rPr>
        <w:t>: ΕΛΣΤΑΤ-ΚΕΕΜ</w:t>
      </w:r>
    </w:p>
    <w:p w:rsidR="008C3385" w:rsidRPr="001C45FA" w:rsidRDefault="008C3385" w:rsidP="008C3385">
      <w:pPr>
        <w:pStyle w:val="new4"/>
        <w:spacing w:after="0" w:line="240" w:lineRule="auto"/>
        <w:rPr>
          <w:szCs w:val="22"/>
        </w:rPr>
      </w:pPr>
      <w:r w:rsidRPr="001C45FA">
        <w:rPr>
          <w:szCs w:val="22"/>
        </w:rPr>
        <w:t>Διάγραμμα 3.9</w:t>
      </w:r>
    </w:p>
    <w:p w:rsidR="009C55C0" w:rsidRPr="001C45FA" w:rsidRDefault="008C3385" w:rsidP="008C3385">
      <w:pPr>
        <w:pStyle w:val="new4"/>
        <w:spacing w:after="0" w:line="240" w:lineRule="auto"/>
        <w:rPr>
          <w:b w:val="0"/>
          <w:szCs w:val="22"/>
        </w:rPr>
      </w:pPr>
      <w:r w:rsidRPr="001C45FA">
        <w:rPr>
          <w:b w:val="0"/>
          <w:szCs w:val="22"/>
        </w:rPr>
        <w:t xml:space="preserve">Χώρες με το μεγαλύτερο μερίδιο εξαγωγών ελληνικών προϊόντων (σε δισεκ. €), κατά την περίοδο </w:t>
      </w:r>
    </w:p>
    <w:p w:rsidR="008C3385" w:rsidRPr="001C45FA" w:rsidRDefault="00A676AC" w:rsidP="008C3385">
      <w:pPr>
        <w:pStyle w:val="new4"/>
        <w:spacing w:after="0" w:line="240" w:lineRule="auto"/>
        <w:rPr>
          <w:b w:val="0"/>
          <w:szCs w:val="22"/>
        </w:rPr>
      </w:pPr>
      <w:r w:rsidRPr="001C45FA">
        <w:rPr>
          <w:b w:val="0"/>
          <w:szCs w:val="22"/>
        </w:rPr>
        <w:t>Ιανουαρίου</w:t>
      </w:r>
      <w:r w:rsidR="008C3385" w:rsidRPr="001C45FA">
        <w:rPr>
          <w:b w:val="0"/>
          <w:szCs w:val="22"/>
        </w:rPr>
        <w:t>-</w:t>
      </w:r>
      <w:r w:rsidRPr="001C45FA">
        <w:rPr>
          <w:b w:val="0"/>
          <w:szCs w:val="22"/>
        </w:rPr>
        <w:t>Νοεμβρίου</w:t>
      </w:r>
      <w:r w:rsidR="008C3385" w:rsidRPr="001C45FA">
        <w:rPr>
          <w:b w:val="0"/>
          <w:szCs w:val="22"/>
        </w:rPr>
        <w:t xml:space="preserve"> 2010 και 2011</w:t>
      </w:r>
    </w:p>
    <w:p w:rsidR="008C3385" w:rsidRPr="0080555D" w:rsidRDefault="008C3385" w:rsidP="008C3385">
      <w:pPr>
        <w:pStyle w:val="new4"/>
        <w:spacing w:after="0" w:line="312" w:lineRule="auto"/>
        <w:rPr>
          <w:b w:val="0"/>
          <w:color w:val="FF0000"/>
          <w:sz w:val="22"/>
          <w:szCs w:val="22"/>
        </w:rPr>
      </w:pPr>
      <w:r>
        <w:rPr>
          <w:noProof/>
          <w:lang w:val="en-US" w:eastAsia="en-US"/>
        </w:rPr>
        <w:drawing>
          <wp:inline distT="0" distB="0" distL="0" distR="0">
            <wp:extent cx="4867275" cy="3505200"/>
            <wp:effectExtent l="0" t="0" r="0" b="0"/>
            <wp:docPr id="57"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srcRect/>
                    <a:stretch>
                      <a:fillRect/>
                    </a:stretch>
                  </pic:blipFill>
                  <pic:spPr bwMode="auto">
                    <a:xfrm>
                      <a:off x="0" y="0"/>
                      <a:ext cx="4867275" cy="3505200"/>
                    </a:xfrm>
                    <a:prstGeom prst="rect">
                      <a:avLst/>
                    </a:prstGeom>
                    <a:noFill/>
                    <a:ln w="9525">
                      <a:noFill/>
                      <a:miter lim="800000"/>
                      <a:headEnd/>
                      <a:tailEnd/>
                    </a:ln>
                  </pic:spPr>
                </pic:pic>
              </a:graphicData>
            </a:graphic>
          </wp:inline>
        </w:drawing>
      </w:r>
    </w:p>
    <w:p w:rsidR="008C3385" w:rsidRPr="008C3385" w:rsidRDefault="008C3385" w:rsidP="008C3385">
      <w:pPr>
        <w:pStyle w:val="new4"/>
        <w:spacing w:after="0" w:line="312" w:lineRule="auto"/>
        <w:jc w:val="both"/>
        <w:rPr>
          <w:b w:val="0"/>
          <w:sz w:val="14"/>
          <w:szCs w:val="16"/>
        </w:rPr>
      </w:pPr>
      <w:r w:rsidRPr="008C3385">
        <w:rPr>
          <w:b w:val="0"/>
          <w:sz w:val="14"/>
          <w:szCs w:val="16"/>
        </w:rPr>
        <w:t>*Σερβία-Μαυροβούνιο-Κόσοβο</w:t>
      </w:r>
    </w:p>
    <w:p w:rsidR="008C3385" w:rsidRDefault="008C3385" w:rsidP="008C3385">
      <w:pPr>
        <w:pStyle w:val="new4"/>
        <w:spacing w:after="0" w:line="312" w:lineRule="auto"/>
        <w:jc w:val="both"/>
        <w:rPr>
          <w:b w:val="0"/>
          <w:sz w:val="18"/>
          <w:szCs w:val="18"/>
        </w:rPr>
      </w:pPr>
      <w:r w:rsidRPr="008C3385">
        <w:rPr>
          <w:sz w:val="16"/>
          <w:szCs w:val="18"/>
        </w:rPr>
        <w:t>Πηγή:</w:t>
      </w:r>
      <w:r w:rsidRPr="008C3385">
        <w:rPr>
          <w:b w:val="0"/>
          <w:sz w:val="16"/>
          <w:szCs w:val="18"/>
        </w:rPr>
        <w:t xml:space="preserve"> ΠΣΕ </w:t>
      </w:r>
      <w:r w:rsidRPr="008C3385">
        <w:rPr>
          <w:sz w:val="16"/>
          <w:szCs w:val="18"/>
        </w:rPr>
        <w:t>Επεξεργασία:</w:t>
      </w:r>
      <w:r w:rsidRPr="008C3385">
        <w:rPr>
          <w:b w:val="0"/>
          <w:sz w:val="16"/>
          <w:szCs w:val="18"/>
        </w:rPr>
        <w:t xml:space="preserve"> ΙΟΒΕ</w:t>
      </w:r>
    </w:p>
    <w:p w:rsidR="008C3385" w:rsidRDefault="008C3385" w:rsidP="008C3385"/>
    <w:p w:rsidR="008C3385" w:rsidRDefault="008C3385" w:rsidP="008C3385">
      <w:pPr>
        <w:sectPr w:rsidR="008C3385" w:rsidSect="008C3385">
          <w:pgSz w:w="11906" w:h="16838"/>
          <w:pgMar w:top="1440" w:right="849" w:bottom="1440" w:left="1560" w:header="708" w:footer="708" w:gutter="0"/>
          <w:cols w:space="720"/>
          <w:docGrid w:linePitch="360"/>
        </w:sectPr>
      </w:pPr>
    </w:p>
    <w:p w:rsidR="008C3385" w:rsidRDefault="008C3385" w:rsidP="008C3385">
      <w:pPr>
        <w:pStyle w:val="new4"/>
        <w:spacing w:before="60" w:after="240" w:line="312" w:lineRule="auto"/>
        <w:jc w:val="both"/>
        <w:rPr>
          <w:b w:val="0"/>
          <w:sz w:val="22"/>
          <w:szCs w:val="22"/>
        </w:rPr>
      </w:pPr>
      <w:r>
        <w:rPr>
          <w:b w:val="0"/>
          <w:sz w:val="22"/>
          <w:szCs w:val="22"/>
        </w:rPr>
        <w:lastRenderedPageBreak/>
        <w:t xml:space="preserve">Αντίθετα, ανεπαίσθητη, δεδομένου του μεγέθους της χώρας, είναι η διείσδυση των ελληνικών αγαθών στην Ινδία με την αξία τους να διαμορφώνεται </w:t>
      </w:r>
      <w:r w:rsidR="00A676AC">
        <w:rPr>
          <w:b w:val="0"/>
          <w:sz w:val="22"/>
          <w:szCs w:val="22"/>
        </w:rPr>
        <w:t xml:space="preserve">περίπου </w:t>
      </w:r>
      <w:r>
        <w:rPr>
          <w:b w:val="0"/>
          <w:sz w:val="22"/>
          <w:szCs w:val="22"/>
        </w:rPr>
        <w:t xml:space="preserve">στα </w:t>
      </w:r>
      <w:r>
        <w:rPr>
          <w:rFonts w:cs="Tahoma"/>
          <w:b w:val="0"/>
          <w:bCs w:val="0"/>
          <w:sz w:val="22"/>
          <w:szCs w:val="22"/>
        </w:rPr>
        <w:t xml:space="preserve">€ </w:t>
      </w:r>
      <w:r>
        <w:rPr>
          <w:b w:val="0"/>
          <w:sz w:val="22"/>
          <w:szCs w:val="22"/>
        </w:rPr>
        <w:t>47 εκατ., εμφανίζοντας μάλιστα πτώση κατά -5,4% σε σχέση με το αντίστοιχο χρονικό διάστημα πέρυσι.</w:t>
      </w:r>
    </w:p>
    <w:p w:rsidR="008C3385" w:rsidRDefault="008C3385" w:rsidP="008C3385">
      <w:pPr>
        <w:pStyle w:val="new4"/>
        <w:spacing w:before="240" w:after="240" w:line="312" w:lineRule="auto"/>
        <w:jc w:val="both"/>
        <w:rPr>
          <w:b w:val="0"/>
          <w:sz w:val="22"/>
          <w:szCs w:val="22"/>
        </w:rPr>
      </w:pPr>
      <w:r>
        <w:rPr>
          <w:b w:val="0"/>
          <w:sz w:val="22"/>
          <w:szCs w:val="22"/>
        </w:rPr>
        <w:t>Ανακεφαλαιώνοντας, η πορεία των ελληνικών εξαγωγών το 2011 καταδεικνύει τη δυνατότητα ενίσχυσης της παρουσίας των ελληνικών αγαθών σε ανταγωνιστικές αγορές του εξωτερικού. Η δυναμική που έχει αποκτηθεί, παρά την όποια εξασθένιση ενδεχομένως παρουσιάσει εντός του 2012, εξαιτίας της επιβράδυνσης της παγκόσμιας οικονομίας και της κάμψης του διεθνούς εμπορίου, πρέπει να ενισχυθεί (διευκόλυνση εμπορικών συναλλαγών, πύκνωση εμπορικών αποστολών, σε συνεννόηση με τις ανά χώρα ελληνικές διπλωματικές αντιπροσωπίες κ.α.), προκειμένου το εξαγωγικό εμπόριο της χώρας να αποτελέσει έναν από τους βασικούς πυλώνες μετάβασης της ελληνικής οικονομίας σε ένα νέο αναπτυξιακό υπόδειγμα και ενίσχυσης της απασχόλησης.</w:t>
      </w:r>
    </w:p>
    <w:p w:rsidR="00EF7956" w:rsidRPr="00823AEE" w:rsidRDefault="00EF7956" w:rsidP="00EE62BC">
      <w:pPr>
        <w:pStyle w:val="new3"/>
        <w:spacing w:before="240" w:line="312" w:lineRule="auto"/>
        <w:ind w:left="0" w:firstLine="0"/>
        <w:jc w:val="both"/>
        <w:outlineLvl w:val="1"/>
      </w:pPr>
      <w:bookmarkStart w:id="187" w:name="_Toc320872886"/>
      <w:r w:rsidRPr="00EF7956">
        <w:t xml:space="preserve">3.4 </w:t>
      </w:r>
      <w:r w:rsidRPr="00823AEE">
        <w:t>Απασχόληση - Ανεργία</w:t>
      </w:r>
      <w:bookmarkEnd w:id="181"/>
      <w:bookmarkEnd w:id="182"/>
      <w:bookmarkEnd w:id="187"/>
    </w:p>
    <w:p w:rsidR="00EA2458" w:rsidRPr="004858C3" w:rsidRDefault="00EA2458" w:rsidP="00AE1766">
      <w:pPr>
        <w:pStyle w:val="new4"/>
        <w:spacing w:before="240" w:after="240" w:line="312" w:lineRule="auto"/>
        <w:jc w:val="both"/>
        <w:rPr>
          <w:rFonts w:cs="Tahoma"/>
          <w:i/>
          <w:sz w:val="21"/>
          <w:szCs w:val="21"/>
        </w:rPr>
      </w:pPr>
      <w:r w:rsidRPr="004858C3">
        <w:rPr>
          <w:rFonts w:cs="Tahoma"/>
          <w:i/>
          <w:sz w:val="21"/>
          <w:szCs w:val="21"/>
        </w:rPr>
        <w:t>Πρόσφατες εξελίξεις στην αγορά εργασίας</w:t>
      </w:r>
    </w:p>
    <w:p w:rsidR="00EA2458" w:rsidRDefault="00EA2458" w:rsidP="00AE1766">
      <w:pPr>
        <w:pStyle w:val="new4"/>
        <w:spacing w:before="240" w:after="240" w:line="312" w:lineRule="auto"/>
        <w:jc w:val="both"/>
        <w:rPr>
          <w:rFonts w:cs="Tahoma"/>
          <w:b w:val="0"/>
          <w:sz w:val="22"/>
          <w:szCs w:val="22"/>
        </w:rPr>
      </w:pPr>
      <w:r w:rsidRPr="006B2E86">
        <w:rPr>
          <w:rFonts w:cs="Tahoma"/>
          <w:b w:val="0"/>
          <w:sz w:val="22"/>
          <w:szCs w:val="22"/>
        </w:rPr>
        <w:t>Οι εξελίξεις στην αγορά εργασίας είναι</w:t>
      </w:r>
      <w:r w:rsidR="00AE1766">
        <w:rPr>
          <w:rFonts w:cs="Tahoma"/>
          <w:b w:val="0"/>
          <w:sz w:val="22"/>
          <w:szCs w:val="22"/>
        </w:rPr>
        <w:t xml:space="preserve"> ιδιαίτερα</w:t>
      </w:r>
      <w:r>
        <w:rPr>
          <w:rFonts w:cs="Tahoma"/>
          <w:b w:val="0"/>
          <w:sz w:val="22"/>
          <w:szCs w:val="22"/>
        </w:rPr>
        <w:t xml:space="preserve"> αρνητικές </w:t>
      </w:r>
      <w:r w:rsidRPr="006B2E86">
        <w:rPr>
          <w:rFonts w:cs="Tahoma"/>
          <w:b w:val="0"/>
          <w:sz w:val="22"/>
          <w:szCs w:val="22"/>
        </w:rPr>
        <w:t>καθώς η ύφεση στην ελληνική οικονομία κλιμακώθ</w:t>
      </w:r>
      <w:r w:rsidR="00AE1766">
        <w:rPr>
          <w:rFonts w:cs="Tahoma"/>
          <w:b w:val="0"/>
          <w:sz w:val="22"/>
          <w:szCs w:val="22"/>
        </w:rPr>
        <w:t xml:space="preserve">ηκε εκ νέου στα τέλη του 2011. </w:t>
      </w:r>
      <w:r w:rsidRPr="006B2E86">
        <w:rPr>
          <w:rFonts w:cs="Tahoma"/>
          <w:b w:val="0"/>
          <w:sz w:val="22"/>
          <w:szCs w:val="22"/>
        </w:rPr>
        <w:t xml:space="preserve">Αναλυτικότερα, </w:t>
      </w:r>
      <w:r>
        <w:rPr>
          <w:rFonts w:cs="Tahoma"/>
          <w:b w:val="0"/>
          <w:sz w:val="22"/>
          <w:szCs w:val="22"/>
        </w:rPr>
        <w:t>στο δ’ τρίμηνο του 201</w:t>
      </w:r>
      <w:r w:rsidRPr="005768FC">
        <w:rPr>
          <w:rFonts w:cs="Tahoma"/>
          <w:b w:val="0"/>
          <w:sz w:val="22"/>
          <w:szCs w:val="22"/>
        </w:rPr>
        <w:t>1,</w:t>
      </w:r>
      <w:r>
        <w:rPr>
          <w:rFonts w:cs="Tahoma"/>
          <w:b w:val="0"/>
          <w:sz w:val="22"/>
          <w:szCs w:val="22"/>
        </w:rPr>
        <w:t xml:space="preserve"> τ</w:t>
      </w:r>
      <w:r w:rsidRPr="00811BCF">
        <w:rPr>
          <w:rFonts w:cs="Tahoma"/>
          <w:b w:val="0"/>
          <w:sz w:val="22"/>
          <w:szCs w:val="22"/>
        </w:rPr>
        <w:t xml:space="preserve">ο ποσοστό ανεργίας </w:t>
      </w:r>
      <w:r>
        <w:rPr>
          <w:rFonts w:cs="Tahoma"/>
          <w:b w:val="0"/>
          <w:sz w:val="22"/>
          <w:szCs w:val="22"/>
        </w:rPr>
        <w:t>ανήλθε στο 20,7%,</w:t>
      </w:r>
      <w:r w:rsidRPr="00811BCF">
        <w:rPr>
          <w:rFonts w:cs="Tahoma"/>
          <w:b w:val="0"/>
          <w:sz w:val="22"/>
          <w:szCs w:val="22"/>
        </w:rPr>
        <w:t xml:space="preserve"> σημειώνοντας άνοδο </w:t>
      </w:r>
      <w:r>
        <w:rPr>
          <w:rFonts w:cs="Tahoma"/>
          <w:b w:val="0"/>
          <w:sz w:val="22"/>
          <w:szCs w:val="22"/>
        </w:rPr>
        <w:t>κατά 6,5</w:t>
      </w:r>
      <w:r w:rsidRPr="00811BCF">
        <w:rPr>
          <w:rFonts w:cs="Tahoma"/>
          <w:b w:val="0"/>
          <w:sz w:val="22"/>
          <w:szCs w:val="22"/>
        </w:rPr>
        <w:t xml:space="preserve"> εκατο</w:t>
      </w:r>
      <w:r>
        <w:rPr>
          <w:rFonts w:cs="Tahoma"/>
          <w:b w:val="0"/>
          <w:sz w:val="22"/>
          <w:szCs w:val="22"/>
        </w:rPr>
        <w:t>στιαίες μονάδες σε σχέση με το ίδιο τρίμηνο του 2010 και κατά 3 εκατοστιαίες μονάδες</w:t>
      </w:r>
      <w:r w:rsidRPr="00811BCF">
        <w:rPr>
          <w:rFonts w:cs="Tahoma"/>
          <w:b w:val="0"/>
          <w:sz w:val="22"/>
          <w:szCs w:val="22"/>
        </w:rPr>
        <w:t xml:space="preserve"> </w:t>
      </w:r>
      <w:r>
        <w:rPr>
          <w:rFonts w:cs="Tahoma"/>
          <w:b w:val="0"/>
          <w:sz w:val="22"/>
          <w:szCs w:val="22"/>
        </w:rPr>
        <w:t>ως προς</w:t>
      </w:r>
      <w:r w:rsidRPr="00811BCF">
        <w:rPr>
          <w:rFonts w:cs="Tahoma"/>
          <w:b w:val="0"/>
          <w:sz w:val="22"/>
          <w:szCs w:val="22"/>
        </w:rPr>
        <w:t xml:space="preserve"> το </w:t>
      </w:r>
      <w:r>
        <w:rPr>
          <w:rFonts w:cs="Tahoma"/>
          <w:b w:val="0"/>
          <w:sz w:val="22"/>
          <w:szCs w:val="22"/>
        </w:rPr>
        <w:t xml:space="preserve">αμέσως </w:t>
      </w:r>
      <w:r>
        <w:rPr>
          <w:rFonts w:cs="Tahoma"/>
          <w:b w:val="0"/>
          <w:sz w:val="22"/>
          <w:szCs w:val="22"/>
        </w:rPr>
        <w:lastRenderedPageBreak/>
        <w:t>προηγούμενο</w:t>
      </w:r>
      <w:r w:rsidRPr="00811BCF">
        <w:rPr>
          <w:rFonts w:cs="Tahoma"/>
          <w:b w:val="0"/>
          <w:sz w:val="22"/>
          <w:szCs w:val="22"/>
        </w:rPr>
        <w:t xml:space="preserve"> τρίμηνο του </w:t>
      </w:r>
      <w:r>
        <w:rPr>
          <w:rFonts w:cs="Tahoma"/>
          <w:b w:val="0"/>
          <w:sz w:val="22"/>
          <w:szCs w:val="22"/>
        </w:rPr>
        <w:t>2011</w:t>
      </w:r>
      <w:r w:rsidRPr="00811BCF">
        <w:rPr>
          <w:rFonts w:cs="Tahoma"/>
          <w:b w:val="0"/>
          <w:sz w:val="22"/>
          <w:szCs w:val="22"/>
        </w:rPr>
        <w:t>. Η εξέλιξη</w:t>
      </w:r>
      <w:r>
        <w:rPr>
          <w:rFonts w:cs="Tahoma"/>
          <w:b w:val="0"/>
          <w:sz w:val="22"/>
          <w:szCs w:val="22"/>
        </w:rPr>
        <w:t xml:space="preserve"> αυτή είχε ως </w:t>
      </w:r>
      <w:r w:rsidRPr="00921779">
        <w:rPr>
          <w:rFonts w:cs="Tahoma"/>
          <w:b w:val="0"/>
          <w:sz w:val="22"/>
          <w:szCs w:val="22"/>
        </w:rPr>
        <w:t xml:space="preserve">αποτέλεσμα </w:t>
      </w:r>
      <w:r w:rsidRPr="008F55F6">
        <w:rPr>
          <w:rFonts w:cs="Tahoma"/>
          <w:sz w:val="22"/>
          <w:szCs w:val="22"/>
        </w:rPr>
        <w:t>ο αριθμός των αν</w:t>
      </w:r>
      <w:r>
        <w:rPr>
          <w:rFonts w:cs="Tahoma"/>
          <w:sz w:val="22"/>
          <w:szCs w:val="22"/>
        </w:rPr>
        <w:t>έργων να ξεπεράσει το ένα εκατομμύριο και να διαμορφωθεί στους 1.025,9</w:t>
      </w:r>
      <w:r w:rsidRPr="008F55F6">
        <w:rPr>
          <w:rFonts w:cs="Tahoma"/>
          <w:sz w:val="22"/>
          <w:szCs w:val="22"/>
        </w:rPr>
        <w:t xml:space="preserve"> χιλ.</w:t>
      </w:r>
      <w:r w:rsidRPr="00921779">
        <w:rPr>
          <w:rFonts w:cs="Tahoma"/>
          <w:b w:val="0"/>
          <w:sz w:val="22"/>
          <w:szCs w:val="22"/>
        </w:rPr>
        <w:t>,</w:t>
      </w:r>
      <w:r>
        <w:rPr>
          <w:rFonts w:cs="Tahoma"/>
          <w:b w:val="0"/>
          <w:sz w:val="22"/>
          <w:szCs w:val="22"/>
        </w:rPr>
        <w:t xml:space="preserve"> αυξημένος κατά 313,8 χιλ. (ή 44,1</w:t>
      </w:r>
      <w:r w:rsidRPr="00811BCF">
        <w:rPr>
          <w:rFonts w:cs="Tahoma"/>
          <w:b w:val="0"/>
          <w:sz w:val="22"/>
          <w:szCs w:val="22"/>
        </w:rPr>
        <w:t xml:space="preserve">%) σε σχέση με την αντίστοιχη περυσινή περίοδο και κατά </w:t>
      </w:r>
      <w:r>
        <w:rPr>
          <w:rFonts w:cs="Tahoma"/>
          <w:b w:val="0"/>
          <w:sz w:val="22"/>
          <w:szCs w:val="22"/>
        </w:rPr>
        <w:t>147,6 χιλ. (ή 16,8</w:t>
      </w:r>
      <w:r w:rsidRPr="00811BCF">
        <w:rPr>
          <w:rFonts w:cs="Tahoma"/>
          <w:b w:val="0"/>
          <w:sz w:val="22"/>
          <w:szCs w:val="22"/>
        </w:rPr>
        <w:t xml:space="preserve">%) ως προς το </w:t>
      </w:r>
      <w:r>
        <w:rPr>
          <w:rFonts w:cs="Tahoma"/>
          <w:b w:val="0"/>
          <w:sz w:val="22"/>
          <w:szCs w:val="22"/>
        </w:rPr>
        <w:t>γ’</w:t>
      </w:r>
      <w:r w:rsidRPr="00811BCF">
        <w:rPr>
          <w:rFonts w:cs="Tahoma"/>
          <w:b w:val="0"/>
          <w:sz w:val="22"/>
          <w:szCs w:val="22"/>
        </w:rPr>
        <w:t xml:space="preserve"> τρί</w:t>
      </w:r>
      <w:r w:rsidR="00AE1766">
        <w:rPr>
          <w:rFonts w:cs="Tahoma"/>
          <w:b w:val="0"/>
          <w:sz w:val="22"/>
          <w:szCs w:val="22"/>
        </w:rPr>
        <w:t>μηνο του 2011.</w:t>
      </w:r>
    </w:p>
    <w:p w:rsidR="00EA2458" w:rsidRPr="00F72635" w:rsidRDefault="00EA2458" w:rsidP="00AE1766">
      <w:pPr>
        <w:pStyle w:val="new4"/>
        <w:spacing w:before="240" w:after="240" w:line="312" w:lineRule="auto"/>
        <w:jc w:val="both"/>
        <w:rPr>
          <w:rFonts w:cs="Tahoma"/>
          <w:b w:val="0"/>
          <w:sz w:val="22"/>
          <w:szCs w:val="22"/>
        </w:rPr>
      </w:pPr>
      <w:r>
        <w:rPr>
          <w:rFonts w:cs="Tahoma"/>
          <w:b w:val="0"/>
          <w:sz w:val="22"/>
          <w:szCs w:val="22"/>
        </w:rPr>
        <w:t>Στο σύνολο του 2011, το ποσοστό ανεργίας ανήλθε στο 17,7% από 12,5% το 2010, που είναι το</w:t>
      </w:r>
      <w:r w:rsidR="00AE1766">
        <w:rPr>
          <w:rFonts w:cs="Tahoma"/>
          <w:b w:val="0"/>
          <w:sz w:val="22"/>
          <w:szCs w:val="22"/>
          <w:vertAlign w:val="superscript"/>
        </w:rPr>
        <w:t xml:space="preserve">  </w:t>
      </w:r>
      <w:r w:rsidDel="00996F3E">
        <w:rPr>
          <w:rFonts w:cs="Tahoma"/>
          <w:b w:val="0"/>
          <w:sz w:val="22"/>
          <w:szCs w:val="22"/>
        </w:rPr>
        <w:t>δεύτερο</w:t>
      </w:r>
      <w:r>
        <w:rPr>
          <w:rFonts w:cs="Tahoma"/>
          <w:b w:val="0"/>
          <w:sz w:val="22"/>
          <w:szCs w:val="22"/>
        </w:rPr>
        <w:t xml:space="preserve"> υψηλότερο στην Ευρωζώνη-17 (Μ.Ο.: 10,2%) έπειτα από εκείνο της Ισπανίας (21,7%), με τους άνεργους να ανέρχονται στους 876,9 χιλ., από 628,7 το 2010. Το χαμηλότερο ποσοστό ανεργίας στη ζώνη του ευρώ πέρυσι καταγράφηκε στην Αυστρία (</w:t>
      </w:r>
      <w:r w:rsidR="00A676AC">
        <w:rPr>
          <w:rFonts w:cs="Tahoma"/>
          <w:b w:val="0"/>
          <w:sz w:val="22"/>
          <w:szCs w:val="22"/>
        </w:rPr>
        <w:t>4,</w:t>
      </w:r>
      <w:r w:rsidRPr="00BE468B">
        <w:rPr>
          <w:rFonts w:cs="Tahoma"/>
          <w:b w:val="0"/>
          <w:sz w:val="22"/>
          <w:szCs w:val="22"/>
        </w:rPr>
        <w:t xml:space="preserve">2%), </w:t>
      </w:r>
      <w:r>
        <w:rPr>
          <w:rFonts w:cs="Tahoma"/>
          <w:b w:val="0"/>
          <w:sz w:val="22"/>
          <w:szCs w:val="22"/>
        </w:rPr>
        <w:t>ενώ στην Ιρλανδία και στην Πορτογαλία, χώρες που επίσης έχουν προσφύγει στο μηχανισμό της τριμερούς οικονομικής στήριξης, διαμορφώθηκε στο 14,5% και 12,9% αντίστοιχα</w:t>
      </w:r>
      <w:r>
        <w:rPr>
          <w:rStyle w:val="FootnoteReference"/>
          <w:rFonts w:cs="Tahoma"/>
          <w:b w:val="0"/>
          <w:sz w:val="22"/>
          <w:szCs w:val="22"/>
        </w:rPr>
        <w:footnoteReference w:id="11"/>
      </w:r>
      <w:r>
        <w:rPr>
          <w:rFonts w:cs="Tahoma"/>
          <w:b w:val="0"/>
          <w:sz w:val="22"/>
          <w:szCs w:val="22"/>
        </w:rPr>
        <w:t xml:space="preserve">. </w:t>
      </w:r>
      <w:r w:rsidRPr="00F72635">
        <w:rPr>
          <w:rFonts w:cs="Tahoma"/>
          <w:sz w:val="22"/>
          <w:szCs w:val="22"/>
        </w:rPr>
        <w:t xml:space="preserve">Με βάση τα στοιχεία του ΟΑΕΔ, </w:t>
      </w:r>
      <w:r>
        <w:rPr>
          <w:rFonts w:cs="Tahoma"/>
          <w:b w:val="0"/>
          <w:sz w:val="22"/>
          <w:szCs w:val="22"/>
        </w:rPr>
        <w:t>ο αριθμός των ανέργων</w:t>
      </w:r>
      <w:r w:rsidRPr="00F72635">
        <w:rPr>
          <w:rFonts w:cs="Tahoma"/>
          <w:b w:val="0"/>
          <w:sz w:val="22"/>
          <w:szCs w:val="22"/>
        </w:rPr>
        <w:t xml:space="preserve"> το</w:t>
      </w:r>
      <w:r>
        <w:rPr>
          <w:rFonts w:cs="Tahoma"/>
          <w:b w:val="0"/>
          <w:sz w:val="22"/>
          <w:szCs w:val="22"/>
        </w:rPr>
        <w:t xml:space="preserve"> 2011 διαμορφώθηκε στις 817</w:t>
      </w:r>
      <w:r w:rsidRPr="00F72635">
        <w:rPr>
          <w:rFonts w:cs="Tahoma"/>
          <w:b w:val="0"/>
          <w:sz w:val="22"/>
          <w:szCs w:val="22"/>
        </w:rPr>
        <w:t xml:space="preserve"> χιλ.</w:t>
      </w:r>
      <w:r>
        <w:rPr>
          <w:rFonts w:cs="Tahoma"/>
          <w:b w:val="0"/>
          <w:sz w:val="22"/>
          <w:szCs w:val="22"/>
        </w:rPr>
        <w:t xml:space="preserve"> (700,1</w:t>
      </w:r>
      <w:r w:rsidRPr="00F72635">
        <w:rPr>
          <w:rFonts w:cs="Tahoma"/>
          <w:b w:val="0"/>
          <w:sz w:val="22"/>
          <w:szCs w:val="22"/>
        </w:rPr>
        <w:t xml:space="preserve"> χιλ. άνερ</w:t>
      </w:r>
      <w:r>
        <w:rPr>
          <w:rFonts w:cs="Tahoma"/>
          <w:b w:val="0"/>
          <w:sz w:val="22"/>
          <w:szCs w:val="22"/>
        </w:rPr>
        <w:t>γοι αναζητούντες εργασία και 116,9</w:t>
      </w:r>
      <w:r w:rsidRPr="00F72635">
        <w:rPr>
          <w:rFonts w:cs="Tahoma"/>
          <w:b w:val="0"/>
          <w:sz w:val="22"/>
          <w:szCs w:val="22"/>
        </w:rPr>
        <w:t xml:space="preserve"> χιλ. που είναι άνεργοι αλλά δεν αναζητούν εργασία</w:t>
      </w:r>
      <w:r>
        <w:rPr>
          <w:rFonts w:cs="Tahoma"/>
          <w:b w:val="0"/>
          <w:sz w:val="22"/>
          <w:szCs w:val="22"/>
        </w:rPr>
        <w:t>).</w:t>
      </w:r>
    </w:p>
    <w:p w:rsidR="00EA2458" w:rsidRDefault="00EA2458" w:rsidP="00AE1766">
      <w:pPr>
        <w:pStyle w:val="new4"/>
        <w:spacing w:before="240" w:after="240" w:line="312" w:lineRule="auto"/>
        <w:jc w:val="both"/>
        <w:rPr>
          <w:rFonts w:cs="Tahoma"/>
          <w:b w:val="0"/>
          <w:sz w:val="22"/>
          <w:szCs w:val="22"/>
        </w:rPr>
      </w:pPr>
      <w:r w:rsidRPr="00996F3E">
        <w:rPr>
          <w:rFonts w:cs="Tahoma"/>
          <w:b w:val="0"/>
          <w:sz w:val="22"/>
          <w:szCs w:val="22"/>
        </w:rPr>
        <w:t>Η άνοδος της ανεργίας προήλθε από την κατακόρυφη πτώση της απασχόλησης.</w:t>
      </w:r>
      <w:r>
        <w:rPr>
          <w:rFonts w:cs="Tahoma"/>
          <w:sz w:val="22"/>
          <w:szCs w:val="22"/>
        </w:rPr>
        <w:t xml:space="preserve"> Ο</w:t>
      </w:r>
      <w:r w:rsidRPr="008F55F6">
        <w:rPr>
          <w:rFonts w:cs="Tahoma"/>
          <w:sz w:val="22"/>
          <w:szCs w:val="22"/>
        </w:rPr>
        <w:t xml:space="preserve"> αριθμός των απασχολουμένων</w:t>
      </w:r>
      <w:r>
        <w:rPr>
          <w:rFonts w:cs="Tahoma"/>
          <w:b w:val="0"/>
          <w:sz w:val="22"/>
          <w:szCs w:val="22"/>
        </w:rPr>
        <w:t xml:space="preserve"> σημείωσε στο δ’ τρίμηνο του 2011 πτώση -8,5% σε σχέση με</w:t>
      </w:r>
      <w:r w:rsidRPr="00085E89">
        <w:rPr>
          <w:rFonts w:cs="Tahoma"/>
          <w:b w:val="0"/>
          <w:sz w:val="22"/>
          <w:szCs w:val="22"/>
        </w:rPr>
        <w:t xml:space="preserve"> </w:t>
      </w:r>
      <w:r>
        <w:rPr>
          <w:rFonts w:cs="Tahoma"/>
          <w:b w:val="0"/>
          <w:sz w:val="22"/>
          <w:szCs w:val="22"/>
        </w:rPr>
        <w:t xml:space="preserve">το αντίστοιχο διάστημα ένα χρόνο πριν (ή 366,2 χιλ.), όταν στην Ευρωζώνη-17 η μείωση ήταν οριακή (-0,2%). Για το σύνολο του 2011, ο αριθμός των απασχολούμενων υποχώρησε στο </w:t>
      </w:r>
      <w:r>
        <w:rPr>
          <w:rFonts w:cs="Tahoma"/>
          <w:b w:val="0"/>
          <w:sz w:val="22"/>
          <w:szCs w:val="22"/>
        </w:rPr>
        <w:lastRenderedPageBreak/>
        <w:t xml:space="preserve">χαμηλότερο επίπεδο της τελευταίας </w:t>
      </w:r>
      <w:r w:rsidRPr="00767662">
        <w:rPr>
          <w:rFonts w:cs="Tahoma"/>
          <w:b w:val="0"/>
          <w:sz w:val="22"/>
          <w:szCs w:val="22"/>
        </w:rPr>
        <w:t>δεκαετίας</w:t>
      </w:r>
      <w:r>
        <w:rPr>
          <w:rFonts w:cs="Tahoma"/>
          <w:b w:val="0"/>
          <w:sz w:val="22"/>
          <w:szCs w:val="22"/>
        </w:rPr>
        <w:t xml:space="preserve"> (4.090,7 χιλ.), σημειώνοντας μείωση κατά -6,8% σε σχέση με το 2010 (+0,2 άνοδος κατά μέσο όρο στην Ευρωζώνη)</w:t>
      </w:r>
      <w:r w:rsidR="00AE1766">
        <w:rPr>
          <w:rFonts w:cs="Tahoma"/>
          <w:b w:val="0"/>
          <w:sz w:val="22"/>
          <w:szCs w:val="22"/>
        </w:rPr>
        <w:t>.</w:t>
      </w:r>
    </w:p>
    <w:p w:rsidR="00EA2458" w:rsidRDefault="00EA2458" w:rsidP="00AE1766">
      <w:pPr>
        <w:pStyle w:val="new4"/>
        <w:spacing w:before="240" w:after="240" w:line="312" w:lineRule="auto"/>
        <w:jc w:val="both"/>
        <w:rPr>
          <w:rFonts w:cs="Tahoma"/>
          <w:b w:val="0"/>
          <w:sz w:val="22"/>
          <w:szCs w:val="22"/>
        </w:rPr>
      </w:pPr>
      <w:r w:rsidRPr="00811BCF">
        <w:rPr>
          <w:rFonts w:cs="Tahoma"/>
          <w:b w:val="0"/>
          <w:sz w:val="22"/>
          <w:szCs w:val="22"/>
        </w:rPr>
        <w:t>Προχωρώντας στα επιμέρους χαρακτηριστικά των εξελίξεων στο εργατικό δυναμι</w:t>
      </w:r>
      <w:r>
        <w:rPr>
          <w:rFonts w:cs="Tahoma"/>
          <w:b w:val="0"/>
          <w:sz w:val="22"/>
          <w:szCs w:val="22"/>
        </w:rPr>
        <w:t xml:space="preserve">κό, </w:t>
      </w:r>
      <w:r w:rsidRPr="008F55F6">
        <w:rPr>
          <w:rFonts w:cs="Tahoma"/>
          <w:sz w:val="22"/>
          <w:szCs w:val="22"/>
        </w:rPr>
        <w:t>η ανεργία των γυναικών</w:t>
      </w:r>
      <w:r>
        <w:rPr>
          <w:rFonts w:cs="Tahoma"/>
          <w:b w:val="0"/>
          <w:sz w:val="22"/>
          <w:szCs w:val="22"/>
        </w:rPr>
        <w:t xml:space="preserve"> αυξήθηκε στο τελευταίο τρίμηνο πέρυσι κατά 6,6 εκατοστιαίες μονάδες σε σχέση με το τέταρτο τρίμηνο του 2010, φθάνοντας το 24,5%, ενώ στο σύνολο του 2011 διαμορφώθηκε στο 21,4% (16,2% το προηγούμενο έτος). Παρόμοια άνοδος</w:t>
      </w:r>
      <w:r w:rsidRPr="00811BCF">
        <w:rPr>
          <w:rFonts w:cs="Tahoma"/>
          <w:b w:val="0"/>
          <w:sz w:val="22"/>
          <w:szCs w:val="22"/>
        </w:rPr>
        <w:t xml:space="preserve"> </w:t>
      </w:r>
      <w:r>
        <w:rPr>
          <w:rFonts w:cs="Tahoma"/>
          <w:b w:val="0"/>
          <w:sz w:val="22"/>
          <w:szCs w:val="22"/>
        </w:rPr>
        <w:t xml:space="preserve">καταγράφεται </w:t>
      </w:r>
      <w:r w:rsidRPr="00811BCF">
        <w:rPr>
          <w:rFonts w:cs="Tahoma"/>
          <w:b w:val="0"/>
          <w:sz w:val="22"/>
          <w:szCs w:val="22"/>
        </w:rPr>
        <w:t>στο ποσοστό ανεργίας των ανδρών, το</w:t>
      </w:r>
      <w:r>
        <w:rPr>
          <w:rFonts w:cs="Tahoma"/>
          <w:b w:val="0"/>
          <w:sz w:val="22"/>
          <w:szCs w:val="22"/>
        </w:rPr>
        <w:t xml:space="preserve"> οποίο το δ’ τρίμηνο του 2011 ανήλθε στο 17,8%, ενώ στο σύνολο του έτους διαμορφώθηκε στο 15% (9,9% το 2010)</w:t>
      </w:r>
      <w:r w:rsidR="00AE1766">
        <w:rPr>
          <w:rFonts w:cs="Tahoma"/>
          <w:b w:val="0"/>
          <w:sz w:val="22"/>
          <w:szCs w:val="22"/>
        </w:rPr>
        <w:t>.</w:t>
      </w:r>
    </w:p>
    <w:p w:rsidR="00EA2458" w:rsidRDefault="00EA2458" w:rsidP="00AE1766">
      <w:pPr>
        <w:pStyle w:val="new4"/>
        <w:spacing w:before="240" w:after="240" w:line="312" w:lineRule="auto"/>
        <w:jc w:val="both"/>
        <w:rPr>
          <w:rFonts w:cs="Tahoma"/>
          <w:b w:val="0"/>
          <w:sz w:val="22"/>
          <w:szCs w:val="22"/>
        </w:rPr>
      </w:pPr>
      <w:r>
        <w:rPr>
          <w:rFonts w:cs="Tahoma"/>
          <w:b w:val="0"/>
          <w:sz w:val="22"/>
          <w:szCs w:val="22"/>
        </w:rPr>
        <w:t xml:space="preserve">Από τη σκοπιά της ηλικιακής διάρθρωσης της ανεργίας, το τέταρτο τρίμηνο του 2011 οι μισοί από τους νέους </w:t>
      </w:r>
      <w:r w:rsidRPr="00811BCF">
        <w:rPr>
          <w:rFonts w:cs="Tahoma"/>
          <w:b w:val="0"/>
          <w:sz w:val="22"/>
          <w:szCs w:val="22"/>
        </w:rPr>
        <w:t>η</w:t>
      </w:r>
      <w:r>
        <w:rPr>
          <w:rFonts w:cs="Tahoma"/>
          <w:b w:val="0"/>
          <w:sz w:val="22"/>
          <w:szCs w:val="22"/>
        </w:rPr>
        <w:t>λικίας 15 έως 24 ετών που επιθυμούσαν να εργαστούν δεν έβρισκαν εργασία, με το ποσοστό ανεργίας τους να ανέρχεται στο 44% για ολόκληρο το 2011, ενώ στην ηλικιακή ομάδα 25 έως 29 ετών το αντίστοιχο ποσοστό διαμορφώθηκε στο 30,4% στα τέλη του περασμένου έτους (αντίστοιχα 29,6% για το 2011).</w:t>
      </w:r>
      <w:r w:rsidRPr="008F55F6">
        <w:rPr>
          <w:rFonts w:cs="Tahoma"/>
          <w:sz w:val="22"/>
          <w:szCs w:val="22"/>
        </w:rPr>
        <w:t xml:space="preserve"> </w:t>
      </w:r>
      <w:r w:rsidRPr="000030AA">
        <w:rPr>
          <w:rFonts w:cs="Tahoma"/>
          <w:b w:val="0"/>
          <w:sz w:val="22"/>
          <w:szCs w:val="22"/>
        </w:rPr>
        <w:t>Τις αρνητικές συνέπει</w:t>
      </w:r>
      <w:r>
        <w:rPr>
          <w:rFonts w:cs="Tahoma"/>
          <w:b w:val="0"/>
          <w:sz w:val="22"/>
          <w:szCs w:val="22"/>
        </w:rPr>
        <w:t>ες της ύφεσης βιώνουν τα άτομα που βρίσκονται στην</w:t>
      </w:r>
      <w:r w:rsidRPr="000030AA">
        <w:rPr>
          <w:rFonts w:cs="Tahoma"/>
          <w:b w:val="0"/>
          <w:sz w:val="22"/>
          <w:szCs w:val="22"/>
        </w:rPr>
        <w:t xml:space="preserve"> παραγωγική </w:t>
      </w:r>
      <w:r>
        <w:rPr>
          <w:rFonts w:cs="Tahoma"/>
          <w:b w:val="0"/>
          <w:sz w:val="22"/>
          <w:szCs w:val="22"/>
        </w:rPr>
        <w:t>ηλικία</w:t>
      </w:r>
      <w:r w:rsidRPr="000030AA">
        <w:rPr>
          <w:rFonts w:cs="Tahoma"/>
          <w:b w:val="0"/>
          <w:sz w:val="22"/>
          <w:szCs w:val="22"/>
        </w:rPr>
        <w:t xml:space="preserve"> </w:t>
      </w:r>
      <w:r>
        <w:rPr>
          <w:rFonts w:cs="Tahoma"/>
          <w:b w:val="0"/>
          <w:sz w:val="22"/>
          <w:szCs w:val="22"/>
        </w:rPr>
        <w:t>μεταξύ 30 και 44 ετών, καθώς ο αριθμός των ανέργων το 2011 ήταν σχεδόν παραπλήσιος με εκείνο στο σύνολο της χώρας το 2008 (356 χιλ.).</w:t>
      </w:r>
      <w:r w:rsidRPr="000030AA">
        <w:rPr>
          <w:rFonts w:cs="Tahoma"/>
          <w:b w:val="0"/>
          <w:sz w:val="22"/>
          <w:szCs w:val="22"/>
        </w:rPr>
        <w:t xml:space="preserve"> </w:t>
      </w:r>
      <w:r>
        <w:rPr>
          <w:rFonts w:cs="Tahoma"/>
          <w:b w:val="0"/>
          <w:sz w:val="22"/>
          <w:szCs w:val="22"/>
        </w:rPr>
        <w:t>Σ</w:t>
      </w:r>
      <w:r w:rsidRPr="00C200D8">
        <w:rPr>
          <w:rFonts w:cs="Tahoma"/>
          <w:b w:val="0"/>
          <w:sz w:val="22"/>
          <w:szCs w:val="22"/>
        </w:rPr>
        <w:t>τ</w:t>
      </w:r>
      <w:r>
        <w:rPr>
          <w:rFonts w:cs="Tahoma"/>
          <w:b w:val="0"/>
          <w:sz w:val="22"/>
          <w:szCs w:val="22"/>
        </w:rPr>
        <w:t>ην ηλικιακή ομάδα</w:t>
      </w:r>
      <w:r w:rsidRPr="00C200D8">
        <w:rPr>
          <w:rFonts w:cs="Tahoma"/>
          <w:b w:val="0"/>
          <w:sz w:val="22"/>
          <w:szCs w:val="22"/>
        </w:rPr>
        <w:t xml:space="preserve"> </w:t>
      </w:r>
      <w:r>
        <w:rPr>
          <w:rFonts w:cs="Tahoma"/>
          <w:b w:val="0"/>
          <w:sz w:val="22"/>
          <w:szCs w:val="22"/>
        </w:rPr>
        <w:t>45 έως 64 ετών</w:t>
      </w:r>
      <w:r w:rsidRPr="00C200D8">
        <w:rPr>
          <w:rFonts w:cs="Tahoma"/>
          <w:b w:val="0"/>
          <w:sz w:val="22"/>
          <w:szCs w:val="22"/>
        </w:rPr>
        <w:t xml:space="preserve">, το ποσοστό ανεργίας </w:t>
      </w:r>
      <w:r>
        <w:rPr>
          <w:rFonts w:cs="Tahoma"/>
          <w:b w:val="0"/>
          <w:sz w:val="22"/>
          <w:szCs w:val="22"/>
        </w:rPr>
        <w:t>είναι συγκριτικά μικρότερο από τις προηγούμενες κατηγορίες</w:t>
      </w:r>
      <w:r w:rsidRPr="00C200D8">
        <w:rPr>
          <w:rFonts w:cs="Tahoma"/>
          <w:b w:val="0"/>
          <w:sz w:val="22"/>
          <w:szCs w:val="22"/>
        </w:rPr>
        <w:t xml:space="preserve"> </w:t>
      </w:r>
      <w:r>
        <w:rPr>
          <w:rFonts w:cs="Tahoma"/>
          <w:b w:val="0"/>
          <w:sz w:val="22"/>
          <w:szCs w:val="22"/>
        </w:rPr>
        <w:t xml:space="preserve">(13,5% το δ’ τρίμηνο πέρυσι και 11,1% για όλο το </w:t>
      </w:r>
      <w:r>
        <w:rPr>
          <w:rFonts w:cs="Tahoma"/>
          <w:b w:val="0"/>
          <w:sz w:val="22"/>
          <w:szCs w:val="22"/>
        </w:rPr>
        <w:lastRenderedPageBreak/>
        <w:t>προηγούμενο έτος), ωστόσο ο αριθμός των ανέργων πλησιάζει τις 198 χιλ.. Έτσι, τα άτομα που δεν βρίσκουν εργασία ηλικίας 30 ετών και άνω, αποτελούν τα 2/3 περίπου του συνόλου των ανέργων της χώρας το 2011, γεγονός που ενδέχεται να έχει ιδιαίτερα αρνητικές συνέπειες στη συνοχή του κοινωνικού ιστού, δεδομένου ότι τα άτομα μεγαλύτερης ηλικίας φέρουν κατά κύριο λόγο την ευθύνη για την κάλυψη των υποχρεώσεων των οικογενειών τους.</w:t>
      </w:r>
    </w:p>
    <w:p w:rsidR="00EA2458" w:rsidRPr="00DC31B5" w:rsidRDefault="00EA2458" w:rsidP="00AE1766">
      <w:pPr>
        <w:pStyle w:val="new4"/>
        <w:spacing w:before="240" w:after="240" w:line="312" w:lineRule="auto"/>
        <w:jc w:val="both"/>
        <w:rPr>
          <w:rFonts w:cs="Tahoma"/>
          <w:b w:val="0"/>
          <w:sz w:val="22"/>
          <w:szCs w:val="22"/>
        </w:rPr>
      </w:pPr>
      <w:r w:rsidRPr="00C23364">
        <w:rPr>
          <w:rFonts w:cs="Tahoma"/>
          <w:b w:val="0"/>
          <w:sz w:val="22"/>
          <w:szCs w:val="22"/>
        </w:rPr>
        <w:t xml:space="preserve">Ο αριθμός </w:t>
      </w:r>
      <w:r>
        <w:rPr>
          <w:rFonts w:cs="Tahoma"/>
          <w:b w:val="0"/>
          <w:sz w:val="22"/>
          <w:szCs w:val="22"/>
        </w:rPr>
        <w:t>εκείνων</w:t>
      </w:r>
      <w:r w:rsidRPr="00A328CA">
        <w:rPr>
          <w:rFonts w:cs="Tahoma"/>
          <w:b w:val="0"/>
          <w:sz w:val="22"/>
          <w:szCs w:val="22"/>
        </w:rPr>
        <w:t xml:space="preserve"> </w:t>
      </w:r>
      <w:r>
        <w:rPr>
          <w:rFonts w:cs="Tahoma"/>
          <w:b w:val="0"/>
          <w:sz w:val="22"/>
          <w:szCs w:val="22"/>
        </w:rPr>
        <w:t xml:space="preserve">που </w:t>
      </w:r>
      <w:r w:rsidRPr="00A328CA">
        <w:rPr>
          <w:rFonts w:cs="Tahoma"/>
          <w:b w:val="0"/>
          <w:sz w:val="22"/>
          <w:szCs w:val="22"/>
        </w:rPr>
        <w:t>εισέρχονται για πρώτη φορά στην αγορά εργασί</w:t>
      </w:r>
      <w:r>
        <w:rPr>
          <w:rFonts w:cs="Tahoma"/>
          <w:b w:val="0"/>
          <w:sz w:val="22"/>
          <w:szCs w:val="22"/>
        </w:rPr>
        <w:t xml:space="preserve">ας αλλά δεν βρίσκουν δουλειά </w:t>
      </w:r>
      <w:r w:rsidRPr="00C23364">
        <w:rPr>
          <w:rFonts w:cs="Tahoma"/>
          <w:sz w:val="22"/>
          <w:szCs w:val="22"/>
        </w:rPr>
        <w:t>– νέοι άνεργοι -</w:t>
      </w:r>
      <w:r w:rsidRPr="00A328CA">
        <w:rPr>
          <w:rFonts w:cs="Tahoma"/>
          <w:b w:val="0"/>
          <w:sz w:val="22"/>
          <w:szCs w:val="22"/>
        </w:rPr>
        <w:t xml:space="preserve"> </w:t>
      </w:r>
      <w:r>
        <w:rPr>
          <w:rFonts w:cs="Tahoma"/>
          <w:b w:val="0"/>
          <w:sz w:val="22"/>
          <w:szCs w:val="22"/>
        </w:rPr>
        <w:t xml:space="preserve">εμφανίζει αύξηση κατά 47% στο δ’ τρίμηνο του 2011 σε σχέση με την ίδια περίοδο του 2010, με </w:t>
      </w:r>
      <w:r w:rsidRPr="00A328CA">
        <w:rPr>
          <w:rFonts w:cs="Tahoma"/>
          <w:b w:val="0"/>
          <w:sz w:val="22"/>
          <w:szCs w:val="22"/>
        </w:rPr>
        <w:t xml:space="preserve">το ποσοστό ανεργίας </w:t>
      </w:r>
      <w:r>
        <w:rPr>
          <w:rFonts w:cs="Tahoma"/>
          <w:b w:val="0"/>
          <w:sz w:val="22"/>
          <w:szCs w:val="22"/>
        </w:rPr>
        <w:t>σ</w:t>
      </w:r>
      <w:r w:rsidRPr="00A328CA">
        <w:rPr>
          <w:rFonts w:cs="Tahoma"/>
          <w:b w:val="0"/>
          <w:sz w:val="22"/>
          <w:szCs w:val="22"/>
        </w:rPr>
        <w:t xml:space="preserve">το </w:t>
      </w:r>
      <w:r>
        <w:rPr>
          <w:rFonts w:cs="Tahoma"/>
          <w:b w:val="0"/>
          <w:sz w:val="22"/>
          <w:szCs w:val="22"/>
        </w:rPr>
        <w:t>σύνολο του έτους να διαμορφώνεται στο 24%.</w:t>
      </w:r>
      <w:r w:rsidRPr="00A328CA">
        <w:rPr>
          <w:rFonts w:cs="Tahoma"/>
          <w:b w:val="0"/>
          <w:sz w:val="22"/>
          <w:szCs w:val="22"/>
        </w:rPr>
        <w:t xml:space="preserve"> </w:t>
      </w:r>
      <w:r>
        <w:rPr>
          <w:rFonts w:cs="Tahoma"/>
          <w:b w:val="0"/>
          <w:sz w:val="22"/>
          <w:szCs w:val="22"/>
        </w:rPr>
        <w:t>Η αδυναμία όμως της ελληνικής οικονομίας να δημιουργήσει νέες θέσεις εργασίας αποτυπώνεται στο ρυθμό με τον οποίο αυξάνονται οι άνεργοι που βρίσ</w:t>
      </w:r>
      <w:r w:rsidR="00A676AC">
        <w:rPr>
          <w:rFonts w:cs="Tahoma"/>
          <w:b w:val="0"/>
          <w:sz w:val="22"/>
          <w:szCs w:val="22"/>
        </w:rPr>
        <w:t>κονται εκτός της αγοράς εργασίας</w:t>
      </w:r>
      <w:r>
        <w:rPr>
          <w:rFonts w:cs="Tahoma"/>
          <w:b w:val="0"/>
          <w:sz w:val="22"/>
          <w:szCs w:val="22"/>
        </w:rPr>
        <w:t xml:space="preserve"> για χρονικό διάστημα μεγαλύτερο από δώδεκα μήνες, που έφτασε το 65% σ</w:t>
      </w:r>
      <w:r w:rsidRPr="00A3134F">
        <w:rPr>
          <w:rFonts w:cs="Tahoma"/>
          <w:b w:val="0"/>
          <w:sz w:val="22"/>
          <w:szCs w:val="22"/>
        </w:rPr>
        <w:t>το τελευταίο τρίμηνο</w:t>
      </w:r>
      <w:r>
        <w:rPr>
          <w:rFonts w:cs="Tahoma"/>
          <w:b w:val="0"/>
          <w:sz w:val="22"/>
          <w:szCs w:val="22"/>
        </w:rPr>
        <w:t xml:space="preserve"> της περασμένης χρονιάς, με αποτέλεσμα το ποσοστό της </w:t>
      </w:r>
      <w:r w:rsidRPr="00C23364">
        <w:rPr>
          <w:rFonts w:cs="Tahoma"/>
          <w:sz w:val="22"/>
          <w:szCs w:val="22"/>
        </w:rPr>
        <w:t>μακροχρόνιας ανεργίας</w:t>
      </w:r>
      <w:r w:rsidRPr="00C7755A">
        <w:rPr>
          <w:rFonts w:cs="Tahoma"/>
          <w:b w:val="0"/>
          <w:color w:val="FF0000"/>
          <w:sz w:val="22"/>
          <w:szCs w:val="22"/>
        </w:rPr>
        <w:t xml:space="preserve"> </w:t>
      </w:r>
      <w:r>
        <w:rPr>
          <w:rFonts w:cs="Tahoma"/>
          <w:b w:val="0"/>
          <w:sz w:val="22"/>
          <w:szCs w:val="22"/>
        </w:rPr>
        <w:t>το</w:t>
      </w:r>
      <w:r w:rsidRPr="00FA5C9E">
        <w:rPr>
          <w:rFonts w:cs="Tahoma"/>
          <w:b w:val="0"/>
          <w:sz w:val="22"/>
          <w:szCs w:val="22"/>
        </w:rPr>
        <w:t xml:space="preserve"> 2011</w:t>
      </w:r>
      <w:r>
        <w:rPr>
          <w:rFonts w:cs="Tahoma"/>
          <w:b w:val="0"/>
          <w:color w:val="FF0000"/>
          <w:sz w:val="22"/>
          <w:szCs w:val="22"/>
        </w:rPr>
        <w:t xml:space="preserve"> </w:t>
      </w:r>
      <w:r>
        <w:rPr>
          <w:rFonts w:cs="Tahoma"/>
          <w:b w:val="0"/>
          <w:sz w:val="22"/>
          <w:szCs w:val="22"/>
        </w:rPr>
        <w:t>να διαμορφωθεί</w:t>
      </w:r>
      <w:r w:rsidRPr="00C23364">
        <w:rPr>
          <w:rFonts w:cs="Tahoma"/>
          <w:b w:val="0"/>
          <w:sz w:val="22"/>
          <w:szCs w:val="22"/>
        </w:rPr>
        <w:t xml:space="preserve"> στο 51,3% </w:t>
      </w:r>
      <w:r>
        <w:rPr>
          <w:rFonts w:cs="Tahoma"/>
          <w:b w:val="0"/>
          <w:sz w:val="22"/>
          <w:szCs w:val="22"/>
        </w:rPr>
        <w:t>από</w:t>
      </w:r>
      <w:r w:rsidRPr="00C23364">
        <w:rPr>
          <w:rFonts w:cs="Tahoma"/>
          <w:b w:val="0"/>
          <w:sz w:val="22"/>
          <w:szCs w:val="22"/>
        </w:rPr>
        <w:t xml:space="preserve"> 47,1% </w:t>
      </w:r>
      <w:r>
        <w:rPr>
          <w:rFonts w:cs="Tahoma"/>
          <w:b w:val="0"/>
          <w:sz w:val="22"/>
          <w:szCs w:val="22"/>
        </w:rPr>
        <w:t>το 2010</w:t>
      </w:r>
      <w:r w:rsidRPr="00C23364">
        <w:rPr>
          <w:rFonts w:cs="Tahoma"/>
          <w:b w:val="0"/>
          <w:sz w:val="22"/>
          <w:szCs w:val="22"/>
        </w:rPr>
        <w:t>.</w:t>
      </w:r>
      <w:r w:rsidRPr="00C7755A">
        <w:rPr>
          <w:rFonts w:cs="Tahoma"/>
          <w:b w:val="0"/>
          <w:color w:val="FF0000"/>
          <w:sz w:val="22"/>
          <w:szCs w:val="22"/>
        </w:rPr>
        <w:t xml:space="preserve"> </w:t>
      </w:r>
      <w:r w:rsidRPr="002446EF">
        <w:rPr>
          <w:rFonts w:cs="Tahoma"/>
          <w:sz w:val="22"/>
          <w:szCs w:val="22"/>
        </w:rPr>
        <w:t>Σ</w:t>
      </w:r>
      <w:r w:rsidRPr="006A67F8">
        <w:rPr>
          <w:rFonts w:cs="Tahoma"/>
          <w:sz w:val="22"/>
          <w:szCs w:val="22"/>
        </w:rPr>
        <w:t>τα άτομα με ξένη υπηκοότητα,</w:t>
      </w:r>
      <w:r w:rsidRPr="006A67F8">
        <w:rPr>
          <w:rFonts w:cs="Tahoma"/>
          <w:b w:val="0"/>
          <w:sz w:val="22"/>
          <w:szCs w:val="22"/>
        </w:rPr>
        <w:t xml:space="preserve"> το ποσοστό ανεργίας </w:t>
      </w:r>
      <w:r>
        <w:rPr>
          <w:rFonts w:cs="Tahoma"/>
          <w:b w:val="0"/>
          <w:sz w:val="22"/>
          <w:szCs w:val="22"/>
        </w:rPr>
        <w:t>παρέμεινε πέρυσι</w:t>
      </w:r>
      <w:r w:rsidRPr="006A67F8">
        <w:rPr>
          <w:rFonts w:cs="Tahoma"/>
          <w:b w:val="0"/>
          <w:sz w:val="22"/>
          <w:szCs w:val="22"/>
        </w:rPr>
        <w:t xml:space="preserve"> υψηλότερο από των </w:t>
      </w:r>
      <w:r>
        <w:rPr>
          <w:rFonts w:cs="Tahoma"/>
          <w:b w:val="0"/>
          <w:sz w:val="22"/>
          <w:szCs w:val="22"/>
        </w:rPr>
        <w:t>ημεδαπών (20,7% έναντι 17,4</w:t>
      </w:r>
      <w:r w:rsidRPr="006A67F8">
        <w:rPr>
          <w:rFonts w:cs="Tahoma"/>
          <w:b w:val="0"/>
          <w:sz w:val="22"/>
          <w:szCs w:val="22"/>
        </w:rPr>
        <w:t>%</w:t>
      </w:r>
      <w:r>
        <w:rPr>
          <w:rFonts w:cs="Tahoma"/>
          <w:b w:val="0"/>
          <w:sz w:val="22"/>
          <w:szCs w:val="22"/>
        </w:rPr>
        <w:t xml:space="preserve"> για το 2011 συνολικά</w:t>
      </w:r>
      <w:r w:rsidRPr="006A67F8">
        <w:rPr>
          <w:rFonts w:cs="Tahoma"/>
          <w:b w:val="0"/>
          <w:sz w:val="22"/>
          <w:szCs w:val="22"/>
        </w:rPr>
        <w:t>), σημειώνοντας μά</w:t>
      </w:r>
      <w:r>
        <w:rPr>
          <w:rFonts w:cs="Tahoma"/>
          <w:b w:val="0"/>
          <w:sz w:val="22"/>
          <w:szCs w:val="22"/>
        </w:rPr>
        <w:t>λιστα άνοδο στο τέταρτο τρίμηνο του 2011 κατά 5</w:t>
      </w:r>
      <w:r w:rsidRPr="006A67F8">
        <w:rPr>
          <w:rFonts w:cs="Tahoma"/>
          <w:b w:val="0"/>
          <w:sz w:val="22"/>
          <w:szCs w:val="22"/>
        </w:rPr>
        <w:t xml:space="preserve"> εκατοστιαίες μονάδες σε σχέση με</w:t>
      </w:r>
      <w:r w:rsidR="00AE1766">
        <w:rPr>
          <w:rFonts w:cs="Tahoma"/>
          <w:b w:val="0"/>
          <w:sz w:val="22"/>
          <w:szCs w:val="22"/>
        </w:rPr>
        <w:t xml:space="preserve"> το αμέσως προηγούμενο τρίμηνο.</w:t>
      </w:r>
    </w:p>
    <w:p w:rsidR="00EA2458" w:rsidRDefault="00EA2458" w:rsidP="00AE1766">
      <w:pPr>
        <w:pStyle w:val="new4"/>
        <w:spacing w:before="240" w:after="240" w:line="312" w:lineRule="auto"/>
        <w:jc w:val="both"/>
        <w:rPr>
          <w:rFonts w:cs="Tahoma"/>
          <w:b w:val="0"/>
          <w:sz w:val="22"/>
          <w:szCs w:val="22"/>
        </w:rPr>
      </w:pPr>
      <w:r>
        <w:rPr>
          <w:rFonts w:cs="Tahoma"/>
          <w:b w:val="0"/>
          <w:sz w:val="22"/>
          <w:szCs w:val="22"/>
        </w:rPr>
        <w:t xml:space="preserve">Η ανεργία, πλήττει εντονότερα </w:t>
      </w:r>
      <w:r w:rsidRPr="008F55F6">
        <w:rPr>
          <w:rFonts w:cs="Tahoma"/>
          <w:sz w:val="22"/>
          <w:szCs w:val="22"/>
        </w:rPr>
        <w:t>τα άτομα με μεσαίο και χαμηλότερο επίπεδο εκπαίδευσης.</w:t>
      </w:r>
      <w:r>
        <w:rPr>
          <w:rFonts w:cs="Tahoma"/>
          <w:b w:val="0"/>
          <w:sz w:val="22"/>
          <w:szCs w:val="22"/>
        </w:rPr>
        <w:t xml:space="preserve"> Το 2011, η υψηλότερη </w:t>
      </w:r>
      <w:r>
        <w:rPr>
          <w:rFonts w:cs="Tahoma"/>
          <w:b w:val="0"/>
          <w:sz w:val="22"/>
          <w:szCs w:val="22"/>
        </w:rPr>
        <w:lastRenderedPageBreak/>
        <w:t>ανεργία (28,5</w:t>
      </w:r>
      <w:r w:rsidRPr="00811BCF">
        <w:rPr>
          <w:rFonts w:cs="Tahoma"/>
          <w:b w:val="0"/>
          <w:sz w:val="22"/>
          <w:szCs w:val="22"/>
        </w:rPr>
        <w:t>%) σημειώ</w:t>
      </w:r>
      <w:r>
        <w:rPr>
          <w:rFonts w:cs="Tahoma"/>
          <w:b w:val="0"/>
          <w:sz w:val="22"/>
          <w:szCs w:val="22"/>
        </w:rPr>
        <w:t>θηκε</w:t>
      </w:r>
      <w:r w:rsidRPr="00811BCF">
        <w:rPr>
          <w:rFonts w:cs="Tahoma"/>
          <w:b w:val="0"/>
          <w:sz w:val="22"/>
          <w:szCs w:val="22"/>
        </w:rPr>
        <w:t xml:space="preserve"> στα άτομα που δεν πήγαν καθόλου σχολεί</w:t>
      </w:r>
      <w:r>
        <w:rPr>
          <w:rFonts w:cs="Tahoma"/>
          <w:b w:val="0"/>
          <w:sz w:val="22"/>
          <w:szCs w:val="22"/>
        </w:rPr>
        <w:t>ο, ενώ σε όσους έχουν ολοκληρώσει ορισμένες μόνο τάξεις του δημοτικού</w:t>
      </w:r>
      <w:r w:rsidRPr="00811BCF">
        <w:rPr>
          <w:rFonts w:cs="Tahoma"/>
          <w:b w:val="0"/>
          <w:sz w:val="22"/>
          <w:szCs w:val="22"/>
        </w:rPr>
        <w:t xml:space="preserve"> </w:t>
      </w:r>
      <w:r>
        <w:rPr>
          <w:rFonts w:cs="Tahoma"/>
          <w:b w:val="0"/>
          <w:sz w:val="22"/>
          <w:szCs w:val="22"/>
        </w:rPr>
        <w:t xml:space="preserve">το ποσοστό ανεργίας έχει διπλασιαστεί μέσα σε ένα χρόνο </w:t>
      </w:r>
      <w:r w:rsidRPr="007A454C">
        <w:rPr>
          <w:rFonts w:cs="Tahoma"/>
          <w:b w:val="0"/>
          <w:sz w:val="22"/>
          <w:szCs w:val="22"/>
        </w:rPr>
        <w:t>(24,1%)</w:t>
      </w:r>
      <w:r>
        <w:rPr>
          <w:rFonts w:cs="Tahoma"/>
          <w:b w:val="0"/>
          <w:sz w:val="22"/>
          <w:szCs w:val="22"/>
        </w:rPr>
        <w:t>. Στους αποφοίτους</w:t>
      </w:r>
      <w:r w:rsidRPr="00811BCF">
        <w:rPr>
          <w:rFonts w:cs="Tahoma"/>
          <w:b w:val="0"/>
          <w:sz w:val="22"/>
          <w:szCs w:val="22"/>
        </w:rPr>
        <w:t xml:space="preserve"> ανώτερης τεχνικής επαγγελματικής εκπαίδευσης </w:t>
      </w:r>
      <w:r>
        <w:rPr>
          <w:rFonts w:cs="Tahoma"/>
          <w:b w:val="0"/>
          <w:sz w:val="22"/>
          <w:szCs w:val="22"/>
        </w:rPr>
        <w:t>το ποσοστό ανεργίας</w:t>
      </w:r>
      <w:r w:rsidR="00AE1766">
        <w:rPr>
          <w:rFonts w:cs="Tahoma"/>
          <w:b w:val="0"/>
          <w:sz w:val="22"/>
          <w:szCs w:val="22"/>
        </w:rPr>
        <w:t xml:space="preserve">  </w:t>
      </w:r>
      <w:r>
        <w:rPr>
          <w:rFonts w:cs="Tahoma"/>
          <w:b w:val="0"/>
          <w:sz w:val="22"/>
          <w:szCs w:val="22"/>
        </w:rPr>
        <w:t>διαμορφώνεται σε παρόμοιο σχεδόν επίπεδο με εκείνο στα άτομα με απολυτήριο Μέσης Εκπαίδευσης (20% περίπου), οι οποίοι αποτελούν συνολικά το 1/3 των απασχολούμενων της χώρας. Μικρότερο από το μέσο όρο στο σύνολο της χώρας είναι το ποσοστό ανεργίας στα άτομα που έχουν ολοκληρώσει μόνο τη δημοτική εκπαίδευση (16,3% έναντι 10,9% το 2010), ενώ στο σύνολο των ανέργων το 2011 ο ένας στους δέκα (110,4 χιλ.) έχει ολοκληρώσει την τριτοβάθμια εκπαίδευση, γεγονός που οδήγησε σε διεύρυνση του ποσοστού ανεργίας στους πτυχιούχους κατά 4,2 εκατοστιαίες μονάδες σε σχέση με το προηγούμενο έτος (12,7%). Λιγότερες, συγκριτικά με τις προηγούμενες κατηγορίες, είναι οι δυσκολίες εισόδου στην αγορά εργασίας για τους κατόχους μεταπτυχιακού ή διδακτορικού τίτλου, όπου το ποσοστό ανεργίας διαμορφ</w:t>
      </w:r>
      <w:r w:rsidR="00AE1766">
        <w:rPr>
          <w:rFonts w:cs="Tahoma"/>
          <w:b w:val="0"/>
          <w:sz w:val="22"/>
          <w:szCs w:val="22"/>
        </w:rPr>
        <w:t>ώθηκε στο 10,2% (7,7% το 2010).</w:t>
      </w:r>
    </w:p>
    <w:p w:rsidR="00EA2458" w:rsidRDefault="00EA2458" w:rsidP="00AE1766">
      <w:pPr>
        <w:pStyle w:val="new4"/>
        <w:spacing w:before="240" w:after="240" w:line="312" w:lineRule="auto"/>
        <w:jc w:val="both"/>
        <w:rPr>
          <w:rFonts w:cs="Tahoma"/>
          <w:b w:val="0"/>
          <w:sz w:val="22"/>
          <w:szCs w:val="22"/>
        </w:rPr>
      </w:pPr>
      <w:r w:rsidRPr="008D0F69">
        <w:rPr>
          <w:rFonts w:cs="Tahoma"/>
          <w:sz w:val="22"/>
          <w:szCs w:val="22"/>
        </w:rPr>
        <w:t>Σε επίπεδο περιφερειών</w:t>
      </w:r>
      <w:r w:rsidRPr="00D046B1">
        <w:rPr>
          <w:rFonts w:cs="Tahoma"/>
          <w:b w:val="0"/>
          <w:sz w:val="22"/>
          <w:szCs w:val="22"/>
        </w:rPr>
        <w:t xml:space="preserve">, </w:t>
      </w:r>
      <w:r>
        <w:rPr>
          <w:rFonts w:cs="Tahoma"/>
          <w:b w:val="0"/>
          <w:sz w:val="22"/>
          <w:szCs w:val="22"/>
        </w:rPr>
        <w:t>η οικονομική ύφεση έχει επηρεάσει σε μεγαλύτερο βαθμό την Μακεδονία, με τον αριθμό των ανέργων (242 χιλ. άτομα) να έχει αυξηθεί το 2011 κατά 42% σε σχέση με το προηγούμενο έτος, ενώ η απασχόληση υποχώρησε κατά -8%. Στη</w:t>
      </w:r>
      <w:r w:rsidRPr="00811BCF">
        <w:rPr>
          <w:rFonts w:cs="Tahoma"/>
          <w:b w:val="0"/>
          <w:sz w:val="22"/>
          <w:szCs w:val="22"/>
        </w:rPr>
        <w:t xml:space="preserve"> Δυτική Μακεδονία,</w:t>
      </w:r>
      <w:r>
        <w:rPr>
          <w:rFonts w:cs="Tahoma"/>
          <w:b w:val="0"/>
          <w:sz w:val="22"/>
          <w:szCs w:val="22"/>
        </w:rPr>
        <w:t xml:space="preserve"> η οποία διαχρονικά πλήττεται από την ανεργία περισσότερο από άλλες περιοχές της χώρας, το ποσοστό ανεργίας έχει σχεδόν </w:t>
      </w:r>
      <w:r>
        <w:rPr>
          <w:rFonts w:cs="Tahoma"/>
          <w:b w:val="0"/>
          <w:sz w:val="22"/>
          <w:szCs w:val="22"/>
        </w:rPr>
        <w:lastRenderedPageBreak/>
        <w:t>διπλασιαστεί σε μια διετία (23,2%). Αντίστοιχα, στην Κεντρική Μακεδονία – την περιοχή στην οποία βρίσκεται η δεύτερη μεγαλύτερη πόλη της χώρας – ο αριθμός των ανέργων αυξήθηκε κατά 43% μέσα σε ένα έτος (162,6 χιλ.) με το ποσοστό ανεργίας να διαμορφώνεται σε παραπλήσιο επίπεδο με εκείνο στην Ανατολική Μακεδονία-Θράκη (19,6%). Σε ότι αφορά την Αττική, όπου συγκεντρώνεται περισσότερο από το 1/3 των απασχολούμενων της χώρας, η απασχόληση το 2011 σημείωσε κάμψη κατά -6%, με το ποσοστό ανεργίας να κυμαίνεται σχεδόν στο ίδιο επίπεδο με τον εθνικό μέσο όρο. Σημαντική άνοδος της ανεργίας, της τάξης των 6,4 εκατοστιαίων μονάδων, καταγράφεται στην Στερεά Ελλάδα (19%), γεγονός που, μεταξύ άλλων, συνδέεται και με τη συρρίκνωση της παραγωγής στη μεταποίηση, καθώς στους νομούς της περιοχής, ιδιαίτερα στην Βοιωτία, έχει εγκατασταθεί στο παρελθόν σημαντικός αριθμός βιομηχανικών μονάδων. Στην Δυτική Ελλάδα και τη Θεσσαλία το ποσοστό ανεργίας κυμαίνεται στο ίδιο επίπεδο (17% περίπου), ενώ υποχωρεί ελαφρώς στην Κρήτη και στο Νότιο Αιγαίο (15%). Το μικρότερο ποσοστό ανεργίας (14% περίπου) καταγράφεται στο Βόρειο Αιγαίο, στην Π</w:t>
      </w:r>
      <w:r w:rsidR="00AE1766">
        <w:rPr>
          <w:rFonts w:cs="Tahoma"/>
          <w:b w:val="0"/>
          <w:sz w:val="22"/>
          <w:szCs w:val="22"/>
        </w:rPr>
        <w:t>ελοπόννησο και στα Ιόνια νησιά.</w:t>
      </w:r>
    </w:p>
    <w:p w:rsidR="00EA2458" w:rsidRDefault="00EA2458" w:rsidP="00AE1766">
      <w:pPr>
        <w:pStyle w:val="new4"/>
        <w:spacing w:before="240" w:after="240" w:line="312" w:lineRule="auto"/>
        <w:jc w:val="both"/>
        <w:rPr>
          <w:rFonts w:cs="Tahoma"/>
          <w:b w:val="0"/>
          <w:sz w:val="22"/>
          <w:szCs w:val="22"/>
        </w:rPr>
      </w:pPr>
      <w:r w:rsidRPr="00144C8B">
        <w:rPr>
          <w:rFonts w:cs="Tahoma"/>
          <w:b w:val="0"/>
          <w:sz w:val="22"/>
          <w:szCs w:val="22"/>
        </w:rPr>
        <w:t xml:space="preserve">Αναφορικά </w:t>
      </w:r>
      <w:r w:rsidRPr="008D0F69">
        <w:rPr>
          <w:rFonts w:cs="Tahoma"/>
          <w:sz w:val="22"/>
          <w:szCs w:val="22"/>
        </w:rPr>
        <w:t>με τους κύριους οικονομικούς τομείς</w:t>
      </w:r>
      <w:r w:rsidRPr="00144C8B">
        <w:rPr>
          <w:rFonts w:cs="Tahoma"/>
          <w:b w:val="0"/>
          <w:sz w:val="22"/>
          <w:szCs w:val="22"/>
        </w:rPr>
        <w:t xml:space="preserve">, </w:t>
      </w:r>
      <w:r>
        <w:rPr>
          <w:rFonts w:cs="Tahoma"/>
          <w:b w:val="0"/>
          <w:sz w:val="22"/>
          <w:szCs w:val="22"/>
        </w:rPr>
        <w:t xml:space="preserve">υποχώρηση της απασχόλησης σημειώθηκε και στους τρεις στα τέλη του περασμένου έτους, με τη συρρίκνωση στο δευτερογενή τομέα να συνεχίζεται με την ίδια μεγάλη ένταση των προηγούμενων τεσσάρων τριμήνων. Τους τελευταίους τρεις μήνες του 2011 χάθηκαν στο δευτερογενή τομέα 140 χιλ. θέσεις εργασίας σε σύγκριση </w:t>
      </w:r>
      <w:r>
        <w:rPr>
          <w:rFonts w:cs="Tahoma"/>
          <w:b w:val="0"/>
          <w:sz w:val="22"/>
          <w:szCs w:val="22"/>
        </w:rPr>
        <w:lastRenderedPageBreak/>
        <w:t>με το αντίστοιχο τρίμηνο του 2010, με αποτέλεσμα στο σύνολο του έτους η απασχόληση να έχει υποχωρήσει στις 728,9 χιλ. (-15,7% σε σχέση με το 2010) και το μερίδιό της στο σύνολο της απασχόλησης να διαμορφώνεται στο 18%. Στον πρωτ</w:t>
      </w:r>
      <w:r w:rsidRPr="00BB1872">
        <w:rPr>
          <w:rFonts w:cs="Tahoma"/>
          <w:b w:val="0"/>
          <w:sz w:val="22"/>
          <w:szCs w:val="22"/>
        </w:rPr>
        <w:t>ογενή τομέα, η ανοδική πορεία της απασχόλησης τη διετία 2009-2010 που ερμηνεύθηκε και ως τάση επιστροφής μέρους του αστικού πληθυσμού σε αγροτικές περιοχές και εργασίες, λόγω της ραγδαίας αύξησης της ανεργίας στα αστικά κέντρα,</w:t>
      </w:r>
      <w:r>
        <w:rPr>
          <w:rFonts w:cs="Tahoma"/>
          <w:b w:val="0"/>
          <w:color w:val="FF0000"/>
          <w:sz w:val="22"/>
          <w:szCs w:val="22"/>
        </w:rPr>
        <w:t xml:space="preserve"> </w:t>
      </w:r>
      <w:r>
        <w:rPr>
          <w:rFonts w:cs="Tahoma"/>
          <w:b w:val="0"/>
          <w:sz w:val="22"/>
          <w:szCs w:val="22"/>
        </w:rPr>
        <w:t>έχει πλέον ανακοπεί, αφού ο αριθμός των απασχολο</w:t>
      </w:r>
      <w:r w:rsidR="00A676AC">
        <w:rPr>
          <w:rFonts w:cs="Tahoma"/>
          <w:b w:val="0"/>
          <w:sz w:val="22"/>
          <w:szCs w:val="22"/>
        </w:rPr>
        <w:t xml:space="preserve">υμένων στην Γεωργία-Κτηνοτροφία </w:t>
      </w:r>
      <w:r>
        <w:rPr>
          <w:rFonts w:cs="Tahoma"/>
          <w:b w:val="0"/>
          <w:sz w:val="22"/>
          <w:szCs w:val="22"/>
        </w:rPr>
        <w:t>υποχώρησε το 2011 στο χαμηλότερο επίπεδο τουλάχιστον των τελευταίων δώδεκα ετών (507,4 χιλ), σημειώνοντας παράλληλα πτώση -7,7% σε σχέση με το 2010. Μικρότερη, συγκριτικά με τους άλλους τομείς, αλλά εξίσου σημαντική δεδομένου του πολύ μεγάλου μεριδίου που κατέχει ο συγκεκριμένος τομέας στην απασχόληση, είναι η απώλεια θέσεων εργασίας στις Υπηρεσίες (-4%) με τον αριθμό των απασχολουμένων να κυμαίνεται σε επίπεδο αντίστοιχο με εκ</w:t>
      </w:r>
      <w:r w:rsidR="00AE1766">
        <w:rPr>
          <w:rFonts w:cs="Tahoma"/>
          <w:b w:val="0"/>
          <w:sz w:val="22"/>
          <w:szCs w:val="22"/>
        </w:rPr>
        <w:t>είνο του 2005 (2.854,4 χιλ.).</w:t>
      </w:r>
    </w:p>
    <w:p w:rsidR="00EA2458" w:rsidRPr="008C3385" w:rsidRDefault="00EA2458" w:rsidP="00BA1B31">
      <w:pPr>
        <w:pStyle w:val="new4"/>
        <w:spacing w:before="120" w:after="120" w:line="312" w:lineRule="auto"/>
        <w:jc w:val="both"/>
        <w:rPr>
          <w:rFonts w:cs="Tahoma"/>
          <w:i/>
          <w:sz w:val="22"/>
          <w:szCs w:val="22"/>
        </w:rPr>
      </w:pPr>
      <w:r>
        <w:rPr>
          <w:rFonts w:cs="Tahoma"/>
          <w:b w:val="0"/>
          <w:sz w:val="22"/>
          <w:szCs w:val="22"/>
        </w:rPr>
        <w:t xml:space="preserve">Σε </w:t>
      </w:r>
      <w:r w:rsidRPr="00402AEE">
        <w:rPr>
          <w:rFonts w:cs="Tahoma"/>
          <w:sz w:val="22"/>
          <w:szCs w:val="22"/>
        </w:rPr>
        <w:t>επίπεδο κλάδων οικονομικής δραστηριότητας</w:t>
      </w:r>
      <w:r>
        <w:rPr>
          <w:rFonts w:cs="Tahoma"/>
          <w:b w:val="0"/>
          <w:sz w:val="22"/>
          <w:szCs w:val="22"/>
        </w:rPr>
        <w:t xml:space="preserve">, στο Χονδρικό-Λιανικό εμπόριο, όπου καταγράφεται ο μεγαλύτερος αριθμός απασχολούμενων (σχεδόν ο 1 στους 5 εργαζομένους στην οικονομία), σημειώθηκε πτώση κατά -5% (ή 39,7 χιλ. θέσεις εργασίας) το 2011, ενώ στον τομέα των Κατασκευών η απασχόληση συρρικνώθηκε πολύ περισσότερο, με την πτώση να είναι η μεγαλύτερη μεταξύ των κλάδων (-23% ή -72,6 χιλ.). Στις Υπηρεσίες Εστίασης και Καταλύματος η μείωση είναι </w:t>
      </w:r>
      <w:r>
        <w:rPr>
          <w:rFonts w:cs="Tahoma"/>
          <w:b w:val="0"/>
          <w:sz w:val="22"/>
          <w:szCs w:val="22"/>
        </w:rPr>
        <w:lastRenderedPageBreak/>
        <w:t>ίδιας έκτασης με το προηγούμενο έτος (-3%), ενώ υποχώρηση της απασχόλησης παρατηρείται και σε κλάδους του δημοσίου τομέα (Δημόσια Διοίκηση και Άμυνα, Εκπαίδευση, Υγεία), κατά 31,2 χιλ. συγκριτικά με το 2010, γεγονός που οφείλεται και στο σημαντικό αριθμό εργαζομένων οι οποίοι επέλεξαν να συνταξιοδοτηθούν για να αποφύγουν το εργασιακό</w:t>
      </w:r>
      <w:r w:rsidRPr="000172A6">
        <w:rPr>
          <w:rFonts w:cs="Tahoma"/>
          <w:b w:val="0"/>
          <w:sz w:val="22"/>
          <w:szCs w:val="22"/>
        </w:rPr>
        <w:t xml:space="preserve"> </w:t>
      </w:r>
      <w:r>
        <w:rPr>
          <w:rFonts w:cs="Tahoma"/>
          <w:b w:val="0"/>
          <w:sz w:val="22"/>
          <w:szCs w:val="22"/>
        </w:rPr>
        <w:t>καθεστώς της εφεδρείας.</w:t>
      </w:r>
      <w:r w:rsidR="00BA1B31">
        <w:rPr>
          <w:rFonts w:cs="Tahoma"/>
          <w:b w:val="0"/>
          <w:sz w:val="22"/>
          <w:szCs w:val="22"/>
        </w:rPr>
        <w:br w:type="column"/>
      </w:r>
      <w:r w:rsidRPr="008C3385">
        <w:rPr>
          <w:rFonts w:cs="Tahoma"/>
          <w:i/>
          <w:sz w:val="22"/>
          <w:szCs w:val="22"/>
        </w:rPr>
        <w:lastRenderedPageBreak/>
        <w:t xml:space="preserve">Μεσοπρόθεσμες εκτιμήσεις </w:t>
      </w:r>
    </w:p>
    <w:p w:rsidR="00EA2458" w:rsidRPr="00C8767B" w:rsidRDefault="00EA2458" w:rsidP="00AE1766">
      <w:pPr>
        <w:pStyle w:val="new4"/>
        <w:spacing w:before="240" w:after="240" w:line="312" w:lineRule="auto"/>
        <w:jc w:val="both"/>
        <w:rPr>
          <w:b w:val="0"/>
          <w:sz w:val="22"/>
          <w:szCs w:val="22"/>
        </w:rPr>
      </w:pPr>
      <w:r w:rsidRPr="00C8767B">
        <w:rPr>
          <w:b w:val="0"/>
          <w:sz w:val="22"/>
          <w:szCs w:val="22"/>
        </w:rPr>
        <w:t>Η ανεργία αποτελεί αυτή τη στιγμή το μεγαλύτερο κοινωνικό πρόβλημα της ελληνικής οικονομίας με έντονες αρνητικές επιπτώσεις σε πολλά επίπεδα (υγεία, ασφαλιστικό, κτλ). Η υφεσιακή τροχιά της οικονομίας, που ως ένα βαθμό είναι</w:t>
      </w:r>
      <w:r w:rsidR="00AE1766">
        <w:rPr>
          <w:b w:val="0"/>
          <w:sz w:val="22"/>
          <w:szCs w:val="22"/>
        </w:rPr>
        <w:t xml:space="preserve"> </w:t>
      </w:r>
      <w:r w:rsidRPr="00C8767B">
        <w:rPr>
          <w:b w:val="0"/>
          <w:sz w:val="22"/>
          <w:szCs w:val="22"/>
        </w:rPr>
        <w:t>αποτέλεσμα της διαδικασίας δη</w:t>
      </w:r>
      <w:r w:rsidR="00A676AC">
        <w:rPr>
          <w:b w:val="0"/>
          <w:sz w:val="22"/>
          <w:szCs w:val="22"/>
        </w:rPr>
        <w:t>μοσιονομικής προσαρμογής, ασκεί</w:t>
      </w:r>
      <w:r w:rsidRPr="00C8767B">
        <w:rPr>
          <w:b w:val="0"/>
          <w:sz w:val="22"/>
          <w:szCs w:val="22"/>
        </w:rPr>
        <w:t xml:space="preserve"> μεγαλύτερες πιέσεις στην ελληνική οικονομία, όπου η συνεισφορά της κατανάλωσης στην ανάπτυξή της υπήρξε μεγαλύτερη</w:t>
      </w:r>
      <w:r w:rsidR="00A676AC">
        <w:rPr>
          <w:b w:val="0"/>
          <w:sz w:val="22"/>
          <w:szCs w:val="22"/>
        </w:rPr>
        <w:t xml:space="preserve"> συγκριτικά με το μέσο όρο της Ε</w:t>
      </w:r>
      <w:r w:rsidRPr="00C8767B">
        <w:rPr>
          <w:b w:val="0"/>
          <w:sz w:val="22"/>
          <w:szCs w:val="22"/>
        </w:rPr>
        <w:t>υρωζώνης τα τελευταία χρόνια.</w:t>
      </w:r>
    </w:p>
    <w:p w:rsidR="00EA2458" w:rsidRDefault="00EA2458" w:rsidP="007811E0">
      <w:pPr>
        <w:pStyle w:val="new4"/>
        <w:spacing w:before="120" w:after="120" w:line="312" w:lineRule="auto"/>
        <w:jc w:val="both"/>
        <w:rPr>
          <w:b w:val="0"/>
          <w:sz w:val="22"/>
          <w:szCs w:val="22"/>
        </w:rPr>
      </w:pPr>
      <w:r>
        <w:rPr>
          <w:b w:val="0"/>
          <w:sz w:val="22"/>
          <w:szCs w:val="22"/>
        </w:rPr>
        <w:t>Ωστόσο το περιβάλλον στην αγορά εργασίας φέτος θα το καθορίσουν εν πολλοίς οι διαρθρωτικές παρεμβάσεις που υιοθετήθηκαν πρόσφατα, με θεωρητικό στόχο τη βελτίωση της ανταγωνιστικότητας της ελληνικής οικονομίας.</w:t>
      </w:r>
      <w:r w:rsidR="00AE1766">
        <w:rPr>
          <w:b w:val="0"/>
          <w:sz w:val="22"/>
          <w:szCs w:val="22"/>
        </w:rPr>
        <w:t xml:space="preserve"> </w:t>
      </w:r>
      <w:r>
        <w:rPr>
          <w:b w:val="0"/>
          <w:sz w:val="22"/>
          <w:szCs w:val="22"/>
        </w:rPr>
        <w:t xml:space="preserve">Στο πλαίσιο της δέσμης μέτρων για τη σύναψη του νέου Μνημονίου με την τρόικα ΕΕ-ΕΚΤ-ΔΝΤ, περιλήφθηκαν ρυθμίσεις για τη μείωση του μισθολογικού κόστους και την αλλαγή των διαδικασιών διαπραγμάτευσης μεταξύ εργοδοτών και εργαζομένων (ν. 4046/2012). Με το συγκεκριμένο νόμο θεσμοθετήθηκε η μείωση του νόμιμου κατώτατου ορίου μισθών και ημερομισθίων κατά 22% σε σχέση με την τελευταία Εθνική Συλλογική Σύμβαση Εργασίας (Ιούλιος 2010). Επιπλέον, με στόχο τη διευκόλυνση της εισόδου των νέων κάτω των 25 ετών στην αγορά εργασίας, η μείωση του κατώτατου ορίου σε αυτές τις ηλικίες φτάνει το 32%, ενώ η αμοιβή των μαθητευομένων ανέρχεται στο 68% των νέων κατώτατων μισθών και ημερομισθίων. Στις μεταρρυθμίσεις της αγοράς εργασίας εντάσσεται και η αναστολή Υπουργικών </w:t>
      </w:r>
      <w:r>
        <w:rPr>
          <w:b w:val="0"/>
          <w:sz w:val="22"/>
          <w:szCs w:val="22"/>
        </w:rPr>
        <w:lastRenderedPageBreak/>
        <w:t xml:space="preserve">Αποφάσεων και διοικητικών πράξεων που προβλέπουν αυξήσεις αποδοχών, συμπεριλαμβανομένων της ωρίμανσης και άλλων επιδομάτων, για τα επόμενα έτη. </w:t>
      </w:r>
    </w:p>
    <w:p w:rsidR="00EA2458" w:rsidRDefault="00EA2458" w:rsidP="007811E0">
      <w:pPr>
        <w:pStyle w:val="new4"/>
        <w:spacing w:before="60" w:line="312" w:lineRule="auto"/>
        <w:jc w:val="both"/>
        <w:rPr>
          <w:rFonts w:cs="Tahoma"/>
          <w:b w:val="0"/>
          <w:sz w:val="22"/>
          <w:szCs w:val="22"/>
        </w:rPr>
      </w:pPr>
      <w:r w:rsidRPr="00B14890">
        <w:rPr>
          <w:rFonts w:cs="Tahoma"/>
          <w:b w:val="0"/>
          <w:sz w:val="22"/>
          <w:szCs w:val="22"/>
        </w:rPr>
        <w:t>Σε βραχυπρόθεσμο χρονικό ορίζοντα</w:t>
      </w:r>
      <w:r>
        <w:rPr>
          <w:rFonts w:cs="Tahoma"/>
          <w:b w:val="0"/>
          <w:sz w:val="22"/>
          <w:szCs w:val="22"/>
        </w:rPr>
        <w:t>, οι ρυθμίσεις στην αγορά εργασίας εκτιμάται ότι θ</w:t>
      </w:r>
      <w:r w:rsidRPr="00B14890">
        <w:rPr>
          <w:rFonts w:cs="Tahoma"/>
          <w:b w:val="0"/>
          <w:sz w:val="22"/>
          <w:szCs w:val="22"/>
        </w:rPr>
        <w:t>α επιφέρουν νέες περικοπές στο διαθέσιμο εισόδ</w:t>
      </w:r>
      <w:r>
        <w:rPr>
          <w:rFonts w:cs="Tahoma"/>
          <w:b w:val="0"/>
          <w:sz w:val="22"/>
          <w:szCs w:val="22"/>
        </w:rPr>
        <w:t>ημα εργαζόμενων και ακολούθως, περιορισμό των καταναλωτικών</w:t>
      </w:r>
      <w:r w:rsidRPr="00B14890">
        <w:rPr>
          <w:rFonts w:cs="Tahoma"/>
          <w:b w:val="0"/>
          <w:sz w:val="22"/>
          <w:szCs w:val="22"/>
        </w:rPr>
        <w:t xml:space="preserve"> τους </w:t>
      </w:r>
      <w:r>
        <w:rPr>
          <w:rFonts w:cs="Tahoma"/>
          <w:b w:val="0"/>
          <w:sz w:val="22"/>
          <w:szCs w:val="22"/>
        </w:rPr>
        <w:t>δαπανών</w:t>
      </w:r>
      <w:r w:rsidRPr="00B14890">
        <w:rPr>
          <w:rFonts w:cs="Tahoma"/>
          <w:b w:val="0"/>
          <w:sz w:val="22"/>
          <w:szCs w:val="22"/>
        </w:rPr>
        <w:t xml:space="preserve">, αλλά και επιβράδυνση του πληθωρισμού. </w:t>
      </w:r>
      <w:r>
        <w:rPr>
          <w:rFonts w:cs="Tahoma"/>
          <w:b w:val="0"/>
          <w:sz w:val="22"/>
          <w:szCs w:val="22"/>
        </w:rPr>
        <w:t>Σε ότι αφορά τις επιδράσεις στην πλευρά των δημόσιων οικονομικών, αναμένεται μείωση των εισπράξεων από εργοδοτικές εισφορές και των</w:t>
      </w:r>
      <w:r w:rsidRPr="00B14890">
        <w:rPr>
          <w:rFonts w:cs="Tahoma"/>
          <w:b w:val="0"/>
          <w:sz w:val="22"/>
          <w:szCs w:val="22"/>
        </w:rPr>
        <w:t xml:space="preserve"> εσόδων από έμμεση φορολογία</w:t>
      </w:r>
      <w:r>
        <w:rPr>
          <w:rFonts w:cs="Tahoma"/>
          <w:b w:val="0"/>
          <w:sz w:val="22"/>
          <w:szCs w:val="22"/>
        </w:rPr>
        <w:t>. Μ</w:t>
      </w:r>
      <w:r w:rsidRPr="00B14890">
        <w:rPr>
          <w:rFonts w:cs="Tahoma"/>
          <w:b w:val="0"/>
          <w:sz w:val="22"/>
          <w:szCs w:val="22"/>
        </w:rPr>
        <w:t>έσο-μακροπρόθεσμ</w:t>
      </w:r>
      <w:r>
        <w:rPr>
          <w:rFonts w:cs="Tahoma"/>
          <w:b w:val="0"/>
          <w:sz w:val="22"/>
          <w:szCs w:val="22"/>
        </w:rPr>
        <w:t>α</w:t>
      </w:r>
      <w:r w:rsidRPr="00B14890">
        <w:rPr>
          <w:rFonts w:cs="Tahoma"/>
          <w:b w:val="0"/>
          <w:sz w:val="22"/>
          <w:szCs w:val="22"/>
        </w:rPr>
        <w:t>, οι επιχειρήσεις θα προσαρμόσουν την παραγωγή και το εργατικό δυναμικ</w:t>
      </w:r>
      <w:r>
        <w:rPr>
          <w:rFonts w:cs="Tahoma"/>
          <w:b w:val="0"/>
          <w:sz w:val="22"/>
          <w:szCs w:val="22"/>
        </w:rPr>
        <w:t xml:space="preserve">ό τους στα νέα δεδομένα στην αγορά εργασίας. Όσες επιχειρήσεις </w:t>
      </w:r>
      <w:r w:rsidRPr="00B14890">
        <w:rPr>
          <w:rFonts w:cs="Tahoma"/>
          <w:b w:val="0"/>
          <w:sz w:val="22"/>
          <w:szCs w:val="22"/>
        </w:rPr>
        <w:t xml:space="preserve">έχουν παρουσία σε αγορές του εξωτερικού </w:t>
      </w:r>
      <w:r>
        <w:rPr>
          <w:rFonts w:cs="Tahoma"/>
          <w:b w:val="0"/>
          <w:sz w:val="22"/>
          <w:szCs w:val="22"/>
        </w:rPr>
        <w:t xml:space="preserve">ενδεχομένως </w:t>
      </w:r>
      <w:r w:rsidRPr="00B14890">
        <w:rPr>
          <w:rFonts w:cs="Tahoma"/>
          <w:b w:val="0"/>
          <w:sz w:val="22"/>
          <w:szCs w:val="22"/>
        </w:rPr>
        <w:t xml:space="preserve">να </w:t>
      </w:r>
      <w:r>
        <w:rPr>
          <w:rFonts w:cs="Tahoma"/>
          <w:b w:val="0"/>
          <w:sz w:val="22"/>
          <w:szCs w:val="22"/>
        </w:rPr>
        <w:t>ανταποκριθούν σε</w:t>
      </w:r>
      <w:r w:rsidRPr="00B14890">
        <w:rPr>
          <w:rFonts w:cs="Tahoma"/>
          <w:b w:val="0"/>
          <w:sz w:val="22"/>
          <w:szCs w:val="22"/>
        </w:rPr>
        <w:t xml:space="preserve"> </w:t>
      </w:r>
      <w:r>
        <w:rPr>
          <w:rFonts w:cs="Tahoma"/>
          <w:b w:val="0"/>
          <w:sz w:val="22"/>
          <w:szCs w:val="22"/>
        </w:rPr>
        <w:t xml:space="preserve">πτωτικές </w:t>
      </w:r>
      <w:r w:rsidRPr="00B14890">
        <w:rPr>
          <w:rFonts w:cs="Tahoma"/>
          <w:b w:val="0"/>
          <w:sz w:val="22"/>
          <w:szCs w:val="22"/>
        </w:rPr>
        <w:t>μεταβολές των τιμών των προϊόν</w:t>
      </w:r>
      <w:r>
        <w:rPr>
          <w:rFonts w:cs="Tahoma"/>
          <w:b w:val="0"/>
          <w:sz w:val="22"/>
          <w:szCs w:val="22"/>
        </w:rPr>
        <w:t>των / υπηρεσιών τους λόγω του χαμηλότερου</w:t>
      </w:r>
      <w:r w:rsidRPr="00B14890">
        <w:rPr>
          <w:rFonts w:cs="Tahoma"/>
          <w:b w:val="0"/>
          <w:sz w:val="22"/>
          <w:szCs w:val="22"/>
        </w:rPr>
        <w:t xml:space="preserve"> μισθολογικού κόστους.</w:t>
      </w:r>
      <w:r>
        <w:rPr>
          <w:rFonts w:cs="Tahoma"/>
          <w:b w:val="0"/>
          <w:sz w:val="22"/>
          <w:szCs w:val="22"/>
        </w:rPr>
        <w:t xml:space="preserve"> Από αυτές τις αλλαγές θα διαφανεί το τελικό αποτέλεσμα των νέων μέτρων στην απασχόληση, στην παραγωγική δραστηριότητα, στην ανταγωνιστικότητα και στα δημόσια οικονομικά. </w:t>
      </w:r>
    </w:p>
    <w:p w:rsidR="00A676AC" w:rsidRDefault="00EA2458" w:rsidP="007811E0">
      <w:pPr>
        <w:pStyle w:val="new4"/>
        <w:spacing w:before="120" w:after="120" w:line="312" w:lineRule="auto"/>
        <w:jc w:val="both"/>
        <w:rPr>
          <w:b w:val="0"/>
          <w:sz w:val="22"/>
          <w:szCs w:val="22"/>
        </w:rPr>
      </w:pPr>
      <w:r w:rsidRPr="00953A0D">
        <w:rPr>
          <w:b w:val="0"/>
          <w:sz w:val="22"/>
          <w:szCs w:val="22"/>
        </w:rPr>
        <w:t xml:space="preserve">Εκτός από τις παραπάνω επιδράσεις, που θα εκδηλωθούν χρονικά στο μέλλον, άμεσο και απώτερο, η εγχώρια αγορά εργασίας θα προσαρμοστεί το 2012 στα δεδομένα που δημιούργησε η βαθύτερη της αναμενόμενης ύφεση στα τέλη του 2011, διαδικασία στην οποία φαίνεται να έχει εισέλθει ήδη από το τελευταίο δίμηνο του προηγούμενου έτος, καθώς η ανεργία παρουσίασε απότομη αύξηση, σε μηνιαίο επίπεδο. </w:t>
      </w:r>
    </w:p>
    <w:p w:rsidR="00A676AC" w:rsidRDefault="00EA2458" w:rsidP="00AE1766">
      <w:pPr>
        <w:pStyle w:val="new4"/>
        <w:spacing w:before="240" w:after="240" w:line="312" w:lineRule="auto"/>
        <w:jc w:val="both"/>
        <w:rPr>
          <w:rFonts w:cs="Tahoma"/>
          <w:sz w:val="22"/>
          <w:szCs w:val="22"/>
        </w:rPr>
      </w:pPr>
      <w:r w:rsidRPr="00953A0D">
        <w:rPr>
          <w:b w:val="0"/>
          <w:sz w:val="22"/>
          <w:szCs w:val="22"/>
        </w:rPr>
        <w:lastRenderedPageBreak/>
        <w:t>Από την άλλη πλευρά, μετά και τη σημαντική απομείωση του δημοσίου χρέους μέσα από την ανταλλαγή κρατικών ομολόγων και τη νέα χρηματοδότηση της ελληνικής οικονομίας, αίρεται μεγάλο μέρος της νομισματικής αβεβαιότητας και πλέον γίνεται αρκετός λόγος για την ανάγκη τόνωση</w:t>
      </w:r>
      <w:r w:rsidR="00A676AC">
        <w:rPr>
          <w:b w:val="0"/>
          <w:sz w:val="22"/>
          <w:szCs w:val="22"/>
        </w:rPr>
        <w:t>ς</w:t>
      </w:r>
      <w:r w:rsidRPr="00953A0D">
        <w:rPr>
          <w:b w:val="0"/>
          <w:sz w:val="22"/>
          <w:szCs w:val="22"/>
        </w:rPr>
        <w:t xml:space="preserve"> της ανάπτυξης, μέσω επενδύσεων. Αυτό μπορεί να γίνει με την καλύτερη δυνατή αξιοποίηση των κοινοτικών πόρων για τη στήριξη υφιστάμενων θέσεων εργασίας, την επανένταξη ανέργων στην αγορά εργασίας και την υλοποίηση έργων στο σύνολο της επικράτειας της χώρας. Χαρακτηριστικό παράδειγμα, αποτελούν τα έργα κατασκευής στους οδικούς άξονες της χώρας που έχουν </w:t>
      </w:r>
      <w:r w:rsidRPr="00953A0D">
        <w:rPr>
          <w:b w:val="0"/>
          <w:sz w:val="22"/>
          <w:szCs w:val="22"/>
        </w:rPr>
        <w:lastRenderedPageBreak/>
        <w:t>διακοπεί την τελευταία διετία, αλλά και η προώθηση έργων υψηλής προστιθέμενης αξίας σε τοπικό και περιφερειακό επίπεδο. Σε κάθε περίπτωση πάντως η ανάκτηση κάποιου επιπέδου ρευστότητας και η επαναλειτουργία του τραπεζικού συστήματος είναι απαραίτη</w:t>
      </w:r>
      <w:r w:rsidR="00A676AC">
        <w:rPr>
          <w:b w:val="0"/>
          <w:sz w:val="22"/>
          <w:szCs w:val="22"/>
        </w:rPr>
        <w:t>τες</w:t>
      </w:r>
      <w:r w:rsidRPr="00953A0D">
        <w:rPr>
          <w:b w:val="0"/>
          <w:sz w:val="22"/>
          <w:szCs w:val="22"/>
        </w:rPr>
        <w:t xml:space="preserve"> για τη χρηματοδότηση της υφιστάμενης επιχειρηματικής δραστηριότητας, αλλά και νέ</w:t>
      </w:r>
      <w:r>
        <w:rPr>
          <w:b w:val="0"/>
          <w:sz w:val="22"/>
          <w:szCs w:val="22"/>
        </w:rPr>
        <w:t xml:space="preserve">ων </w:t>
      </w:r>
      <w:r w:rsidRPr="00953A0D">
        <w:rPr>
          <w:b w:val="0"/>
          <w:sz w:val="22"/>
          <w:szCs w:val="22"/>
        </w:rPr>
        <w:t>εγχειρ</w:t>
      </w:r>
      <w:r>
        <w:rPr>
          <w:b w:val="0"/>
          <w:sz w:val="22"/>
          <w:szCs w:val="22"/>
        </w:rPr>
        <w:t xml:space="preserve">ημάτων </w:t>
      </w:r>
      <w:r w:rsidRPr="00953A0D">
        <w:rPr>
          <w:b w:val="0"/>
          <w:sz w:val="22"/>
          <w:szCs w:val="22"/>
        </w:rPr>
        <w:t xml:space="preserve">σε κλάδους με προοπτική που υπήρχαν και εξακολουθούν να υπάρχουν στο ελληνικό παραγωγικό σύστημα. </w:t>
      </w:r>
      <w:r w:rsidRPr="00953A0D">
        <w:rPr>
          <w:rFonts w:cs="Tahoma"/>
          <w:b w:val="0"/>
          <w:sz w:val="22"/>
          <w:szCs w:val="22"/>
        </w:rPr>
        <w:t>Συνεκτιμώντας όλες τις επιπτώσεις που αναλύθηκαν, το ποσοστό ανεργίας αναμένεται να</w:t>
      </w:r>
      <w:r>
        <w:rPr>
          <w:rFonts w:cs="Tahoma"/>
          <w:b w:val="0"/>
          <w:sz w:val="22"/>
          <w:szCs w:val="22"/>
        </w:rPr>
        <w:t xml:space="preserve"> διαμορφωθεί στην περιοχή </w:t>
      </w:r>
      <w:r w:rsidRPr="00953A0D">
        <w:rPr>
          <w:rFonts w:cs="Tahoma"/>
          <w:sz w:val="22"/>
          <w:szCs w:val="22"/>
        </w:rPr>
        <w:t>του 2</w:t>
      </w:r>
      <w:r w:rsidR="00B511B9" w:rsidRPr="00B511B9">
        <w:rPr>
          <w:rFonts w:cs="Tahoma"/>
          <w:sz w:val="22"/>
          <w:szCs w:val="22"/>
        </w:rPr>
        <w:t>0</w:t>
      </w:r>
      <w:r w:rsidRPr="00953A0D">
        <w:rPr>
          <w:rFonts w:cs="Tahoma"/>
          <w:sz w:val="22"/>
          <w:szCs w:val="22"/>
        </w:rPr>
        <w:t>% το 2012.</w:t>
      </w:r>
    </w:p>
    <w:p w:rsidR="008C3385" w:rsidRDefault="008C3385" w:rsidP="00AE1766">
      <w:pPr>
        <w:pStyle w:val="new4"/>
        <w:spacing w:before="240" w:after="240" w:line="312" w:lineRule="auto"/>
        <w:jc w:val="both"/>
        <w:rPr>
          <w:rFonts w:cs="Tahoma"/>
          <w:b w:val="0"/>
          <w:sz w:val="22"/>
          <w:szCs w:val="22"/>
        </w:rPr>
        <w:sectPr w:rsidR="008C3385" w:rsidSect="008C3385">
          <w:pgSz w:w="11906" w:h="16838"/>
          <w:pgMar w:top="1440" w:right="849" w:bottom="1440" w:left="1560" w:header="708" w:footer="708" w:gutter="0"/>
          <w:cols w:num="2" w:space="720"/>
          <w:docGrid w:linePitch="360"/>
        </w:sectPr>
      </w:pPr>
    </w:p>
    <w:p w:rsidR="00EA2458" w:rsidRDefault="00EA2458" w:rsidP="00AE1766">
      <w:pPr>
        <w:pStyle w:val="new4"/>
        <w:spacing w:before="240" w:after="240" w:line="312" w:lineRule="auto"/>
        <w:jc w:val="both"/>
        <w:rPr>
          <w:rFonts w:cs="Tahoma"/>
          <w:b w:val="0"/>
          <w:sz w:val="22"/>
          <w:szCs w:val="22"/>
        </w:rPr>
      </w:pPr>
    </w:p>
    <w:p w:rsidR="00295EC3" w:rsidRDefault="00295EC3" w:rsidP="00AE1766">
      <w:pPr>
        <w:pStyle w:val="new4"/>
        <w:spacing w:before="240" w:after="240" w:line="312" w:lineRule="auto"/>
        <w:jc w:val="both"/>
        <w:rPr>
          <w:b w:val="0"/>
          <w:sz w:val="22"/>
          <w:szCs w:val="22"/>
        </w:rPr>
        <w:sectPr w:rsidR="00295EC3" w:rsidSect="008C3385">
          <w:type w:val="continuous"/>
          <w:pgSz w:w="11906" w:h="16838"/>
          <w:pgMar w:top="1440" w:right="849" w:bottom="1440" w:left="1560" w:header="708" w:footer="708" w:gutter="0"/>
          <w:cols w:space="720"/>
          <w:docGrid w:linePitch="360"/>
        </w:sectPr>
      </w:pPr>
    </w:p>
    <w:p w:rsidR="00EA2458" w:rsidRPr="00B14890" w:rsidRDefault="00EA2458" w:rsidP="00AE1766">
      <w:pPr>
        <w:pStyle w:val="new4"/>
        <w:spacing w:before="120" w:after="120" w:line="240" w:lineRule="auto"/>
      </w:pPr>
      <w:r>
        <w:lastRenderedPageBreak/>
        <w:t>Πίνακας</w:t>
      </w:r>
      <w:r w:rsidR="00AE1766">
        <w:t xml:space="preserve"> 3.9</w:t>
      </w:r>
    </w:p>
    <w:p w:rsidR="00EA2458" w:rsidRPr="00C02F9A" w:rsidRDefault="00EA2458" w:rsidP="00AE1766">
      <w:pPr>
        <w:pStyle w:val="new4"/>
        <w:spacing w:before="120" w:after="120" w:line="240" w:lineRule="auto"/>
        <w:rPr>
          <w:b w:val="0"/>
          <w:bCs w:val="0"/>
          <w:color w:val="000000"/>
        </w:rPr>
      </w:pPr>
      <w:bookmarkStart w:id="188" w:name="_Toc128387572"/>
      <w:bookmarkStart w:id="189" w:name="_Toc137359964"/>
      <w:bookmarkStart w:id="190" w:name="_Toc177872905"/>
      <w:bookmarkStart w:id="191" w:name="_Toc185664935"/>
      <w:bookmarkStart w:id="192" w:name="_Toc185675141"/>
      <w:bookmarkStart w:id="193" w:name="_Toc193883003"/>
      <w:bookmarkStart w:id="194" w:name="_Toc193883412"/>
      <w:bookmarkStart w:id="195" w:name="_Toc193883499"/>
      <w:bookmarkStart w:id="196" w:name="_Toc202326865"/>
      <w:bookmarkStart w:id="197" w:name="_Toc210206849"/>
      <w:bookmarkStart w:id="198" w:name="_Toc210207764"/>
      <w:r w:rsidRPr="00DE48DB">
        <w:rPr>
          <w:b w:val="0"/>
          <w:bCs w:val="0"/>
          <w:color w:val="000000"/>
        </w:rPr>
        <w:t>Πληθυσμός ηλικίας 15 ετών και άνω, κατά κατάσταση απασχόλησης</w:t>
      </w:r>
      <w:bookmarkEnd w:id="188"/>
      <w:bookmarkEnd w:id="189"/>
      <w:bookmarkEnd w:id="190"/>
      <w:bookmarkEnd w:id="191"/>
      <w:bookmarkEnd w:id="192"/>
      <w:bookmarkEnd w:id="193"/>
      <w:bookmarkEnd w:id="194"/>
      <w:bookmarkEnd w:id="195"/>
      <w:bookmarkEnd w:id="196"/>
      <w:bookmarkEnd w:id="197"/>
      <w:bookmarkEnd w:id="198"/>
      <w:r w:rsidRPr="00C02F9A">
        <w:rPr>
          <w:b w:val="0"/>
          <w:bCs w:val="0"/>
          <w:color w:val="000000"/>
        </w:rPr>
        <w:t xml:space="preserve"> </w:t>
      </w:r>
      <w:r w:rsidRPr="008827AB">
        <w:rPr>
          <w:b w:val="0"/>
          <w:bCs w:val="0"/>
          <w:color w:val="000000"/>
        </w:rPr>
        <w:t>(σε χιλ.)</w:t>
      </w:r>
    </w:p>
    <w:tbl>
      <w:tblPr>
        <w:tblStyle w:val="TableSimple1"/>
        <w:tblW w:w="9900" w:type="dxa"/>
        <w:jc w:val="center"/>
        <w:tblInd w:w="180" w:type="dxa"/>
        <w:tblLayout w:type="fixed"/>
        <w:tblLook w:val="01E0"/>
      </w:tblPr>
      <w:tblGrid>
        <w:gridCol w:w="1598"/>
        <w:gridCol w:w="1080"/>
        <w:gridCol w:w="1143"/>
        <w:gridCol w:w="1211"/>
        <w:gridCol w:w="1103"/>
        <w:gridCol w:w="1425"/>
        <w:gridCol w:w="1080"/>
        <w:gridCol w:w="1260"/>
      </w:tblGrid>
      <w:tr w:rsidR="00EA2458" w:rsidRPr="001D3DC3" w:rsidTr="00A676AC">
        <w:trPr>
          <w:cnfStyle w:val="100000000000"/>
          <w:trHeight w:hRule="exact" w:val="277"/>
          <w:jc w:val="center"/>
        </w:trPr>
        <w:tc>
          <w:tcPr>
            <w:cnfStyle w:val="001000000000"/>
            <w:tcW w:w="1598" w:type="dxa"/>
            <w:vMerge w:val="restart"/>
            <w:tcBorders>
              <w:left w:val="dotted" w:sz="4" w:space="0" w:color="auto"/>
              <w:right w:val="dotted" w:sz="4" w:space="0" w:color="auto"/>
            </w:tcBorders>
            <w:vAlign w:val="bottom"/>
          </w:tcPr>
          <w:p w:rsidR="00EA2458" w:rsidRPr="001D3DC3" w:rsidRDefault="00EA2458" w:rsidP="00AE1766">
            <w:pPr>
              <w:jc w:val="center"/>
              <w:rPr>
                <w:rFonts w:ascii="Tahoma" w:hAnsi="Tahoma" w:cs="Tahoma"/>
                <w:sz w:val="18"/>
                <w:szCs w:val="18"/>
              </w:rPr>
            </w:pPr>
            <w:r w:rsidRPr="001D3DC3">
              <w:rPr>
                <w:rFonts w:ascii="Tahoma" w:hAnsi="Tahoma" w:cs="Tahoma"/>
                <w:sz w:val="18"/>
                <w:szCs w:val="18"/>
              </w:rPr>
              <w:t>Περίοδος</w:t>
            </w:r>
          </w:p>
          <w:p w:rsidR="00EA2458" w:rsidRPr="001D3DC3" w:rsidRDefault="00EA2458" w:rsidP="00AE1766">
            <w:pPr>
              <w:jc w:val="center"/>
              <w:rPr>
                <w:rFonts w:ascii="Tahoma" w:hAnsi="Tahoma" w:cs="Tahoma"/>
                <w:sz w:val="18"/>
                <w:szCs w:val="18"/>
              </w:rPr>
            </w:pPr>
            <w:r w:rsidRPr="001D3DC3">
              <w:rPr>
                <w:rFonts w:ascii="Tahoma" w:hAnsi="Tahoma" w:cs="Tahoma"/>
                <w:sz w:val="18"/>
                <w:szCs w:val="18"/>
              </w:rPr>
              <w:t>αναφοράς</w:t>
            </w:r>
          </w:p>
        </w:tc>
        <w:tc>
          <w:tcPr>
            <w:tcW w:w="1080" w:type="dxa"/>
            <w:vMerge w:val="restart"/>
            <w:tcBorders>
              <w:left w:val="dotted" w:sz="4" w:space="0" w:color="auto"/>
              <w:bottom w:val="single" w:sz="4" w:space="0" w:color="auto"/>
              <w:right w:val="dotted" w:sz="4" w:space="0" w:color="auto"/>
            </w:tcBorders>
            <w:vAlign w:val="bottom"/>
          </w:tcPr>
          <w:p w:rsidR="00EA2458" w:rsidRPr="001D3DC3" w:rsidRDefault="00EA2458" w:rsidP="00AE1766">
            <w:pPr>
              <w:cnfStyle w:val="100000000000"/>
              <w:rPr>
                <w:rFonts w:ascii="Tahoma" w:eastAsia="Arial Unicode MS" w:hAnsi="Tahoma" w:cs="Tahoma"/>
                <w:sz w:val="18"/>
                <w:szCs w:val="18"/>
              </w:rPr>
            </w:pPr>
            <w:r w:rsidRPr="001D3DC3">
              <w:rPr>
                <w:rFonts w:ascii="Tahoma" w:hAnsi="Tahoma" w:cs="Tahoma"/>
                <w:sz w:val="18"/>
                <w:szCs w:val="18"/>
              </w:rPr>
              <w:t>Γενικό Σύνολο</w:t>
            </w:r>
          </w:p>
        </w:tc>
        <w:tc>
          <w:tcPr>
            <w:tcW w:w="7222" w:type="dxa"/>
            <w:gridSpan w:val="6"/>
            <w:tcBorders>
              <w:left w:val="dotted" w:sz="4" w:space="0" w:color="auto"/>
              <w:bottom w:val="single" w:sz="4" w:space="0" w:color="auto"/>
              <w:right w:val="single" w:sz="4" w:space="0" w:color="auto"/>
            </w:tcBorders>
          </w:tcPr>
          <w:p w:rsidR="00EA2458" w:rsidRPr="001D3DC3" w:rsidRDefault="00EA2458" w:rsidP="00AE1766">
            <w:pPr>
              <w:cnfStyle w:val="100000000000"/>
              <w:rPr>
                <w:rFonts w:ascii="Tahoma" w:eastAsia="Arial Unicode MS" w:hAnsi="Tahoma" w:cs="Tahoma"/>
                <w:sz w:val="18"/>
                <w:szCs w:val="18"/>
              </w:rPr>
            </w:pPr>
            <w:r w:rsidRPr="001D3DC3">
              <w:rPr>
                <w:rFonts w:ascii="Tahoma" w:eastAsia="Arial Unicode MS" w:hAnsi="Tahoma" w:cs="Tahoma"/>
                <w:sz w:val="18"/>
                <w:szCs w:val="18"/>
              </w:rPr>
              <w:t>Εργατικό Δυναμικό</w:t>
            </w:r>
          </w:p>
        </w:tc>
      </w:tr>
      <w:tr w:rsidR="00EA2458" w:rsidRPr="001D3DC3" w:rsidTr="00A676AC">
        <w:trPr>
          <w:cnfStyle w:val="000000100000"/>
          <w:trHeight w:hRule="exact" w:val="491"/>
          <w:jc w:val="center"/>
        </w:trPr>
        <w:tc>
          <w:tcPr>
            <w:cnfStyle w:val="001000000000"/>
            <w:tcW w:w="1598" w:type="dxa"/>
            <w:vMerge/>
            <w:tcBorders>
              <w:top w:val="single" w:sz="4" w:space="0" w:color="auto"/>
              <w:left w:val="dotted" w:sz="4" w:space="0" w:color="auto"/>
              <w:bottom w:val="single" w:sz="12" w:space="0" w:color="auto"/>
              <w:right w:val="dotted" w:sz="4" w:space="0" w:color="auto"/>
            </w:tcBorders>
          </w:tcPr>
          <w:p w:rsidR="00EA2458" w:rsidRPr="001D3DC3" w:rsidRDefault="00EA2458" w:rsidP="00AE1766">
            <w:pPr>
              <w:jc w:val="both"/>
              <w:rPr>
                <w:rFonts w:ascii="Tahoma" w:hAnsi="Tahoma" w:cs="Tahoma"/>
                <w:sz w:val="18"/>
                <w:szCs w:val="18"/>
              </w:rPr>
            </w:pPr>
          </w:p>
        </w:tc>
        <w:tc>
          <w:tcPr>
            <w:tcW w:w="1080" w:type="dxa"/>
            <w:vMerge/>
            <w:tcBorders>
              <w:top w:val="single" w:sz="4" w:space="0" w:color="auto"/>
              <w:left w:val="dotted" w:sz="4" w:space="0" w:color="auto"/>
              <w:bottom w:val="single" w:sz="12" w:space="0" w:color="auto"/>
              <w:right w:val="dotted" w:sz="4" w:space="0" w:color="auto"/>
            </w:tcBorders>
          </w:tcPr>
          <w:p w:rsidR="00EA2458" w:rsidRPr="001D3DC3" w:rsidRDefault="00EA2458" w:rsidP="00AE1766">
            <w:pPr>
              <w:jc w:val="both"/>
              <w:cnfStyle w:val="000000100000"/>
              <w:rPr>
                <w:rFonts w:ascii="Tahoma" w:hAnsi="Tahoma" w:cs="Tahoma"/>
                <w:b/>
                <w:sz w:val="18"/>
                <w:szCs w:val="18"/>
              </w:rPr>
            </w:pPr>
          </w:p>
        </w:tc>
        <w:tc>
          <w:tcPr>
            <w:tcW w:w="1143" w:type="dxa"/>
            <w:tcBorders>
              <w:top w:val="single" w:sz="4" w:space="0" w:color="auto"/>
              <w:left w:val="dotted" w:sz="4" w:space="0" w:color="auto"/>
              <w:bottom w:val="single" w:sz="12" w:space="0" w:color="auto"/>
              <w:right w:val="dotted" w:sz="4" w:space="0" w:color="auto"/>
            </w:tcBorders>
            <w:vAlign w:val="bottom"/>
          </w:tcPr>
          <w:p w:rsidR="00EA2458" w:rsidRPr="001D3DC3" w:rsidRDefault="00EA2458" w:rsidP="00AE1766">
            <w:pPr>
              <w:cnfStyle w:val="000000100000"/>
              <w:rPr>
                <w:rFonts w:ascii="Tahoma" w:hAnsi="Tahoma" w:cs="Tahoma"/>
                <w:b/>
                <w:sz w:val="18"/>
                <w:szCs w:val="18"/>
              </w:rPr>
            </w:pPr>
            <w:r w:rsidRPr="001D3DC3">
              <w:rPr>
                <w:rFonts w:ascii="Tahoma" w:hAnsi="Tahoma" w:cs="Tahoma"/>
                <w:b/>
                <w:sz w:val="18"/>
                <w:szCs w:val="18"/>
              </w:rPr>
              <w:t>Σύνολο</w:t>
            </w:r>
          </w:p>
        </w:tc>
        <w:tc>
          <w:tcPr>
            <w:tcW w:w="1211" w:type="dxa"/>
            <w:tcBorders>
              <w:top w:val="single" w:sz="4" w:space="0" w:color="auto"/>
              <w:left w:val="dotted" w:sz="4" w:space="0" w:color="auto"/>
              <w:bottom w:val="single" w:sz="12" w:space="0" w:color="auto"/>
              <w:right w:val="dotted" w:sz="4" w:space="0" w:color="auto"/>
            </w:tcBorders>
            <w:vAlign w:val="bottom"/>
          </w:tcPr>
          <w:p w:rsidR="00EA2458" w:rsidRPr="001D3DC3" w:rsidRDefault="00EA2458" w:rsidP="00AE1766">
            <w:pPr>
              <w:ind w:hanging="149"/>
              <w:cnfStyle w:val="000000100000"/>
              <w:rPr>
                <w:rFonts w:ascii="Tahoma" w:hAnsi="Tahoma" w:cs="Tahoma"/>
                <w:b/>
                <w:sz w:val="18"/>
                <w:szCs w:val="18"/>
              </w:rPr>
            </w:pPr>
            <w:r w:rsidRPr="001D3DC3">
              <w:rPr>
                <w:rFonts w:ascii="Tahoma" w:hAnsi="Tahoma" w:cs="Tahoma"/>
                <w:b/>
                <w:sz w:val="18"/>
                <w:szCs w:val="18"/>
              </w:rPr>
              <w:t>% του</w:t>
            </w:r>
          </w:p>
          <w:p w:rsidR="00EA2458" w:rsidRPr="001D3DC3" w:rsidRDefault="00EA2458" w:rsidP="00AE1766">
            <w:pPr>
              <w:ind w:hanging="149"/>
              <w:cnfStyle w:val="000000100000"/>
              <w:rPr>
                <w:rFonts w:ascii="Tahoma" w:hAnsi="Tahoma" w:cs="Tahoma"/>
                <w:b/>
                <w:sz w:val="18"/>
                <w:szCs w:val="18"/>
              </w:rPr>
            </w:pPr>
            <w:r w:rsidRPr="001D3DC3">
              <w:rPr>
                <w:rFonts w:ascii="Tahoma" w:hAnsi="Tahoma" w:cs="Tahoma"/>
                <w:b/>
                <w:sz w:val="18"/>
                <w:szCs w:val="18"/>
                <w:lang w:val="en-US"/>
              </w:rPr>
              <w:t xml:space="preserve">  </w:t>
            </w:r>
            <w:r w:rsidRPr="001D3DC3">
              <w:rPr>
                <w:rFonts w:ascii="Tahoma" w:hAnsi="Tahoma" w:cs="Tahoma"/>
                <w:b/>
                <w:sz w:val="18"/>
                <w:szCs w:val="18"/>
              </w:rPr>
              <w:t>πληθυσμού</w:t>
            </w:r>
          </w:p>
        </w:tc>
        <w:tc>
          <w:tcPr>
            <w:tcW w:w="1103" w:type="dxa"/>
            <w:tcBorders>
              <w:top w:val="single" w:sz="4" w:space="0" w:color="auto"/>
              <w:left w:val="dotted" w:sz="4" w:space="0" w:color="auto"/>
              <w:bottom w:val="single" w:sz="12" w:space="0" w:color="auto"/>
              <w:right w:val="dotted" w:sz="4" w:space="0" w:color="auto"/>
            </w:tcBorders>
            <w:vAlign w:val="bottom"/>
          </w:tcPr>
          <w:p w:rsidR="00EA2458" w:rsidRPr="001D3DC3" w:rsidRDefault="00EA2458" w:rsidP="00AE1766">
            <w:pPr>
              <w:cnfStyle w:val="000000100000"/>
              <w:rPr>
                <w:rFonts w:ascii="Tahoma" w:hAnsi="Tahoma" w:cs="Tahoma"/>
                <w:b/>
                <w:sz w:val="18"/>
                <w:szCs w:val="18"/>
              </w:rPr>
            </w:pPr>
            <w:r w:rsidRPr="001D3DC3">
              <w:rPr>
                <w:rFonts w:ascii="Tahoma" w:hAnsi="Tahoma" w:cs="Tahoma"/>
                <w:b/>
                <w:sz w:val="18"/>
                <w:szCs w:val="18"/>
              </w:rPr>
              <w:t>Απασχο-</w:t>
            </w:r>
          </w:p>
          <w:p w:rsidR="00EA2458" w:rsidRPr="001D3DC3" w:rsidRDefault="00EA2458" w:rsidP="00AE1766">
            <w:pPr>
              <w:cnfStyle w:val="000000100000"/>
              <w:rPr>
                <w:rFonts w:ascii="Tahoma" w:hAnsi="Tahoma" w:cs="Tahoma"/>
                <w:b/>
                <w:sz w:val="18"/>
                <w:szCs w:val="18"/>
              </w:rPr>
            </w:pPr>
            <w:r w:rsidRPr="001D3DC3">
              <w:rPr>
                <w:rFonts w:ascii="Tahoma" w:hAnsi="Tahoma" w:cs="Tahoma"/>
                <w:b/>
                <w:sz w:val="18"/>
                <w:szCs w:val="18"/>
              </w:rPr>
              <w:t>λούμενοι</w:t>
            </w:r>
          </w:p>
        </w:tc>
        <w:tc>
          <w:tcPr>
            <w:tcW w:w="1425" w:type="dxa"/>
            <w:tcBorders>
              <w:top w:val="single" w:sz="4" w:space="0" w:color="auto"/>
              <w:left w:val="dotted" w:sz="4" w:space="0" w:color="auto"/>
              <w:bottom w:val="single" w:sz="12" w:space="0" w:color="auto"/>
              <w:right w:val="dotted" w:sz="4" w:space="0" w:color="auto"/>
            </w:tcBorders>
            <w:vAlign w:val="bottom"/>
          </w:tcPr>
          <w:p w:rsidR="00EA2458" w:rsidRPr="001D3DC3" w:rsidRDefault="00EA2458" w:rsidP="00AE1766">
            <w:pPr>
              <w:cnfStyle w:val="000000100000"/>
              <w:rPr>
                <w:rFonts w:ascii="Tahoma" w:hAnsi="Tahoma" w:cs="Tahoma"/>
                <w:b/>
                <w:sz w:val="18"/>
                <w:szCs w:val="18"/>
              </w:rPr>
            </w:pPr>
            <w:r w:rsidRPr="001D3DC3">
              <w:rPr>
                <w:rFonts w:ascii="Tahoma" w:hAnsi="Tahoma" w:cs="Tahoma"/>
                <w:b/>
                <w:sz w:val="18"/>
                <w:szCs w:val="18"/>
              </w:rPr>
              <w:t>% εργατικού δυναμικού</w:t>
            </w:r>
          </w:p>
        </w:tc>
        <w:tc>
          <w:tcPr>
            <w:tcW w:w="1080" w:type="dxa"/>
            <w:tcBorders>
              <w:top w:val="single" w:sz="4" w:space="0" w:color="auto"/>
              <w:left w:val="dotted" w:sz="4" w:space="0" w:color="auto"/>
              <w:bottom w:val="single" w:sz="12" w:space="0" w:color="auto"/>
              <w:right w:val="dotted" w:sz="4" w:space="0" w:color="auto"/>
            </w:tcBorders>
            <w:vAlign w:val="bottom"/>
          </w:tcPr>
          <w:p w:rsidR="00EA2458" w:rsidRPr="001D3DC3" w:rsidRDefault="00EA2458" w:rsidP="00AE1766">
            <w:pPr>
              <w:cnfStyle w:val="000000100000"/>
              <w:rPr>
                <w:rFonts w:ascii="Tahoma" w:hAnsi="Tahoma" w:cs="Tahoma"/>
                <w:b/>
                <w:sz w:val="18"/>
                <w:szCs w:val="18"/>
              </w:rPr>
            </w:pPr>
            <w:r w:rsidRPr="001D3DC3">
              <w:rPr>
                <w:rFonts w:ascii="Tahoma" w:hAnsi="Tahoma" w:cs="Tahoma"/>
                <w:b/>
                <w:sz w:val="18"/>
                <w:szCs w:val="18"/>
              </w:rPr>
              <w:t>Άνεργοι</w:t>
            </w:r>
          </w:p>
        </w:tc>
        <w:tc>
          <w:tcPr>
            <w:tcW w:w="1260" w:type="dxa"/>
            <w:tcBorders>
              <w:top w:val="single" w:sz="4" w:space="0" w:color="auto"/>
              <w:left w:val="dotted" w:sz="4" w:space="0" w:color="auto"/>
              <w:bottom w:val="single" w:sz="12" w:space="0" w:color="auto"/>
              <w:right w:val="dotted" w:sz="4" w:space="0" w:color="auto"/>
            </w:tcBorders>
            <w:vAlign w:val="bottom"/>
          </w:tcPr>
          <w:p w:rsidR="00EA2458" w:rsidRPr="001D3DC3" w:rsidRDefault="00EA2458" w:rsidP="00AE1766">
            <w:pPr>
              <w:cnfStyle w:val="000000100000"/>
              <w:rPr>
                <w:rFonts w:ascii="Tahoma" w:hAnsi="Tahoma" w:cs="Tahoma"/>
                <w:b/>
                <w:sz w:val="18"/>
                <w:szCs w:val="18"/>
              </w:rPr>
            </w:pPr>
            <w:r w:rsidRPr="001D3DC3">
              <w:rPr>
                <w:rFonts w:ascii="Tahoma" w:hAnsi="Tahoma" w:cs="Tahoma"/>
                <w:b/>
                <w:sz w:val="18"/>
                <w:szCs w:val="18"/>
              </w:rPr>
              <w:t>% εργατικού δυναμικού</w:t>
            </w:r>
          </w:p>
        </w:tc>
      </w:tr>
      <w:tr w:rsidR="00EA2458" w:rsidRPr="001D3DC3" w:rsidTr="00A676AC">
        <w:trPr>
          <w:cnfStyle w:val="000000010000"/>
          <w:trHeight w:hRule="exact" w:val="277"/>
          <w:jc w:val="center"/>
        </w:trPr>
        <w:tc>
          <w:tcPr>
            <w:cnfStyle w:val="001000000000"/>
            <w:tcW w:w="1598" w:type="dxa"/>
            <w:tcBorders>
              <w:top w:val="single" w:sz="12" w:space="0" w:color="auto"/>
              <w:left w:val="dotted" w:sz="4" w:space="0" w:color="auto"/>
              <w:right w:val="dotted" w:sz="4" w:space="0" w:color="auto"/>
            </w:tcBorders>
            <w:vAlign w:val="bottom"/>
          </w:tcPr>
          <w:p w:rsidR="00EA2458" w:rsidRPr="00BA1B31" w:rsidRDefault="00EA2458" w:rsidP="00AE1766">
            <w:pPr>
              <w:jc w:val="center"/>
              <w:rPr>
                <w:rFonts w:ascii="Tahoma" w:hAnsi="Tahoma" w:cs="Tahoma"/>
                <w:b w:val="0"/>
                <w:sz w:val="18"/>
                <w:szCs w:val="16"/>
              </w:rPr>
            </w:pPr>
            <w:r w:rsidRPr="00BA1B31">
              <w:rPr>
                <w:rFonts w:ascii="Tahoma" w:hAnsi="Tahoma" w:cs="Tahoma"/>
                <w:b w:val="0"/>
                <w:sz w:val="18"/>
                <w:szCs w:val="16"/>
              </w:rPr>
              <w:t>1998</w:t>
            </w:r>
          </w:p>
        </w:tc>
        <w:tc>
          <w:tcPr>
            <w:tcW w:w="1080" w:type="dxa"/>
            <w:tcBorders>
              <w:top w:val="single" w:sz="12" w:space="0" w:color="auto"/>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8.680,4</w:t>
            </w:r>
          </w:p>
        </w:tc>
        <w:tc>
          <w:tcPr>
            <w:tcW w:w="1143" w:type="dxa"/>
            <w:tcBorders>
              <w:top w:val="single" w:sz="12" w:space="0" w:color="auto"/>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4.525,8</w:t>
            </w:r>
          </w:p>
        </w:tc>
        <w:tc>
          <w:tcPr>
            <w:tcW w:w="1211" w:type="dxa"/>
            <w:tcBorders>
              <w:top w:val="single" w:sz="12" w:space="0" w:color="auto"/>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52,1</w:t>
            </w:r>
          </w:p>
        </w:tc>
        <w:tc>
          <w:tcPr>
            <w:tcW w:w="1103" w:type="dxa"/>
            <w:tcBorders>
              <w:top w:val="single" w:sz="12" w:space="0" w:color="auto"/>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4.017,9</w:t>
            </w:r>
          </w:p>
        </w:tc>
        <w:tc>
          <w:tcPr>
            <w:tcW w:w="1425" w:type="dxa"/>
            <w:tcBorders>
              <w:top w:val="single" w:sz="12" w:space="0" w:color="auto"/>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88,8</w:t>
            </w:r>
          </w:p>
        </w:tc>
        <w:tc>
          <w:tcPr>
            <w:tcW w:w="1080" w:type="dxa"/>
            <w:tcBorders>
              <w:top w:val="single" w:sz="12" w:space="0" w:color="auto"/>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507,9</w:t>
            </w:r>
          </w:p>
        </w:tc>
        <w:tc>
          <w:tcPr>
            <w:tcW w:w="1260" w:type="dxa"/>
            <w:tcBorders>
              <w:top w:val="single" w:sz="12" w:space="0" w:color="auto"/>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11,2</w:t>
            </w:r>
          </w:p>
        </w:tc>
      </w:tr>
      <w:tr w:rsidR="00EA2458" w:rsidRPr="001D3DC3" w:rsidTr="00A676AC">
        <w:trPr>
          <w:cnfStyle w:val="000000100000"/>
          <w:trHeight w:hRule="exact" w:val="277"/>
          <w:jc w:val="center"/>
        </w:trPr>
        <w:tc>
          <w:tcPr>
            <w:cnfStyle w:val="001000000000"/>
            <w:tcW w:w="1598" w:type="dxa"/>
            <w:tcBorders>
              <w:left w:val="dotted" w:sz="4" w:space="0" w:color="auto"/>
              <w:right w:val="dotted" w:sz="4" w:space="0" w:color="auto"/>
            </w:tcBorders>
            <w:vAlign w:val="bottom"/>
          </w:tcPr>
          <w:p w:rsidR="00EA2458" w:rsidRPr="00BA1B31" w:rsidRDefault="00EA2458" w:rsidP="00AE1766">
            <w:pPr>
              <w:jc w:val="center"/>
              <w:rPr>
                <w:rFonts w:ascii="Tahoma" w:hAnsi="Tahoma" w:cs="Tahoma"/>
                <w:b w:val="0"/>
                <w:sz w:val="18"/>
                <w:szCs w:val="16"/>
              </w:rPr>
            </w:pPr>
            <w:r w:rsidRPr="00BA1B31">
              <w:rPr>
                <w:rFonts w:ascii="Tahoma" w:hAnsi="Tahoma" w:cs="Tahoma"/>
                <w:b w:val="0"/>
                <w:sz w:val="18"/>
                <w:szCs w:val="16"/>
              </w:rPr>
              <w:t>1999</w:t>
            </w:r>
          </w:p>
        </w:tc>
        <w:tc>
          <w:tcPr>
            <w:tcW w:w="108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8.764,5</w:t>
            </w:r>
          </w:p>
        </w:tc>
        <w:tc>
          <w:tcPr>
            <w:tcW w:w="1143"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4.586,1</w:t>
            </w:r>
          </w:p>
        </w:tc>
        <w:tc>
          <w:tcPr>
            <w:tcW w:w="1211"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52,3</w:t>
            </w:r>
          </w:p>
        </w:tc>
        <w:tc>
          <w:tcPr>
            <w:tcW w:w="1103"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4.031,4</w:t>
            </w:r>
          </w:p>
        </w:tc>
        <w:tc>
          <w:tcPr>
            <w:tcW w:w="1425"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87,9</w:t>
            </w:r>
          </w:p>
        </w:tc>
        <w:tc>
          <w:tcPr>
            <w:tcW w:w="108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554,7</w:t>
            </w:r>
          </w:p>
        </w:tc>
        <w:tc>
          <w:tcPr>
            <w:tcW w:w="126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12,1</w:t>
            </w:r>
          </w:p>
        </w:tc>
      </w:tr>
      <w:tr w:rsidR="00EA2458" w:rsidRPr="001D3DC3" w:rsidTr="00A676AC">
        <w:trPr>
          <w:cnfStyle w:val="000000010000"/>
          <w:trHeight w:hRule="exact" w:val="277"/>
          <w:jc w:val="center"/>
        </w:trPr>
        <w:tc>
          <w:tcPr>
            <w:cnfStyle w:val="001000000000"/>
            <w:tcW w:w="1598" w:type="dxa"/>
            <w:tcBorders>
              <w:left w:val="dotted" w:sz="4" w:space="0" w:color="auto"/>
              <w:right w:val="dotted" w:sz="4" w:space="0" w:color="auto"/>
            </w:tcBorders>
            <w:vAlign w:val="bottom"/>
          </w:tcPr>
          <w:p w:rsidR="00EA2458" w:rsidRPr="00BA1B31" w:rsidRDefault="00EA2458" w:rsidP="00AE1766">
            <w:pPr>
              <w:jc w:val="center"/>
              <w:rPr>
                <w:rFonts w:ascii="Tahoma" w:hAnsi="Tahoma" w:cs="Tahoma"/>
                <w:b w:val="0"/>
                <w:sz w:val="18"/>
                <w:szCs w:val="16"/>
              </w:rPr>
            </w:pPr>
            <w:r w:rsidRPr="00BA1B31">
              <w:rPr>
                <w:rFonts w:ascii="Tahoma" w:hAnsi="Tahoma" w:cs="Tahoma"/>
                <w:b w:val="0"/>
                <w:sz w:val="18"/>
                <w:szCs w:val="16"/>
              </w:rPr>
              <w:t>2000</w:t>
            </w:r>
          </w:p>
        </w:tc>
        <w:tc>
          <w:tcPr>
            <w:tcW w:w="108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8.839,8</w:t>
            </w:r>
          </w:p>
        </w:tc>
        <w:tc>
          <w:tcPr>
            <w:tcW w:w="1143"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4.611,9</w:t>
            </w:r>
          </w:p>
        </w:tc>
        <w:tc>
          <w:tcPr>
            <w:tcW w:w="1211"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52,2</w:t>
            </w:r>
          </w:p>
        </w:tc>
        <w:tc>
          <w:tcPr>
            <w:tcW w:w="1103"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4.088,5</w:t>
            </w:r>
          </w:p>
        </w:tc>
        <w:tc>
          <w:tcPr>
            <w:tcW w:w="1425"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88,6</w:t>
            </w:r>
          </w:p>
        </w:tc>
        <w:tc>
          <w:tcPr>
            <w:tcW w:w="108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523,5</w:t>
            </w:r>
          </w:p>
        </w:tc>
        <w:tc>
          <w:tcPr>
            <w:tcW w:w="126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11,4</w:t>
            </w:r>
          </w:p>
        </w:tc>
      </w:tr>
      <w:tr w:rsidR="00EA2458" w:rsidRPr="001D3DC3" w:rsidTr="00A676AC">
        <w:trPr>
          <w:cnfStyle w:val="000000100000"/>
          <w:trHeight w:hRule="exact" w:val="277"/>
          <w:jc w:val="center"/>
        </w:trPr>
        <w:tc>
          <w:tcPr>
            <w:cnfStyle w:val="001000000000"/>
            <w:tcW w:w="1598" w:type="dxa"/>
            <w:tcBorders>
              <w:left w:val="dotted" w:sz="4" w:space="0" w:color="auto"/>
              <w:right w:val="dotted" w:sz="4" w:space="0" w:color="auto"/>
            </w:tcBorders>
            <w:vAlign w:val="bottom"/>
          </w:tcPr>
          <w:p w:rsidR="00EA2458" w:rsidRPr="00BA1B31" w:rsidRDefault="00EA2458" w:rsidP="00AE1766">
            <w:pPr>
              <w:jc w:val="center"/>
              <w:rPr>
                <w:rFonts w:ascii="Tahoma" w:hAnsi="Tahoma" w:cs="Tahoma"/>
                <w:b w:val="0"/>
                <w:sz w:val="18"/>
                <w:szCs w:val="16"/>
              </w:rPr>
            </w:pPr>
            <w:r w:rsidRPr="00BA1B31">
              <w:rPr>
                <w:rFonts w:ascii="Tahoma" w:hAnsi="Tahoma" w:cs="Tahoma"/>
                <w:b w:val="0"/>
                <w:sz w:val="18"/>
                <w:szCs w:val="16"/>
              </w:rPr>
              <w:t>2001</w:t>
            </w:r>
          </w:p>
        </w:tc>
        <w:tc>
          <w:tcPr>
            <w:tcW w:w="108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8.906,4</w:t>
            </w:r>
          </w:p>
        </w:tc>
        <w:tc>
          <w:tcPr>
            <w:tcW w:w="1143"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4.580,3</w:t>
            </w:r>
          </w:p>
        </w:tc>
        <w:tc>
          <w:tcPr>
            <w:tcW w:w="1211"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51,4</w:t>
            </w:r>
          </w:p>
        </w:tc>
        <w:tc>
          <w:tcPr>
            <w:tcW w:w="1103"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4.086,3</w:t>
            </w:r>
          </w:p>
        </w:tc>
        <w:tc>
          <w:tcPr>
            <w:tcW w:w="1425"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89,2</w:t>
            </w:r>
          </w:p>
        </w:tc>
        <w:tc>
          <w:tcPr>
            <w:tcW w:w="108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493,9</w:t>
            </w:r>
          </w:p>
        </w:tc>
        <w:tc>
          <w:tcPr>
            <w:tcW w:w="126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10,8</w:t>
            </w:r>
          </w:p>
        </w:tc>
      </w:tr>
      <w:tr w:rsidR="00EA2458" w:rsidRPr="001D3DC3" w:rsidTr="00A676AC">
        <w:trPr>
          <w:cnfStyle w:val="000000010000"/>
          <w:trHeight w:hRule="exact" w:val="277"/>
          <w:jc w:val="center"/>
        </w:trPr>
        <w:tc>
          <w:tcPr>
            <w:cnfStyle w:val="001000000000"/>
            <w:tcW w:w="1598" w:type="dxa"/>
            <w:tcBorders>
              <w:left w:val="dotted" w:sz="4" w:space="0" w:color="auto"/>
              <w:right w:val="dotted" w:sz="4" w:space="0" w:color="auto"/>
            </w:tcBorders>
            <w:vAlign w:val="bottom"/>
          </w:tcPr>
          <w:p w:rsidR="00EA2458" w:rsidRPr="00BA1B31" w:rsidRDefault="00EA2458" w:rsidP="00AE1766">
            <w:pPr>
              <w:jc w:val="center"/>
              <w:rPr>
                <w:rFonts w:ascii="Tahoma" w:hAnsi="Tahoma" w:cs="Tahoma"/>
                <w:b w:val="0"/>
                <w:sz w:val="18"/>
                <w:szCs w:val="16"/>
              </w:rPr>
            </w:pPr>
            <w:r w:rsidRPr="00BA1B31">
              <w:rPr>
                <w:rFonts w:ascii="Tahoma" w:hAnsi="Tahoma" w:cs="Tahoma"/>
                <w:b w:val="0"/>
                <w:sz w:val="18"/>
                <w:szCs w:val="16"/>
              </w:rPr>
              <w:t>2002</w:t>
            </w:r>
          </w:p>
        </w:tc>
        <w:tc>
          <w:tcPr>
            <w:tcW w:w="108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8.964,3</w:t>
            </w:r>
          </w:p>
        </w:tc>
        <w:tc>
          <w:tcPr>
            <w:tcW w:w="1143"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4.656,0</w:t>
            </w:r>
          </w:p>
        </w:tc>
        <w:tc>
          <w:tcPr>
            <w:tcW w:w="1211"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51,9</w:t>
            </w:r>
          </w:p>
        </w:tc>
        <w:tc>
          <w:tcPr>
            <w:tcW w:w="1103"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4.175,8</w:t>
            </w:r>
          </w:p>
        </w:tc>
        <w:tc>
          <w:tcPr>
            <w:tcW w:w="1425"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89,7</w:t>
            </w:r>
          </w:p>
        </w:tc>
        <w:tc>
          <w:tcPr>
            <w:tcW w:w="108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480,2</w:t>
            </w:r>
          </w:p>
        </w:tc>
        <w:tc>
          <w:tcPr>
            <w:tcW w:w="126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10,3</w:t>
            </w:r>
          </w:p>
        </w:tc>
      </w:tr>
      <w:tr w:rsidR="00EA2458" w:rsidRPr="001D3DC3" w:rsidTr="00A676AC">
        <w:trPr>
          <w:cnfStyle w:val="000000100000"/>
          <w:trHeight w:hRule="exact" w:val="277"/>
          <w:jc w:val="center"/>
        </w:trPr>
        <w:tc>
          <w:tcPr>
            <w:cnfStyle w:val="001000000000"/>
            <w:tcW w:w="1598" w:type="dxa"/>
            <w:tcBorders>
              <w:left w:val="dotted" w:sz="4" w:space="0" w:color="auto"/>
              <w:right w:val="dotted" w:sz="4" w:space="0" w:color="auto"/>
            </w:tcBorders>
            <w:vAlign w:val="bottom"/>
          </w:tcPr>
          <w:p w:rsidR="00EA2458" w:rsidRPr="00BA1B31" w:rsidRDefault="00EA2458" w:rsidP="00AE1766">
            <w:pPr>
              <w:jc w:val="center"/>
              <w:rPr>
                <w:rFonts w:ascii="Tahoma" w:hAnsi="Tahoma" w:cs="Tahoma"/>
                <w:b w:val="0"/>
                <w:sz w:val="18"/>
                <w:szCs w:val="16"/>
              </w:rPr>
            </w:pPr>
            <w:r w:rsidRPr="00BA1B31">
              <w:rPr>
                <w:rFonts w:ascii="Tahoma" w:hAnsi="Tahoma" w:cs="Tahoma"/>
                <w:b w:val="0"/>
                <w:sz w:val="18"/>
                <w:szCs w:val="16"/>
              </w:rPr>
              <w:t>2003</w:t>
            </w:r>
          </w:p>
        </w:tc>
        <w:tc>
          <w:tcPr>
            <w:tcW w:w="108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9.014,9</w:t>
            </w:r>
          </w:p>
        </w:tc>
        <w:tc>
          <w:tcPr>
            <w:tcW w:w="1143"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4.734,4</w:t>
            </w:r>
          </w:p>
        </w:tc>
        <w:tc>
          <w:tcPr>
            <w:tcW w:w="1211"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52,5</w:t>
            </w:r>
          </w:p>
        </w:tc>
        <w:tc>
          <w:tcPr>
            <w:tcW w:w="1103"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4.274,5</w:t>
            </w:r>
          </w:p>
        </w:tc>
        <w:tc>
          <w:tcPr>
            <w:tcW w:w="1425"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90,3</w:t>
            </w:r>
          </w:p>
        </w:tc>
        <w:tc>
          <w:tcPr>
            <w:tcW w:w="108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460,0</w:t>
            </w:r>
          </w:p>
        </w:tc>
        <w:tc>
          <w:tcPr>
            <w:tcW w:w="126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9,7</w:t>
            </w:r>
          </w:p>
        </w:tc>
      </w:tr>
      <w:tr w:rsidR="00EA2458" w:rsidRPr="001D3DC3" w:rsidTr="00A676AC">
        <w:trPr>
          <w:cnfStyle w:val="000000010000"/>
          <w:trHeight w:hRule="exact" w:val="277"/>
          <w:jc w:val="center"/>
        </w:trPr>
        <w:tc>
          <w:tcPr>
            <w:cnfStyle w:val="001000000000"/>
            <w:tcW w:w="1598" w:type="dxa"/>
            <w:tcBorders>
              <w:left w:val="dotted" w:sz="4" w:space="0" w:color="auto"/>
              <w:right w:val="dotted" w:sz="4" w:space="0" w:color="auto"/>
            </w:tcBorders>
            <w:vAlign w:val="bottom"/>
          </w:tcPr>
          <w:p w:rsidR="00EA2458" w:rsidRPr="00BA1B31" w:rsidRDefault="00EA2458" w:rsidP="00AE1766">
            <w:pPr>
              <w:jc w:val="center"/>
              <w:rPr>
                <w:rFonts w:ascii="Tahoma" w:hAnsi="Tahoma" w:cs="Tahoma"/>
                <w:b w:val="0"/>
                <w:sz w:val="18"/>
                <w:szCs w:val="16"/>
              </w:rPr>
            </w:pPr>
            <w:r w:rsidRPr="00BA1B31">
              <w:rPr>
                <w:rFonts w:ascii="Tahoma" w:hAnsi="Tahoma" w:cs="Tahoma"/>
                <w:b w:val="0"/>
                <w:sz w:val="18"/>
                <w:szCs w:val="16"/>
              </w:rPr>
              <w:t>2004</w:t>
            </w:r>
          </w:p>
        </w:tc>
        <w:tc>
          <w:tcPr>
            <w:tcW w:w="108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9.063,5</w:t>
            </w:r>
          </w:p>
        </w:tc>
        <w:tc>
          <w:tcPr>
            <w:tcW w:w="1143"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4.818,8</w:t>
            </w:r>
          </w:p>
        </w:tc>
        <w:tc>
          <w:tcPr>
            <w:tcW w:w="1211"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53,2</w:t>
            </w:r>
          </w:p>
        </w:tc>
        <w:tc>
          <w:tcPr>
            <w:tcW w:w="1103"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4.313,2</w:t>
            </w:r>
          </w:p>
        </w:tc>
        <w:tc>
          <w:tcPr>
            <w:tcW w:w="1425"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89,5</w:t>
            </w:r>
          </w:p>
        </w:tc>
        <w:tc>
          <w:tcPr>
            <w:tcW w:w="108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505,7</w:t>
            </w:r>
          </w:p>
        </w:tc>
        <w:tc>
          <w:tcPr>
            <w:tcW w:w="126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10,5</w:t>
            </w:r>
          </w:p>
        </w:tc>
      </w:tr>
      <w:tr w:rsidR="00EA2458" w:rsidRPr="001D3DC3" w:rsidTr="00A676AC">
        <w:trPr>
          <w:cnfStyle w:val="000000100000"/>
          <w:trHeight w:hRule="exact" w:val="277"/>
          <w:jc w:val="center"/>
        </w:trPr>
        <w:tc>
          <w:tcPr>
            <w:cnfStyle w:val="001000000000"/>
            <w:tcW w:w="1598" w:type="dxa"/>
            <w:tcBorders>
              <w:left w:val="dotted" w:sz="4" w:space="0" w:color="auto"/>
              <w:right w:val="dotted" w:sz="4" w:space="0" w:color="auto"/>
            </w:tcBorders>
            <w:vAlign w:val="bottom"/>
          </w:tcPr>
          <w:p w:rsidR="00EA2458" w:rsidRPr="00BA1B31" w:rsidRDefault="00EA2458" w:rsidP="00AE1766">
            <w:pPr>
              <w:jc w:val="center"/>
              <w:rPr>
                <w:rFonts w:ascii="Tahoma" w:hAnsi="Tahoma" w:cs="Tahoma"/>
                <w:b w:val="0"/>
                <w:sz w:val="18"/>
                <w:szCs w:val="16"/>
              </w:rPr>
            </w:pPr>
            <w:r w:rsidRPr="00BA1B31">
              <w:rPr>
                <w:rFonts w:ascii="Tahoma" w:hAnsi="Tahoma" w:cs="Tahoma"/>
                <w:b w:val="0"/>
                <w:sz w:val="18"/>
                <w:szCs w:val="16"/>
              </w:rPr>
              <w:t>2005</w:t>
            </w:r>
          </w:p>
        </w:tc>
        <w:tc>
          <w:tcPr>
            <w:tcW w:w="108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9.108,1</w:t>
            </w:r>
          </w:p>
        </w:tc>
        <w:tc>
          <w:tcPr>
            <w:tcW w:w="1143"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4.846,5</w:t>
            </w:r>
          </w:p>
        </w:tc>
        <w:tc>
          <w:tcPr>
            <w:tcW w:w="1211"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53,2</w:t>
            </w:r>
          </w:p>
        </w:tc>
        <w:tc>
          <w:tcPr>
            <w:tcW w:w="1103"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4.369,0</w:t>
            </w:r>
          </w:p>
        </w:tc>
        <w:tc>
          <w:tcPr>
            <w:tcW w:w="1425"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90,1</w:t>
            </w:r>
          </w:p>
        </w:tc>
        <w:tc>
          <w:tcPr>
            <w:tcW w:w="108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477,5</w:t>
            </w:r>
          </w:p>
        </w:tc>
        <w:tc>
          <w:tcPr>
            <w:tcW w:w="126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9,9</w:t>
            </w:r>
          </w:p>
        </w:tc>
      </w:tr>
      <w:tr w:rsidR="00EA2458" w:rsidRPr="001D3DC3" w:rsidTr="00A676AC">
        <w:trPr>
          <w:cnfStyle w:val="000000010000"/>
          <w:trHeight w:hRule="exact" w:val="277"/>
          <w:jc w:val="center"/>
        </w:trPr>
        <w:tc>
          <w:tcPr>
            <w:cnfStyle w:val="001000000000"/>
            <w:tcW w:w="1598" w:type="dxa"/>
            <w:tcBorders>
              <w:left w:val="dotted" w:sz="4" w:space="0" w:color="auto"/>
              <w:right w:val="dotted" w:sz="4" w:space="0" w:color="auto"/>
            </w:tcBorders>
            <w:vAlign w:val="bottom"/>
          </w:tcPr>
          <w:p w:rsidR="00EA2458" w:rsidRPr="00BA1B31" w:rsidRDefault="00EA2458" w:rsidP="00AE1766">
            <w:pPr>
              <w:jc w:val="center"/>
              <w:rPr>
                <w:rFonts w:ascii="Tahoma" w:hAnsi="Tahoma" w:cs="Tahoma"/>
                <w:b w:val="0"/>
                <w:sz w:val="18"/>
                <w:szCs w:val="16"/>
              </w:rPr>
            </w:pPr>
            <w:r w:rsidRPr="00BA1B31">
              <w:rPr>
                <w:rFonts w:ascii="Tahoma" w:hAnsi="Tahoma" w:cs="Tahoma"/>
                <w:b w:val="0"/>
                <w:sz w:val="18"/>
                <w:szCs w:val="16"/>
              </w:rPr>
              <w:t>2006</w:t>
            </w:r>
          </w:p>
        </w:tc>
        <w:tc>
          <w:tcPr>
            <w:tcW w:w="108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9.157,4</w:t>
            </w:r>
          </w:p>
        </w:tc>
        <w:tc>
          <w:tcPr>
            <w:tcW w:w="1143"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4.886,4</w:t>
            </w:r>
          </w:p>
        </w:tc>
        <w:tc>
          <w:tcPr>
            <w:tcW w:w="1211"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53,4</w:t>
            </w:r>
          </w:p>
        </w:tc>
        <w:tc>
          <w:tcPr>
            <w:tcW w:w="1103"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4.452,3</w:t>
            </w:r>
          </w:p>
        </w:tc>
        <w:tc>
          <w:tcPr>
            <w:tcW w:w="1425"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91,1</w:t>
            </w:r>
          </w:p>
        </w:tc>
        <w:tc>
          <w:tcPr>
            <w:tcW w:w="108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434,5</w:t>
            </w:r>
          </w:p>
        </w:tc>
        <w:tc>
          <w:tcPr>
            <w:tcW w:w="126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8,9</w:t>
            </w:r>
          </w:p>
        </w:tc>
      </w:tr>
      <w:tr w:rsidR="00EA2458" w:rsidRPr="001D3DC3" w:rsidTr="00A676AC">
        <w:trPr>
          <w:cnfStyle w:val="000000100000"/>
          <w:trHeight w:hRule="exact" w:val="277"/>
          <w:jc w:val="center"/>
        </w:trPr>
        <w:tc>
          <w:tcPr>
            <w:cnfStyle w:val="001000000000"/>
            <w:tcW w:w="1598" w:type="dxa"/>
            <w:tcBorders>
              <w:left w:val="dotted" w:sz="4" w:space="0" w:color="auto"/>
              <w:right w:val="dotted" w:sz="4" w:space="0" w:color="auto"/>
            </w:tcBorders>
            <w:vAlign w:val="bottom"/>
          </w:tcPr>
          <w:p w:rsidR="00EA2458" w:rsidRPr="00BA1B31" w:rsidRDefault="00EA2458" w:rsidP="00AE1766">
            <w:pPr>
              <w:jc w:val="center"/>
              <w:rPr>
                <w:rFonts w:ascii="Tahoma" w:hAnsi="Tahoma" w:cs="Tahoma"/>
                <w:b w:val="0"/>
                <w:sz w:val="18"/>
                <w:szCs w:val="16"/>
              </w:rPr>
            </w:pPr>
            <w:r w:rsidRPr="00BA1B31">
              <w:rPr>
                <w:rFonts w:ascii="Tahoma" w:hAnsi="Tahoma" w:cs="Tahoma"/>
                <w:b w:val="0"/>
                <w:sz w:val="18"/>
                <w:szCs w:val="16"/>
              </w:rPr>
              <w:t>2007</w:t>
            </w:r>
          </w:p>
        </w:tc>
        <w:tc>
          <w:tcPr>
            <w:tcW w:w="108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9.207,4</w:t>
            </w:r>
          </w:p>
        </w:tc>
        <w:tc>
          <w:tcPr>
            <w:tcW w:w="1143"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4.916,8</w:t>
            </w:r>
          </w:p>
        </w:tc>
        <w:tc>
          <w:tcPr>
            <w:tcW w:w="1211"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53,4</w:t>
            </w:r>
          </w:p>
        </w:tc>
        <w:tc>
          <w:tcPr>
            <w:tcW w:w="1103"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4.509,9</w:t>
            </w:r>
          </w:p>
        </w:tc>
        <w:tc>
          <w:tcPr>
            <w:tcW w:w="1425"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91,7</w:t>
            </w:r>
          </w:p>
        </w:tc>
        <w:tc>
          <w:tcPr>
            <w:tcW w:w="108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406,9</w:t>
            </w:r>
          </w:p>
        </w:tc>
        <w:tc>
          <w:tcPr>
            <w:tcW w:w="126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8,3</w:t>
            </w:r>
          </w:p>
        </w:tc>
      </w:tr>
      <w:tr w:rsidR="00EA2458" w:rsidRPr="001D3DC3" w:rsidTr="00A676AC">
        <w:trPr>
          <w:cnfStyle w:val="000000010000"/>
          <w:trHeight w:hRule="exact" w:val="277"/>
          <w:jc w:val="center"/>
        </w:trPr>
        <w:tc>
          <w:tcPr>
            <w:cnfStyle w:val="001000000000"/>
            <w:tcW w:w="1598" w:type="dxa"/>
            <w:tcBorders>
              <w:left w:val="dotted" w:sz="4" w:space="0" w:color="auto"/>
              <w:right w:val="dotted" w:sz="4" w:space="0" w:color="auto"/>
            </w:tcBorders>
            <w:vAlign w:val="bottom"/>
          </w:tcPr>
          <w:p w:rsidR="00EA2458" w:rsidRPr="00BA1B31" w:rsidRDefault="00EA2458" w:rsidP="00AE1766">
            <w:pPr>
              <w:jc w:val="center"/>
              <w:rPr>
                <w:rFonts w:ascii="Tahoma" w:hAnsi="Tahoma" w:cs="Tahoma"/>
                <w:b w:val="0"/>
                <w:sz w:val="18"/>
                <w:szCs w:val="16"/>
              </w:rPr>
            </w:pPr>
            <w:r w:rsidRPr="00BA1B31">
              <w:rPr>
                <w:rFonts w:ascii="Tahoma" w:hAnsi="Tahoma" w:cs="Tahoma"/>
                <w:b w:val="0"/>
                <w:sz w:val="18"/>
                <w:szCs w:val="16"/>
              </w:rPr>
              <w:t>2008</w:t>
            </w:r>
          </w:p>
        </w:tc>
        <w:tc>
          <w:tcPr>
            <w:tcW w:w="108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9.234,1</w:t>
            </w:r>
          </w:p>
        </w:tc>
        <w:tc>
          <w:tcPr>
            <w:tcW w:w="1143"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4.937,3</w:t>
            </w:r>
          </w:p>
        </w:tc>
        <w:tc>
          <w:tcPr>
            <w:tcW w:w="1211"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53,5</w:t>
            </w:r>
          </w:p>
        </w:tc>
        <w:tc>
          <w:tcPr>
            <w:tcW w:w="1103"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4.559,4</w:t>
            </w:r>
          </w:p>
        </w:tc>
        <w:tc>
          <w:tcPr>
            <w:tcW w:w="1425"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92,4</w:t>
            </w:r>
          </w:p>
        </w:tc>
        <w:tc>
          <w:tcPr>
            <w:tcW w:w="108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377,9</w:t>
            </w:r>
          </w:p>
        </w:tc>
        <w:tc>
          <w:tcPr>
            <w:tcW w:w="126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7,6</w:t>
            </w:r>
          </w:p>
        </w:tc>
      </w:tr>
      <w:tr w:rsidR="00EA2458" w:rsidRPr="001D3DC3" w:rsidTr="00A676AC">
        <w:trPr>
          <w:cnfStyle w:val="000000100000"/>
          <w:trHeight w:hRule="exact" w:val="277"/>
          <w:jc w:val="center"/>
        </w:trPr>
        <w:tc>
          <w:tcPr>
            <w:cnfStyle w:val="001000000000"/>
            <w:tcW w:w="1598" w:type="dxa"/>
            <w:tcBorders>
              <w:left w:val="dotted" w:sz="4" w:space="0" w:color="auto"/>
              <w:right w:val="dotted" w:sz="4" w:space="0" w:color="auto"/>
            </w:tcBorders>
            <w:vAlign w:val="bottom"/>
          </w:tcPr>
          <w:p w:rsidR="00EA2458" w:rsidRPr="00BA1B31" w:rsidRDefault="00EA2458" w:rsidP="00AE1766">
            <w:pPr>
              <w:jc w:val="center"/>
              <w:rPr>
                <w:rFonts w:ascii="Tahoma" w:hAnsi="Tahoma" w:cs="Tahoma"/>
                <w:b w:val="0"/>
                <w:sz w:val="18"/>
                <w:szCs w:val="16"/>
              </w:rPr>
            </w:pPr>
            <w:r w:rsidRPr="00BA1B31">
              <w:rPr>
                <w:rFonts w:ascii="Tahoma" w:hAnsi="Tahoma" w:cs="Tahoma"/>
                <w:b w:val="0"/>
                <w:sz w:val="18"/>
                <w:szCs w:val="16"/>
              </w:rPr>
              <w:t>α’ τρίμ. 2009</w:t>
            </w:r>
          </w:p>
        </w:tc>
        <w:tc>
          <w:tcPr>
            <w:tcW w:w="108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9.252,7</w:t>
            </w:r>
          </w:p>
        </w:tc>
        <w:tc>
          <w:tcPr>
            <w:tcW w:w="1143"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4.948,1</w:t>
            </w:r>
          </w:p>
        </w:tc>
        <w:tc>
          <w:tcPr>
            <w:tcW w:w="1211"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53,5</w:t>
            </w:r>
          </w:p>
        </w:tc>
        <w:tc>
          <w:tcPr>
            <w:tcW w:w="1103"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4.485,8</w:t>
            </w:r>
          </w:p>
        </w:tc>
        <w:tc>
          <w:tcPr>
            <w:tcW w:w="1425"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90,7</w:t>
            </w:r>
          </w:p>
        </w:tc>
        <w:tc>
          <w:tcPr>
            <w:tcW w:w="108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462,3</w:t>
            </w:r>
          </w:p>
        </w:tc>
        <w:tc>
          <w:tcPr>
            <w:tcW w:w="126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9,3</w:t>
            </w:r>
          </w:p>
        </w:tc>
      </w:tr>
      <w:tr w:rsidR="00EA2458" w:rsidRPr="001D3DC3" w:rsidTr="00A676AC">
        <w:trPr>
          <w:cnfStyle w:val="000000010000"/>
          <w:trHeight w:hRule="exact" w:val="277"/>
          <w:jc w:val="center"/>
        </w:trPr>
        <w:tc>
          <w:tcPr>
            <w:cnfStyle w:val="001000000000"/>
            <w:tcW w:w="1598" w:type="dxa"/>
            <w:tcBorders>
              <w:left w:val="dotted" w:sz="4" w:space="0" w:color="auto"/>
              <w:right w:val="dotted" w:sz="4" w:space="0" w:color="auto"/>
            </w:tcBorders>
            <w:vAlign w:val="bottom"/>
          </w:tcPr>
          <w:p w:rsidR="00EA2458" w:rsidRPr="00BA1B31" w:rsidRDefault="00EA2458" w:rsidP="00AE1766">
            <w:pPr>
              <w:jc w:val="center"/>
              <w:rPr>
                <w:rFonts w:ascii="Tahoma" w:hAnsi="Tahoma" w:cs="Tahoma"/>
                <w:b w:val="0"/>
                <w:sz w:val="18"/>
                <w:szCs w:val="16"/>
              </w:rPr>
            </w:pPr>
            <w:r w:rsidRPr="00BA1B31">
              <w:rPr>
                <w:rFonts w:ascii="Tahoma" w:hAnsi="Tahoma" w:cs="Tahoma"/>
                <w:b w:val="0"/>
                <w:sz w:val="18"/>
                <w:szCs w:val="16"/>
              </w:rPr>
              <w:t>β’ τρίμ. 2009</w:t>
            </w:r>
          </w:p>
        </w:tc>
        <w:tc>
          <w:tcPr>
            <w:tcW w:w="108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9.262,4</w:t>
            </w:r>
          </w:p>
        </w:tc>
        <w:tc>
          <w:tcPr>
            <w:tcW w:w="1143"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4.974,5</w:t>
            </w:r>
          </w:p>
        </w:tc>
        <w:tc>
          <w:tcPr>
            <w:tcW w:w="1211"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53,7</w:t>
            </w:r>
          </w:p>
        </w:tc>
        <w:tc>
          <w:tcPr>
            <w:tcW w:w="1103"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4.531,9</w:t>
            </w:r>
          </w:p>
        </w:tc>
        <w:tc>
          <w:tcPr>
            <w:tcW w:w="1425"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91,1</w:t>
            </w:r>
          </w:p>
        </w:tc>
        <w:tc>
          <w:tcPr>
            <w:tcW w:w="108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442,6</w:t>
            </w:r>
          </w:p>
        </w:tc>
        <w:tc>
          <w:tcPr>
            <w:tcW w:w="126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8,9</w:t>
            </w:r>
          </w:p>
        </w:tc>
      </w:tr>
      <w:tr w:rsidR="00EA2458" w:rsidRPr="001D3DC3" w:rsidTr="00A676AC">
        <w:trPr>
          <w:cnfStyle w:val="000000100000"/>
          <w:trHeight w:hRule="exact" w:val="277"/>
          <w:jc w:val="center"/>
        </w:trPr>
        <w:tc>
          <w:tcPr>
            <w:cnfStyle w:val="001000000000"/>
            <w:tcW w:w="1598" w:type="dxa"/>
            <w:tcBorders>
              <w:left w:val="dotted" w:sz="4" w:space="0" w:color="auto"/>
              <w:right w:val="dotted" w:sz="4" w:space="0" w:color="auto"/>
            </w:tcBorders>
            <w:vAlign w:val="bottom"/>
          </w:tcPr>
          <w:p w:rsidR="00EA2458" w:rsidRPr="00BA1B31" w:rsidRDefault="00EA2458" w:rsidP="00AE1766">
            <w:pPr>
              <w:jc w:val="center"/>
              <w:rPr>
                <w:rFonts w:ascii="Tahoma" w:hAnsi="Tahoma" w:cs="Tahoma"/>
                <w:b w:val="0"/>
                <w:sz w:val="18"/>
                <w:szCs w:val="16"/>
              </w:rPr>
            </w:pPr>
            <w:r w:rsidRPr="00BA1B31">
              <w:rPr>
                <w:rFonts w:ascii="Tahoma" w:hAnsi="Tahoma" w:cs="Tahoma"/>
                <w:b w:val="0"/>
                <w:sz w:val="18"/>
                <w:szCs w:val="16"/>
              </w:rPr>
              <w:t>γ’ τρίμ. 2009</w:t>
            </w:r>
          </w:p>
        </w:tc>
        <w:tc>
          <w:tcPr>
            <w:tcW w:w="108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9.272,3</w:t>
            </w:r>
          </w:p>
        </w:tc>
        <w:tc>
          <w:tcPr>
            <w:tcW w:w="1143"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5.005,3</w:t>
            </w:r>
          </w:p>
        </w:tc>
        <w:tc>
          <w:tcPr>
            <w:tcW w:w="1211"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54,0</w:t>
            </w:r>
          </w:p>
        </w:tc>
        <w:tc>
          <w:tcPr>
            <w:tcW w:w="1103"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4540,1</w:t>
            </w:r>
          </w:p>
        </w:tc>
        <w:tc>
          <w:tcPr>
            <w:tcW w:w="1425"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90,7</w:t>
            </w:r>
          </w:p>
        </w:tc>
        <w:tc>
          <w:tcPr>
            <w:tcW w:w="108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465,1</w:t>
            </w:r>
          </w:p>
        </w:tc>
        <w:tc>
          <w:tcPr>
            <w:tcW w:w="126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9,3</w:t>
            </w:r>
          </w:p>
        </w:tc>
      </w:tr>
      <w:tr w:rsidR="00EA2458" w:rsidRPr="001D3DC3" w:rsidTr="00A676AC">
        <w:trPr>
          <w:cnfStyle w:val="000000010000"/>
          <w:trHeight w:hRule="exact" w:val="277"/>
          <w:jc w:val="center"/>
        </w:trPr>
        <w:tc>
          <w:tcPr>
            <w:cnfStyle w:val="001000000000"/>
            <w:tcW w:w="1598" w:type="dxa"/>
            <w:tcBorders>
              <w:left w:val="dotted" w:sz="4" w:space="0" w:color="auto"/>
              <w:right w:val="dotted" w:sz="4" w:space="0" w:color="auto"/>
            </w:tcBorders>
            <w:vAlign w:val="bottom"/>
          </w:tcPr>
          <w:p w:rsidR="00EA2458" w:rsidRPr="00BA1B31" w:rsidRDefault="00EA2458" w:rsidP="00AE1766">
            <w:pPr>
              <w:jc w:val="center"/>
              <w:rPr>
                <w:rFonts w:ascii="Tahoma" w:hAnsi="Tahoma" w:cs="Tahoma"/>
                <w:b w:val="0"/>
                <w:sz w:val="18"/>
                <w:szCs w:val="16"/>
              </w:rPr>
            </w:pPr>
            <w:r w:rsidRPr="00BA1B31">
              <w:rPr>
                <w:rFonts w:ascii="Tahoma" w:hAnsi="Tahoma" w:cs="Tahoma"/>
                <w:b w:val="0"/>
                <w:sz w:val="18"/>
                <w:szCs w:val="16"/>
              </w:rPr>
              <w:t>δ’ τρίμ. 2009</w:t>
            </w:r>
          </w:p>
        </w:tc>
        <w:tc>
          <w:tcPr>
            <w:tcW w:w="108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9.282,4</w:t>
            </w:r>
          </w:p>
        </w:tc>
        <w:tc>
          <w:tcPr>
            <w:tcW w:w="1143"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4.991,2</w:t>
            </w:r>
          </w:p>
        </w:tc>
        <w:tc>
          <w:tcPr>
            <w:tcW w:w="1211"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53,8</w:t>
            </w:r>
          </w:p>
        </w:tc>
        <w:tc>
          <w:tcPr>
            <w:tcW w:w="1103"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4.476,8</w:t>
            </w:r>
          </w:p>
        </w:tc>
        <w:tc>
          <w:tcPr>
            <w:tcW w:w="1425"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89,7</w:t>
            </w:r>
          </w:p>
        </w:tc>
        <w:tc>
          <w:tcPr>
            <w:tcW w:w="108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514,4</w:t>
            </w:r>
          </w:p>
        </w:tc>
        <w:tc>
          <w:tcPr>
            <w:tcW w:w="126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10,3</w:t>
            </w:r>
          </w:p>
        </w:tc>
      </w:tr>
      <w:tr w:rsidR="00EA2458" w:rsidRPr="001D3DC3" w:rsidTr="00A676AC">
        <w:trPr>
          <w:cnfStyle w:val="000000100000"/>
          <w:trHeight w:hRule="exact" w:val="277"/>
          <w:jc w:val="center"/>
        </w:trPr>
        <w:tc>
          <w:tcPr>
            <w:cnfStyle w:val="001000000000"/>
            <w:tcW w:w="1598" w:type="dxa"/>
            <w:tcBorders>
              <w:left w:val="dotted" w:sz="4" w:space="0" w:color="auto"/>
              <w:right w:val="dotted" w:sz="4" w:space="0" w:color="auto"/>
            </w:tcBorders>
            <w:vAlign w:val="bottom"/>
          </w:tcPr>
          <w:p w:rsidR="00EA2458" w:rsidRPr="00BA1B31" w:rsidRDefault="00EA2458" w:rsidP="00AE1766">
            <w:pPr>
              <w:jc w:val="center"/>
              <w:rPr>
                <w:rFonts w:ascii="Tahoma" w:hAnsi="Tahoma" w:cs="Tahoma"/>
                <w:b w:val="0"/>
                <w:sz w:val="18"/>
                <w:szCs w:val="16"/>
              </w:rPr>
            </w:pPr>
            <w:r w:rsidRPr="00BA1B31">
              <w:rPr>
                <w:rFonts w:ascii="Tahoma" w:hAnsi="Tahoma" w:cs="Tahoma"/>
                <w:b w:val="0"/>
                <w:sz w:val="18"/>
                <w:szCs w:val="16"/>
              </w:rPr>
              <w:t>2009</w:t>
            </w:r>
          </w:p>
        </w:tc>
        <w:tc>
          <w:tcPr>
            <w:tcW w:w="108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9.267,5</w:t>
            </w:r>
          </w:p>
        </w:tc>
        <w:tc>
          <w:tcPr>
            <w:tcW w:w="1143"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4.979,8</w:t>
            </w:r>
          </w:p>
        </w:tc>
        <w:tc>
          <w:tcPr>
            <w:tcW w:w="1211"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53,8</w:t>
            </w:r>
          </w:p>
        </w:tc>
        <w:tc>
          <w:tcPr>
            <w:tcW w:w="1103"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4.508,7</w:t>
            </w:r>
          </w:p>
        </w:tc>
        <w:tc>
          <w:tcPr>
            <w:tcW w:w="1425"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90,6</w:t>
            </w:r>
          </w:p>
        </w:tc>
        <w:tc>
          <w:tcPr>
            <w:tcW w:w="108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471,1</w:t>
            </w:r>
          </w:p>
        </w:tc>
        <w:tc>
          <w:tcPr>
            <w:tcW w:w="126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9,5</w:t>
            </w:r>
          </w:p>
        </w:tc>
      </w:tr>
      <w:tr w:rsidR="00EA2458" w:rsidRPr="001D3DC3" w:rsidTr="00A676AC">
        <w:trPr>
          <w:cnfStyle w:val="000000010000"/>
          <w:trHeight w:hRule="exact" w:val="277"/>
          <w:jc w:val="center"/>
        </w:trPr>
        <w:tc>
          <w:tcPr>
            <w:cnfStyle w:val="001000000000"/>
            <w:tcW w:w="1598" w:type="dxa"/>
            <w:tcBorders>
              <w:left w:val="dotted" w:sz="4" w:space="0" w:color="auto"/>
              <w:right w:val="dotted" w:sz="4" w:space="0" w:color="auto"/>
            </w:tcBorders>
            <w:vAlign w:val="bottom"/>
          </w:tcPr>
          <w:p w:rsidR="00EA2458" w:rsidRPr="00BA1B31" w:rsidRDefault="00EA2458" w:rsidP="00AE1766">
            <w:pPr>
              <w:jc w:val="center"/>
              <w:rPr>
                <w:rFonts w:ascii="Tahoma" w:hAnsi="Tahoma" w:cs="Tahoma"/>
                <w:b w:val="0"/>
                <w:sz w:val="18"/>
                <w:szCs w:val="16"/>
              </w:rPr>
            </w:pPr>
            <w:r w:rsidRPr="00BA1B31">
              <w:rPr>
                <w:rFonts w:ascii="Tahoma" w:hAnsi="Tahoma" w:cs="Tahoma"/>
                <w:b w:val="0"/>
                <w:sz w:val="18"/>
                <w:szCs w:val="16"/>
              </w:rPr>
              <w:t>α’ τρίμ. 2010</w:t>
            </w:r>
          </w:p>
        </w:tc>
        <w:tc>
          <w:tcPr>
            <w:tcW w:w="108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9.292,2</w:t>
            </w:r>
          </w:p>
        </w:tc>
        <w:tc>
          <w:tcPr>
            <w:tcW w:w="1143"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5.012,4</w:t>
            </w:r>
          </w:p>
        </w:tc>
        <w:tc>
          <w:tcPr>
            <w:tcW w:w="1211"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53,9</w:t>
            </w:r>
          </w:p>
        </w:tc>
        <w:tc>
          <w:tcPr>
            <w:tcW w:w="1103"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4.425,6</w:t>
            </w:r>
          </w:p>
        </w:tc>
        <w:tc>
          <w:tcPr>
            <w:tcW w:w="1425"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88,3</w:t>
            </w:r>
          </w:p>
        </w:tc>
        <w:tc>
          <w:tcPr>
            <w:tcW w:w="108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586,8</w:t>
            </w:r>
          </w:p>
        </w:tc>
        <w:tc>
          <w:tcPr>
            <w:tcW w:w="126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11,7</w:t>
            </w:r>
          </w:p>
        </w:tc>
      </w:tr>
      <w:tr w:rsidR="00EA2458" w:rsidRPr="001D3DC3" w:rsidTr="00A676AC">
        <w:trPr>
          <w:cnfStyle w:val="000000100000"/>
          <w:trHeight w:hRule="exact" w:val="277"/>
          <w:jc w:val="center"/>
        </w:trPr>
        <w:tc>
          <w:tcPr>
            <w:cnfStyle w:val="001000000000"/>
            <w:tcW w:w="1598" w:type="dxa"/>
            <w:tcBorders>
              <w:left w:val="dotted" w:sz="4" w:space="0" w:color="auto"/>
              <w:right w:val="dotted" w:sz="4" w:space="0" w:color="auto"/>
            </w:tcBorders>
            <w:vAlign w:val="bottom"/>
          </w:tcPr>
          <w:p w:rsidR="00EA2458" w:rsidRPr="00BA1B31" w:rsidRDefault="00EA2458" w:rsidP="00AE1766">
            <w:pPr>
              <w:jc w:val="center"/>
              <w:rPr>
                <w:rFonts w:ascii="Tahoma" w:hAnsi="Tahoma" w:cs="Tahoma"/>
                <w:b w:val="0"/>
                <w:sz w:val="18"/>
                <w:szCs w:val="16"/>
              </w:rPr>
            </w:pPr>
            <w:r w:rsidRPr="00BA1B31">
              <w:rPr>
                <w:rFonts w:ascii="Tahoma" w:hAnsi="Tahoma" w:cs="Tahoma"/>
                <w:b w:val="0"/>
                <w:sz w:val="18"/>
                <w:szCs w:val="16"/>
              </w:rPr>
              <w:t>β’ τρίμ. 2010</w:t>
            </w:r>
          </w:p>
        </w:tc>
        <w:tc>
          <w:tcPr>
            <w:tcW w:w="108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9.301,5</w:t>
            </w:r>
          </w:p>
        </w:tc>
        <w:tc>
          <w:tcPr>
            <w:tcW w:w="1143"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5.021,0</w:t>
            </w:r>
          </w:p>
        </w:tc>
        <w:tc>
          <w:tcPr>
            <w:tcW w:w="1211"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54,0</w:t>
            </w:r>
          </w:p>
        </w:tc>
        <w:tc>
          <w:tcPr>
            <w:tcW w:w="1103"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4.427,0</w:t>
            </w:r>
          </w:p>
        </w:tc>
        <w:tc>
          <w:tcPr>
            <w:tcW w:w="1425"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88,2</w:t>
            </w:r>
          </w:p>
        </w:tc>
        <w:tc>
          <w:tcPr>
            <w:tcW w:w="108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594,0</w:t>
            </w:r>
          </w:p>
        </w:tc>
        <w:tc>
          <w:tcPr>
            <w:tcW w:w="126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11,8</w:t>
            </w:r>
          </w:p>
        </w:tc>
      </w:tr>
      <w:tr w:rsidR="00EA2458" w:rsidRPr="001D3DC3" w:rsidTr="00A676AC">
        <w:trPr>
          <w:cnfStyle w:val="000000010000"/>
          <w:trHeight w:hRule="exact" w:val="277"/>
          <w:jc w:val="center"/>
        </w:trPr>
        <w:tc>
          <w:tcPr>
            <w:cnfStyle w:val="001000000000"/>
            <w:tcW w:w="1598" w:type="dxa"/>
            <w:tcBorders>
              <w:left w:val="dotted" w:sz="4" w:space="0" w:color="auto"/>
              <w:right w:val="dotted" w:sz="4" w:space="0" w:color="auto"/>
            </w:tcBorders>
            <w:vAlign w:val="bottom"/>
          </w:tcPr>
          <w:p w:rsidR="00EA2458" w:rsidRPr="00BA1B31" w:rsidRDefault="00EA2458" w:rsidP="00AE1766">
            <w:pPr>
              <w:jc w:val="center"/>
              <w:rPr>
                <w:rFonts w:ascii="Tahoma" w:hAnsi="Tahoma" w:cs="Tahoma"/>
                <w:b w:val="0"/>
                <w:sz w:val="18"/>
                <w:szCs w:val="16"/>
              </w:rPr>
            </w:pPr>
            <w:r w:rsidRPr="00BA1B31">
              <w:rPr>
                <w:rFonts w:ascii="Tahoma" w:hAnsi="Tahoma" w:cs="Tahoma"/>
                <w:b w:val="0"/>
                <w:sz w:val="18"/>
                <w:szCs w:val="16"/>
              </w:rPr>
              <w:t>γ’ τρίμ. 2010</w:t>
            </w:r>
          </w:p>
          <w:p w:rsidR="00EA2458" w:rsidRPr="00BA1B31" w:rsidRDefault="00EA2458" w:rsidP="00AE1766">
            <w:pPr>
              <w:rPr>
                <w:rFonts w:ascii="Tahoma" w:hAnsi="Tahoma" w:cs="Tahoma"/>
                <w:b w:val="0"/>
                <w:sz w:val="18"/>
                <w:szCs w:val="16"/>
              </w:rPr>
            </w:pPr>
          </w:p>
        </w:tc>
        <w:tc>
          <w:tcPr>
            <w:tcW w:w="108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9.311,5</w:t>
            </w:r>
          </w:p>
        </w:tc>
        <w:tc>
          <w:tcPr>
            <w:tcW w:w="1143"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5.024,9</w:t>
            </w:r>
          </w:p>
        </w:tc>
        <w:tc>
          <w:tcPr>
            <w:tcW w:w="1211"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54,0</w:t>
            </w:r>
          </w:p>
        </w:tc>
        <w:tc>
          <w:tcPr>
            <w:tcW w:w="1103"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4.402,9</w:t>
            </w:r>
          </w:p>
        </w:tc>
        <w:tc>
          <w:tcPr>
            <w:tcW w:w="1425"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87,6</w:t>
            </w:r>
          </w:p>
        </w:tc>
        <w:tc>
          <w:tcPr>
            <w:tcW w:w="108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621,9</w:t>
            </w:r>
          </w:p>
        </w:tc>
        <w:tc>
          <w:tcPr>
            <w:tcW w:w="126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12,4</w:t>
            </w:r>
          </w:p>
          <w:p w:rsidR="00EA2458" w:rsidRPr="00BA1B31" w:rsidRDefault="00EA2458" w:rsidP="00AE1766">
            <w:pPr>
              <w:cnfStyle w:val="000000010000"/>
              <w:rPr>
                <w:rFonts w:ascii="Tahoma" w:hAnsi="Tahoma" w:cs="Tahoma"/>
                <w:sz w:val="18"/>
                <w:szCs w:val="16"/>
              </w:rPr>
            </w:pPr>
          </w:p>
          <w:p w:rsidR="00EA2458" w:rsidRPr="00BA1B31" w:rsidRDefault="00EA2458" w:rsidP="00AE1766">
            <w:pPr>
              <w:cnfStyle w:val="000000010000"/>
              <w:rPr>
                <w:rFonts w:ascii="Tahoma" w:hAnsi="Tahoma" w:cs="Tahoma"/>
                <w:sz w:val="18"/>
                <w:szCs w:val="16"/>
              </w:rPr>
            </w:pPr>
          </w:p>
        </w:tc>
      </w:tr>
      <w:tr w:rsidR="00EA2458" w:rsidRPr="001D3DC3" w:rsidTr="00A676AC">
        <w:trPr>
          <w:cnfStyle w:val="000000100000"/>
          <w:trHeight w:hRule="exact" w:val="277"/>
          <w:jc w:val="center"/>
        </w:trPr>
        <w:tc>
          <w:tcPr>
            <w:cnfStyle w:val="001000000000"/>
            <w:tcW w:w="1598" w:type="dxa"/>
            <w:tcBorders>
              <w:left w:val="dotted" w:sz="4" w:space="0" w:color="auto"/>
              <w:right w:val="dotted" w:sz="4" w:space="0" w:color="auto"/>
            </w:tcBorders>
            <w:vAlign w:val="bottom"/>
          </w:tcPr>
          <w:p w:rsidR="00EA2458" w:rsidRPr="00BA1B31" w:rsidRDefault="00EA2458" w:rsidP="00AE1766">
            <w:pPr>
              <w:jc w:val="center"/>
              <w:rPr>
                <w:rFonts w:ascii="Tahoma" w:hAnsi="Tahoma" w:cs="Tahoma"/>
                <w:b w:val="0"/>
                <w:sz w:val="18"/>
                <w:szCs w:val="16"/>
              </w:rPr>
            </w:pPr>
            <w:r w:rsidRPr="00BA1B31">
              <w:rPr>
                <w:rFonts w:ascii="Tahoma" w:hAnsi="Tahoma" w:cs="Tahoma"/>
                <w:b w:val="0"/>
                <w:sz w:val="18"/>
                <w:szCs w:val="16"/>
              </w:rPr>
              <w:t>δ’</w:t>
            </w:r>
            <w:r w:rsidR="0018622C" w:rsidRPr="00BA1B31">
              <w:rPr>
                <w:rFonts w:ascii="Tahoma" w:hAnsi="Tahoma" w:cs="Tahoma"/>
                <w:b w:val="0"/>
                <w:sz w:val="18"/>
                <w:szCs w:val="16"/>
              </w:rPr>
              <w:t xml:space="preserve"> τρίμ. 2010</w:t>
            </w:r>
          </w:p>
          <w:p w:rsidR="00EA2458" w:rsidRPr="00BA1B31" w:rsidRDefault="00EA2458" w:rsidP="00AE1766">
            <w:pPr>
              <w:jc w:val="center"/>
              <w:rPr>
                <w:rFonts w:ascii="Tahoma" w:hAnsi="Tahoma" w:cs="Tahoma"/>
                <w:b w:val="0"/>
                <w:sz w:val="18"/>
                <w:szCs w:val="16"/>
              </w:rPr>
            </w:pPr>
            <w:r w:rsidRPr="00BA1B31">
              <w:rPr>
                <w:rFonts w:ascii="Tahoma" w:hAnsi="Tahoma" w:cs="Tahoma"/>
                <w:b w:val="0"/>
                <w:sz w:val="18"/>
                <w:szCs w:val="16"/>
              </w:rPr>
              <w:t xml:space="preserve"> τρίμ. 2010</w:t>
            </w:r>
          </w:p>
          <w:p w:rsidR="00EA2458" w:rsidRPr="00BA1B31" w:rsidRDefault="00EA2458" w:rsidP="00AE1766">
            <w:pPr>
              <w:jc w:val="center"/>
              <w:rPr>
                <w:rFonts w:ascii="Tahoma" w:hAnsi="Tahoma" w:cs="Tahoma"/>
                <w:b w:val="0"/>
                <w:sz w:val="18"/>
                <w:szCs w:val="16"/>
              </w:rPr>
            </w:pPr>
          </w:p>
        </w:tc>
        <w:tc>
          <w:tcPr>
            <w:tcW w:w="108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9.320,6</w:t>
            </w:r>
          </w:p>
        </w:tc>
        <w:tc>
          <w:tcPr>
            <w:tcW w:w="1143"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5.011,1</w:t>
            </w:r>
          </w:p>
        </w:tc>
        <w:tc>
          <w:tcPr>
            <w:tcW w:w="1211"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53,8</w:t>
            </w:r>
          </w:p>
        </w:tc>
        <w:tc>
          <w:tcPr>
            <w:tcW w:w="1103"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4.299,0</w:t>
            </w:r>
          </w:p>
        </w:tc>
        <w:tc>
          <w:tcPr>
            <w:tcW w:w="1425"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85,8</w:t>
            </w:r>
          </w:p>
        </w:tc>
        <w:tc>
          <w:tcPr>
            <w:tcW w:w="108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712,1</w:t>
            </w:r>
          </w:p>
        </w:tc>
        <w:tc>
          <w:tcPr>
            <w:tcW w:w="126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14,2</w:t>
            </w:r>
          </w:p>
        </w:tc>
      </w:tr>
      <w:tr w:rsidR="00EA2458" w:rsidRPr="001D3DC3" w:rsidTr="00A676AC">
        <w:trPr>
          <w:cnfStyle w:val="000000010000"/>
          <w:trHeight w:hRule="exact" w:val="277"/>
          <w:jc w:val="center"/>
        </w:trPr>
        <w:tc>
          <w:tcPr>
            <w:cnfStyle w:val="001000000000"/>
            <w:tcW w:w="1598" w:type="dxa"/>
            <w:tcBorders>
              <w:left w:val="dotted" w:sz="4" w:space="0" w:color="auto"/>
              <w:right w:val="dotted" w:sz="4" w:space="0" w:color="auto"/>
            </w:tcBorders>
            <w:vAlign w:val="bottom"/>
          </w:tcPr>
          <w:p w:rsidR="00EA2458" w:rsidRPr="00BA1B31" w:rsidRDefault="00EA2458" w:rsidP="00AE1766">
            <w:pPr>
              <w:jc w:val="center"/>
              <w:rPr>
                <w:rFonts w:ascii="Tahoma" w:hAnsi="Tahoma" w:cs="Tahoma"/>
                <w:b w:val="0"/>
                <w:sz w:val="18"/>
                <w:szCs w:val="16"/>
              </w:rPr>
            </w:pPr>
            <w:r w:rsidRPr="00BA1B31">
              <w:rPr>
                <w:rFonts w:ascii="Tahoma" w:hAnsi="Tahoma" w:cs="Tahoma"/>
                <w:b w:val="0"/>
                <w:sz w:val="18"/>
                <w:szCs w:val="16"/>
              </w:rPr>
              <w:t>2010</w:t>
            </w:r>
          </w:p>
        </w:tc>
        <w:tc>
          <w:tcPr>
            <w:tcW w:w="108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9.306,3</w:t>
            </w:r>
          </w:p>
        </w:tc>
        <w:tc>
          <w:tcPr>
            <w:tcW w:w="1143"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5.017,4</w:t>
            </w:r>
          </w:p>
        </w:tc>
        <w:tc>
          <w:tcPr>
            <w:tcW w:w="1211"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53,9</w:t>
            </w:r>
          </w:p>
        </w:tc>
        <w:tc>
          <w:tcPr>
            <w:tcW w:w="1103"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4.388,6</w:t>
            </w:r>
          </w:p>
        </w:tc>
        <w:tc>
          <w:tcPr>
            <w:tcW w:w="1425"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87,5</w:t>
            </w:r>
          </w:p>
        </w:tc>
        <w:tc>
          <w:tcPr>
            <w:tcW w:w="108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628,7</w:t>
            </w:r>
          </w:p>
        </w:tc>
        <w:tc>
          <w:tcPr>
            <w:tcW w:w="126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12,5</w:t>
            </w:r>
          </w:p>
        </w:tc>
      </w:tr>
      <w:tr w:rsidR="00EA2458" w:rsidRPr="001D3DC3" w:rsidTr="00A676AC">
        <w:trPr>
          <w:cnfStyle w:val="000000100000"/>
          <w:trHeight w:hRule="exact" w:val="277"/>
          <w:jc w:val="center"/>
        </w:trPr>
        <w:tc>
          <w:tcPr>
            <w:cnfStyle w:val="001000000000"/>
            <w:tcW w:w="1598" w:type="dxa"/>
            <w:tcBorders>
              <w:left w:val="dotted" w:sz="4" w:space="0" w:color="auto"/>
              <w:right w:val="dotted" w:sz="4" w:space="0" w:color="auto"/>
            </w:tcBorders>
            <w:vAlign w:val="bottom"/>
          </w:tcPr>
          <w:p w:rsidR="00EA2458" w:rsidRPr="00BA1B31" w:rsidRDefault="00EA2458" w:rsidP="00AE1766">
            <w:pPr>
              <w:jc w:val="center"/>
              <w:rPr>
                <w:rFonts w:ascii="Tahoma" w:hAnsi="Tahoma" w:cs="Tahoma"/>
                <w:b w:val="0"/>
                <w:sz w:val="18"/>
                <w:szCs w:val="16"/>
              </w:rPr>
            </w:pPr>
            <w:r w:rsidRPr="00BA1B31">
              <w:rPr>
                <w:rFonts w:ascii="Tahoma" w:hAnsi="Tahoma" w:cs="Tahoma"/>
                <w:b w:val="0"/>
                <w:sz w:val="18"/>
                <w:szCs w:val="16"/>
              </w:rPr>
              <w:t xml:space="preserve"> α’ τρίμ. 2011</w:t>
            </w:r>
          </w:p>
        </w:tc>
        <w:tc>
          <w:tcPr>
            <w:tcW w:w="108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9.329,4</w:t>
            </w:r>
          </w:p>
        </w:tc>
        <w:tc>
          <w:tcPr>
            <w:tcW w:w="1143"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lang w:val="en-US"/>
              </w:rPr>
            </w:pPr>
            <w:r w:rsidRPr="00BA1B31">
              <w:rPr>
                <w:rFonts w:ascii="Tahoma" w:hAnsi="Tahoma" w:cs="Tahoma"/>
                <w:sz w:val="18"/>
                <w:szCs w:val="16"/>
              </w:rPr>
              <w:t>4.98</w:t>
            </w:r>
            <w:r w:rsidRPr="00BA1B31">
              <w:rPr>
                <w:rFonts w:ascii="Tahoma" w:hAnsi="Tahoma" w:cs="Tahoma"/>
                <w:sz w:val="18"/>
                <w:szCs w:val="16"/>
                <w:lang w:val="en-US"/>
              </w:rPr>
              <w:t>7,0</w:t>
            </w:r>
          </w:p>
        </w:tc>
        <w:tc>
          <w:tcPr>
            <w:tcW w:w="1211"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lang w:val="en-US"/>
              </w:rPr>
            </w:pPr>
            <w:r w:rsidRPr="00BA1B31">
              <w:rPr>
                <w:rFonts w:ascii="Tahoma" w:hAnsi="Tahoma" w:cs="Tahoma"/>
                <w:sz w:val="18"/>
                <w:szCs w:val="16"/>
                <w:lang w:val="en-US"/>
              </w:rPr>
              <w:t>53,5</w:t>
            </w:r>
          </w:p>
        </w:tc>
        <w:tc>
          <w:tcPr>
            <w:tcW w:w="1103"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lang w:val="en-US"/>
              </w:rPr>
            </w:pPr>
            <w:r w:rsidRPr="00BA1B31">
              <w:rPr>
                <w:rFonts w:ascii="Tahoma" w:hAnsi="Tahoma" w:cs="Tahoma"/>
                <w:sz w:val="18"/>
                <w:szCs w:val="16"/>
                <w:lang w:val="en-US"/>
              </w:rPr>
              <w:t>4.194,4</w:t>
            </w:r>
          </w:p>
        </w:tc>
        <w:tc>
          <w:tcPr>
            <w:tcW w:w="1425"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lang w:val="en-US"/>
              </w:rPr>
            </w:pPr>
            <w:r w:rsidRPr="00BA1B31">
              <w:rPr>
                <w:rFonts w:ascii="Tahoma" w:hAnsi="Tahoma" w:cs="Tahoma"/>
                <w:sz w:val="18"/>
                <w:szCs w:val="16"/>
                <w:lang w:val="en-US"/>
              </w:rPr>
              <w:t>84,1</w:t>
            </w:r>
          </w:p>
        </w:tc>
        <w:tc>
          <w:tcPr>
            <w:tcW w:w="108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lang w:val="en-US"/>
              </w:rPr>
            </w:pPr>
            <w:r w:rsidRPr="00BA1B31">
              <w:rPr>
                <w:rFonts w:ascii="Tahoma" w:hAnsi="Tahoma" w:cs="Tahoma"/>
                <w:sz w:val="18"/>
                <w:szCs w:val="16"/>
                <w:lang w:val="en-US"/>
              </w:rPr>
              <w:t>792,6</w:t>
            </w:r>
          </w:p>
        </w:tc>
        <w:tc>
          <w:tcPr>
            <w:tcW w:w="126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lang w:val="en-US"/>
              </w:rPr>
            </w:pPr>
            <w:r w:rsidRPr="00BA1B31">
              <w:rPr>
                <w:rFonts w:ascii="Tahoma" w:hAnsi="Tahoma" w:cs="Tahoma"/>
                <w:sz w:val="18"/>
                <w:szCs w:val="16"/>
                <w:lang w:val="en-US"/>
              </w:rPr>
              <w:t>15,9</w:t>
            </w:r>
          </w:p>
        </w:tc>
      </w:tr>
      <w:tr w:rsidR="00EA2458" w:rsidRPr="001D3DC3" w:rsidTr="00A676AC">
        <w:trPr>
          <w:cnfStyle w:val="000000010000"/>
          <w:trHeight w:hRule="exact" w:val="277"/>
          <w:jc w:val="center"/>
        </w:trPr>
        <w:tc>
          <w:tcPr>
            <w:cnfStyle w:val="001000000000"/>
            <w:tcW w:w="1598" w:type="dxa"/>
            <w:tcBorders>
              <w:left w:val="dotted" w:sz="4" w:space="0" w:color="auto"/>
              <w:right w:val="dotted" w:sz="4" w:space="0" w:color="auto"/>
            </w:tcBorders>
            <w:vAlign w:val="bottom"/>
          </w:tcPr>
          <w:p w:rsidR="00EA2458" w:rsidRPr="00BA1B31" w:rsidRDefault="00EA2458" w:rsidP="00AE1766">
            <w:pPr>
              <w:jc w:val="center"/>
              <w:rPr>
                <w:rFonts w:ascii="Tahoma" w:hAnsi="Tahoma" w:cs="Tahoma"/>
                <w:b w:val="0"/>
                <w:sz w:val="18"/>
                <w:szCs w:val="16"/>
              </w:rPr>
            </w:pPr>
            <w:r w:rsidRPr="00BA1B31">
              <w:rPr>
                <w:rFonts w:ascii="Tahoma" w:hAnsi="Tahoma" w:cs="Tahoma"/>
                <w:b w:val="0"/>
                <w:sz w:val="18"/>
                <w:szCs w:val="16"/>
              </w:rPr>
              <w:t>β’ τρίμ. 2011</w:t>
            </w:r>
          </w:p>
        </w:tc>
        <w:tc>
          <w:tcPr>
            <w:tcW w:w="108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9.337,6</w:t>
            </w:r>
          </w:p>
        </w:tc>
        <w:tc>
          <w:tcPr>
            <w:tcW w:w="1143"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4.967,2</w:t>
            </w:r>
          </w:p>
        </w:tc>
        <w:tc>
          <w:tcPr>
            <w:tcW w:w="1211"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53,2</w:t>
            </w:r>
          </w:p>
        </w:tc>
        <w:tc>
          <w:tcPr>
            <w:tcW w:w="1103"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4.156,3</w:t>
            </w:r>
          </w:p>
        </w:tc>
        <w:tc>
          <w:tcPr>
            <w:tcW w:w="1425"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83,7</w:t>
            </w:r>
          </w:p>
        </w:tc>
        <w:tc>
          <w:tcPr>
            <w:tcW w:w="108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810,8</w:t>
            </w:r>
          </w:p>
        </w:tc>
        <w:tc>
          <w:tcPr>
            <w:tcW w:w="126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16,3</w:t>
            </w:r>
          </w:p>
        </w:tc>
      </w:tr>
      <w:tr w:rsidR="00EA2458" w:rsidRPr="001D3DC3" w:rsidTr="00A676AC">
        <w:trPr>
          <w:cnfStyle w:val="000000100000"/>
          <w:trHeight w:hRule="exact" w:val="277"/>
          <w:jc w:val="center"/>
        </w:trPr>
        <w:tc>
          <w:tcPr>
            <w:cnfStyle w:val="001000000000"/>
            <w:tcW w:w="1598" w:type="dxa"/>
            <w:tcBorders>
              <w:left w:val="dotted" w:sz="4" w:space="0" w:color="auto"/>
              <w:right w:val="dotted" w:sz="4" w:space="0" w:color="auto"/>
            </w:tcBorders>
            <w:vAlign w:val="bottom"/>
          </w:tcPr>
          <w:p w:rsidR="00EA2458" w:rsidRPr="00BA1B31" w:rsidRDefault="00EA2458" w:rsidP="00AE1766">
            <w:pPr>
              <w:jc w:val="center"/>
              <w:rPr>
                <w:rFonts w:ascii="Tahoma" w:hAnsi="Tahoma" w:cs="Tahoma"/>
                <w:b w:val="0"/>
                <w:sz w:val="18"/>
                <w:szCs w:val="16"/>
              </w:rPr>
            </w:pPr>
            <w:r w:rsidRPr="00BA1B31">
              <w:rPr>
                <w:rFonts w:ascii="Tahoma" w:hAnsi="Tahoma" w:cs="Tahoma"/>
                <w:b w:val="0"/>
                <w:sz w:val="18"/>
                <w:szCs w:val="16"/>
              </w:rPr>
              <w:t>γ’ τρίμ. 2011</w:t>
            </w:r>
          </w:p>
        </w:tc>
        <w:tc>
          <w:tcPr>
            <w:tcW w:w="108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9.346,0</w:t>
            </w:r>
          </w:p>
        </w:tc>
        <w:tc>
          <w:tcPr>
            <w:tcW w:w="1143"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4.957,6</w:t>
            </w:r>
          </w:p>
        </w:tc>
        <w:tc>
          <w:tcPr>
            <w:tcW w:w="1211"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53,0</w:t>
            </w:r>
          </w:p>
        </w:tc>
        <w:tc>
          <w:tcPr>
            <w:tcW w:w="1103"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4.079,3</w:t>
            </w:r>
          </w:p>
        </w:tc>
        <w:tc>
          <w:tcPr>
            <w:tcW w:w="1425"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82,3</w:t>
            </w:r>
          </w:p>
        </w:tc>
        <w:tc>
          <w:tcPr>
            <w:tcW w:w="108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rPr>
            </w:pPr>
            <w:r w:rsidRPr="00BA1B31">
              <w:rPr>
                <w:rFonts w:ascii="Tahoma" w:hAnsi="Tahoma" w:cs="Tahoma"/>
                <w:sz w:val="18"/>
                <w:szCs w:val="16"/>
              </w:rPr>
              <w:t>878,3</w:t>
            </w:r>
          </w:p>
        </w:tc>
        <w:tc>
          <w:tcPr>
            <w:tcW w:w="1260" w:type="dxa"/>
            <w:tcBorders>
              <w:left w:val="dotted" w:sz="4" w:space="0" w:color="auto"/>
              <w:right w:val="dotted" w:sz="4" w:space="0" w:color="auto"/>
            </w:tcBorders>
            <w:vAlign w:val="bottom"/>
          </w:tcPr>
          <w:p w:rsidR="00EA2458" w:rsidRPr="00BA1B31" w:rsidRDefault="00EA2458" w:rsidP="00AE1766">
            <w:pPr>
              <w:cnfStyle w:val="000000100000"/>
              <w:rPr>
                <w:rFonts w:ascii="Tahoma" w:hAnsi="Tahoma" w:cs="Tahoma"/>
                <w:sz w:val="18"/>
                <w:szCs w:val="16"/>
                <w:lang w:val="en-US"/>
              </w:rPr>
            </w:pPr>
            <w:r w:rsidRPr="00BA1B31">
              <w:rPr>
                <w:rFonts w:ascii="Tahoma" w:hAnsi="Tahoma" w:cs="Tahoma"/>
                <w:sz w:val="18"/>
                <w:szCs w:val="16"/>
              </w:rPr>
              <w:t>17,7</w:t>
            </w:r>
          </w:p>
          <w:p w:rsidR="00EA2458" w:rsidRPr="00BA1B31" w:rsidRDefault="00EA2458" w:rsidP="00AE1766">
            <w:pPr>
              <w:cnfStyle w:val="000000100000"/>
              <w:rPr>
                <w:rFonts w:ascii="Tahoma" w:hAnsi="Tahoma" w:cs="Tahoma"/>
                <w:sz w:val="18"/>
                <w:szCs w:val="16"/>
                <w:lang w:val="en-US"/>
              </w:rPr>
            </w:pPr>
          </w:p>
        </w:tc>
      </w:tr>
      <w:tr w:rsidR="00EA2458" w:rsidRPr="001D3DC3" w:rsidTr="00A676AC">
        <w:trPr>
          <w:cnfStyle w:val="000000010000"/>
          <w:trHeight w:hRule="exact" w:val="277"/>
          <w:jc w:val="center"/>
        </w:trPr>
        <w:tc>
          <w:tcPr>
            <w:cnfStyle w:val="001000000000"/>
            <w:tcW w:w="1598" w:type="dxa"/>
            <w:tcBorders>
              <w:left w:val="dotted" w:sz="4" w:space="0" w:color="auto"/>
              <w:right w:val="dotted" w:sz="4" w:space="0" w:color="auto"/>
            </w:tcBorders>
            <w:vAlign w:val="bottom"/>
          </w:tcPr>
          <w:p w:rsidR="00EA2458" w:rsidRPr="00BA1B31" w:rsidRDefault="00EA2458" w:rsidP="00AE1766">
            <w:pPr>
              <w:jc w:val="center"/>
              <w:rPr>
                <w:rFonts w:ascii="Tahoma" w:hAnsi="Tahoma" w:cs="Tahoma"/>
                <w:b w:val="0"/>
                <w:sz w:val="18"/>
                <w:szCs w:val="16"/>
              </w:rPr>
            </w:pPr>
            <w:r w:rsidRPr="00BA1B31">
              <w:rPr>
                <w:rFonts w:ascii="Tahoma" w:hAnsi="Tahoma" w:cs="Tahoma"/>
                <w:b w:val="0"/>
                <w:sz w:val="18"/>
                <w:szCs w:val="16"/>
              </w:rPr>
              <w:t>δ’ τρίμ. 2011</w:t>
            </w:r>
          </w:p>
        </w:tc>
        <w:tc>
          <w:tcPr>
            <w:tcW w:w="108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9.354,5</w:t>
            </w:r>
          </w:p>
        </w:tc>
        <w:tc>
          <w:tcPr>
            <w:tcW w:w="1143"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4.958,7</w:t>
            </w:r>
          </w:p>
        </w:tc>
        <w:tc>
          <w:tcPr>
            <w:tcW w:w="1211"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53,0</w:t>
            </w:r>
          </w:p>
        </w:tc>
        <w:tc>
          <w:tcPr>
            <w:tcW w:w="1103"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3.932,8</w:t>
            </w:r>
          </w:p>
        </w:tc>
        <w:tc>
          <w:tcPr>
            <w:tcW w:w="1425"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79,3</w:t>
            </w:r>
          </w:p>
        </w:tc>
        <w:tc>
          <w:tcPr>
            <w:tcW w:w="108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1.029,3</w:t>
            </w:r>
          </w:p>
        </w:tc>
        <w:tc>
          <w:tcPr>
            <w:tcW w:w="1260" w:type="dxa"/>
            <w:tcBorders>
              <w:left w:val="dotted" w:sz="4" w:space="0" w:color="auto"/>
              <w:right w:val="dotted" w:sz="4" w:space="0" w:color="auto"/>
            </w:tcBorders>
            <w:vAlign w:val="bottom"/>
          </w:tcPr>
          <w:p w:rsidR="00EA2458" w:rsidRPr="00BA1B31" w:rsidRDefault="00EA2458" w:rsidP="00AE1766">
            <w:pPr>
              <w:cnfStyle w:val="000000010000"/>
              <w:rPr>
                <w:rFonts w:ascii="Tahoma" w:hAnsi="Tahoma" w:cs="Tahoma"/>
                <w:sz w:val="18"/>
                <w:szCs w:val="16"/>
              </w:rPr>
            </w:pPr>
            <w:r w:rsidRPr="00BA1B31">
              <w:rPr>
                <w:rFonts w:ascii="Tahoma" w:hAnsi="Tahoma" w:cs="Tahoma"/>
                <w:sz w:val="18"/>
                <w:szCs w:val="16"/>
              </w:rPr>
              <w:t>20,7</w:t>
            </w:r>
          </w:p>
        </w:tc>
      </w:tr>
      <w:tr w:rsidR="00EA2458" w:rsidRPr="001D3DC3" w:rsidTr="00A676AC">
        <w:trPr>
          <w:cnfStyle w:val="010000000000"/>
          <w:trHeight w:hRule="exact" w:val="277"/>
          <w:jc w:val="center"/>
        </w:trPr>
        <w:tc>
          <w:tcPr>
            <w:cnfStyle w:val="001000000000"/>
            <w:tcW w:w="1598" w:type="dxa"/>
            <w:tcBorders>
              <w:top w:val="dotted" w:sz="4" w:space="0" w:color="auto"/>
              <w:left w:val="dotted" w:sz="4" w:space="0" w:color="auto"/>
              <w:right w:val="dotted" w:sz="4" w:space="0" w:color="auto"/>
            </w:tcBorders>
            <w:vAlign w:val="bottom"/>
          </w:tcPr>
          <w:p w:rsidR="00EA2458" w:rsidRPr="00BA1B31" w:rsidRDefault="00EA2458" w:rsidP="00AE1766">
            <w:pPr>
              <w:jc w:val="center"/>
              <w:rPr>
                <w:rFonts w:ascii="Tahoma" w:hAnsi="Tahoma" w:cs="Tahoma"/>
                <w:sz w:val="18"/>
                <w:szCs w:val="16"/>
                <w:lang w:val="en-US"/>
              </w:rPr>
            </w:pPr>
            <w:r w:rsidRPr="00BA1B31">
              <w:rPr>
                <w:rFonts w:ascii="Tahoma" w:hAnsi="Tahoma" w:cs="Tahoma"/>
                <w:sz w:val="18"/>
                <w:szCs w:val="16"/>
                <w:lang w:val="en-US"/>
              </w:rPr>
              <w:t>2011</w:t>
            </w:r>
          </w:p>
        </w:tc>
        <w:tc>
          <w:tcPr>
            <w:tcW w:w="1080" w:type="dxa"/>
            <w:tcBorders>
              <w:top w:val="dotted" w:sz="4" w:space="0" w:color="auto"/>
              <w:left w:val="dotted" w:sz="4" w:space="0" w:color="auto"/>
              <w:right w:val="dotted" w:sz="4" w:space="0" w:color="auto"/>
            </w:tcBorders>
            <w:vAlign w:val="bottom"/>
          </w:tcPr>
          <w:p w:rsidR="00EA2458" w:rsidRPr="00BA1B31" w:rsidRDefault="00EA2458" w:rsidP="00AE1766">
            <w:pPr>
              <w:cnfStyle w:val="010000000000"/>
              <w:rPr>
                <w:rFonts w:ascii="Tahoma" w:hAnsi="Tahoma" w:cs="Tahoma"/>
                <w:b/>
                <w:sz w:val="18"/>
                <w:szCs w:val="16"/>
              </w:rPr>
            </w:pPr>
            <w:r w:rsidRPr="00BA1B31">
              <w:rPr>
                <w:rFonts w:ascii="Tahoma" w:hAnsi="Tahoma" w:cs="Tahoma"/>
                <w:b/>
                <w:sz w:val="18"/>
                <w:szCs w:val="16"/>
              </w:rPr>
              <w:t>9.341,9</w:t>
            </w:r>
          </w:p>
        </w:tc>
        <w:tc>
          <w:tcPr>
            <w:tcW w:w="1143" w:type="dxa"/>
            <w:tcBorders>
              <w:top w:val="dotted" w:sz="4" w:space="0" w:color="auto"/>
              <w:left w:val="dotted" w:sz="4" w:space="0" w:color="auto"/>
              <w:right w:val="dotted" w:sz="4" w:space="0" w:color="auto"/>
            </w:tcBorders>
            <w:vAlign w:val="bottom"/>
          </w:tcPr>
          <w:p w:rsidR="00EA2458" w:rsidRPr="00BA1B31" w:rsidRDefault="00EA2458" w:rsidP="00AE1766">
            <w:pPr>
              <w:cnfStyle w:val="010000000000"/>
              <w:rPr>
                <w:rFonts w:ascii="Tahoma" w:hAnsi="Tahoma" w:cs="Tahoma"/>
                <w:b/>
                <w:sz w:val="18"/>
                <w:szCs w:val="16"/>
              </w:rPr>
            </w:pPr>
            <w:r w:rsidRPr="00BA1B31">
              <w:rPr>
                <w:rFonts w:ascii="Tahoma" w:hAnsi="Tahoma" w:cs="Tahoma"/>
                <w:b/>
                <w:sz w:val="18"/>
                <w:szCs w:val="16"/>
              </w:rPr>
              <w:t>4.967,6</w:t>
            </w:r>
          </w:p>
        </w:tc>
        <w:tc>
          <w:tcPr>
            <w:tcW w:w="1211" w:type="dxa"/>
            <w:tcBorders>
              <w:top w:val="dotted" w:sz="4" w:space="0" w:color="auto"/>
              <w:left w:val="dotted" w:sz="4" w:space="0" w:color="auto"/>
              <w:right w:val="dotted" w:sz="4" w:space="0" w:color="auto"/>
            </w:tcBorders>
            <w:vAlign w:val="bottom"/>
          </w:tcPr>
          <w:p w:rsidR="00EA2458" w:rsidRPr="00BA1B31" w:rsidRDefault="00EA2458" w:rsidP="00AE1766">
            <w:pPr>
              <w:cnfStyle w:val="010000000000"/>
              <w:rPr>
                <w:rFonts w:ascii="Tahoma" w:hAnsi="Tahoma" w:cs="Tahoma"/>
                <w:b/>
                <w:sz w:val="18"/>
                <w:szCs w:val="16"/>
              </w:rPr>
            </w:pPr>
            <w:r w:rsidRPr="00BA1B31">
              <w:rPr>
                <w:rFonts w:ascii="Tahoma" w:hAnsi="Tahoma" w:cs="Tahoma"/>
                <w:b/>
                <w:sz w:val="18"/>
                <w:szCs w:val="16"/>
              </w:rPr>
              <w:t>53,2</w:t>
            </w:r>
          </w:p>
        </w:tc>
        <w:tc>
          <w:tcPr>
            <w:tcW w:w="1103" w:type="dxa"/>
            <w:tcBorders>
              <w:top w:val="dotted" w:sz="4" w:space="0" w:color="auto"/>
              <w:left w:val="dotted" w:sz="4" w:space="0" w:color="auto"/>
              <w:right w:val="dotted" w:sz="4" w:space="0" w:color="auto"/>
            </w:tcBorders>
            <w:vAlign w:val="bottom"/>
          </w:tcPr>
          <w:p w:rsidR="00EA2458" w:rsidRPr="00BA1B31" w:rsidRDefault="00EA2458" w:rsidP="00AE1766">
            <w:pPr>
              <w:cnfStyle w:val="010000000000"/>
              <w:rPr>
                <w:rFonts w:ascii="Tahoma" w:hAnsi="Tahoma" w:cs="Tahoma"/>
                <w:b/>
                <w:sz w:val="18"/>
                <w:szCs w:val="16"/>
              </w:rPr>
            </w:pPr>
            <w:r w:rsidRPr="00BA1B31">
              <w:rPr>
                <w:rFonts w:ascii="Tahoma" w:hAnsi="Tahoma" w:cs="Tahoma"/>
                <w:b/>
                <w:sz w:val="18"/>
                <w:szCs w:val="16"/>
              </w:rPr>
              <w:t>4090,7</w:t>
            </w:r>
          </w:p>
        </w:tc>
        <w:tc>
          <w:tcPr>
            <w:tcW w:w="1425" w:type="dxa"/>
            <w:tcBorders>
              <w:top w:val="dotted" w:sz="4" w:space="0" w:color="auto"/>
              <w:left w:val="dotted" w:sz="4" w:space="0" w:color="auto"/>
              <w:right w:val="dotted" w:sz="4" w:space="0" w:color="auto"/>
            </w:tcBorders>
            <w:vAlign w:val="bottom"/>
          </w:tcPr>
          <w:p w:rsidR="00EA2458" w:rsidRPr="00BA1B31" w:rsidRDefault="00EA2458" w:rsidP="00AE1766">
            <w:pPr>
              <w:cnfStyle w:val="010000000000"/>
              <w:rPr>
                <w:rFonts w:ascii="Tahoma" w:hAnsi="Tahoma" w:cs="Tahoma"/>
                <w:b/>
                <w:sz w:val="18"/>
                <w:szCs w:val="16"/>
              </w:rPr>
            </w:pPr>
            <w:r w:rsidRPr="00BA1B31">
              <w:rPr>
                <w:rFonts w:ascii="Tahoma" w:hAnsi="Tahoma" w:cs="Tahoma"/>
                <w:b/>
                <w:sz w:val="18"/>
                <w:szCs w:val="16"/>
              </w:rPr>
              <w:t>82,4</w:t>
            </w:r>
          </w:p>
        </w:tc>
        <w:tc>
          <w:tcPr>
            <w:tcW w:w="1080" w:type="dxa"/>
            <w:tcBorders>
              <w:top w:val="dotted" w:sz="4" w:space="0" w:color="auto"/>
              <w:left w:val="dotted" w:sz="4" w:space="0" w:color="auto"/>
              <w:right w:val="dotted" w:sz="4" w:space="0" w:color="auto"/>
            </w:tcBorders>
            <w:vAlign w:val="bottom"/>
          </w:tcPr>
          <w:p w:rsidR="00EA2458" w:rsidRPr="00BA1B31" w:rsidRDefault="00EA2458" w:rsidP="00AE1766">
            <w:pPr>
              <w:cnfStyle w:val="010000000000"/>
              <w:rPr>
                <w:rFonts w:ascii="Tahoma" w:hAnsi="Tahoma" w:cs="Tahoma"/>
                <w:b/>
                <w:sz w:val="18"/>
                <w:szCs w:val="16"/>
              </w:rPr>
            </w:pPr>
            <w:r w:rsidRPr="00BA1B31">
              <w:rPr>
                <w:rFonts w:ascii="Tahoma" w:hAnsi="Tahoma" w:cs="Tahoma"/>
                <w:b/>
                <w:sz w:val="18"/>
                <w:szCs w:val="16"/>
              </w:rPr>
              <w:t>876,9</w:t>
            </w:r>
          </w:p>
        </w:tc>
        <w:tc>
          <w:tcPr>
            <w:tcW w:w="1260" w:type="dxa"/>
            <w:tcBorders>
              <w:top w:val="dotted" w:sz="4" w:space="0" w:color="auto"/>
              <w:left w:val="dotted" w:sz="4" w:space="0" w:color="auto"/>
              <w:right w:val="dotted" w:sz="4" w:space="0" w:color="auto"/>
            </w:tcBorders>
            <w:vAlign w:val="bottom"/>
          </w:tcPr>
          <w:p w:rsidR="00EA2458" w:rsidRPr="00BA1B31" w:rsidRDefault="00EA2458" w:rsidP="00AE1766">
            <w:pPr>
              <w:cnfStyle w:val="010000000000"/>
              <w:rPr>
                <w:rFonts w:ascii="Tahoma" w:hAnsi="Tahoma" w:cs="Tahoma"/>
                <w:b/>
                <w:sz w:val="18"/>
                <w:szCs w:val="16"/>
              </w:rPr>
            </w:pPr>
            <w:r w:rsidRPr="00BA1B31">
              <w:rPr>
                <w:rFonts w:ascii="Tahoma" w:hAnsi="Tahoma" w:cs="Tahoma"/>
                <w:b/>
                <w:sz w:val="18"/>
                <w:szCs w:val="16"/>
              </w:rPr>
              <w:t>17,7</w:t>
            </w:r>
          </w:p>
        </w:tc>
      </w:tr>
    </w:tbl>
    <w:p w:rsidR="00EA2458" w:rsidRDefault="00EA2458" w:rsidP="00EA2458">
      <w:pPr>
        <w:spacing w:line="288" w:lineRule="auto"/>
        <w:jc w:val="both"/>
        <w:rPr>
          <w:rFonts w:ascii="Tahoma" w:hAnsi="Tahoma" w:cs="Tahoma"/>
          <w:sz w:val="16"/>
          <w:szCs w:val="18"/>
        </w:rPr>
      </w:pPr>
      <w:r w:rsidRPr="00AE1766">
        <w:rPr>
          <w:rFonts w:ascii="Tahoma" w:hAnsi="Tahoma" w:cs="Tahoma"/>
          <w:b/>
          <w:bCs/>
          <w:iCs/>
          <w:sz w:val="16"/>
          <w:szCs w:val="18"/>
        </w:rPr>
        <w:t>Πηγή</w:t>
      </w:r>
      <w:r w:rsidRPr="00AE1766">
        <w:rPr>
          <w:rFonts w:ascii="Tahoma" w:hAnsi="Tahoma" w:cs="Tahoma"/>
          <w:bCs/>
          <w:iCs/>
          <w:sz w:val="16"/>
          <w:szCs w:val="18"/>
        </w:rPr>
        <w:t>:</w:t>
      </w:r>
      <w:r w:rsidRPr="00AE1766">
        <w:rPr>
          <w:rFonts w:ascii="Tahoma" w:hAnsi="Tahoma" w:cs="Tahoma"/>
          <w:sz w:val="16"/>
          <w:szCs w:val="18"/>
        </w:rPr>
        <w:t xml:space="preserve"> ΕΛΣΤΑΤ, Έρευνα Εργατικού Δυναμικού</w:t>
      </w:r>
    </w:p>
    <w:p w:rsidR="008C3385" w:rsidRDefault="008C3385" w:rsidP="00EA2458">
      <w:pPr>
        <w:spacing w:line="288" w:lineRule="auto"/>
        <w:jc w:val="both"/>
        <w:rPr>
          <w:rFonts w:ascii="Tahoma" w:hAnsi="Tahoma" w:cs="Tahoma"/>
          <w:sz w:val="16"/>
          <w:szCs w:val="18"/>
        </w:rPr>
      </w:pPr>
    </w:p>
    <w:p w:rsidR="008C3385" w:rsidRDefault="008C3385" w:rsidP="00EA2458">
      <w:pPr>
        <w:spacing w:line="288" w:lineRule="auto"/>
        <w:jc w:val="both"/>
        <w:rPr>
          <w:rFonts w:ascii="Tahoma" w:hAnsi="Tahoma" w:cs="Tahoma"/>
          <w:sz w:val="16"/>
          <w:szCs w:val="18"/>
        </w:rPr>
        <w:sectPr w:rsidR="008C3385" w:rsidSect="00AE1766">
          <w:pgSz w:w="11906" w:h="16838"/>
          <w:pgMar w:top="1440" w:right="849" w:bottom="1440" w:left="1560" w:header="708" w:footer="708" w:gutter="0"/>
          <w:cols w:space="720"/>
          <w:docGrid w:linePitch="360"/>
        </w:sectPr>
      </w:pPr>
    </w:p>
    <w:p w:rsidR="008C3385" w:rsidRPr="00AE1766" w:rsidRDefault="008C3385" w:rsidP="0047362B">
      <w:pPr>
        <w:pStyle w:val="new4"/>
        <w:tabs>
          <w:tab w:val="left" w:pos="1260"/>
        </w:tabs>
        <w:spacing w:before="60" w:after="240" w:line="312" w:lineRule="auto"/>
        <w:ind w:right="-7"/>
        <w:jc w:val="both"/>
        <w:rPr>
          <w:rFonts w:cs="Tahoma"/>
          <w:b w:val="0"/>
          <w:sz w:val="22"/>
          <w:szCs w:val="22"/>
        </w:rPr>
      </w:pPr>
      <w:r w:rsidRPr="00AE1766">
        <w:rPr>
          <w:rFonts w:cs="Tahoma"/>
          <w:b w:val="0"/>
          <w:sz w:val="22"/>
          <w:szCs w:val="22"/>
        </w:rPr>
        <w:lastRenderedPageBreak/>
        <w:t>Πρόσθετα στοιχεία για τις βραχυπρόθεσμες προοπτικές της απασχόλησης προσφέρουν οι Έρευνες Οικονομικής Συγκυρίας του ΙΟΒΕ.</w:t>
      </w:r>
    </w:p>
    <w:p w:rsidR="008C3385" w:rsidRDefault="008C3385" w:rsidP="009F120C">
      <w:pPr>
        <w:spacing w:before="240" w:after="240" w:line="312" w:lineRule="auto"/>
        <w:ind w:right="-7"/>
        <w:jc w:val="both"/>
        <w:rPr>
          <w:rFonts w:ascii="Tahoma" w:hAnsi="Tahoma" w:cs="Tahoma"/>
          <w:sz w:val="22"/>
          <w:szCs w:val="22"/>
        </w:rPr>
      </w:pPr>
      <w:r w:rsidRPr="000E3A31">
        <w:rPr>
          <w:rFonts w:ascii="Tahoma" w:hAnsi="Tahoma" w:cs="Tahoma"/>
          <w:b/>
          <w:sz w:val="22"/>
          <w:szCs w:val="22"/>
        </w:rPr>
        <w:t xml:space="preserve">Το πρώτο δίμηνο Ιανουαρίου – Φεβρουαρίου του νέου έτους, </w:t>
      </w:r>
      <w:r w:rsidRPr="005D346E">
        <w:rPr>
          <w:rFonts w:ascii="Tahoma" w:hAnsi="Tahoma" w:cs="Tahoma"/>
          <w:b/>
          <w:sz w:val="22"/>
          <w:szCs w:val="22"/>
        </w:rPr>
        <w:t xml:space="preserve">οι </w:t>
      </w:r>
      <w:r>
        <w:rPr>
          <w:rFonts w:ascii="Tahoma" w:hAnsi="Tahoma" w:cs="Tahoma"/>
          <w:b/>
          <w:sz w:val="22"/>
          <w:szCs w:val="22"/>
        </w:rPr>
        <w:t xml:space="preserve">βραχυπρόθεσμες προβλέψεις </w:t>
      </w:r>
      <w:r w:rsidRPr="00FB2EED">
        <w:rPr>
          <w:rFonts w:ascii="Tahoma" w:hAnsi="Tahoma" w:cs="Tahoma"/>
          <w:b/>
          <w:sz w:val="22"/>
          <w:szCs w:val="22"/>
        </w:rPr>
        <w:t xml:space="preserve">για την απασχόληση σε σχέση με </w:t>
      </w:r>
      <w:r>
        <w:rPr>
          <w:rFonts w:ascii="Tahoma" w:hAnsi="Tahoma" w:cs="Tahoma"/>
          <w:b/>
          <w:sz w:val="22"/>
          <w:szCs w:val="22"/>
        </w:rPr>
        <w:t xml:space="preserve">το τελευταίο τρίμηνο του 2011 βαίνουν σημαντικά δυσμενέστερες </w:t>
      </w:r>
      <w:r w:rsidRPr="00A225E1">
        <w:rPr>
          <w:rFonts w:ascii="Tahoma" w:hAnsi="Tahoma" w:cs="Tahoma"/>
          <w:b/>
          <w:sz w:val="22"/>
          <w:szCs w:val="22"/>
        </w:rPr>
        <w:t>στο Λιανι</w:t>
      </w:r>
      <w:r>
        <w:rPr>
          <w:rFonts w:ascii="Tahoma" w:hAnsi="Tahoma" w:cs="Tahoma"/>
          <w:b/>
          <w:sz w:val="22"/>
          <w:szCs w:val="22"/>
        </w:rPr>
        <w:t xml:space="preserve">κό Εμπόριο και στις Κατασκευές, ενώ στη </w:t>
      </w:r>
      <w:r w:rsidRPr="00A225E1">
        <w:rPr>
          <w:rFonts w:ascii="Tahoma" w:hAnsi="Tahoma" w:cs="Tahoma"/>
          <w:b/>
          <w:sz w:val="22"/>
          <w:szCs w:val="22"/>
        </w:rPr>
        <w:t xml:space="preserve">Βιομηχανία </w:t>
      </w:r>
      <w:r>
        <w:rPr>
          <w:rFonts w:ascii="Tahoma" w:hAnsi="Tahoma" w:cs="Tahoma"/>
          <w:b/>
          <w:sz w:val="22"/>
          <w:szCs w:val="22"/>
        </w:rPr>
        <w:t xml:space="preserve">παραμένουν στα ίδια, αρνητικά επίπεδα </w:t>
      </w:r>
      <w:r w:rsidRPr="00A225E1">
        <w:rPr>
          <w:rFonts w:ascii="Tahoma" w:hAnsi="Tahoma" w:cs="Tahoma"/>
          <w:b/>
          <w:sz w:val="22"/>
          <w:szCs w:val="22"/>
        </w:rPr>
        <w:lastRenderedPageBreak/>
        <w:t>και στις Υπηρεσίες</w:t>
      </w:r>
      <w:r>
        <w:rPr>
          <w:rFonts w:ascii="Tahoma" w:hAnsi="Tahoma" w:cs="Tahoma"/>
          <w:b/>
          <w:sz w:val="22"/>
          <w:szCs w:val="22"/>
        </w:rPr>
        <w:t xml:space="preserve"> σημειώνουν ελαφρά βελτίωση, μετά από την ιστορικά όμως χαμηλή επίδοσή τους. </w:t>
      </w:r>
      <w:r>
        <w:rPr>
          <w:rFonts w:ascii="Tahoma" w:hAnsi="Tahoma" w:cs="Tahoma"/>
          <w:sz w:val="22"/>
          <w:szCs w:val="22"/>
        </w:rPr>
        <w:t xml:space="preserve">Σε σχέση </w:t>
      </w:r>
      <w:r w:rsidRPr="007F5469">
        <w:rPr>
          <w:rFonts w:ascii="Tahoma" w:hAnsi="Tahoma" w:cs="Tahoma"/>
          <w:sz w:val="22"/>
          <w:szCs w:val="22"/>
        </w:rPr>
        <w:t xml:space="preserve">με την ίδια περίοδο του προηγούμενου έτους, </w:t>
      </w:r>
      <w:r>
        <w:rPr>
          <w:rFonts w:ascii="Tahoma" w:hAnsi="Tahoma" w:cs="Tahoma"/>
          <w:sz w:val="22"/>
          <w:szCs w:val="22"/>
        </w:rPr>
        <w:t xml:space="preserve">σημειώνεται οριακή υποχώρηση </w:t>
      </w:r>
      <w:r w:rsidRPr="007F5469">
        <w:rPr>
          <w:rFonts w:ascii="Tahoma" w:hAnsi="Tahoma" w:cs="Tahoma"/>
          <w:sz w:val="22"/>
          <w:szCs w:val="22"/>
        </w:rPr>
        <w:t>στις σχετικές προβλέψεις</w:t>
      </w:r>
      <w:r>
        <w:rPr>
          <w:rFonts w:ascii="Tahoma" w:hAnsi="Tahoma" w:cs="Tahoma"/>
          <w:sz w:val="22"/>
          <w:szCs w:val="22"/>
        </w:rPr>
        <w:t xml:space="preserve"> στη Βιομηχανία</w:t>
      </w:r>
      <w:r w:rsidRPr="00A50289">
        <w:rPr>
          <w:rFonts w:ascii="Tahoma" w:hAnsi="Tahoma" w:cs="Tahoma"/>
          <w:sz w:val="22"/>
          <w:szCs w:val="22"/>
        </w:rPr>
        <w:t xml:space="preserve"> </w:t>
      </w:r>
      <w:r>
        <w:rPr>
          <w:rFonts w:ascii="Tahoma" w:hAnsi="Tahoma" w:cs="Tahoma"/>
          <w:sz w:val="22"/>
          <w:szCs w:val="22"/>
        </w:rPr>
        <w:t xml:space="preserve">και κατακόρυφη πτώση τους στο </w:t>
      </w:r>
      <w:r w:rsidRPr="007F5469">
        <w:rPr>
          <w:rFonts w:ascii="Tahoma" w:hAnsi="Tahoma" w:cs="Tahoma"/>
          <w:sz w:val="22"/>
          <w:szCs w:val="22"/>
        </w:rPr>
        <w:t>Λιανικό Εμπόριο</w:t>
      </w:r>
      <w:r>
        <w:rPr>
          <w:rFonts w:ascii="Tahoma" w:hAnsi="Tahoma" w:cs="Tahoma"/>
          <w:sz w:val="22"/>
          <w:szCs w:val="22"/>
        </w:rPr>
        <w:t>. Στον τομέα</w:t>
      </w:r>
      <w:r w:rsidRPr="007F5469">
        <w:rPr>
          <w:rFonts w:ascii="Tahoma" w:hAnsi="Tahoma" w:cs="Tahoma"/>
          <w:sz w:val="22"/>
          <w:szCs w:val="22"/>
        </w:rPr>
        <w:t xml:space="preserve"> των Κατασκευών</w:t>
      </w:r>
      <w:r>
        <w:rPr>
          <w:rFonts w:ascii="Tahoma" w:hAnsi="Tahoma" w:cs="Tahoma"/>
          <w:sz w:val="22"/>
          <w:szCs w:val="22"/>
        </w:rPr>
        <w:t xml:space="preserve">, παρόλο που ο σχετικός δείκτης παραμένει σε απογοητευτικά επίπεδα, καταγράφει μικρή βελτίωση σε σχέση με την ίδια περσινή περίοδο. </w:t>
      </w:r>
      <w:r w:rsidRPr="007F5469">
        <w:rPr>
          <w:rFonts w:ascii="Tahoma" w:hAnsi="Tahoma" w:cs="Tahoma"/>
          <w:sz w:val="22"/>
          <w:szCs w:val="22"/>
        </w:rPr>
        <w:t>Αναλυτικότερα:</w:t>
      </w:r>
    </w:p>
    <w:p w:rsidR="008C3385" w:rsidRDefault="008C3385" w:rsidP="008C3385">
      <w:pPr>
        <w:spacing w:before="240" w:after="240" w:line="312" w:lineRule="auto"/>
        <w:jc w:val="both"/>
        <w:rPr>
          <w:rFonts w:ascii="Tahoma" w:hAnsi="Tahoma" w:cs="Tahoma"/>
          <w:sz w:val="22"/>
          <w:szCs w:val="22"/>
        </w:rPr>
        <w:sectPr w:rsidR="008C3385" w:rsidSect="008C3385">
          <w:type w:val="continuous"/>
          <w:pgSz w:w="11906" w:h="16838"/>
          <w:pgMar w:top="1440" w:right="849" w:bottom="1440" w:left="1560" w:header="708" w:footer="708" w:gutter="0"/>
          <w:cols w:num="2" w:space="720"/>
          <w:docGrid w:linePitch="360"/>
        </w:sectPr>
      </w:pPr>
    </w:p>
    <w:p w:rsidR="00EA2458" w:rsidRPr="00B14890" w:rsidRDefault="003133F2" w:rsidP="00AE1766">
      <w:pPr>
        <w:pStyle w:val="new4"/>
        <w:spacing w:before="120" w:after="120" w:line="240" w:lineRule="auto"/>
      </w:pPr>
      <w:r>
        <w:lastRenderedPageBreak/>
        <w:br w:type="column"/>
      </w:r>
      <w:r w:rsidR="00EA2458">
        <w:lastRenderedPageBreak/>
        <w:t xml:space="preserve">Διάγραμμα </w:t>
      </w:r>
      <w:r w:rsidR="00AE1766">
        <w:t>3.10</w:t>
      </w:r>
    </w:p>
    <w:p w:rsidR="00EA2458" w:rsidRPr="00811BCF" w:rsidRDefault="00EA2458" w:rsidP="00EA2458">
      <w:pPr>
        <w:pStyle w:val="new4"/>
        <w:spacing w:after="0" w:line="240" w:lineRule="auto"/>
        <w:rPr>
          <w:b w:val="0"/>
        </w:rPr>
      </w:pPr>
      <w:r w:rsidRPr="00811BCF">
        <w:rPr>
          <w:b w:val="0"/>
        </w:rPr>
        <w:t xml:space="preserve">Εξέλιξη του Ποσοστού του Εργατικού Δυναμικού στο Σύνολο του Πληθυσμού και του Ποσοστού των Ανέργων στο </w:t>
      </w:r>
      <w:r>
        <w:rPr>
          <w:b w:val="0"/>
        </w:rPr>
        <w:t>σ</w:t>
      </w:r>
      <w:r w:rsidRPr="00811BCF">
        <w:rPr>
          <w:b w:val="0"/>
        </w:rPr>
        <w:t>ύνολο του Εργατικού Δυναμικού</w:t>
      </w:r>
      <w:r>
        <w:rPr>
          <w:b w:val="0"/>
        </w:rPr>
        <w:t xml:space="preserve"> </w:t>
      </w:r>
    </w:p>
    <w:p w:rsidR="00EA2458" w:rsidRPr="00751F60" w:rsidRDefault="00EA2458" w:rsidP="00EA2458">
      <w:pPr>
        <w:jc w:val="center"/>
        <w:rPr>
          <w:rFonts w:ascii="Tahoma" w:hAnsi="Tahoma" w:cs="Tahoma"/>
        </w:rPr>
      </w:pPr>
      <w:r>
        <w:rPr>
          <w:noProof/>
          <w:lang w:val="en-US" w:eastAsia="en-US"/>
        </w:rPr>
        <w:drawing>
          <wp:inline distT="0" distB="0" distL="0" distR="0">
            <wp:extent cx="4686300" cy="3886200"/>
            <wp:effectExtent l="0" t="0" r="0" b="0"/>
            <wp:docPr id="4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srcRect/>
                    <a:stretch>
                      <a:fillRect/>
                    </a:stretch>
                  </pic:blipFill>
                  <pic:spPr bwMode="auto">
                    <a:xfrm>
                      <a:off x="0" y="0"/>
                      <a:ext cx="4686300" cy="3886200"/>
                    </a:xfrm>
                    <a:prstGeom prst="rect">
                      <a:avLst/>
                    </a:prstGeom>
                    <a:noFill/>
                    <a:ln w="9525">
                      <a:noFill/>
                      <a:miter lim="800000"/>
                      <a:headEnd/>
                      <a:tailEnd/>
                    </a:ln>
                  </pic:spPr>
                </pic:pic>
              </a:graphicData>
            </a:graphic>
          </wp:inline>
        </w:drawing>
      </w:r>
    </w:p>
    <w:p w:rsidR="00AE1766" w:rsidRDefault="00EA2458" w:rsidP="00AE1766">
      <w:pPr>
        <w:pStyle w:val="new4"/>
        <w:tabs>
          <w:tab w:val="left" w:pos="1260"/>
        </w:tabs>
        <w:spacing w:before="240" w:after="240" w:line="312" w:lineRule="auto"/>
        <w:jc w:val="left"/>
        <w:rPr>
          <w:rFonts w:cs="Tahoma"/>
          <w:b w:val="0"/>
          <w:sz w:val="16"/>
          <w:szCs w:val="18"/>
        </w:rPr>
      </w:pPr>
      <w:r w:rsidRPr="00AE1766">
        <w:rPr>
          <w:rFonts w:cs="Tahoma"/>
          <w:sz w:val="16"/>
          <w:szCs w:val="18"/>
        </w:rPr>
        <w:t>Πηγή:</w:t>
      </w:r>
      <w:r w:rsidRPr="00AE1766">
        <w:rPr>
          <w:rFonts w:cs="Tahoma"/>
          <w:b w:val="0"/>
          <w:sz w:val="16"/>
          <w:szCs w:val="18"/>
        </w:rPr>
        <w:t xml:space="preserve"> ΕΛΣΤΑΤ, Έρευνα Εργατικού Δυναμικού</w:t>
      </w:r>
    </w:p>
    <w:p w:rsidR="008C3385" w:rsidRDefault="008C3385" w:rsidP="00AE1766">
      <w:pPr>
        <w:pStyle w:val="new4"/>
        <w:tabs>
          <w:tab w:val="left" w:pos="1260"/>
        </w:tabs>
        <w:spacing w:before="240" w:after="240" w:line="312" w:lineRule="auto"/>
        <w:jc w:val="left"/>
        <w:rPr>
          <w:rFonts w:cs="Tahoma"/>
          <w:b w:val="0"/>
          <w:sz w:val="22"/>
          <w:szCs w:val="22"/>
        </w:rPr>
        <w:sectPr w:rsidR="008C3385" w:rsidSect="008C3385">
          <w:type w:val="continuous"/>
          <w:pgSz w:w="11906" w:h="16838"/>
          <w:pgMar w:top="1440" w:right="849" w:bottom="1440" w:left="1560" w:header="708" w:footer="708" w:gutter="0"/>
          <w:cols w:space="720"/>
          <w:docGrid w:linePitch="360"/>
        </w:sectPr>
      </w:pPr>
    </w:p>
    <w:p w:rsidR="00EA2458" w:rsidRPr="00C17408" w:rsidRDefault="00EA2458" w:rsidP="009F120C">
      <w:pPr>
        <w:spacing w:before="240" w:after="240" w:line="312" w:lineRule="auto"/>
        <w:ind w:right="-57"/>
        <w:jc w:val="both"/>
        <w:rPr>
          <w:rFonts w:ascii="Tahoma" w:hAnsi="Tahoma" w:cs="Tahoma"/>
          <w:sz w:val="22"/>
          <w:szCs w:val="22"/>
        </w:rPr>
      </w:pPr>
      <w:r w:rsidRPr="00EB1621">
        <w:rPr>
          <w:rFonts w:ascii="Tahoma" w:hAnsi="Tahoma" w:cs="Tahoma"/>
          <w:b/>
          <w:sz w:val="22"/>
          <w:szCs w:val="22"/>
        </w:rPr>
        <w:lastRenderedPageBreak/>
        <w:t xml:space="preserve">Στη </w:t>
      </w:r>
      <w:r w:rsidRPr="00AB5EC7">
        <w:rPr>
          <w:rFonts w:ascii="Tahoma" w:hAnsi="Tahoma" w:cs="Tahoma"/>
          <w:b/>
          <w:sz w:val="22"/>
          <w:szCs w:val="22"/>
        </w:rPr>
        <w:t>Βιομηχανία, το αρνητικό ισοζύγιο των σχετικών προβλέψεων</w:t>
      </w:r>
      <w:r>
        <w:rPr>
          <w:rFonts w:ascii="Tahoma" w:hAnsi="Tahoma" w:cs="Tahoma"/>
          <w:sz w:val="22"/>
          <w:szCs w:val="22"/>
        </w:rPr>
        <w:t xml:space="preserve"> </w:t>
      </w:r>
      <w:r w:rsidRPr="00EB1621">
        <w:rPr>
          <w:rFonts w:ascii="Tahoma" w:hAnsi="Tahoma" w:cs="Tahoma"/>
          <w:b/>
          <w:sz w:val="22"/>
          <w:szCs w:val="22"/>
        </w:rPr>
        <w:t xml:space="preserve">για την απασχόληση στο </w:t>
      </w:r>
      <w:r w:rsidRPr="007E53D3">
        <w:rPr>
          <w:rFonts w:ascii="Tahoma" w:hAnsi="Tahoma" w:cs="Tahoma"/>
          <w:b/>
          <w:sz w:val="22"/>
          <w:szCs w:val="22"/>
        </w:rPr>
        <w:t>διάστημα Ιανουαρίου – Φεβρουαρίου</w:t>
      </w:r>
      <w:r>
        <w:rPr>
          <w:rFonts w:ascii="Tahoma" w:hAnsi="Tahoma" w:cs="Tahoma"/>
          <w:b/>
          <w:sz w:val="22"/>
          <w:szCs w:val="22"/>
        </w:rPr>
        <w:t xml:space="preserve"> παραμένει στα ίδια σχεδόν επίπεδα σε σχέση </w:t>
      </w:r>
      <w:r w:rsidRPr="00EB1621">
        <w:rPr>
          <w:rFonts w:ascii="Tahoma" w:hAnsi="Tahoma" w:cs="Tahoma"/>
          <w:b/>
          <w:sz w:val="22"/>
          <w:szCs w:val="22"/>
        </w:rPr>
        <w:t xml:space="preserve">με </w:t>
      </w:r>
      <w:r>
        <w:rPr>
          <w:rFonts w:ascii="Tahoma" w:hAnsi="Tahoma" w:cs="Tahoma"/>
          <w:b/>
          <w:sz w:val="22"/>
          <w:szCs w:val="22"/>
        </w:rPr>
        <w:t xml:space="preserve">τους τελευταίους μήνες του προηγούμενου έτους </w:t>
      </w:r>
      <w:r>
        <w:rPr>
          <w:rFonts w:ascii="Tahoma" w:hAnsi="Tahoma" w:cs="Tahoma"/>
          <w:sz w:val="22"/>
          <w:szCs w:val="22"/>
        </w:rPr>
        <w:t>και διαμορφώνεται, στις -27 μονάδες. Η επίδοση αυτή είναι ελαφρώς δυσμενέστερη σε σχέση με την αντίστοιχη περσινή (-21 μονάδες)</w:t>
      </w:r>
      <w:r w:rsidRPr="008657C3">
        <w:rPr>
          <w:rFonts w:ascii="Tahoma" w:hAnsi="Tahoma" w:cs="Tahoma"/>
          <w:sz w:val="22"/>
          <w:szCs w:val="22"/>
        </w:rPr>
        <w:t>.</w:t>
      </w:r>
      <w:r>
        <w:rPr>
          <w:rFonts w:ascii="Tahoma" w:hAnsi="Tahoma" w:cs="Tahoma"/>
          <w:sz w:val="22"/>
          <w:szCs w:val="22"/>
        </w:rPr>
        <w:t xml:space="preserve"> Σχεδόν καμία βιομηχανική επιχείρηση δεν </w:t>
      </w:r>
      <w:r w:rsidRPr="00C17408">
        <w:rPr>
          <w:rFonts w:ascii="Tahoma" w:hAnsi="Tahoma" w:cs="Tahoma"/>
          <w:sz w:val="22"/>
          <w:szCs w:val="22"/>
        </w:rPr>
        <w:t>προβλέπει άνοδο της απασχόλησης το επόμενο διάστημα</w:t>
      </w:r>
      <w:r>
        <w:rPr>
          <w:rFonts w:ascii="Tahoma" w:hAnsi="Tahoma" w:cs="Tahoma"/>
          <w:sz w:val="22"/>
          <w:szCs w:val="22"/>
        </w:rPr>
        <w:t>, ενώ αντίθετα το 27-28% των επιχειρήσεων αναμένει βραχυπρόθεσμα και νέα μείωση στον αριθμό των θέσεων εργασίας του τομέα.</w:t>
      </w:r>
    </w:p>
    <w:p w:rsidR="00EA2458" w:rsidRDefault="00EA2458" w:rsidP="009F120C">
      <w:pPr>
        <w:spacing w:before="240" w:after="240" w:line="312" w:lineRule="auto"/>
        <w:ind w:right="-57"/>
        <w:jc w:val="both"/>
        <w:rPr>
          <w:rFonts w:ascii="Tahoma" w:hAnsi="Tahoma" w:cs="Tahoma"/>
          <w:sz w:val="22"/>
          <w:szCs w:val="22"/>
        </w:rPr>
      </w:pPr>
      <w:r>
        <w:rPr>
          <w:rFonts w:ascii="Tahoma" w:hAnsi="Tahoma" w:cs="Tahoma"/>
          <w:b/>
          <w:sz w:val="22"/>
          <w:szCs w:val="22"/>
        </w:rPr>
        <w:lastRenderedPageBreak/>
        <w:t xml:space="preserve">Στον τομέα των </w:t>
      </w:r>
      <w:r w:rsidRPr="004A3414">
        <w:rPr>
          <w:rFonts w:ascii="Tahoma" w:hAnsi="Tahoma" w:cs="Tahoma"/>
          <w:b/>
          <w:sz w:val="22"/>
          <w:szCs w:val="22"/>
        </w:rPr>
        <w:t xml:space="preserve">Κατασκευών, οι σχετικές προβλέψεις το </w:t>
      </w:r>
      <w:r>
        <w:rPr>
          <w:rFonts w:ascii="Tahoma" w:hAnsi="Tahoma" w:cs="Tahoma"/>
          <w:b/>
          <w:sz w:val="22"/>
          <w:szCs w:val="22"/>
        </w:rPr>
        <w:t>πρώτο δίμηνο</w:t>
      </w:r>
      <w:r w:rsidRPr="004A3414">
        <w:rPr>
          <w:rFonts w:ascii="Tahoma" w:hAnsi="Tahoma" w:cs="Tahoma"/>
          <w:b/>
          <w:sz w:val="22"/>
          <w:szCs w:val="22"/>
        </w:rPr>
        <w:t xml:space="preserve"> </w:t>
      </w:r>
      <w:r>
        <w:rPr>
          <w:rFonts w:ascii="Tahoma" w:hAnsi="Tahoma" w:cs="Tahoma"/>
          <w:b/>
          <w:sz w:val="22"/>
          <w:szCs w:val="22"/>
        </w:rPr>
        <w:t xml:space="preserve">του 2012 υποδηλώνουν έντονη επιδείνωση </w:t>
      </w:r>
      <w:r w:rsidRPr="004A3414">
        <w:rPr>
          <w:rFonts w:ascii="Tahoma" w:hAnsi="Tahoma" w:cs="Tahoma"/>
          <w:b/>
          <w:sz w:val="22"/>
          <w:szCs w:val="22"/>
        </w:rPr>
        <w:t>σε σχέση με τ</w:t>
      </w:r>
      <w:r>
        <w:rPr>
          <w:rFonts w:ascii="Tahoma" w:hAnsi="Tahoma" w:cs="Tahoma"/>
          <w:b/>
          <w:sz w:val="22"/>
          <w:szCs w:val="22"/>
        </w:rPr>
        <w:t>α τέλη του προηγούμενου έτους, κυρίως λόγω δυσμενέστερων προβλέψεων στις Κατασκευές Ιδιωτικών Κτιρίων.</w:t>
      </w:r>
      <w:r>
        <w:rPr>
          <w:rFonts w:ascii="Tahoma" w:hAnsi="Tahoma" w:cs="Tahoma"/>
          <w:sz w:val="22"/>
          <w:szCs w:val="22"/>
        </w:rPr>
        <w:t xml:space="preserve"> Σε σύγκριση ωστόσο με το αντίστοιχο διάστημα πέρυσι, ο μέσος δείκτης του υπό εξέταση τριμήνου βρίσκεται υψηλότερα, στις -51 μονάδες (από -61 μονάδες). Τα 2/3 των επιχειρήσεων του κλάδου το διάστημα Ιανουαρίου – Φεβρουαρίου (από 46% το προηγούμενο τρίμηνο) προβλέπουν ακόμα λιγότερες θέσεις εργασίας στον τομέα, ενώ αντίθετα το 11% (από 7% το περασμένο τρίμηνο) αναμένει άνοδο της απασχόλησης την επόμενη περίοδο. Στα Δημόσια Έργα, η </w:t>
      </w:r>
      <w:r>
        <w:rPr>
          <w:rFonts w:ascii="Tahoma" w:hAnsi="Tahoma" w:cs="Tahoma"/>
          <w:sz w:val="22"/>
          <w:szCs w:val="22"/>
        </w:rPr>
        <w:lastRenderedPageBreak/>
        <w:t>πορεία του δε</w:t>
      </w:r>
      <w:r w:rsidR="00A550B2">
        <w:rPr>
          <w:rFonts w:ascii="Tahoma" w:hAnsi="Tahoma" w:cs="Tahoma"/>
          <w:sz w:val="22"/>
          <w:szCs w:val="22"/>
        </w:rPr>
        <w:t>ί</w:t>
      </w:r>
      <w:r>
        <w:rPr>
          <w:rFonts w:ascii="Tahoma" w:hAnsi="Tahoma" w:cs="Tahoma"/>
          <w:sz w:val="22"/>
          <w:szCs w:val="22"/>
        </w:rPr>
        <w:t xml:space="preserve">κτη είναι ελαφρώς ανοδική το τελευταίο εξάμηνο, ενώ αντίθετα στις </w:t>
      </w:r>
      <w:r w:rsidRPr="00C17408">
        <w:rPr>
          <w:rFonts w:ascii="Tahoma" w:hAnsi="Tahoma" w:cs="Tahoma"/>
          <w:sz w:val="22"/>
          <w:szCs w:val="22"/>
        </w:rPr>
        <w:t>Ιδιωτικές Κατασκευές</w:t>
      </w:r>
      <w:r>
        <w:rPr>
          <w:rFonts w:ascii="Tahoma" w:hAnsi="Tahoma" w:cs="Tahoma"/>
          <w:sz w:val="22"/>
          <w:szCs w:val="22"/>
        </w:rPr>
        <w:t>, το σχετικό αρνητικό ισοζύγιο επιδεινώνεται σημαντικά από τον Ιανουάριο και μετά, αφού διαμορφώνεται στις -72 μονάδες κατά μέσο όρο στο πρώτο δίμηνο του έτους (από -38 μονάδες το προηγούμενο τρίμηνο και -58 μονάδες την ίδια περσινή περίοδο).</w:t>
      </w:r>
    </w:p>
    <w:p w:rsidR="009F120C" w:rsidRPr="0069710F" w:rsidRDefault="00EA2458" w:rsidP="009F120C">
      <w:pPr>
        <w:spacing w:before="240" w:after="240" w:line="312" w:lineRule="auto"/>
        <w:ind w:right="-57"/>
        <w:jc w:val="both"/>
        <w:rPr>
          <w:rFonts w:ascii="Tahoma" w:hAnsi="Tahoma" w:cs="Tahoma"/>
          <w:sz w:val="22"/>
          <w:szCs w:val="22"/>
        </w:rPr>
      </w:pPr>
      <w:r>
        <w:rPr>
          <w:rFonts w:ascii="Tahoma" w:hAnsi="Tahoma" w:cs="Tahoma"/>
          <w:b/>
          <w:sz w:val="22"/>
          <w:szCs w:val="22"/>
        </w:rPr>
        <w:t>Στις Υπηρεσίες</w:t>
      </w:r>
      <w:r w:rsidRPr="00EE029F">
        <w:rPr>
          <w:rFonts w:ascii="Tahoma" w:hAnsi="Tahoma" w:cs="Tahoma"/>
          <w:b/>
          <w:sz w:val="22"/>
          <w:szCs w:val="22"/>
        </w:rPr>
        <w:t>, οι προ</w:t>
      </w:r>
      <w:r>
        <w:rPr>
          <w:rFonts w:ascii="Tahoma" w:hAnsi="Tahoma" w:cs="Tahoma"/>
          <w:b/>
          <w:sz w:val="22"/>
          <w:szCs w:val="22"/>
        </w:rPr>
        <w:t xml:space="preserve">βλέψεις </w:t>
      </w:r>
      <w:r w:rsidRPr="00EE029F">
        <w:rPr>
          <w:rFonts w:ascii="Tahoma" w:hAnsi="Tahoma" w:cs="Tahoma"/>
          <w:b/>
          <w:sz w:val="22"/>
          <w:szCs w:val="22"/>
        </w:rPr>
        <w:t xml:space="preserve">για την απασχόληση </w:t>
      </w:r>
      <w:r>
        <w:rPr>
          <w:rFonts w:ascii="Tahoma" w:hAnsi="Tahoma" w:cs="Tahoma"/>
          <w:b/>
          <w:sz w:val="22"/>
          <w:szCs w:val="22"/>
        </w:rPr>
        <w:t>το πρώτο διάστημα του 2012 κερδίζουν έδαφος σε σχέση με τα ιστορικά δυσμενή επίπεδα του περασμένου φθινοπώρου, αν και παραμένουν έντονα απαισιόδοξες</w:t>
      </w:r>
      <w:r w:rsidRPr="00E6073B">
        <w:rPr>
          <w:rFonts w:ascii="Tahoma" w:hAnsi="Tahoma" w:cs="Tahoma"/>
          <w:b/>
          <w:sz w:val="22"/>
          <w:szCs w:val="22"/>
        </w:rPr>
        <w:t>.</w:t>
      </w:r>
      <w:r>
        <w:rPr>
          <w:rFonts w:ascii="Tahoma" w:hAnsi="Tahoma" w:cs="Tahoma"/>
          <w:b/>
          <w:sz w:val="22"/>
          <w:szCs w:val="22"/>
        </w:rPr>
        <w:t xml:space="preserve"> </w:t>
      </w:r>
      <w:r w:rsidRPr="00B14890">
        <w:rPr>
          <w:rFonts w:ascii="Tahoma" w:hAnsi="Tahoma" w:cs="Tahoma"/>
          <w:sz w:val="22"/>
          <w:szCs w:val="22"/>
        </w:rPr>
        <w:t>Τ</w:t>
      </w:r>
      <w:r w:rsidRPr="00E6073B">
        <w:rPr>
          <w:rFonts w:ascii="Tahoma" w:hAnsi="Tahoma" w:cs="Tahoma"/>
          <w:sz w:val="22"/>
          <w:szCs w:val="22"/>
        </w:rPr>
        <w:t xml:space="preserve">ο σχετικό αρνητικό ισοζύγιο διαμορφώνεται </w:t>
      </w:r>
      <w:r>
        <w:rPr>
          <w:rFonts w:ascii="Tahoma" w:hAnsi="Tahoma" w:cs="Tahoma"/>
          <w:sz w:val="22"/>
          <w:szCs w:val="22"/>
        </w:rPr>
        <w:t xml:space="preserve">έτσι </w:t>
      </w:r>
      <w:r w:rsidRPr="00E6073B">
        <w:rPr>
          <w:rFonts w:ascii="Tahoma" w:hAnsi="Tahoma" w:cs="Tahoma"/>
          <w:sz w:val="22"/>
          <w:szCs w:val="22"/>
        </w:rPr>
        <w:t>στις -22 μονάδες, από -29 το τελευταίο τρίμηνο του 2011 και -24 κατά μέσο όρο την ίδια περσινή περίοδο. Από τις</w:t>
      </w:r>
      <w:r>
        <w:rPr>
          <w:rFonts w:ascii="Tahoma" w:hAnsi="Tahoma" w:cs="Tahoma"/>
          <w:sz w:val="22"/>
          <w:szCs w:val="22"/>
        </w:rPr>
        <w:t xml:space="preserve"> επιχειρήσεις του τομέα, τρεις στις 10 αναμένουν περαιτέρω πτώση της απασχόλησης το επόμενο διάστημα, με το ποσοστό εκείνων που προβλέπουν άνοδο να παραμένει χαμηλά, στο 9% (από 5% το προηγούμενο τρίμηνο).</w:t>
      </w:r>
      <w:r w:rsidRPr="00C2007D">
        <w:rPr>
          <w:rFonts w:ascii="Tahoma" w:hAnsi="Tahoma" w:cs="Tahoma"/>
          <w:sz w:val="22"/>
          <w:szCs w:val="22"/>
        </w:rPr>
        <w:t xml:space="preserve"> </w:t>
      </w:r>
      <w:r>
        <w:rPr>
          <w:rFonts w:ascii="Tahoma" w:hAnsi="Tahoma" w:cs="Tahoma"/>
          <w:sz w:val="22"/>
          <w:szCs w:val="22"/>
        </w:rPr>
        <w:t xml:space="preserve">Σε </w:t>
      </w:r>
      <w:r w:rsidRPr="00C17408">
        <w:rPr>
          <w:rFonts w:ascii="Tahoma" w:hAnsi="Tahoma" w:cs="Tahoma"/>
          <w:sz w:val="22"/>
          <w:szCs w:val="22"/>
        </w:rPr>
        <w:t>επιμέρους κλάδους</w:t>
      </w:r>
      <w:r w:rsidRPr="00F748BF">
        <w:rPr>
          <w:rFonts w:ascii="Tahoma" w:hAnsi="Tahoma" w:cs="Tahoma"/>
          <w:sz w:val="22"/>
          <w:szCs w:val="22"/>
        </w:rPr>
        <w:t>,</w:t>
      </w:r>
      <w:r>
        <w:rPr>
          <w:rFonts w:ascii="Tahoma" w:hAnsi="Tahoma" w:cs="Tahoma"/>
          <w:sz w:val="22"/>
          <w:szCs w:val="22"/>
        </w:rPr>
        <w:t xml:space="preserve"> οι σχετικές προβλέψεις το συγκεκριμένο διάστημα εμφανίζονται λιγότερο δυσμενείς στην Πληροφορική, στους Ενδιάμεσους</w:t>
      </w:r>
      <w:r w:rsidRPr="007F4BB9">
        <w:rPr>
          <w:rFonts w:ascii="Tahoma" w:hAnsi="Tahoma" w:cs="Tahoma"/>
          <w:sz w:val="22"/>
          <w:szCs w:val="22"/>
        </w:rPr>
        <w:t xml:space="preserve"> Χρηματοπιστωτικο</w:t>
      </w:r>
      <w:r>
        <w:rPr>
          <w:rFonts w:ascii="Tahoma" w:hAnsi="Tahoma" w:cs="Tahoma"/>
          <w:sz w:val="22"/>
          <w:szCs w:val="22"/>
        </w:rPr>
        <w:t>ύς Οργανισμούς</w:t>
      </w:r>
      <w:r w:rsidRPr="007F4BB9">
        <w:rPr>
          <w:rFonts w:ascii="Tahoma" w:hAnsi="Tahoma" w:cs="Tahoma"/>
          <w:sz w:val="22"/>
          <w:szCs w:val="22"/>
        </w:rPr>
        <w:t xml:space="preserve"> </w:t>
      </w:r>
      <w:r>
        <w:rPr>
          <w:rFonts w:ascii="Tahoma" w:hAnsi="Tahoma" w:cs="Tahoma"/>
          <w:sz w:val="22"/>
          <w:szCs w:val="22"/>
        </w:rPr>
        <w:t xml:space="preserve">και στις </w:t>
      </w:r>
      <w:r w:rsidRPr="00AB4E04">
        <w:rPr>
          <w:rFonts w:ascii="Tahoma" w:hAnsi="Tahoma" w:cs="Tahoma"/>
          <w:sz w:val="22"/>
          <w:szCs w:val="22"/>
        </w:rPr>
        <w:t>Διάφορες</w:t>
      </w:r>
      <w:r>
        <w:rPr>
          <w:rFonts w:ascii="Tahoma" w:hAnsi="Tahoma" w:cs="Tahoma"/>
          <w:sz w:val="22"/>
          <w:szCs w:val="22"/>
        </w:rPr>
        <w:t xml:space="preserve"> επιχειρηματικές δραστηριότητες. Από την άλλη πλευρά, οι δυσμενέστερες επιδόσεις σημειώνονται στα </w:t>
      </w:r>
      <w:r w:rsidRPr="00F97BA9">
        <w:rPr>
          <w:rFonts w:ascii="Tahoma" w:hAnsi="Tahoma" w:cs="Tahoma"/>
          <w:sz w:val="22"/>
          <w:szCs w:val="22"/>
        </w:rPr>
        <w:t xml:space="preserve">Ξενοδοχεία </w:t>
      </w:r>
      <w:r>
        <w:rPr>
          <w:rFonts w:ascii="Tahoma" w:hAnsi="Tahoma" w:cs="Tahoma"/>
          <w:sz w:val="22"/>
          <w:szCs w:val="22"/>
        </w:rPr>
        <w:t xml:space="preserve">- </w:t>
      </w:r>
      <w:r w:rsidRPr="00F97BA9">
        <w:rPr>
          <w:rFonts w:ascii="Tahoma" w:hAnsi="Tahoma" w:cs="Tahoma"/>
          <w:sz w:val="22"/>
          <w:szCs w:val="22"/>
        </w:rPr>
        <w:t>Εστιατόρια</w:t>
      </w:r>
      <w:r>
        <w:rPr>
          <w:rFonts w:ascii="Tahoma" w:hAnsi="Tahoma" w:cs="Tahoma"/>
          <w:sz w:val="22"/>
          <w:szCs w:val="22"/>
        </w:rPr>
        <w:t xml:space="preserve"> και τα Τουριστικά Πρακτορεία.</w:t>
      </w:r>
    </w:p>
    <w:p w:rsidR="00A550B2" w:rsidRPr="0069710F" w:rsidRDefault="00BA1B31" w:rsidP="009F120C">
      <w:pPr>
        <w:spacing w:before="240" w:after="240" w:line="312" w:lineRule="auto"/>
        <w:ind w:right="-57"/>
        <w:jc w:val="both"/>
        <w:rPr>
          <w:rFonts w:ascii="Tahoma" w:hAnsi="Tahoma" w:cs="Tahoma"/>
          <w:sz w:val="22"/>
          <w:szCs w:val="22"/>
        </w:rPr>
      </w:pPr>
      <w:r>
        <w:rPr>
          <w:rFonts w:ascii="Tahoma" w:hAnsi="Tahoma" w:cs="Tahoma"/>
          <w:sz w:val="22"/>
          <w:szCs w:val="22"/>
        </w:rPr>
        <w:br w:type="column"/>
      </w:r>
      <w:r w:rsidR="00EA2458">
        <w:rPr>
          <w:rFonts w:ascii="Tahoma" w:hAnsi="Tahoma" w:cs="Tahoma"/>
          <w:b/>
          <w:sz w:val="22"/>
          <w:szCs w:val="22"/>
        </w:rPr>
        <w:lastRenderedPageBreak/>
        <w:t xml:space="preserve">Μεγάλη πτώση καταγράφουν στο συγκεκριμένο δίμηνο </w:t>
      </w:r>
      <w:r w:rsidR="00EA2458" w:rsidRPr="004806C9">
        <w:rPr>
          <w:rFonts w:ascii="Tahoma" w:hAnsi="Tahoma" w:cs="Tahoma"/>
          <w:b/>
          <w:sz w:val="22"/>
          <w:szCs w:val="22"/>
        </w:rPr>
        <w:t xml:space="preserve">σε σχέση με </w:t>
      </w:r>
      <w:r w:rsidR="00EA2458">
        <w:rPr>
          <w:rFonts w:ascii="Tahoma" w:hAnsi="Tahoma" w:cs="Tahoma"/>
          <w:b/>
          <w:sz w:val="22"/>
          <w:szCs w:val="22"/>
        </w:rPr>
        <w:t xml:space="preserve">το αμέσως προηγούμενο </w:t>
      </w:r>
      <w:r w:rsidR="00EA2458" w:rsidRPr="004806C9">
        <w:rPr>
          <w:rFonts w:ascii="Tahoma" w:hAnsi="Tahoma" w:cs="Tahoma"/>
          <w:b/>
          <w:sz w:val="22"/>
          <w:szCs w:val="22"/>
        </w:rPr>
        <w:t xml:space="preserve">οι </w:t>
      </w:r>
      <w:r w:rsidR="00EA2458">
        <w:rPr>
          <w:rFonts w:ascii="Tahoma" w:hAnsi="Tahoma" w:cs="Tahoma"/>
          <w:b/>
          <w:sz w:val="22"/>
          <w:szCs w:val="22"/>
        </w:rPr>
        <w:t>προσδοκίες</w:t>
      </w:r>
      <w:r w:rsidR="00EA2458" w:rsidRPr="004806C9">
        <w:rPr>
          <w:rFonts w:ascii="Tahoma" w:hAnsi="Tahoma" w:cs="Tahoma"/>
          <w:b/>
          <w:sz w:val="22"/>
          <w:szCs w:val="22"/>
        </w:rPr>
        <w:t xml:space="preserve"> για την απασχόληση στο Λιανικό Εμπό</w:t>
      </w:r>
      <w:r w:rsidR="00EA2458">
        <w:rPr>
          <w:rFonts w:ascii="Tahoma" w:hAnsi="Tahoma" w:cs="Tahoma"/>
          <w:b/>
          <w:sz w:val="22"/>
          <w:szCs w:val="22"/>
        </w:rPr>
        <w:t>ριο</w:t>
      </w:r>
      <w:r w:rsidR="00EA2458">
        <w:rPr>
          <w:rFonts w:ascii="Tahoma" w:hAnsi="Tahoma" w:cs="Tahoma"/>
          <w:sz w:val="22"/>
          <w:szCs w:val="22"/>
        </w:rPr>
        <w:t>, με το σχετικό δείκτη να περιορίζεται σημαντικά από τον Δεκέμβριο και μετά, ενώ ειδικά τον Ιανουάριο να καταγράφει χαμηλό ρεκόρ.</w:t>
      </w:r>
    </w:p>
    <w:p w:rsidR="00EA2458" w:rsidRDefault="00EA2458" w:rsidP="009F120C">
      <w:pPr>
        <w:spacing w:before="240" w:after="240" w:line="312" w:lineRule="auto"/>
        <w:ind w:right="57"/>
        <w:jc w:val="both"/>
        <w:rPr>
          <w:rFonts w:ascii="Tahoma" w:hAnsi="Tahoma" w:cs="Tahoma"/>
          <w:sz w:val="22"/>
          <w:szCs w:val="22"/>
        </w:rPr>
      </w:pPr>
      <w:r>
        <w:rPr>
          <w:rFonts w:ascii="Tahoma" w:hAnsi="Tahoma" w:cs="Tahoma"/>
          <w:sz w:val="22"/>
          <w:szCs w:val="22"/>
        </w:rPr>
        <w:t xml:space="preserve">Έτσι, το σχετικό ισοζύγιο διαμορφώνεται κατά μέσο όρο σε ιστορικά </w:t>
      </w:r>
      <w:r w:rsidR="00A550B2">
        <w:rPr>
          <w:rFonts w:ascii="Tahoma" w:hAnsi="Tahoma" w:cs="Tahoma"/>
          <w:sz w:val="22"/>
          <w:szCs w:val="22"/>
        </w:rPr>
        <w:t xml:space="preserve">χαμηλό </w:t>
      </w:r>
      <w:r>
        <w:rPr>
          <w:rFonts w:ascii="Tahoma" w:hAnsi="Tahoma" w:cs="Tahoma"/>
          <w:sz w:val="22"/>
          <w:szCs w:val="22"/>
        </w:rPr>
        <w:t xml:space="preserve">επίπεδα το υπό εξέταση δίμηνο, </w:t>
      </w:r>
      <w:r w:rsidRPr="00890EB0">
        <w:rPr>
          <w:rFonts w:ascii="Tahoma" w:hAnsi="Tahoma" w:cs="Tahoma"/>
          <w:sz w:val="22"/>
          <w:szCs w:val="22"/>
        </w:rPr>
        <w:t>στις</w:t>
      </w:r>
      <w:r>
        <w:rPr>
          <w:rFonts w:ascii="Tahoma" w:hAnsi="Tahoma" w:cs="Tahoma"/>
          <w:sz w:val="22"/>
          <w:szCs w:val="22"/>
        </w:rPr>
        <w:t xml:space="preserve"> -57 μονάδες (από -24 μονάδες το τελευταίο τρίμηνο του 2011 και -5 στην αντίστοιχη περσινή περίοδο). </w:t>
      </w:r>
    </w:p>
    <w:p w:rsidR="00EA2458" w:rsidRDefault="00EA2458" w:rsidP="009F120C">
      <w:pPr>
        <w:tabs>
          <w:tab w:val="left" w:pos="-7371"/>
        </w:tabs>
        <w:spacing w:before="240" w:after="240" w:line="312" w:lineRule="auto"/>
        <w:ind w:right="57"/>
        <w:jc w:val="both"/>
        <w:rPr>
          <w:rFonts w:ascii="Tahoma" w:hAnsi="Tahoma" w:cs="Tahoma"/>
          <w:sz w:val="22"/>
          <w:szCs w:val="22"/>
        </w:rPr>
      </w:pPr>
      <w:r>
        <w:rPr>
          <w:rFonts w:ascii="Tahoma" w:hAnsi="Tahoma" w:cs="Tahoma"/>
          <w:sz w:val="22"/>
          <w:szCs w:val="22"/>
        </w:rPr>
        <w:t xml:space="preserve">Σχεδόν τα 3/5 των επιχειρήσεων του τομέα (από 32% το προηγούμενο τρίμηνο) αναμένουν </w:t>
      </w:r>
      <w:r w:rsidRPr="00890EB0">
        <w:rPr>
          <w:rFonts w:ascii="Tahoma" w:hAnsi="Tahoma" w:cs="Tahoma"/>
          <w:sz w:val="22"/>
          <w:szCs w:val="22"/>
        </w:rPr>
        <w:t xml:space="preserve">συρρίκνωση των θέσεων εργασίας </w:t>
      </w:r>
      <w:r>
        <w:rPr>
          <w:rFonts w:ascii="Tahoma" w:hAnsi="Tahoma" w:cs="Tahoma"/>
          <w:sz w:val="22"/>
          <w:szCs w:val="22"/>
        </w:rPr>
        <w:t xml:space="preserve">και μόλις το 1% (από 8%) προσδοκά </w:t>
      </w:r>
      <w:r w:rsidRPr="00890EB0">
        <w:rPr>
          <w:rFonts w:ascii="Tahoma" w:hAnsi="Tahoma" w:cs="Tahoma"/>
          <w:sz w:val="22"/>
          <w:szCs w:val="22"/>
        </w:rPr>
        <w:t>άνοδο</w:t>
      </w:r>
      <w:r w:rsidRPr="00D22AFC">
        <w:rPr>
          <w:rFonts w:ascii="Tahoma" w:hAnsi="Tahoma" w:cs="Tahoma"/>
          <w:sz w:val="22"/>
          <w:szCs w:val="22"/>
        </w:rPr>
        <w:t xml:space="preserve"> </w:t>
      </w:r>
      <w:r>
        <w:rPr>
          <w:rFonts w:ascii="Tahoma" w:hAnsi="Tahoma" w:cs="Tahoma"/>
          <w:sz w:val="22"/>
          <w:szCs w:val="22"/>
        </w:rPr>
        <w:t>βραχυπρόθεσμα. Α</w:t>
      </w:r>
      <w:r w:rsidRPr="00890EB0">
        <w:rPr>
          <w:rFonts w:ascii="Tahoma" w:hAnsi="Tahoma" w:cs="Tahoma"/>
          <w:sz w:val="22"/>
          <w:szCs w:val="22"/>
        </w:rPr>
        <w:t>πό</w:t>
      </w:r>
      <w:r>
        <w:rPr>
          <w:rFonts w:ascii="Tahoma" w:hAnsi="Tahoma" w:cs="Tahoma"/>
          <w:sz w:val="22"/>
          <w:szCs w:val="22"/>
        </w:rPr>
        <w:t xml:space="preserve"> </w:t>
      </w:r>
      <w:r w:rsidRPr="00890EB0">
        <w:rPr>
          <w:rFonts w:ascii="Tahoma" w:hAnsi="Tahoma" w:cs="Tahoma"/>
          <w:sz w:val="22"/>
          <w:szCs w:val="22"/>
        </w:rPr>
        <w:t xml:space="preserve">τους επιμέρους τομείς, </w:t>
      </w:r>
      <w:r>
        <w:rPr>
          <w:rFonts w:ascii="Tahoma" w:hAnsi="Tahoma" w:cs="Tahoma"/>
          <w:sz w:val="22"/>
          <w:szCs w:val="22"/>
        </w:rPr>
        <w:t>πολύ δυσοίωνη είναι η εικόνα της απασχόλησης</w:t>
      </w:r>
      <w:r w:rsidRPr="00890EB0">
        <w:rPr>
          <w:rFonts w:ascii="Tahoma" w:hAnsi="Tahoma" w:cs="Tahoma"/>
          <w:sz w:val="22"/>
          <w:szCs w:val="22"/>
        </w:rPr>
        <w:t xml:space="preserve"> στα </w:t>
      </w:r>
      <w:r w:rsidRPr="008B6CD7">
        <w:rPr>
          <w:rFonts w:ascii="Tahoma" w:hAnsi="Tahoma" w:cs="Tahoma"/>
          <w:sz w:val="22"/>
          <w:szCs w:val="22"/>
        </w:rPr>
        <w:t>Υφάσματα</w:t>
      </w:r>
      <w:r>
        <w:rPr>
          <w:rFonts w:ascii="Tahoma" w:hAnsi="Tahoma" w:cs="Tahoma"/>
          <w:sz w:val="22"/>
          <w:szCs w:val="22"/>
        </w:rPr>
        <w:t xml:space="preserve"> </w:t>
      </w:r>
      <w:r w:rsidRPr="008B6CD7">
        <w:rPr>
          <w:rFonts w:ascii="Tahoma" w:hAnsi="Tahoma" w:cs="Tahoma"/>
          <w:sz w:val="22"/>
          <w:szCs w:val="22"/>
        </w:rPr>
        <w:t>-</w:t>
      </w:r>
      <w:r>
        <w:rPr>
          <w:rFonts w:ascii="Tahoma" w:hAnsi="Tahoma" w:cs="Tahoma"/>
          <w:sz w:val="22"/>
          <w:szCs w:val="22"/>
        </w:rPr>
        <w:t xml:space="preserve"> Ένδυση-Υπόδηση, τα </w:t>
      </w:r>
      <w:r w:rsidRPr="00B11CF5">
        <w:rPr>
          <w:rFonts w:ascii="Tahoma" w:hAnsi="Tahoma" w:cs="Tahoma"/>
          <w:sz w:val="22"/>
          <w:szCs w:val="22"/>
        </w:rPr>
        <w:t xml:space="preserve">Είδη οικιακού εξοπλισμού </w:t>
      </w:r>
      <w:r>
        <w:rPr>
          <w:rFonts w:ascii="Tahoma" w:hAnsi="Tahoma" w:cs="Tahoma"/>
          <w:sz w:val="22"/>
          <w:szCs w:val="22"/>
        </w:rPr>
        <w:t xml:space="preserve">και τα </w:t>
      </w:r>
      <w:r w:rsidRPr="004F11B3">
        <w:rPr>
          <w:rFonts w:ascii="Tahoma" w:hAnsi="Tahoma" w:cs="Tahoma"/>
          <w:sz w:val="22"/>
          <w:szCs w:val="22"/>
        </w:rPr>
        <w:t>Οχήματα &amp; Ανταλλακτικά</w:t>
      </w:r>
      <w:r>
        <w:rPr>
          <w:rFonts w:ascii="Tahoma" w:hAnsi="Tahoma" w:cs="Tahoma"/>
          <w:sz w:val="22"/>
          <w:szCs w:val="22"/>
        </w:rPr>
        <w:t>, με τα ποσοστά των επιχειρήσεων που αναμένουν μείωση των θέσεων εργασίας στους κλάδους αυτούς να κυμαίνονται μεταξύ 70-80%.</w:t>
      </w:r>
      <w:r w:rsidRPr="004F11B3">
        <w:rPr>
          <w:rFonts w:ascii="Tahoma" w:hAnsi="Tahoma" w:cs="Tahoma"/>
          <w:sz w:val="22"/>
          <w:szCs w:val="22"/>
        </w:rPr>
        <w:t xml:space="preserve"> </w:t>
      </w:r>
      <w:r>
        <w:rPr>
          <w:rFonts w:ascii="Tahoma" w:hAnsi="Tahoma" w:cs="Tahoma"/>
          <w:sz w:val="22"/>
          <w:szCs w:val="22"/>
        </w:rPr>
        <w:t xml:space="preserve">Κατακόρυφη είναι όμως και η πτώση στο σχετικό δείκτη στα </w:t>
      </w:r>
      <w:r w:rsidRPr="00890EB0">
        <w:rPr>
          <w:rFonts w:ascii="Tahoma" w:hAnsi="Tahoma" w:cs="Tahoma"/>
          <w:sz w:val="22"/>
          <w:szCs w:val="22"/>
        </w:rPr>
        <w:t>Τρόφιμα – Ποτά – Καπνός</w:t>
      </w:r>
      <w:r>
        <w:rPr>
          <w:rFonts w:ascii="Tahoma" w:hAnsi="Tahoma" w:cs="Tahoma"/>
          <w:sz w:val="22"/>
          <w:szCs w:val="22"/>
        </w:rPr>
        <w:t>, ο οποίος διαμορφώνεται στις -52 μονάδες (από +3) και ηπιότερη στα Πολυκαταστήματα (στις -16 από -2</w:t>
      </w:r>
      <w:r w:rsidRPr="00957F7B">
        <w:rPr>
          <w:rFonts w:ascii="Tahoma" w:hAnsi="Tahoma" w:cs="Tahoma"/>
          <w:sz w:val="22"/>
          <w:szCs w:val="22"/>
        </w:rPr>
        <w:t xml:space="preserve"> </w:t>
      </w:r>
      <w:r>
        <w:rPr>
          <w:rFonts w:ascii="Tahoma" w:hAnsi="Tahoma" w:cs="Tahoma"/>
          <w:sz w:val="22"/>
          <w:szCs w:val="22"/>
        </w:rPr>
        <w:t>μονάδες).</w:t>
      </w:r>
    </w:p>
    <w:p w:rsidR="00295EC3" w:rsidRDefault="00295EC3" w:rsidP="00AE1766">
      <w:pPr>
        <w:spacing w:before="240" w:after="240" w:line="312" w:lineRule="auto"/>
        <w:jc w:val="both"/>
        <w:rPr>
          <w:rFonts w:ascii="Tahoma" w:hAnsi="Tahoma" w:cs="Tahoma"/>
          <w:sz w:val="22"/>
          <w:szCs w:val="22"/>
        </w:rPr>
        <w:sectPr w:rsidR="00295EC3" w:rsidSect="00814436">
          <w:type w:val="continuous"/>
          <w:pgSz w:w="11906" w:h="16838"/>
          <w:pgMar w:top="1440" w:right="849" w:bottom="1440" w:left="1560" w:header="708" w:footer="708" w:gutter="0"/>
          <w:cols w:num="2" w:space="709"/>
          <w:docGrid w:linePitch="360"/>
        </w:sectPr>
      </w:pPr>
    </w:p>
    <w:p w:rsidR="00EA2458" w:rsidRPr="0091514A" w:rsidRDefault="00FB2EFC" w:rsidP="00AE1766">
      <w:pPr>
        <w:pStyle w:val="new4"/>
        <w:spacing w:before="120" w:after="120" w:line="240" w:lineRule="auto"/>
        <w:outlineLvl w:val="0"/>
      </w:pPr>
      <w:r>
        <w:lastRenderedPageBreak/>
        <w:t>Διάγραμμα 3.11</w:t>
      </w:r>
    </w:p>
    <w:p w:rsidR="00EA2458" w:rsidRDefault="00EA2458" w:rsidP="00EA2458">
      <w:pPr>
        <w:pStyle w:val="new4"/>
        <w:spacing w:before="120" w:after="120" w:line="240" w:lineRule="auto"/>
        <w:rPr>
          <w:b w:val="0"/>
          <w:bCs w:val="0"/>
          <w:color w:val="000000"/>
        </w:rPr>
      </w:pPr>
      <w:r w:rsidRPr="004222BE">
        <w:rPr>
          <w:b w:val="0"/>
          <w:bCs w:val="0"/>
          <w:color w:val="000000"/>
        </w:rPr>
        <w:t>Προβλέψεις για την απασχόληση (διαφορά θετικών – αρνητικών απαντήσεων)</w:t>
      </w:r>
    </w:p>
    <w:tbl>
      <w:tblPr>
        <w:tblW w:w="9188" w:type="dxa"/>
        <w:jc w:val="center"/>
        <w:tblInd w:w="46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4652"/>
        <w:gridCol w:w="4536"/>
      </w:tblGrid>
      <w:tr w:rsidR="00EA2458" w:rsidRPr="0016452E" w:rsidTr="00AE1766">
        <w:trPr>
          <w:trHeight w:val="5100"/>
          <w:jc w:val="center"/>
        </w:trPr>
        <w:tc>
          <w:tcPr>
            <w:tcW w:w="4652" w:type="dxa"/>
          </w:tcPr>
          <w:p w:rsidR="00EA2458" w:rsidRPr="00E25B4E" w:rsidRDefault="00EA2458" w:rsidP="00AE1766">
            <w:pPr>
              <w:spacing w:before="240" w:after="240" w:line="312" w:lineRule="auto"/>
              <w:jc w:val="center"/>
              <w:rPr>
                <w:rFonts w:ascii="Tahoma" w:hAnsi="Tahoma" w:cs="Tahoma"/>
                <w:b/>
              </w:rPr>
            </w:pPr>
            <w:r w:rsidRPr="00E25B4E">
              <w:rPr>
                <w:rFonts w:ascii="Tahoma" w:hAnsi="Tahoma" w:cs="Tahoma"/>
                <w:b/>
              </w:rPr>
              <w:t>Βιομηχανία</w:t>
            </w:r>
          </w:p>
          <w:p w:rsidR="00EA2458" w:rsidRPr="00C5466C" w:rsidRDefault="00EA2458" w:rsidP="00AE1766">
            <w:pPr>
              <w:spacing w:before="240" w:after="240" w:line="312" w:lineRule="auto"/>
              <w:jc w:val="both"/>
              <w:rPr>
                <w:rFonts w:ascii="Tahoma" w:hAnsi="Tahoma" w:cs="Tahoma"/>
                <w:b/>
                <w:noProof/>
              </w:rPr>
            </w:pPr>
            <w:r>
              <w:rPr>
                <w:rFonts w:ascii="Tahoma" w:hAnsi="Tahoma" w:cs="Tahoma"/>
                <w:b/>
                <w:noProof/>
                <w:lang w:val="en-US" w:eastAsia="en-US"/>
              </w:rPr>
              <w:drawing>
                <wp:inline distT="0" distB="0" distL="0" distR="0">
                  <wp:extent cx="2819400" cy="2571750"/>
                  <wp:effectExtent l="0" t="0" r="0" b="0"/>
                  <wp:docPr id="45"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srcRect/>
                          <a:stretch>
                            <a:fillRect/>
                          </a:stretch>
                        </pic:blipFill>
                        <pic:spPr bwMode="auto">
                          <a:xfrm>
                            <a:off x="0" y="0"/>
                            <a:ext cx="2819400" cy="2571750"/>
                          </a:xfrm>
                          <a:prstGeom prst="rect">
                            <a:avLst/>
                          </a:prstGeom>
                          <a:noFill/>
                          <a:ln w="9525">
                            <a:noFill/>
                            <a:miter lim="800000"/>
                            <a:headEnd/>
                            <a:tailEnd/>
                          </a:ln>
                        </pic:spPr>
                      </pic:pic>
                    </a:graphicData>
                  </a:graphic>
                </wp:inline>
              </w:drawing>
            </w:r>
          </w:p>
        </w:tc>
        <w:tc>
          <w:tcPr>
            <w:tcW w:w="4536" w:type="dxa"/>
          </w:tcPr>
          <w:p w:rsidR="00EA2458" w:rsidRPr="00E25B4E" w:rsidRDefault="00EA2458" w:rsidP="00AE1766">
            <w:pPr>
              <w:spacing w:before="240" w:after="240" w:line="312" w:lineRule="auto"/>
              <w:jc w:val="center"/>
              <w:rPr>
                <w:rFonts w:ascii="Tahoma" w:hAnsi="Tahoma" w:cs="Tahoma"/>
                <w:b/>
              </w:rPr>
            </w:pPr>
            <w:r w:rsidRPr="00E25B4E">
              <w:rPr>
                <w:rFonts w:ascii="Tahoma" w:hAnsi="Tahoma" w:cs="Tahoma"/>
                <w:b/>
              </w:rPr>
              <w:t>Κατασκευές</w:t>
            </w:r>
          </w:p>
          <w:p w:rsidR="00EA2458" w:rsidRPr="00C5466C" w:rsidRDefault="00EA2458" w:rsidP="00AE1766">
            <w:pPr>
              <w:spacing w:before="240" w:after="240" w:line="312" w:lineRule="auto"/>
              <w:jc w:val="both"/>
              <w:rPr>
                <w:rFonts w:ascii="Tahoma" w:hAnsi="Tahoma" w:cs="Tahoma"/>
                <w:b/>
                <w:noProof/>
              </w:rPr>
            </w:pPr>
            <w:r>
              <w:rPr>
                <w:rFonts w:ascii="Tahoma" w:hAnsi="Tahoma" w:cs="Tahoma"/>
                <w:b/>
                <w:noProof/>
                <w:lang w:val="en-US" w:eastAsia="en-US"/>
              </w:rPr>
              <w:drawing>
                <wp:inline distT="0" distB="0" distL="0" distR="0">
                  <wp:extent cx="2743200" cy="2505075"/>
                  <wp:effectExtent l="0" t="0" r="0" b="0"/>
                  <wp:docPr id="4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srcRect/>
                          <a:stretch>
                            <a:fillRect/>
                          </a:stretch>
                        </pic:blipFill>
                        <pic:spPr bwMode="auto">
                          <a:xfrm>
                            <a:off x="0" y="0"/>
                            <a:ext cx="2743200" cy="2505075"/>
                          </a:xfrm>
                          <a:prstGeom prst="rect">
                            <a:avLst/>
                          </a:prstGeom>
                          <a:noFill/>
                          <a:ln w="9525">
                            <a:noFill/>
                            <a:miter lim="800000"/>
                            <a:headEnd/>
                            <a:tailEnd/>
                          </a:ln>
                        </pic:spPr>
                      </pic:pic>
                    </a:graphicData>
                  </a:graphic>
                </wp:inline>
              </w:drawing>
            </w:r>
          </w:p>
        </w:tc>
      </w:tr>
      <w:tr w:rsidR="00EA2458" w:rsidRPr="0016452E" w:rsidTr="00AE1766">
        <w:trPr>
          <w:trHeight w:val="4076"/>
          <w:jc w:val="center"/>
        </w:trPr>
        <w:tc>
          <w:tcPr>
            <w:tcW w:w="4652" w:type="dxa"/>
          </w:tcPr>
          <w:p w:rsidR="00EA2458" w:rsidRPr="00E25B4E" w:rsidRDefault="00EA2458" w:rsidP="00AE1766">
            <w:pPr>
              <w:tabs>
                <w:tab w:val="left" w:pos="4814"/>
              </w:tabs>
              <w:spacing w:before="240" w:after="240" w:line="312" w:lineRule="auto"/>
              <w:jc w:val="center"/>
              <w:rPr>
                <w:rFonts w:ascii="Tahoma" w:hAnsi="Tahoma" w:cs="Tahoma"/>
                <w:b/>
              </w:rPr>
            </w:pPr>
            <w:r w:rsidRPr="00E25B4E">
              <w:rPr>
                <w:rFonts w:ascii="Tahoma" w:hAnsi="Tahoma" w:cs="Tahoma"/>
                <w:b/>
              </w:rPr>
              <w:t>Λιανικό Εμπόριο</w:t>
            </w:r>
          </w:p>
          <w:p w:rsidR="00EA2458" w:rsidRPr="00C5466C" w:rsidRDefault="00EA2458" w:rsidP="00AE1766">
            <w:pPr>
              <w:spacing w:before="240" w:after="240" w:line="312" w:lineRule="auto"/>
              <w:jc w:val="both"/>
              <w:rPr>
                <w:rFonts w:ascii="Tahoma" w:hAnsi="Tahoma" w:cs="Tahoma"/>
                <w:b/>
                <w:noProof/>
              </w:rPr>
            </w:pPr>
            <w:r>
              <w:rPr>
                <w:rFonts w:ascii="Tahoma" w:hAnsi="Tahoma" w:cs="Tahoma"/>
                <w:b/>
                <w:noProof/>
                <w:lang w:val="en-US" w:eastAsia="en-US"/>
              </w:rPr>
              <w:drawing>
                <wp:inline distT="0" distB="0" distL="0" distR="0">
                  <wp:extent cx="2819400" cy="2571750"/>
                  <wp:effectExtent l="0" t="0" r="0" b="0"/>
                  <wp:docPr id="43"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srcRect/>
                          <a:stretch>
                            <a:fillRect/>
                          </a:stretch>
                        </pic:blipFill>
                        <pic:spPr bwMode="auto">
                          <a:xfrm>
                            <a:off x="0" y="0"/>
                            <a:ext cx="2819400" cy="2571750"/>
                          </a:xfrm>
                          <a:prstGeom prst="rect">
                            <a:avLst/>
                          </a:prstGeom>
                          <a:noFill/>
                          <a:ln w="9525">
                            <a:noFill/>
                            <a:miter lim="800000"/>
                            <a:headEnd/>
                            <a:tailEnd/>
                          </a:ln>
                        </pic:spPr>
                      </pic:pic>
                    </a:graphicData>
                  </a:graphic>
                </wp:inline>
              </w:drawing>
            </w:r>
          </w:p>
        </w:tc>
        <w:tc>
          <w:tcPr>
            <w:tcW w:w="4536" w:type="dxa"/>
          </w:tcPr>
          <w:p w:rsidR="00EA2458" w:rsidRPr="00E25B4E" w:rsidRDefault="00EA2458" w:rsidP="00AE1766">
            <w:pPr>
              <w:spacing w:before="240" w:after="240" w:line="312" w:lineRule="auto"/>
              <w:jc w:val="center"/>
              <w:rPr>
                <w:rFonts w:ascii="Tahoma" w:hAnsi="Tahoma" w:cs="Tahoma"/>
                <w:b/>
              </w:rPr>
            </w:pPr>
            <w:r w:rsidRPr="00E25B4E">
              <w:rPr>
                <w:rFonts w:ascii="Tahoma" w:hAnsi="Tahoma" w:cs="Tahoma"/>
                <w:b/>
              </w:rPr>
              <w:t>Υπηρεσίες</w:t>
            </w:r>
          </w:p>
          <w:p w:rsidR="00EA2458" w:rsidRPr="00C5466C" w:rsidRDefault="00EA2458" w:rsidP="00AE1766">
            <w:pPr>
              <w:spacing w:before="240" w:after="240" w:line="312" w:lineRule="auto"/>
              <w:jc w:val="both"/>
              <w:rPr>
                <w:rFonts w:ascii="Tahoma" w:hAnsi="Tahoma" w:cs="Tahoma"/>
                <w:b/>
                <w:noProof/>
              </w:rPr>
            </w:pPr>
            <w:r>
              <w:rPr>
                <w:rFonts w:ascii="Tahoma" w:hAnsi="Tahoma" w:cs="Tahoma"/>
                <w:b/>
                <w:noProof/>
                <w:lang w:val="en-US" w:eastAsia="en-US"/>
              </w:rPr>
              <w:drawing>
                <wp:inline distT="0" distB="0" distL="0" distR="0">
                  <wp:extent cx="2743200" cy="2505075"/>
                  <wp:effectExtent l="0" t="0" r="0" b="0"/>
                  <wp:docPr id="42"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srcRect/>
                          <a:stretch>
                            <a:fillRect/>
                          </a:stretch>
                        </pic:blipFill>
                        <pic:spPr bwMode="auto">
                          <a:xfrm>
                            <a:off x="0" y="0"/>
                            <a:ext cx="2743200" cy="2505075"/>
                          </a:xfrm>
                          <a:prstGeom prst="rect">
                            <a:avLst/>
                          </a:prstGeom>
                          <a:noFill/>
                          <a:ln w="9525">
                            <a:noFill/>
                            <a:miter lim="800000"/>
                            <a:headEnd/>
                            <a:tailEnd/>
                          </a:ln>
                        </pic:spPr>
                      </pic:pic>
                    </a:graphicData>
                  </a:graphic>
                </wp:inline>
              </w:drawing>
            </w:r>
          </w:p>
        </w:tc>
      </w:tr>
    </w:tbl>
    <w:p w:rsidR="00EA2458" w:rsidRPr="00AE1766" w:rsidRDefault="00EA2458" w:rsidP="00EA2458">
      <w:pPr>
        <w:spacing w:after="240"/>
        <w:rPr>
          <w:sz w:val="18"/>
        </w:rPr>
      </w:pPr>
      <w:r w:rsidRPr="00AE1766">
        <w:rPr>
          <w:rFonts w:ascii="Tahoma" w:hAnsi="Tahoma" w:cs="Tahoma"/>
          <w:b/>
          <w:sz w:val="16"/>
          <w:szCs w:val="16"/>
        </w:rPr>
        <w:t>Πηγή</w:t>
      </w:r>
      <w:r w:rsidRPr="00AE1766">
        <w:rPr>
          <w:rFonts w:ascii="Tahoma" w:hAnsi="Tahoma" w:cs="Tahoma"/>
          <w:sz w:val="16"/>
          <w:szCs w:val="16"/>
        </w:rPr>
        <w:t xml:space="preserve">: </w:t>
      </w:r>
      <w:r w:rsidRPr="00AE1766">
        <w:rPr>
          <w:rFonts w:ascii="Tahoma" w:hAnsi="Tahoma" w:cs="Tahoma"/>
          <w:sz w:val="16"/>
          <w:szCs w:val="16"/>
          <w:lang w:val="en-US"/>
        </w:rPr>
        <w:t>IOBE</w:t>
      </w:r>
    </w:p>
    <w:p w:rsidR="00AE1766" w:rsidRDefault="00AE1766" w:rsidP="0076390A">
      <w:pPr>
        <w:pStyle w:val="new3"/>
        <w:spacing w:before="240" w:line="312" w:lineRule="auto"/>
        <w:ind w:left="0" w:firstLine="0"/>
        <w:jc w:val="both"/>
        <w:outlineLvl w:val="1"/>
        <w:sectPr w:rsidR="00AE1766" w:rsidSect="00AE1766">
          <w:pgSz w:w="11906" w:h="16838"/>
          <w:pgMar w:top="1440" w:right="849" w:bottom="1440" w:left="1560" w:header="708" w:footer="708" w:gutter="0"/>
          <w:cols w:space="720"/>
          <w:docGrid w:linePitch="360"/>
        </w:sectPr>
      </w:pPr>
    </w:p>
    <w:p w:rsidR="0076390A" w:rsidRPr="00814225" w:rsidRDefault="0076390A" w:rsidP="003133F2">
      <w:pPr>
        <w:pStyle w:val="new3"/>
        <w:spacing w:before="240" w:line="312" w:lineRule="auto"/>
        <w:ind w:left="0" w:firstLine="0"/>
        <w:jc w:val="both"/>
        <w:outlineLvl w:val="1"/>
      </w:pPr>
      <w:bookmarkStart w:id="199" w:name="_Toc320872887"/>
      <w:r w:rsidRPr="0076390A">
        <w:lastRenderedPageBreak/>
        <w:t>3.5</w:t>
      </w:r>
      <w:r>
        <w:rPr>
          <w:b w:val="0"/>
        </w:rPr>
        <w:t xml:space="preserve"> </w:t>
      </w:r>
      <w:r w:rsidRPr="00814225">
        <w:t>Τιμές Καταναλωτή</w:t>
      </w:r>
      <w:bookmarkEnd w:id="183"/>
      <w:bookmarkEnd w:id="199"/>
    </w:p>
    <w:p w:rsidR="00EA2458" w:rsidRPr="001218C3" w:rsidRDefault="00393238" w:rsidP="003133F2">
      <w:pPr>
        <w:pStyle w:val="new2"/>
        <w:spacing w:before="240" w:line="312" w:lineRule="auto"/>
        <w:rPr>
          <w:rFonts w:cs="Tahoma"/>
        </w:rPr>
      </w:pPr>
      <w:bookmarkStart w:id="200" w:name="_Toc265593837"/>
      <w:bookmarkStart w:id="201" w:name="_Toc265759431"/>
      <w:bookmarkStart w:id="202" w:name="_Toc289262467"/>
      <w:bookmarkStart w:id="203" w:name="_Toc320872888"/>
      <w:r>
        <w:rPr>
          <w:rFonts w:cs="Tahoma"/>
        </w:rPr>
        <w:t>Π</w:t>
      </w:r>
      <w:r w:rsidR="00EA2458">
        <w:rPr>
          <w:rFonts w:cs="Tahoma"/>
        </w:rPr>
        <w:t>ρόσφατες εξελίξεις</w:t>
      </w:r>
      <w:bookmarkEnd w:id="200"/>
      <w:bookmarkEnd w:id="201"/>
      <w:bookmarkEnd w:id="202"/>
      <w:bookmarkEnd w:id="203"/>
      <w:r w:rsidR="00EA2458">
        <w:rPr>
          <w:rFonts w:cs="Tahoma"/>
        </w:rPr>
        <w:t xml:space="preserve"> </w:t>
      </w:r>
    </w:p>
    <w:p w:rsidR="00EA2458" w:rsidRDefault="00EA2458" w:rsidP="003133F2">
      <w:pPr>
        <w:spacing w:before="240" w:after="240" w:line="312" w:lineRule="auto"/>
        <w:jc w:val="both"/>
        <w:rPr>
          <w:rFonts w:ascii="Tahoma" w:hAnsi="Tahoma" w:cs="Tahoma"/>
          <w:sz w:val="22"/>
          <w:szCs w:val="22"/>
        </w:rPr>
      </w:pPr>
      <w:bookmarkStart w:id="204" w:name="_Toc185675159"/>
      <w:r>
        <w:rPr>
          <w:rFonts w:ascii="Tahoma" w:hAnsi="Tahoma" w:cs="Tahoma"/>
          <w:sz w:val="22"/>
          <w:szCs w:val="22"/>
        </w:rPr>
        <w:t>Το 2011 σημειώθηκαν για δεύτερο συνεχή χρόνο σημαντικές αυξήσεις της έμμεσης φορολογίας στο πλαίσιο της προσπάθειας μείωσης του δημοσιονομικού ελλείμματος, μικρότερης έκτασης από ότι το 2010, γεγονός ωστόσο με αυξητική επίδραση στον ΓΔΤΚ. Από την άλλη πλευρά, η σημαντική εξασθένιση της αγοραστικής δύναμης, λόγω της μείωσης των μισθών και των συντάξεων, της διεύρυνσης της άμεσης φορολογίας (μείωση αφορολόγητου ορίου εισοδήματος, εισφορά κοινωνικής αλληλεγγύης) και της απότομης ανόδου της ανεργίας, λειτούργησε ανασταλτικά σε εντονότερη αύξηση του επιπέδου των τιμών. Έτσι, το μέσο επίπεδο του πληθωρισμού στην Ελλάδα το 2011 διαμορφώθηκε στο 3,3%, σημειώνοντας πτώση κατά 1,4 εκατοστιαίες μονάδες σε σχέση με το 2010. Η πτωτική πορεία του πληθωρισμού συνεχίζεται και στις αρχές του 2012, με αποτέλεσμα το δίμηνο Ιανουαρίου-Φεβρουαρίου να βρίσκεται στο 2,2%, έναντι 4,8% την αντ</w:t>
      </w:r>
      <w:r w:rsidR="00FB2EFC">
        <w:rPr>
          <w:rFonts w:ascii="Tahoma" w:hAnsi="Tahoma" w:cs="Tahoma"/>
          <w:sz w:val="22"/>
          <w:szCs w:val="22"/>
        </w:rPr>
        <w:t>ίστοιχη περίοδο του 2011.</w:t>
      </w:r>
    </w:p>
    <w:p w:rsidR="00EA2458" w:rsidRDefault="00EA2458" w:rsidP="009F120C">
      <w:pPr>
        <w:tabs>
          <w:tab w:val="left" w:pos="-8789"/>
          <w:tab w:val="left" w:pos="-7655"/>
        </w:tabs>
        <w:spacing w:before="240" w:after="240" w:line="312" w:lineRule="auto"/>
        <w:ind w:right="142"/>
        <w:jc w:val="both"/>
        <w:rPr>
          <w:rFonts w:ascii="Tahoma" w:hAnsi="Tahoma" w:cs="Tahoma"/>
          <w:sz w:val="22"/>
          <w:szCs w:val="22"/>
        </w:rPr>
      </w:pPr>
      <w:r>
        <w:rPr>
          <w:rFonts w:ascii="Tahoma" w:hAnsi="Tahoma" w:cs="Tahoma"/>
          <w:sz w:val="22"/>
          <w:szCs w:val="22"/>
        </w:rPr>
        <w:t xml:space="preserve">Αυτή η επιβράδυνση ερμηνεύεται σε σημαντικό βαθμό από την ηπιότερη αύξηση που προκαλούν στον ΓΔΤΚ συγκεκριμένες κατηγορίες αγαθών συγκριτικά με το ίδιο χρονικό διάστημα πέρυσι. Έτσι, οι αυξήσεις των τιμών στα τσιγάρα, τον ηλεκτρισμό, το πετρέλαιο θέρμανσης, αλλά </w:t>
      </w:r>
      <w:r w:rsidR="00A95F16">
        <w:rPr>
          <w:rFonts w:ascii="Tahoma" w:hAnsi="Tahoma" w:cs="Tahoma"/>
          <w:sz w:val="22"/>
          <w:szCs w:val="22"/>
        </w:rPr>
        <w:t>και</w:t>
      </w:r>
      <w:r>
        <w:rPr>
          <w:rFonts w:ascii="Tahoma" w:hAnsi="Tahoma" w:cs="Tahoma"/>
          <w:sz w:val="22"/>
          <w:szCs w:val="22"/>
        </w:rPr>
        <w:t xml:space="preserve"> συνολικά </w:t>
      </w:r>
      <w:r w:rsidR="00A95F16">
        <w:rPr>
          <w:rFonts w:ascii="Tahoma" w:hAnsi="Tahoma" w:cs="Tahoma"/>
          <w:sz w:val="22"/>
          <w:szCs w:val="22"/>
        </w:rPr>
        <w:t>σ</w:t>
      </w:r>
      <w:r>
        <w:rPr>
          <w:rFonts w:ascii="Tahoma" w:hAnsi="Tahoma" w:cs="Tahoma"/>
          <w:sz w:val="22"/>
          <w:szCs w:val="22"/>
        </w:rPr>
        <w:t xml:space="preserve">τα καύσιμα το πρώτο δίμηνο του 2012 άσκησαν υποδιπλάσια αρνητική επίδραση στον ΓΔΤΚ (1,6 εκατοστιαίες μονάδες) από αυτή στο αντίστοιχο χρονικό διάστημα του 2011. Η συγκεκριμένη εξέλιξη αποτυπώνεται και στη μεταβολή των δεικτών τιμών Καυσίμων και </w:t>
      </w:r>
      <w:r>
        <w:rPr>
          <w:rFonts w:ascii="Tahoma" w:hAnsi="Tahoma" w:cs="Tahoma"/>
          <w:sz w:val="22"/>
          <w:szCs w:val="22"/>
        </w:rPr>
        <w:lastRenderedPageBreak/>
        <w:t xml:space="preserve">Ενέργειας, οι οποίοι καταγράφουν άνοδο κατά 13% το α’ δίμηνο του 2012 (έναντι 34% και 29% αντίστοιχα πέρυσι), ως συνέπεια της υψηλής βάσης σύγκρισης που έχει δημιουργηθεί το 2011. </w:t>
      </w:r>
    </w:p>
    <w:p w:rsidR="00EA2458" w:rsidRPr="00F45389" w:rsidRDefault="00EA2458" w:rsidP="00D8122A">
      <w:pPr>
        <w:pStyle w:val="new4"/>
        <w:spacing w:before="120" w:after="120" w:line="240" w:lineRule="auto"/>
        <w:ind w:right="284"/>
        <w:rPr>
          <w:szCs w:val="22"/>
        </w:rPr>
      </w:pPr>
      <w:r>
        <w:rPr>
          <w:szCs w:val="22"/>
        </w:rPr>
        <w:t xml:space="preserve">Διάγραμμα </w:t>
      </w:r>
      <w:r w:rsidR="00FB2EFC">
        <w:rPr>
          <w:szCs w:val="22"/>
        </w:rPr>
        <w:t>3.12</w:t>
      </w:r>
    </w:p>
    <w:p w:rsidR="00EA2458" w:rsidRPr="00213EA5" w:rsidRDefault="00EA2458" w:rsidP="00D8122A">
      <w:pPr>
        <w:pStyle w:val="new4"/>
        <w:spacing w:after="0" w:line="240" w:lineRule="auto"/>
        <w:ind w:right="284"/>
        <w:rPr>
          <w:rFonts w:cs="Tahoma"/>
          <w:b w:val="0"/>
        </w:rPr>
      </w:pPr>
      <w:bookmarkStart w:id="205" w:name="_Toc210206168"/>
      <w:bookmarkStart w:id="206" w:name="_Toc210206864"/>
      <w:bookmarkStart w:id="207" w:name="_Toc210207779"/>
      <w:bookmarkStart w:id="208" w:name="_Toc230757372"/>
      <w:r>
        <w:rPr>
          <w:rFonts w:cs="Tahoma"/>
          <w:b w:val="0"/>
        </w:rPr>
        <w:t>Συμβολή</w:t>
      </w:r>
      <w:r w:rsidRPr="00213EA5">
        <w:rPr>
          <w:rFonts w:cs="Tahoma"/>
          <w:b w:val="0"/>
        </w:rPr>
        <w:t xml:space="preserve"> </w:t>
      </w:r>
      <w:r>
        <w:rPr>
          <w:rFonts w:cs="Tahoma"/>
          <w:b w:val="0"/>
        </w:rPr>
        <w:t>των</w:t>
      </w:r>
      <w:r w:rsidRPr="00213EA5">
        <w:rPr>
          <w:rFonts w:cs="Tahoma"/>
          <w:b w:val="0"/>
        </w:rPr>
        <w:t xml:space="preserve"> </w:t>
      </w:r>
      <w:r>
        <w:rPr>
          <w:rFonts w:cs="Tahoma"/>
          <w:b w:val="0"/>
        </w:rPr>
        <w:t>Καυσίμων</w:t>
      </w:r>
      <w:r w:rsidRPr="00213EA5">
        <w:rPr>
          <w:rFonts w:cs="Tahoma"/>
          <w:b w:val="0"/>
        </w:rPr>
        <w:t xml:space="preserve"> </w:t>
      </w:r>
      <w:r>
        <w:rPr>
          <w:rFonts w:cs="Tahoma"/>
          <w:b w:val="0"/>
        </w:rPr>
        <w:t>στη</w:t>
      </w:r>
      <w:r w:rsidRPr="00213EA5">
        <w:rPr>
          <w:rFonts w:cs="Tahoma"/>
          <w:b w:val="0"/>
        </w:rPr>
        <w:t xml:space="preserve"> </w:t>
      </w:r>
      <w:r>
        <w:rPr>
          <w:rFonts w:cs="Tahoma"/>
          <w:b w:val="0"/>
        </w:rPr>
        <w:t>διαμόρφωση</w:t>
      </w:r>
      <w:r w:rsidRPr="00213EA5">
        <w:rPr>
          <w:rFonts w:cs="Tahoma"/>
          <w:b w:val="0"/>
        </w:rPr>
        <w:t xml:space="preserve"> </w:t>
      </w:r>
      <w:r>
        <w:rPr>
          <w:rFonts w:cs="Tahoma"/>
          <w:b w:val="0"/>
        </w:rPr>
        <w:t>του</w:t>
      </w:r>
      <w:r w:rsidRPr="00213EA5">
        <w:rPr>
          <w:rFonts w:cs="Tahoma"/>
          <w:b w:val="0"/>
        </w:rPr>
        <w:t xml:space="preserve"> </w:t>
      </w:r>
      <w:bookmarkStart w:id="209" w:name="_Toc158997850"/>
      <w:bookmarkStart w:id="210" w:name="_Toc159135560"/>
      <w:bookmarkStart w:id="211" w:name="_Toc159143404"/>
      <w:bookmarkStart w:id="212" w:name="_Toc185675155"/>
      <w:bookmarkStart w:id="213" w:name="_Toc202325402"/>
      <w:bookmarkStart w:id="214" w:name="_Toc202325793"/>
      <w:r>
        <w:rPr>
          <w:rFonts w:cs="Tahoma"/>
          <w:b w:val="0"/>
        </w:rPr>
        <w:t>ΓΔΤΚ</w:t>
      </w:r>
      <w:r w:rsidRPr="00213EA5">
        <w:rPr>
          <w:rFonts w:cs="Tahoma"/>
          <w:b w:val="0"/>
        </w:rPr>
        <w:t xml:space="preserve"> (</w:t>
      </w:r>
      <w:r>
        <w:rPr>
          <w:rFonts w:cs="Tahoma"/>
          <w:b w:val="0"/>
        </w:rPr>
        <w:t>ετήσιες ποσοστιαίες μεταβολές</w:t>
      </w:r>
      <w:r w:rsidRPr="00213EA5">
        <w:rPr>
          <w:rFonts w:cs="Tahoma"/>
          <w:b w:val="0"/>
        </w:rPr>
        <w:t>)</w:t>
      </w:r>
      <w:bookmarkEnd w:id="205"/>
      <w:bookmarkEnd w:id="206"/>
      <w:bookmarkEnd w:id="207"/>
      <w:bookmarkEnd w:id="208"/>
      <w:bookmarkEnd w:id="209"/>
      <w:bookmarkEnd w:id="210"/>
      <w:bookmarkEnd w:id="211"/>
      <w:bookmarkEnd w:id="212"/>
      <w:bookmarkEnd w:id="213"/>
      <w:bookmarkEnd w:id="214"/>
    </w:p>
    <w:p w:rsidR="00EA2458" w:rsidRPr="0091303F" w:rsidRDefault="00EA2458" w:rsidP="00D8122A">
      <w:pPr>
        <w:ind w:right="284" w:hanging="180"/>
        <w:jc w:val="both"/>
      </w:pPr>
      <w:r>
        <w:rPr>
          <w:noProof/>
          <w:lang w:val="en-US" w:eastAsia="en-US"/>
        </w:rPr>
        <w:drawing>
          <wp:inline distT="0" distB="0" distL="0" distR="0">
            <wp:extent cx="2734981" cy="2343150"/>
            <wp:effectExtent l="0" t="0" r="0" b="0"/>
            <wp:docPr id="261" name="Εικόνα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 cstate="print"/>
                    <a:srcRect/>
                    <a:stretch>
                      <a:fillRect/>
                    </a:stretch>
                  </pic:blipFill>
                  <pic:spPr bwMode="auto">
                    <a:xfrm>
                      <a:off x="0" y="0"/>
                      <a:ext cx="2734981" cy="2343150"/>
                    </a:xfrm>
                    <a:prstGeom prst="rect">
                      <a:avLst/>
                    </a:prstGeom>
                    <a:noFill/>
                    <a:ln w="9525">
                      <a:noFill/>
                      <a:miter lim="800000"/>
                      <a:headEnd/>
                      <a:tailEnd/>
                    </a:ln>
                  </pic:spPr>
                </pic:pic>
              </a:graphicData>
            </a:graphic>
          </wp:inline>
        </w:drawing>
      </w:r>
    </w:p>
    <w:p w:rsidR="00EA2458" w:rsidRDefault="00EA2458" w:rsidP="00D8122A">
      <w:pPr>
        <w:spacing w:before="120" w:after="120" w:line="312" w:lineRule="auto"/>
        <w:ind w:right="284"/>
        <w:jc w:val="both"/>
        <w:rPr>
          <w:rFonts w:ascii="Tahoma" w:hAnsi="Tahoma" w:cs="Tahoma"/>
          <w:sz w:val="22"/>
          <w:szCs w:val="22"/>
        </w:rPr>
      </w:pPr>
      <w:r w:rsidRPr="00CE6A6D">
        <w:rPr>
          <w:rFonts w:ascii="Tahoma" w:hAnsi="Tahoma" w:cs="Tahoma"/>
          <w:b/>
          <w:sz w:val="16"/>
          <w:szCs w:val="16"/>
        </w:rPr>
        <w:t>Πηγ</w:t>
      </w:r>
      <w:r w:rsidRPr="00516373">
        <w:rPr>
          <w:rFonts w:ascii="Tahoma" w:hAnsi="Tahoma" w:cs="Tahoma"/>
          <w:b/>
          <w:sz w:val="16"/>
          <w:szCs w:val="16"/>
        </w:rPr>
        <w:t>ή:</w:t>
      </w:r>
      <w:r>
        <w:rPr>
          <w:rFonts w:ascii="Tahoma" w:hAnsi="Tahoma" w:cs="Tahoma"/>
          <w:sz w:val="16"/>
          <w:szCs w:val="16"/>
        </w:rPr>
        <w:t xml:space="preserve"> ΕΛΣΤΑΤ </w:t>
      </w:r>
      <w:r w:rsidRPr="009D48AA">
        <w:rPr>
          <w:rFonts w:ascii="Tahoma" w:hAnsi="Tahoma" w:cs="Tahoma"/>
          <w:b/>
          <w:sz w:val="16"/>
          <w:szCs w:val="16"/>
        </w:rPr>
        <w:t>Επεξεργασί</w:t>
      </w:r>
      <w:r w:rsidRPr="00516373">
        <w:rPr>
          <w:rFonts w:ascii="Tahoma" w:hAnsi="Tahoma" w:cs="Tahoma"/>
          <w:b/>
          <w:sz w:val="16"/>
          <w:szCs w:val="16"/>
        </w:rPr>
        <w:t>α:</w:t>
      </w:r>
      <w:r w:rsidRPr="00CE6A6D">
        <w:rPr>
          <w:rFonts w:ascii="Tahoma" w:hAnsi="Tahoma" w:cs="Tahoma"/>
          <w:sz w:val="16"/>
          <w:szCs w:val="16"/>
        </w:rPr>
        <w:t xml:space="preserve"> ΙΟΒΕ</w:t>
      </w:r>
    </w:p>
    <w:p w:rsidR="00A747F6" w:rsidRDefault="00EA2458" w:rsidP="009F120C">
      <w:pPr>
        <w:autoSpaceDE w:val="0"/>
        <w:autoSpaceDN w:val="0"/>
        <w:adjustRightInd w:val="0"/>
        <w:spacing w:before="120" w:after="120" w:line="312" w:lineRule="auto"/>
        <w:ind w:right="142"/>
        <w:jc w:val="both"/>
        <w:rPr>
          <w:rFonts w:ascii="Tahoma" w:hAnsi="Tahoma" w:cs="Tahoma"/>
          <w:sz w:val="22"/>
          <w:szCs w:val="22"/>
        </w:rPr>
      </w:pPr>
      <w:r>
        <w:rPr>
          <w:rFonts w:ascii="Tahoma" w:hAnsi="Tahoma" w:cs="Tahoma"/>
          <w:sz w:val="22"/>
          <w:szCs w:val="22"/>
        </w:rPr>
        <w:t>Γενικότερα, οι περιορισμένες σε σχέση με πέρυσι π</w:t>
      </w:r>
      <w:r w:rsidRPr="00615F65">
        <w:rPr>
          <w:rFonts w:ascii="Tahoma" w:hAnsi="Tahoma" w:cs="Tahoma"/>
          <w:sz w:val="22"/>
          <w:szCs w:val="22"/>
        </w:rPr>
        <w:t xml:space="preserve">ληθωριστικές δυνάμεις </w:t>
      </w:r>
      <w:r>
        <w:rPr>
          <w:rFonts w:ascii="Tahoma" w:hAnsi="Tahoma" w:cs="Tahoma"/>
          <w:sz w:val="22"/>
          <w:szCs w:val="22"/>
        </w:rPr>
        <w:t>που εκδηλώνονται στις αρχές του 2012, προέρχονται κυρίως</w:t>
      </w:r>
      <w:r w:rsidRPr="00615F65">
        <w:rPr>
          <w:rFonts w:ascii="Tahoma" w:hAnsi="Tahoma" w:cs="Tahoma"/>
          <w:sz w:val="22"/>
          <w:szCs w:val="22"/>
        </w:rPr>
        <w:t xml:space="preserve"> από την πλευρά των αγαθών,</w:t>
      </w:r>
      <w:r>
        <w:rPr>
          <w:rFonts w:ascii="Tahoma" w:hAnsi="Tahoma" w:cs="Tahoma"/>
          <w:sz w:val="22"/>
          <w:szCs w:val="22"/>
        </w:rPr>
        <w:t xml:space="preserve"> με</w:t>
      </w:r>
      <w:r w:rsidRPr="00615F65">
        <w:rPr>
          <w:rFonts w:ascii="Tahoma" w:hAnsi="Tahoma" w:cs="Tahoma"/>
          <w:sz w:val="22"/>
          <w:szCs w:val="22"/>
        </w:rPr>
        <w:t xml:space="preserve"> </w:t>
      </w:r>
      <w:r>
        <w:rPr>
          <w:rFonts w:ascii="Tahoma" w:hAnsi="Tahoma" w:cs="Tahoma"/>
          <w:sz w:val="22"/>
          <w:szCs w:val="22"/>
        </w:rPr>
        <w:t>την αύξηση στο σχετικό δείκτη</w:t>
      </w:r>
      <w:r w:rsidRPr="00615F65">
        <w:rPr>
          <w:rFonts w:ascii="Tahoma" w:hAnsi="Tahoma" w:cs="Tahoma"/>
          <w:sz w:val="22"/>
          <w:szCs w:val="22"/>
        </w:rPr>
        <w:t xml:space="preserve"> </w:t>
      </w:r>
      <w:r>
        <w:rPr>
          <w:rFonts w:ascii="Tahoma" w:hAnsi="Tahoma" w:cs="Tahoma"/>
          <w:sz w:val="22"/>
          <w:szCs w:val="22"/>
        </w:rPr>
        <w:t>να</w:t>
      </w:r>
      <w:r w:rsidRPr="00615F65">
        <w:rPr>
          <w:rFonts w:ascii="Tahoma" w:hAnsi="Tahoma" w:cs="Tahoma"/>
          <w:sz w:val="22"/>
          <w:szCs w:val="22"/>
        </w:rPr>
        <w:t xml:space="preserve"> δι</w:t>
      </w:r>
      <w:r>
        <w:rPr>
          <w:rFonts w:ascii="Tahoma" w:hAnsi="Tahoma" w:cs="Tahoma"/>
          <w:sz w:val="22"/>
          <w:szCs w:val="22"/>
        </w:rPr>
        <w:t>αμορφώνεται στο 2,8% έναντι 5,7</w:t>
      </w:r>
      <w:r w:rsidRPr="00615F65">
        <w:rPr>
          <w:rFonts w:ascii="Tahoma" w:hAnsi="Tahoma" w:cs="Tahoma"/>
          <w:sz w:val="22"/>
          <w:szCs w:val="22"/>
        </w:rPr>
        <w:t>% πέρυσι</w:t>
      </w:r>
      <w:r>
        <w:rPr>
          <w:rFonts w:ascii="Tahoma" w:hAnsi="Tahoma" w:cs="Tahoma"/>
          <w:sz w:val="22"/>
          <w:szCs w:val="22"/>
        </w:rPr>
        <w:t xml:space="preserve">, ενώ ελαφρώς μικρότερη είναι η άνοδος στις τιμές των οπωροκηπευτικών (2,2% από 3% πέρυσι). Στις υπηρεσίες, ο ρυθμός ανόδου των τιμών κυμαίνεται στο μισό από εκείνον στο αντίστοιχο χρονικό διάστημα του 2011 (1,5%). </w:t>
      </w:r>
    </w:p>
    <w:p w:rsidR="009F120C" w:rsidRPr="0069710F" w:rsidRDefault="00A747F6" w:rsidP="009F120C">
      <w:pPr>
        <w:tabs>
          <w:tab w:val="left" w:pos="7655"/>
        </w:tabs>
        <w:autoSpaceDE w:val="0"/>
        <w:autoSpaceDN w:val="0"/>
        <w:adjustRightInd w:val="0"/>
        <w:spacing w:before="240" w:after="240" w:line="312" w:lineRule="auto"/>
        <w:ind w:right="142"/>
        <w:jc w:val="both"/>
        <w:rPr>
          <w:rFonts w:ascii="Tahoma" w:hAnsi="Tahoma" w:cs="Tahoma"/>
          <w:sz w:val="22"/>
          <w:szCs w:val="22"/>
        </w:rPr>
      </w:pPr>
      <w:r>
        <w:rPr>
          <w:rFonts w:ascii="Tahoma" w:hAnsi="Tahoma" w:cs="Tahoma"/>
          <w:sz w:val="22"/>
          <w:szCs w:val="22"/>
        </w:rPr>
        <w:t>Η υποχώρηση στις τιμές των υπηρεσιών αποτυπώνεται στην εξέλιξη του δομικού πληθωρισμού, ο οποίος κινείται σε χαμηλότερο επίπεδο από εκείνο του ΓΔΤΚ (από τις αρχές του 2010) και διαμορφώνεται στο 1,1%, από 2,5% στο πρώτο δίμηνο του 2011.</w:t>
      </w:r>
    </w:p>
    <w:p w:rsidR="00EA2458" w:rsidRPr="009F120C" w:rsidRDefault="009F120C" w:rsidP="009F120C">
      <w:pPr>
        <w:tabs>
          <w:tab w:val="left" w:pos="7655"/>
        </w:tabs>
        <w:autoSpaceDE w:val="0"/>
        <w:autoSpaceDN w:val="0"/>
        <w:adjustRightInd w:val="0"/>
        <w:spacing w:before="240" w:after="240" w:line="312" w:lineRule="auto"/>
        <w:ind w:right="142"/>
        <w:jc w:val="center"/>
        <w:rPr>
          <w:rFonts w:ascii="Tahoma" w:hAnsi="Tahoma" w:cs="Tahoma"/>
          <w:b/>
          <w:szCs w:val="22"/>
        </w:rPr>
      </w:pPr>
      <w:r>
        <w:rPr>
          <w:rFonts w:ascii="Tahoma" w:hAnsi="Tahoma" w:cs="Tahoma"/>
          <w:sz w:val="22"/>
          <w:szCs w:val="22"/>
        </w:rPr>
        <w:lastRenderedPageBreak/>
        <w:br w:type="column"/>
      </w:r>
      <w:r w:rsidR="00EA2458" w:rsidRPr="009F120C">
        <w:rPr>
          <w:rFonts w:ascii="Tahoma" w:hAnsi="Tahoma" w:cs="Tahoma"/>
          <w:b/>
          <w:szCs w:val="22"/>
        </w:rPr>
        <w:lastRenderedPageBreak/>
        <w:t xml:space="preserve">Διάγραμμα </w:t>
      </w:r>
      <w:r w:rsidR="00FB2EFC" w:rsidRPr="009F120C">
        <w:rPr>
          <w:rFonts w:ascii="Tahoma" w:hAnsi="Tahoma" w:cs="Tahoma"/>
          <w:b/>
          <w:szCs w:val="22"/>
        </w:rPr>
        <w:t>3.13</w:t>
      </w:r>
    </w:p>
    <w:p w:rsidR="00EA2458" w:rsidRPr="00CF2BC0" w:rsidRDefault="00EA2458" w:rsidP="003133F2">
      <w:pPr>
        <w:pStyle w:val="new4"/>
        <w:spacing w:after="0" w:line="240" w:lineRule="auto"/>
        <w:rPr>
          <w:b w:val="0"/>
          <w:szCs w:val="22"/>
        </w:rPr>
      </w:pPr>
      <w:bookmarkStart w:id="215" w:name="_Toc210206161"/>
      <w:bookmarkStart w:id="216" w:name="_Toc210206857"/>
      <w:bookmarkStart w:id="217" w:name="_Toc210207772"/>
      <w:bookmarkStart w:id="218" w:name="_Toc230757374"/>
      <w:r w:rsidRPr="00CF2BC0">
        <w:rPr>
          <w:b w:val="0"/>
          <w:szCs w:val="22"/>
        </w:rPr>
        <w:t xml:space="preserve">Εξέλιξη </w:t>
      </w:r>
      <w:bookmarkEnd w:id="215"/>
      <w:bookmarkEnd w:id="216"/>
      <w:bookmarkEnd w:id="217"/>
      <w:bookmarkEnd w:id="218"/>
      <w:r>
        <w:rPr>
          <w:b w:val="0"/>
          <w:szCs w:val="22"/>
        </w:rPr>
        <w:t>ΓΔΤΚ και επιπτώσεις από επιμέρους δείκτες</w:t>
      </w:r>
    </w:p>
    <w:p w:rsidR="00EA2458" w:rsidRPr="00CF2BC0" w:rsidRDefault="00EA2458" w:rsidP="003133F2">
      <w:pPr>
        <w:pStyle w:val="new4"/>
        <w:spacing w:after="0" w:line="240" w:lineRule="auto"/>
        <w:rPr>
          <w:b w:val="0"/>
          <w:szCs w:val="22"/>
        </w:rPr>
      </w:pPr>
      <w:bookmarkStart w:id="219" w:name="_Toc210206162"/>
      <w:bookmarkStart w:id="220" w:name="_Toc210206858"/>
      <w:bookmarkStart w:id="221" w:name="_Toc210207773"/>
      <w:bookmarkStart w:id="222" w:name="_Toc230757375"/>
      <w:r w:rsidRPr="00CF2BC0">
        <w:rPr>
          <w:b w:val="0"/>
          <w:szCs w:val="22"/>
        </w:rPr>
        <w:t>(ετήσιες ποσοστιαίες μεταβολές)</w:t>
      </w:r>
      <w:bookmarkEnd w:id="219"/>
      <w:bookmarkEnd w:id="220"/>
      <w:bookmarkEnd w:id="221"/>
      <w:bookmarkEnd w:id="222"/>
    </w:p>
    <w:p w:rsidR="00EA2458" w:rsidRPr="0091303F" w:rsidRDefault="00EA2458" w:rsidP="003133F2">
      <w:pPr>
        <w:pStyle w:val="new4"/>
        <w:spacing w:after="0" w:line="240" w:lineRule="auto"/>
        <w:ind w:hanging="180"/>
        <w:jc w:val="left"/>
        <w:rPr>
          <w:szCs w:val="22"/>
        </w:rPr>
      </w:pPr>
      <w:r>
        <w:rPr>
          <w:noProof/>
          <w:lang w:val="en-US" w:eastAsia="en-US"/>
        </w:rPr>
        <w:drawing>
          <wp:inline distT="0" distB="0" distL="0" distR="0">
            <wp:extent cx="3078094" cy="2867025"/>
            <wp:effectExtent l="0" t="0" r="0" b="0"/>
            <wp:docPr id="260"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7" cstate="print"/>
                    <a:srcRect/>
                    <a:stretch>
                      <a:fillRect/>
                    </a:stretch>
                  </pic:blipFill>
                  <pic:spPr bwMode="auto">
                    <a:xfrm>
                      <a:off x="0" y="0"/>
                      <a:ext cx="3078094" cy="2867025"/>
                    </a:xfrm>
                    <a:prstGeom prst="rect">
                      <a:avLst/>
                    </a:prstGeom>
                    <a:noFill/>
                    <a:ln w="9525">
                      <a:noFill/>
                      <a:miter lim="800000"/>
                      <a:headEnd/>
                      <a:tailEnd/>
                    </a:ln>
                  </pic:spPr>
                </pic:pic>
              </a:graphicData>
            </a:graphic>
          </wp:inline>
        </w:drawing>
      </w:r>
    </w:p>
    <w:p w:rsidR="00EA2458" w:rsidRPr="00CE6A6D" w:rsidRDefault="00EA2458" w:rsidP="003133F2">
      <w:pPr>
        <w:pStyle w:val="new4"/>
        <w:spacing w:after="0" w:line="240" w:lineRule="auto"/>
        <w:jc w:val="both"/>
        <w:rPr>
          <w:rFonts w:cs="Tahoma"/>
          <w:b w:val="0"/>
          <w:sz w:val="16"/>
          <w:szCs w:val="16"/>
        </w:rPr>
      </w:pPr>
      <w:bookmarkStart w:id="223" w:name="_Toc230757377"/>
      <w:r w:rsidRPr="00CE6A6D">
        <w:rPr>
          <w:sz w:val="16"/>
          <w:szCs w:val="16"/>
        </w:rPr>
        <w:t>Πηγή</w:t>
      </w:r>
      <w:r w:rsidRPr="00CE6A6D">
        <w:rPr>
          <w:b w:val="0"/>
          <w:sz w:val="16"/>
          <w:szCs w:val="16"/>
        </w:rPr>
        <w:t xml:space="preserve">: </w:t>
      </w:r>
      <w:bookmarkEnd w:id="223"/>
      <w:r>
        <w:rPr>
          <w:rFonts w:cs="Tahoma"/>
          <w:b w:val="0"/>
          <w:sz w:val="16"/>
          <w:szCs w:val="16"/>
        </w:rPr>
        <w:t xml:space="preserve">ΕΛΣΤΑΤ </w:t>
      </w:r>
      <w:r w:rsidRPr="009D48AA">
        <w:rPr>
          <w:rFonts w:cs="Tahoma"/>
          <w:sz w:val="16"/>
          <w:szCs w:val="16"/>
        </w:rPr>
        <w:t>Επεξεργασία</w:t>
      </w:r>
      <w:r>
        <w:rPr>
          <w:rFonts w:cs="Tahoma"/>
          <w:sz w:val="16"/>
          <w:szCs w:val="16"/>
        </w:rPr>
        <w:t>:</w:t>
      </w:r>
      <w:r w:rsidRPr="00CE6A6D">
        <w:rPr>
          <w:rFonts w:cs="Tahoma"/>
          <w:b w:val="0"/>
          <w:sz w:val="16"/>
          <w:szCs w:val="16"/>
        </w:rPr>
        <w:t xml:space="preserve"> ΙΟΒΕ</w:t>
      </w:r>
    </w:p>
    <w:p w:rsidR="00A747F6" w:rsidRDefault="00EA2458" w:rsidP="00A747F6">
      <w:pPr>
        <w:autoSpaceDE w:val="0"/>
        <w:autoSpaceDN w:val="0"/>
        <w:adjustRightInd w:val="0"/>
        <w:spacing w:before="120" w:after="120" w:line="312" w:lineRule="auto"/>
        <w:jc w:val="both"/>
        <w:rPr>
          <w:rFonts w:ascii="Tahoma" w:hAnsi="Tahoma" w:cs="Tahoma"/>
          <w:sz w:val="22"/>
          <w:szCs w:val="22"/>
        </w:rPr>
      </w:pPr>
      <w:r>
        <w:rPr>
          <w:rFonts w:ascii="Tahoma" w:hAnsi="Tahoma" w:cs="Tahoma"/>
          <w:sz w:val="22"/>
          <w:szCs w:val="22"/>
        </w:rPr>
        <w:t>Στις υπόλοιπες ομάδες</w:t>
      </w:r>
      <w:r w:rsidRPr="00592E68">
        <w:rPr>
          <w:rFonts w:ascii="Tahoma" w:hAnsi="Tahoma" w:cs="Tahoma"/>
          <w:sz w:val="22"/>
          <w:szCs w:val="22"/>
        </w:rPr>
        <w:t xml:space="preserve"> αγαθών και υπηρεσιών, </w:t>
      </w:r>
      <w:r>
        <w:rPr>
          <w:rFonts w:ascii="Tahoma" w:hAnsi="Tahoma" w:cs="Tahoma"/>
          <w:sz w:val="22"/>
          <w:szCs w:val="22"/>
        </w:rPr>
        <w:t>σημαντική είναι η αύξηση που</w:t>
      </w:r>
      <w:r w:rsidRPr="00592E68">
        <w:rPr>
          <w:rFonts w:ascii="Tahoma" w:hAnsi="Tahoma" w:cs="Tahoma"/>
          <w:sz w:val="22"/>
          <w:szCs w:val="22"/>
        </w:rPr>
        <w:t xml:space="preserve"> καταγράφεται </w:t>
      </w:r>
      <w:r>
        <w:rPr>
          <w:rFonts w:ascii="Tahoma" w:hAnsi="Tahoma" w:cs="Tahoma"/>
          <w:sz w:val="22"/>
          <w:szCs w:val="22"/>
        </w:rPr>
        <w:t>στη</w:t>
      </w:r>
      <w:r w:rsidRPr="00592E68">
        <w:rPr>
          <w:rFonts w:ascii="Tahoma" w:hAnsi="Tahoma" w:cs="Tahoma"/>
          <w:sz w:val="22"/>
          <w:szCs w:val="22"/>
        </w:rPr>
        <w:t xml:space="preserve"> Στέγαση</w:t>
      </w:r>
      <w:r>
        <w:rPr>
          <w:rFonts w:ascii="Tahoma" w:hAnsi="Tahoma" w:cs="Tahoma"/>
          <w:sz w:val="22"/>
          <w:szCs w:val="22"/>
        </w:rPr>
        <w:t>, που είναι μάλιστα μεγαλύτερη από εκείνη στην ίδια περίοδο του 2011 (8,3% έναντι 6,2% πέρυσι), όπως και στα Αλκοολούχα Ποτά (4%) και</w:t>
      </w:r>
      <w:r w:rsidRPr="00592E68">
        <w:rPr>
          <w:rFonts w:ascii="Tahoma" w:hAnsi="Tahoma" w:cs="Tahoma"/>
          <w:sz w:val="22"/>
          <w:szCs w:val="22"/>
        </w:rPr>
        <w:t xml:space="preserve"> στις Μεταφορές</w:t>
      </w:r>
      <w:r>
        <w:rPr>
          <w:rFonts w:ascii="Tahoma" w:hAnsi="Tahoma" w:cs="Tahoma"/>
          <w:sz w:val="22"/>
          <w:szCs w:val="22"/>
        </w:rPr>
        <w:t xml:space="preserve"> (3,1%). </w:t>
      </w:r>
      <w:r w:rsidRPr="00592E68">
        <w:rPr>
          <w:rFonts w:ascii="Tahoma" w:hAnsi="Tahoma" w:cs="Tahoma"/>
          <w:sz w:val="22"/>
          <w:szCs w:val="22"/>
        </w:rPr>
        <w:t xml:space="preserve">Στη Διατροφή και μη αλκοολούχα ποτά </w:t>
      </w:r>
      <w:r>
        <w:rPr>
          <w:rFonts w:ascii="Tahoma" w:hAnsi="Tahoma" w:cs="Tahoma"/>
          <w:sz w:val="22"/>
          <w:szCs w:val="22"/>
        </w:rPr>
        <w:t>η άνοδος είναι ελαφρώς μεγαλύτερη από την περσινή (2,6</w:t>
      </w:r>
      <w:r w:rsidRPr="00592E68">
        <w:rPr>
          <w:rFonts w:ascii="Tahoma" w:hAnsi="Tahoma" w:cs="Tahoma"/>
          <w:sz w:val="22"/>
          <w:szCs w:val="22"/>
        </w:rPr>
        <w:t>%</w:t>
      </w:r>
      <w:r w:rsidR="00A95F16">
        <w:rPr>
          <w:rFonts w:ascii="Tahoma" w:hAnsi="Tahoma" w:cs="Tahoma"/>
          <w:sz w:val="22"/>
          <w:szCs w:val="22"/>
        </w:rPr>
        <w:t>), ενώ παρόμοια</w:t>
      </w:r>
      <w:r>
        <w:rPr>
          <w:rFonts w:ascii="Tahoma" w:hAnsi="Tahoma" w:cs="Tahoma"/>
          <w:sz w:val="22"/>
          <w:szCs w:val="22"/>
        </w:rPr>
        <w:t xml:space="preserve"> τάση καταγράφεται στα Ξενοδοχεία</w:t>
      </w:r>
      <w:r w:rsidR="00A95F16">
        <w:rPr>
          <w:rFonts w:ascii="Tahoma" w:hAnsi="Tahoma" w:cs="Tahoma"/>
          <w:sz w:val="22"/>
          <w:szCs w:val="22"/>
        </w:rPr>
        <w:t xml:space="preserve"> </w:t>
      </w:r>
      <w:r>
        <w:rPr>
          <w:rFonts w:ascii="Tahoma" w:hAnsi="Tahoma" w:cs="Tahoma"/>
          <w:sz w:val="22"/>
          <w:szCs w:val="22"/>
        </w:rPr>
        <w:t>-</w:t>
      </w:r>
      <w:r w:rsidR="00A95F16">
        <w:rPr>
          <w:rFonts w:ascii="Tahoma" w:hAnsi="Tahoma" w:cs="Tahoma"/>
          <w:sz w:val="22"/>
          <w:szCs w:val="22"/>
        </w:rPr>
        <w:t xml:space="preserve"> </w:t>
      </w:r>
      <w:r>
        <w:rPr>
          <w:rFonts w:ascii="Tahoma" w:hAnsi="Tahoma" w:cs="Tahoma"/>
          <w:sz w:val="22"/>
          <w:szCs w:val="22"/>
        </w:rPr>
        <w:t>Καφέ-Εστιατόρια.</w:t>
      </w:r>
      <w:r w:rsidRPr="00A71A4B">
        <w:rPr>
          <w:rFonts w:ascii="Tahoma" w:hAnsi="Tahoma" w:cs="Tahoma"/>
          <w:sz w:val="22"/>
          <w:szCs w:val="22"/>
        </w:rPr>
        <w:t xml:space="preserve"> Αντιθέτως, μείωση </w:t>
      </w:r>
      <w:r>
        <w:rPr>
          <w:rFonts w:ascii="Tahoma" w:hAnsi="Tahoma" w:cs="Tahoma"/>
          <w:sz w:val="22"/>
          <w:szCs w:val="22"/>
        </w:rPr>
        <w:t>σημειώνεται</w:t>
      </w:r>
      <w:r w:rsidRPr="00A71A4B">
        <w:rPr>
          <w:rFonts w:ascii="Tahoma" w:hAnsi="Tahoma" w:cs="Tahoma"/>
          <w:sz w:val="22"/>
          <w:szCs w:val="22"/>
        </w:rPr>
        <w:t xml:space="preserve"> </w:t>
      </w:r>
      <w:r>
        <w:rPr>
          <w:rFonts w:ascii="Tahoma" w:hAnsi="Tahoma" w:cs="Tahoma"/>
          <w:sz w:val="22"/>
          <w:szCs w:val="22"/>
        </w:rPr>
        <w:t xml:space="preserve">στα Είδη-Υπηρεσίες νοικοκυριού (-1,9%), </w:t>
      </w:r>
      <w:r w:rsidRPr="00A71A4B">
        <w:rPr>
          <w:rFonts w:ascii="Tahoma" w:hAnsi="Tahoma" w:cs="Tahoma"/>
          <w:sz w:val="22"/>
          <w:szCs w:val="22"/>
        </w:rPr>
        <w:t>στην Υγεία</w:t>
      </w:r>
      <w:r>
        <w:rPr>
          <w:rFonts w:ascii="Tahoma" w:hAnsi="Tahoma" w:cs="Tahoma"/>
          <w:sz w:val="22"/>
          <w:szCs w:val="22"/>
        </w:rPr>
        <w:t xml:space="preserve"> και στις Επικοινωνίες</w:t>
      </w:r>
      <w:r w:rsidRPr="00A71A4B">
        <w:rPr>
          <w:rFonts w:ascii="Tahoma" w:hAnsi="Tahoma" w:cs="Tahoma"/>
          <w:sz w:val="22"/>
          <w:szCs w:val="22"/>
        </w:rPr>
        <w:t xml:space="preserve"> (-</w:t>
      </w:r>
      <w:r>
        <w:rPr>
          <w:rFonts w:ascii="Tahoma" w:hAnsi="Tahoma" w:cs="Tahoma"/>
          <w:sz w:val="22"/>
          <w:szCs w:val="22"/>
        </w:rPr>
        <w:t>1</w:t>
      </w:r>
      <w:r w:rsidRPr="00A71A4B">
        <w:rPr>
          <w:rFonts w:ascii="Tahoma" w:hAnsi="Tahoma" w:cs="Tahoma"/>
          <w:sz w:val="22"/>
          <w:szCs w:val="22"/>
        </w:rPr>
        <w:t>%</w:t>
      </w:r>
      <w:r>
        <w:rPr>
          <w:rFonts w:ascii="Tahoma" w:hAnsi="Tahoma" w:cs="Tahoma"/>
          <w:sz w:val="22"/>
          <w:szCs w:val="22"/>
        </w:rPr>
        <w:t xml:space="preserve"> σε αμφότερα</w:t>
      </w:r>
      <w:r w:rsidRPr="00A71A4B">
        <w:rPr>
          <w:rFonts w:ascii="Tahoma" w:hAnsi="Tahoma" w:cs="Tahoma"/>
          <w:sz w:val="22"/>
          <w:szCs w:val="22"/>
        </w:rPr>
        <w:t>)</w:t>
      </w:r>
      <w:r>
        <w:rPr>
          <w:rFonts w:ascii="Tahoma" w:hAnsi="Tahoma" w:cs="Tahoma"/>
          <w:sz w:val="22"/>
          <w:szCs w:val="22"/>
        </w:rPr>
        <w:t>, ενώ στην Ένδυση και Υπόδηση</w:t>
      </w:r>
      <w:r w:rsidRPr="00A71A4B">
        <w:rPr>
          <w:rFonts w:ascii="Tahoma" w:hAnsi="Tahoma" w:cs="Tahoma"/>
          <w:sz w:val="22"/>
          <w:szCs w:val="22"/>
        </w:rPr>
        <w:t xml:space="preserve"> </w:t>
      </w:r>
      <w:r>
        <w:rPr>
          <w:rFonts w:ascii="Tahoma" w:hAnsi="Tahoma" w:cs="Tahoma"/>
          <w:sz w:val="22"/>
          <w:szCs w:val="22"/>
        </w:rPr>
        <w:t xml:space="preserve">ο σχετικός δείκτης παραμένει αμετάβλητος, έπειτα από τη μεγάλη πτώση που σημείωσε στο αντίστοιχο χρονικό διάστημα πέρυσι </w:t>
      </w:r>
      <w:r w:rsidRPr="00A71A4B">
        <w:rPr>
          <w:rFonts w:ascii="Tahoma" w:hAnsi="Tahoma" w:cs="Tahoma"/>
          <w:sz w:val="22"/>
          <w:szCs w:val="22"/>
        </w:rPr>
        <w:t>(-</w:t>
      </w:r>
      <w:r>
        <w:rPr>
          <w:rFonts w:ascii="Tahoma" w:hAnsi="Tahoma" w:cs="Tahoma"/>
          <w:sz w:val="22"/>
          <w:szCs w:val="22"/>
        </w:rPr>
        <w:t>16,1</w:t>
      </w:r>
      <w:r w:rsidRPr="00A71A4B">
        <w:rPr>
          <w:rFonts w:ascii="Tahoma" w:hAnsi="Tahoma" w:cs="Tahoma"/>
          <w:sz w:val="22"/>
          <w:szCs w:val="22"/>
        </w:rPr>
        <w:t>%).</w:t>
      </w:r>
    </w:p>
    <w:p w:rsidR="00EA2458" w:rsidRPr="00A747F6" w:rsidRDefault="00A747F6" w:rsidP="00D8122A">
      <w:pPr>
        <w:autoSpaceDE w:val="0"/>
        <w:autoSpaceDN w:val="0"/>
        <w:adjustRightInd w:val="0"/>
        <w:spacing w:before="120" w:after="120" w:line="312" w:lineRule="auto"/>
        <w:ind w:right="284"/>
        <w:jc w:val="center"/>
        <w:rPr>
          <w:rFonts w:ascii="Tahoma" w:hAnsi="Tahoma"/>
          <w:b/>
          <w:bCs/>
          <w:szCs w:val="22"/>
        </w:rPr>
      </w:pPr>
      <w:r>
        <w:rPr>
          <w:rFonts w:ascii="Tahoma" w:hAnsi="Tahoma" w:cs="Tahoma"/>
          <w:sz w:val="22"/>
          <w:szCs w:val="22"/>
        </w:rPr>
        <w:br w:type="column"/>
      </w:r>
      <w:r w:rsidR="00EA2458" w:rsidRPr="00A747F6">
        <w:rPr>
          <w:rFonts w:ascii="Tahoma" w:hAnsi="Tahoma"/>
          <w:b/>
          <w:bCs/>
          <w:szCs w:val="22"/>
        </w:rPr>
        <w:lastRenderedPageBreak/>
        <w:t xml:space="preserve">Διάγραμμα </w:t>
      </w:r>
      <w:r w:rsidR="00FB2EFC" w:rsidRPr="00A747F6">
        <w:rPr>
          <w:rFonts w:ascii="Tahoma" w:hAnsi="Tahoma"/>
          <w:b/>
          <w:bCs/>
          <w:szCs w:val="22"/>
        </w:rPr>
        <w:t>3.14</w:t>
      </w:r>
    </w:p>
    <w:p w:rsidR="00EA2458" w:rsidRPr="00050D46" w:rsidRDefault="00EA2458" w:rsidP="00D8122A">
      <w:pPr>
        <w:pStyle w:val="new4"/>
        <w:spacing w:after="0" w:line="240" w:lineRule="auto"/>
        <w:ind w:right="284"/>
        <w:rPr>
          <w:rFonts w:cs="Tahoma"/>
          <w:b w:val="0"/>
        </w:rPr>
      </w:pPr>
      <w:bookmarkStart w:id="224" w:name="_Toc210206165"/>
      <w:bookmarkStart w:id="225" w:name="_Toc210206861"/>
      <w:bookmarkStart w:id="226" w:name="_Toc210207776"/>
      <w:bookmarkStart w:id="227" w:name="_Toc230757379"/>
      <w:r>
        <w:rPr>
          <w:rFonts w:cs="Tahoma"/>
          <w:b w:val="0"/>
        </w:rPr>
        <w:t>Εξέλιξη δομικού πληθωρισμού</w:t>
      </w:r>
      <w:bookmarkEnd w:id="224"/>
      <w:bookmarkEnd w:id="225"/>
      <w:bookmarkEnd w:id="226"/>
      <w:bookmarkEnd w:id="227"/>
      <w:r>
        <w:rPr>
          <w:rFonts w:cs="Tahoma"/>
          <w:b w:val="0"/>
        </w:rPr>
        <w:t xml:space="preserve"> και ΓΔΤΚ</w:t>
      </w:r>
    </w:p>
    <w:p w:rsidR="00EA2458" w:rsidRPr="008B63B0" w:rsidRDefault="00EA2458" w:rsidP="00D8122A">
      <w:pPr>
        <w:pStyle w:val="new4"/>
        <w:spacing w:after="0" w:line="240" w:lineRule="auto"/>
        <w:ind w:right="284"/>
        <w:rPr>
          <w:rFonts w:cs="Tahoma"/>
          <w:b w:val="0"/>
        </w:rPr>
      </w:pPr>
      <w:bookmarkStart w:id="228" w:name="_Toc158997844"/>
      <w:bookmarkStart w:id="229" w:name="_Toc159135557"/>
      <w:bookmarkStart w:id="230" w:name="_Toc159143401"/>
      <w:bookmarkStart w:id="231" w:name="_Toc185675152"/>
      <w:bookmarkStart w:id="232" w:name="_Toc202325399"/>
      <w:bookmarkStart w:id="233" w:name="_Toc202325790"/>
      <w:bookmarkStart w:id="234" w:name="_Toc210206166"/>
      <w:bookmarkStart w:id="235" w:name="_Toc210206862"/>
      <w:bookmarkStart w:id="236" w:name="_Toc210207777"/>
      <w:bookmarkStart w:id="237" w:name="_Toc230757380"/>
      <w:r w:rsidRPr="008B63B0">
        <w:rPr>
          <w:b w:val="0"/>
        </w:rPr>
        <w:t>(ετήσιες ποσοστιαίες μεταβολές)</w:t>
      </w:r>
      <w:bookmarkEnd w:id="228"/>
      <w:bookmarkEnd w:id="229"/>
      <w:bookmarkEnd w:id="230"/>
      <w:bookmarkEnd w:id="231"/>
      <w:bookmarkEnd w:id="232"/>
      <w:bookmarkEnd w:id="233"/>
      <w:bookmarkEnd w:id="234"/>
      <w:bookmarkEnd w:id="235"/>
      <w:bookmarkEnd w:id="236"/>
      <w:bookmarkEnd w:id="237"/>
    </w:p>
    <w:p w:rsidR="00EA2458" w:rsidRPr="0091303F" w:rsidRDefault="00EA2458" w:rsidP="00D8122A">
      <w:pPr>
        <w:pStyle w:val="BodyText"/>
        <w:spacing w:line="240" w:lineRule="auto"/>
        <w:ind w:right="284" w:hanging="360"/>
        <w:jc w:val="right"/>
        <w:rPr>
          <w:rFonts w:ascii="Tahoma" w:hAnsi="Tahoma" w:cs="Tahoma"/>
          <w:sz w:val="16"/>
          <w:szCs w:val="16"/>
        </w:rPr>
      </w:pPr>
      <w:r>
        <w:rPr>
          <w:noProof/>
          <w:lang w:val="en-US" w:eastAsia="en-US"/>
        </w:rPr>
        <w:drawing>
          <wp:inline distT="0" distB="0" distL="0" distR="0">
            <wp:extent cx="2955851" cy="2870790"/>
            <wp:effectExtent l="0" t="0" r="0" b="0"/>
            <wp:docPr id="259"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8" cstate="print"/>
                    <a:srcRect/>
                    <a:stretch>
                      <a:fillRect/>
                    </a:stretch>
                  </pic:blipFill>
                  <pic:spPr bwMode="auto">
                    <a:xfrm>
                      <a:off x="0" y="0"/>
                      <a:ext cx="2963333" cy="2878057"/>
                    </a:xfrm>
                    <a:prstGeom prst="rect">
                      <a:avLst/>
                    </a:prstGeom>
                    <a:noFill/>
                    <a:ln w="9525">
                      <a:noFill/>
                      <a:miter lim="800000"/>
                      <a:headEnd/>
                      <a:tailEnd/>
                    </a:ln>
                  </pic:spPr>
                </pic:pic>
              </a:graphicData>
            </a:graphic>
          </wp:inline>
        </w:drawing>
      </w:r>
    </w:p>
    <w:p w:rsidR="00EA2458" w:rsidRDefault="00EA2458" w:rsidP="00D8122A">
      <w:pPr>
        <w:spacing w:before="120" w:after="240" w:line="312" w:lineRule="auto"/>
        <w:ind w:right="284"/>
        <w:jc w:val="both"/>
        <w:rPr>
          <w:rFonts w:ascii="Tahoma" w:hAnsi="Tahoma" w:cs="Tahoma"/>
          <w:sz w:val="16"/>
          <w:szCs w:val="16"/>
        </w:rPr>
      </w:pPr>
      <w:r w:rsidRPr="00CE6A6D">
        <w:rPr>
          <w:rFonts w:ascii="Tahoma" w:hAnsi="Tahoma" w:cs="Tahoma"/>
          <w:b/>
          <w:sz w:val="16"/>
          <w:szCs w:val="16"/>
        </w:rPr>
        <w:t>Πηγή:</w:t>
      </w:r>
      <w:r>
        <w:rPr>
          <w:rFonts w:ascii="Tahoma" w:hAnsi="Tahoma" w:cs="Tahoma"/>
          <w:sz w:val="16"/>
          <w:szCs w:val="16"/>
        </w:rPr>
        <w:t xml:space="preserve"> ΕΛΣΤΑΤ </w:t>
      </w:r>
      <w:r w:rsidRPr="009D48AA">
        <w:rPr>
          <w:rFonts w:ascii="Tahoma" w:hAnsi="Tahoma" w:cs="Tahoma"/>
          <w:b/>
          <w:sz w:val="16"/>
          <w:szCs w:val="16"/>
        </w:rPr>
        <w:t>Επεξεργασία</w:t>
      </w:r>
      <w:r>
        <w:rPr>
          <w:rFonts w:ascii="Tahoma" w:hAnsi="Tahoma" w:cs="Tahoma"/>
          <w:sz w:val="16"/>
          <w:szCs w:val="16"/>
        </w:rPr>
        <w:t>:</w:t>
      </w:r>
      <w:r w:rsidRPr="00CE6A6D">
        <w:rPr>
          <w:rFonts w:ascii="Tahoma" w:hAnsi="Tahoma" w:cs="Tahoma"/>
          <w:sz w:val="16"/>
          <w:szCs w:val="16"/>
        </w:rPr>
        <w:t xml:space="preserve"> ΙΟΒΕ</w:t>
      </w:r>
    </w:p>
    <w:p w:rsidR="00EA2458" w:rsidRDefault="00EA2458" w:rsidP="00D8122A">
      <w:pPr>
        <w:autoSpaceDE w:val="0"/>
        <w:autoSpaceDN w:val="0"/>
        <w:adjustRightInd w:val="0"/>
        <w:spacing w:before="240" w:after="240" w:line="312" w:lineRule="auto"/>
        <w:ind w:right="284"/>
        <w:jc w:val="both"/>
        <w:rPr>
          <w:rFonts w:ascii="Tahoma" w:hAnsi="Tahoma" w:cs="Tahoma"/>
          <w:sz w:val="22"/>
          <w:szCs w:val="22"/>
        </w:rPr>
      </w:pPr>
      <w:r w:rsidRPr="001E080B">
        <w:rPr>
          <w:rFonts w:ascii="Tahoma" w:hAnsi="Tahoma" w:cs="Tahoma"/>
          <w:sz w:val="22"/>
          <w:szCs w:val="22"/>
        </w:rPr>
        <w:t>Ο εναρμονισμένος πληθωρισμός</w:t>
      </w:r>
      <w:r>
        <w:rPr>
          <w:rFonts w:ascii="Tahoma" w:hAnsi="Tahoma" w:cs="Tahoma"/>
          <w:sz w:val="22"/>
          <w:szCs w:val="22"/>
        </w:rPr>
        <w:t xml:space="preserve"> στην Ελλάδα</w:t>
      </w:r>
      <w:r w:rsidRPr="001E080B">
        <w:rPr>
          <w:rFonts w:ascii="Tahoma" w:hAnsi="Tahoma" w:cs="Tahoma"/>
          <w:sz w:val="22"/>
          <w:szCs w:val="22"/>
        </w:rPr>
        <w:t xml:space="preserve"> </w:t>
      </w:r>
      <w:r>
        <w:rPr>
          <w:rFonts w:ascii="Tahoma" w:hAnsi="Tahoma" w:cs="Tahoma"/>
          <w:sz w:val="22"/>
          <w:szCs w:val="22"/>
        </w:rPr>
        <w:t xml:space="preserve">το 2011 </w:t>
      </w:r>
      <w:r w:rsidRPr="001E080B">
        <w:rPr>
          <w:rFonts w:ascii="Tahoma" w:hAnsi="Tahoma" w:cs="Tahoma"/>
          <w:sz w:val="22"/>
          <w:szCs w:val="22"/>
        </w:rPr>
        <w:t>διαμορφώθηκε στο 3,</w:t>
      </w:r>
      <w:r>
        <w:rPr>
          <w:rFonts w:ascii="Tahoma" w:hAnsi="Tahoma" w:cs="Tahoma"/>
          <w:sz w:val="22"/>
          <w:szCs w:val="22"/>
        </w:rPr>
        <w:t>1</w:t>
      </w:r>
      <w:r w:rsidRPr="001E080B">
        <w:rPr>
          <w:rFonts w:ascii="Tahoma" w:hAnsi="Tahoma" w:cs="Tahoma"/>
          <w:sz w:val="22"/>
          <w:szCs w:val="22"/>
        </w:rPr>
        <w:t>%,</w:t>
      </w:r>
      <w:r>
        <w:rPr>
          <w:rFonts w:ascii="Tahoma" w:hAnsi="Tahoma" w:cs="Tahoma"/>
          <w:sz w:val="22"/>
          <w:szCs w:val="22"/>
        </w:rPr>
        <w:t xml:space="preserve"> έναντι 4,7% το 2010, επίδοση που είναι ελαφρώς υψηλότερη από το μέσο όρο των χωρών-μελών της Ευρωζώνης-17 (2,7%). Όμως στις αρχές του 2012 αποκλιμακώνεται τ</w:t>
      </w:r>
      <w:r w:rsidDel="00CC12F4">
        <w:rPr>
          <w:rFonts w:ascii="Tahoma" w:hAnsi="Tahoma" w:cs="Tahoma"/>
          <w:sz w:val="22"/>
          <w:szCs w:val="22"/>
        </w:rPr>
        <w:t xml:space="preserve">αχύτερα εγχωρίως, </w:t>
      </w:r>
      <w:r>
        <w:rPr>
          <w:rFonts w:ascii="Tahoma" w:hAnsi="Tahoma" w:cs="Tahoma"/>
          <w:sz w:val="22"/>
          <w:szCs w:val="22"/>
        </w:rPr>
        <w:t xml:space="preserve">έχοντας σημειώσει πτώση κατά 2,7 εκατοστιαίες μονάδες σε σχέση με το α’ δίμηνο πέρυσι και πλέον δεν ξεπερνά το 1,9%. Η εξέλιξη αυτή οδήγησε στο να υποχωρήσει κάτω από το μέσο όρο της Ευρωζώνης-17 (2,7%) και το επίπεδό του να είναι το δεύτερο χαμηλότερο έπειτα από εκείνο της Ιρλανδίας (1,3%). Στον αντίποδα, ο υψηλότερος πληθωρισμός στην ζώνη του ευρώ καταγράφεται στην Εσθονία (4,6%), επίδοση που είναι ταυτόχρονα και η υψηλότερη στην ΕΕ-27 (Μ.Ο.: 2,9%). </w:t>
      </w:r>
    </w:p>
    <w:p w:rsidR="00EA2458" w:rsidRPr="00B94A37" w:rsidRDefault="003133F2" w:rsidP="003133F2">
      <w:pPr>
        <w:pStyle w:val="new4"/>
        <w:spacing w:before="120" w:after="120" w:line="240" w:lineRule="auto"/>
        <w:rPr>
          <w:szCs w:val="22"/>
        </w:rPr>
      </w:pPr>
      <w:bookmarkStart w:id="238" w:name="_Toc158997851"/>
      <w:bookmarkStart w:id="239" w:name="_Toc159135561"/>
      <w:bookmarkStart w:id="240" w:name="_Toc159143405"/>
      <w:bookmarkStart w:id="241" w:name="_Toc185675156"/>
      <w:bookmarkStart w:id="242" w:name="_Toc202325403"/>
      <w:bookmarkStart w:id="243" w:name="_Toc202325794"/>
      <w:bookmarkStart w:id="244" w:name="_Toc210206169"/>
      <w:bookmarkStart w:id="245" w:name="_Toc210206865"/>
      <w:bookmarkStart w:id="246" w:name="_Toc210207780"/>
      <w:bookmarkStart w:id="247" w:name="_Toc230757381"/>
      <w:r>
        <w:rPr>
          <w:szCs w:val="22"/>
        </w:rPr>
        <w:br w:type="column"/>
      </w:r>
      <w:r w:rsidR="00EA2458">
        <w:rPr>
          <w:szCs w:val="22"/>
        </w:rPr>
        <w:lastRenderedPageBreak/>
        <w:t xml:space="preserve">Διάγραμμα </w:t>
      </w:r>
      <w:r w:rsidR="00FB2EFC">
        <w:rPr>
          <w:szCs w:val="22"/>
        </w:rPr>
        <w:t>3.15</w:t>
      </w:r>
    </w:p>
    <w:p w:rsidR="00EA2458" w:rsidRPr="00B94A37" w:rsidRDefault="00EA2458" w:rsidP="003133F2">
      <w:pPr>
        <w:pStyle w:val="new4"/>
        <w:spacing w:after="0" w:line="240" w:lineRule="auto"/>
        <w:ind w:hanging="180"/>
        <w:rPr>
          <w:rFonts w:cs="Tahoma"/>
          <w:b w:val="0"/>
        </w:rPr>
      </w:pPr>
      <w:bookmarkStart w:id="248" w:name="_Toc210206170"/>
      <w:bookmarkStart w:id="249" w:name="_Toc210206866"/>
      <w:bookmarkStart w:id="250" w:name="_Toc210207781"/>
      <w:bookmarkStart w:id="251" w:name="_Toc230757382"/>
      <w:r w:rsidRPr="00B94A37">
        <w:rPr>
          <w:rFonts w:cs="Tahoma"/>
          <w:b w:val="0"/>
        </w:rPr>
        <w:t>Εξέλιξη ΕνΔ</w:t>
      </w:r>
      <w:r>
        <w:rPr>
          <w:rFonts w:cs="Tahoma"/>
          <w:b w:val="0"/>
        </w:rPr>
        <w:t>Τ</w:t>
      </w:r>
      <w:r w:rsidRPr="00B94A37">
        <w:rPr>
          <w:rFonts w:cs="Tahoma"/>
          <w:b w:val="0"/>
        </w:rPr>
        <w:t>Κ</w:t>
      </w:r>
      <w:r>
        <w:rPr>
          <w:rFonts w:cs="Tahoma"/>
          <w:b w:val="0"/>
        </w:rPr>
        <w:t xml:space="preserve"> στην Ελλάδα</w:t>
      </w:r>
      <w:r w:rsidRPr="00B94A37">
        <w:rPr>
          <w:rFonts w:cs="Tahoma"/>
          <w:b w:val="0"/>
        </w:rPr>
        <w:t xml:space="preserve"> και </w:t>
      </w:r>
      <w:r>
        <w:rPr>
          <w:rFonts w:cs="Tahoma"/>
          <w:b w:val="0"/>
        </w:rPr>
        <w:t xml:space="preserve">στην </w:t>
      </w:r>
      <w:r w:rsidRPr="00CD6494">
        <w:rPr>
          <w:rFonts w:cs="Tahoma"/>
          <w:b w:val="0"/>
        </w:rPr>
        <w:t>Ευρωζώνη</w:t>
      </w:r>
      <w:bookmarkEnd w:id="248"/>
      <w:bookmarkEnd w:id="249"/>
      <w:bookmarkEnd w:id="250"/>
      <w:bookmarkEnd w:id="251"/>
      <w:r w:rsidRPr="00CD6494">
        <w:rPr>
          <w:rFonts w:cs="Tahoma"/>
          <w:b w:val="0"/>
        </w:rPr>
        <w:t>-17</w:t>
      </w:r>
      <w:bookmarkStart w:id="252" w:name="_Toc158997853"/>
      <w:bookmarkStart w:id="253" w:name="_Toc159135563"/>
      <w:bookmarkStart w:id="254" w:name="_Toc159143407"/>
      <w:bookmarkStart w:id="255" w:name="_Toc185675158"/>
      <w:bookmarkStart w:id="256" w:name="_Toc202325405"/>
      <w:bookmarkStart w:id="257" w:name="_Toc202325796"/>
      <w:bookmarkStart w:id="258" w:name="_Toc210206171"/>
      <w:bookmarkStart w:id="259" w:name="_Toc210206867"/>
      <w:bookmarkStart w:id="260" w:name="_Toc210207782"/>
      <w:bookmarkStart w:id="261" w:name="_Toc230757383"/>
      <w:r w:rsidRPr="00B94A37">
        <w:rPr>
          <w:rFonts w:cs="Tahoma"/>
          <w:b w:val="0"/>
        </w:rPr>
        <w:t xml:space="preserve"> (ετήσιες ποσοστιαίες μεταβολές)</w:t>
      </w:r>
      <w:bookmarkEnd w:id="252"/>
      <w:bookmarkEnd w:id="253"/>
      <w:bookmarkEnd w:id="254"/>
      <w:bookmarkEnd w:id="255"/>
      <w:bookmarkEnd w:id="256"/>
      <w:bookmarkEnd w:id="257"/>
      <w:bookmarkEnd w:id="258"/>
      <w:bookmarkEnd w:id="259"/>
      <w:bookmarkEnd w:id="260"/>
      <w:bookmarkEnd w:id="261"/>
    </w:p>
    <w:p w:rsidR="00EA2458" w:rsidRPr="0091303F" w:rsidRDefault="00483A18" w:rsidP="003133F2">
      <w:pPr>
        <w:pStyle w:val="BodyTextIndent"/>
        <w:spacing w:after="0"/>
        <w:ind w:left="0" w:hanging="180"/>
        <w:jc w:val="both"/>
      </w:pPr>
      <w:r>
        <w:rPr>
          <w:noProof/>
          <w:snapToGrid/>
          <w:lang w:val="en-US" w:eastAsia="en-US"/>
        </w:rPr>
        <w:drawing>
          <wp:inline distT="0" distB="0" distL="0" distR="0">
            <wp:extent cx="3143290" cy="2615609"/>
            <wp:effectExtent l="0" t="0" r="0" b="0"/>
            <wp:docPr id="2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cstate="print"/>
                    <a:srcRect/>
                    <a:stretch>
                      <a:fillRect/>
                    </a:stretch>
                  </pic:blipFill>
                  <pic:spPr bwMode="auto">
                    <a:xfrm>
                      <a:off x="0" y="0"/>
                      <a:ext cx="3149888" cy="2621100"/>
                    </a:xfrm>
                    <a:prstGeom prst="rect">
                      <a:avLst/>
                    </a:prstGeom>
                    <a:noFill/>
                    <a:ln w="9525">
                      <a:noFill/>
                      <a:miter lim="800000"/>
                      <a:headEnd/>
                      <a:tailEnd/>
                    </a:ln>
                  </pic:spPr>
                </pic:pic>
              </a:graphicData>
            </a:graphic>
          </wp:inline>
        </w:drawing>
      </w:r>
    </w:p>
    <w:p w:rsidR="00EA2458" w:rsidRDefault="00EA2458" w:rsidP="003133F2">
      <w:pPr>
        <w:spacing w:line="288" w:lineRule="auto"/>
        <w:ind w:right="-139"/>
        <w:jc w:val="both"/>
        <w:rPr>
          <w:rFonts w:ascii="Tahoma" w:hAnsi="Tahoma" w:cs="Tahoma"/>
          <w:sz w:val="16"/>
          <w:szCs w:val="16"/>
        </w:rPr>
      </w:pPr>
      <w:r w:rsidRPr="00CE6A6D">
        <w:rPr>
          <w:rFonts w:ascii="Tahoma" w:hAnsi="Tahoma" w:cs="Tahoma"/>
          <w:b/>
          <w:sz w:val="16"/>
          <w:szCs w:val="16"/>
        </w:rPr>
        <w:t xml:space="preserve">Πηγή: </w:t>
      </w:r>
      <w:r w:rsidRPr="00CE6A6D">
        <w:rPr>
          <w:rFonts w:ascii="Tahoma" w:hAnsi="Tahoma" w:cs="Tahoma"/>
          <w:sz w:val="16"/>
          <w:szCs w:val="16"/>
          <w:lang w:val="en-US"/>
        </w:rPr>
        <w:t>Eurostat</w:t>
      </w:r>
      <w:r>
        <w:rPr>
          <w:rFonts w:ascii="Tahoma" w:hAnsi="Tahoma" w:cs="Tahoma"/>
          <w:sz w:val="16"/>
          <w:szCs w:val="16"/>
        </w:rPr>
        <w:t xml:space="preserve">, </w:t>
      </w:r>
      <w:r w:rsidRPr="009D48AA">
        <w:rPr>
          <w:rFonts w:ascii="Tahoma" w:hAnsi="Tahoma" w:cs="Tahoma"/>
          <w:b/>
          <w:sz w:val="16"/>
          <w:szCs w:val="16"/>
        </w:rPr>
        <w:t>Επεξεργασί</w:t>
      </w:r>
      <w:r w:rsidRPr="00516373">
        <w:rPr>
          <w:rFonts w:ascii="Tahoma" w:hAnsi="Tahoma" w:cs="Tahoma"/>
          <w:b/>
          <w:sz w:val="16"/>
          <w:szCs w:val="16"/>
        </w:rPr>
        <w:t>α:</w:t>
      </w:r>
      <w:r>
        <w:rPr>
          <w:rFonts w:ascii="Tahoma" w:hAnsi="Tahoma" w:cs="Tahoma"/>
          <w:sz w:val="16"/>
          <w:szCs w:val="16"/>
        </w:rPr>
        <w:t xml:space="preserve"> ΙΟΒΕ</w:t>
      </w:r>
    </w:p>
    <w:bookmarkEnd w:id="238"/>
    <w:bookmarkEnd w:id="239"/>
    <w:bookmarkEnd w:id="240"/>
    <w:bookmarkEnd w:id="241"/>
    <w:bookmarkEnd w:id="242"/>
    <w:bookmarkEnd w:id="243"/>
    <w:bookmarkEnd w:id="244"/>
    <w:bookmarkEnd w:id="245"/>
    <w:bookmarkEnd w:id="246"/>
    <w:bookmarkEnd w:id="247"/>
    <w:p w:rsidR="00EA2458" w:rsidRDefault="00EA2458" w:rsidP="0078142C">
      <w:pPr>
        <w:pStyle w:val="BodyText"/>
        <w:spacing w:before="240" w:after="240" w:line="312" w:lineRule="auto"/>
        <w:ind w:right="1"/>
        <w:rPr>
          <w:rFonts w:ascii="Tahoma" w:hAnsi="Tahoma" w:cs="Tahoma"/>
          <w:sz w:val="22"/>
          <w:szCs w:val="22"/>
        </w:rPr>
      </w:pPr>
      <w:r>
        <w:rPr>
          <w:rFonts w:ascii="Tahoma" w:hAnsi="Tahoma" w:cs="Tahoma"/>
          <w:sz w:val="22"/>
          <w:szCs w:val="22"/>
        </w:rPr>
        <w:t>Αναφορικά με τις εξελίξεις στο κόστος παραγωγής, διαπιστώνεται ότι συνέχισε το 2011 να ασκεί αυξητικές πιέσεις στις τιμές αγαθών και υπηρεσιών:</w:t>
      </w:r>
      <w:r w:rsidRPr="00B11472">
        <w:rPr>
          <w:rFonts w:ascii="Tahoma" w:hAnsi="Tahoma" w:cs="Tahoma"/>
          <w:sz w:val="22"/>
          <w:szCs w:val="22"/>
        </w:rPr>
        <w:t xml:space="preserve"> </w:t>
      </w:r>
      <w:r w:rsidRPr="00B11472">
        <w:rPr>
          <w:rFonts w:ascii="Tahoma" w:hAnsi="Tahoma" w:cs="Tahoma"/>
          <w:sz w:val="22"/>
          <w:szCs w:val="22"/>
          <w:lang w:val="en-US"/>
        </w:rPr>
        <w:t>o</w:t>
      </w:r>
      <w:r w:rsidRPr="00B11472">
        <w:rPr>
          <w:rFonts w:ascii="Tahoma" w:hAnsi="Tahoma" w:cs="Tahoma"/>
          <w:sz w:val="22"/>
          <w:szCs w:val="22"/>
        </w:rPr>
        <w:t xml:space="preserve"> γενικός δείκτης εγχώριας α</w:t>
      </w:r>
      <w:r w:rsidRPr="00DE3611">
        <w:rPr>
          <w:rFonts w:ascii="Tahoma" w:hAnsi="Tahoma" w:cs="Tahoma"/>
          <w:sz w:val="22"/>
          <w:szCs w:val="22"/>
        </w:rPr>
        <w:t xml:space="preserve">γοράς </w:t>
      </w:r>
      <w:r>
        <w:rPr>
          <w:rFonts w:ascii="Tahoma" w:hAnsi="Tahoma" w:cs="Tahoma"/>
          <w:sz w:val="22"/>
          <w:szCs w:val="22"/>
        </w:rPr>
        <w:t>εμφάνισε την 3</w:t>
      </w:r>
      <w:r w:rsidRPr="003C79E2">
        <w:rPr>
          <w:rFonts w:ascii="Tahoma" w:hAnsi="Tahoma" w:cs="Tahoma"/>
          <w:sz w:val="22"/>
          <w:szCs w:val="22"/>
          <w:vertAlign w:val="superscript"/>
        </w:rPr>
        <w:t>η</w:t>
      </w:r>
      <w:r>
        <w:rPr>
          <w:rFonts w:ascii="Tahoma" w:hAnsi="Tahoma" w:cs="Tahoma"/>
          <w:sz w:val="22"/>
          <w:szCs w:val="22"/>
        </w:rPr>
        <w:t xml:space="preserve"> μεγαλύτερη αύξηση (7,4</w:t>
      </w:r>
      <w:r w:rsidRPr="00DE3611">
        <w:rPr>
          <w:rFonts w:ascii="Tahoma" w:hAnsi="Tahoma" w:cs="Tahoma"/>
          <w:sz w:val="22"/>
          <w:szCs w:val="22"/>
        </w:rPr>
        <w:t>%, έναντι 6,1%</w:t>
      </w:r>
      <w:r>
        <w:rPr>
          <w:rFonts w:ascii="Tahoma" w:hAnsi="Tahoma" w:cs="Tahoma"/>
          <w:sz w:val="22"/>
          <w:szCs w:val="22"/>
        </w:rPr>
        <w:t xml:space="preserve"> το 2010</w:t>
      </w:r>
      <w:r w:rsidRPr="00DE3611">
        <w:rPr>
          <w:rFonts w:ascii="Tahoma" w:hAnsi="Tahoma" w:cs="Tahoma"/>
          <w:sz w:val="22"/>
          <w:szCs w:val="22"/>
        </w:rPr>
        <w:t>)</w:t>
      </w:r>
      <w:r>
        <w:rPr>
          <w:rFonts w:ascii="Tahoma" w:hAnsi="Tahoma" w:cs="Tahoma"/>
          <w:sz w:val="22"/>
          <w:szCs w:val="22"/>
        </w:rPr>
        <w:t xml:space="preserve"> στην Eυρωζώνη</w:t>
      </w:r>
      <w:r w:rsidRPr="00DE3611">
        <w:rPr>
          <w:rFonts w:ascii="Tahoma" w:hAnsi="Tahoma" w:cs="Tahoma"/>
          <w:sz w:val="22"/>
          <w:szCs w:val="22"/>
        </w:rPr>
        <w:t>-17</w:t>
      </w:r>
      <w:r>
        <w:rPr>
          <w:rFonts w:ascii="Tahoma" w:hAnsi="Tahoma" w:cs="Tahoma"/>
          <w:sz w:val="22"/>
          <w:szCs w:val="22"/>
        </w:rPr>
        <w:t xml:space="preserve"> (Μ.Ο.: 5,9%), έπειτα από την</w:t>
      </w:r>
      <w:r w:rsidRPr="00DE3611">
        <w:rPr>
          <w:rFonts w:ascii="Tahoma" w:hAnsi="Tahoma" w:cs="Tahoma"/>
          <w:sz w:val="22"/>
          <w:szCs w:val="22"/>
        </w:rPr>
        <w:t xml:space="preserve"> Ολλανδία (</w:t>
      </w:r>
      <w:r>
        <w:rPr>
          <w:rFonts w:ascii="Tahoma" w:hAnsi="Tahoma" w:cs="Tahoma"/>
          <w:sz w:val="22"/>
          <w:szCs w:val="22"/>
        </w:rPr>
        <w:t>8,7</w:t>
      </w:r>
      <w:r w:rsidRPr="00DE3611">
        <w:rPr>
          <w:rFonts w:ascii="Tahoma" w:hAnsi="Tahoma" w:cs="Tahoma"/>
          <w:sz w:val="22"/>
          <w:szCs w:val="22"/>
        </w:rPr>
        <w:t>%) και το</w:t>
      </w:r>
      <w:r>
        <w:rPr>
          <w:rFonts w:ascii="Tahoma" w:hAnsi="Tahoma" w:cs="Tahoma"/>
          <w:sz w:val="22"/>
          <w:szCs w:val="22"/>
        </w:rPr>
        <w:t xml:space="preserve"> Βέλγιο (8,1</w:t>
      </w:r>
      <w:r w:rsidRPr="000D25AC">
        <w:rPr>
          <w:rFonts w:ascii="Tahoma" w:hAnsi="Tahoma" w:cs="Tahoma"/>
          <w:sz w:val="22"/>
          <w:szCs w:val="22"/>
        </w:rPr>
        <w:t xml:space="preserve">%). Η έντονα ανοδική τάση συνεχίζεται και στις αρχές του έτους (Ιανουάριος ’12) με το </w:t>
      </w:r>
      <w:r>
        <w:rPr>
          <w:rFonts w:ascii="Tahoma" w:hAnsi="Tahoma" w:cs="Tahoma"/>
          <w:sz w:val="22"/>
          <w:szCs w:val="22"/>
        </w:rPr>
        <w:t>γενικό δείκτη να σημειώνει αύξηση</w:t>
      </w:r>
      <w:r w:rsidRPr="000D25AC">
        <w:rPr>
          <w:rFonts w:ascii="Tahoma" w:hAnsi="Tahoma" w:cs="Tahoma"/>
          <w:sz w:val="22"/>
          <w:szCs w:val="22"/>
        </w:rPr>
        <w:t xml:space="preserve"> μεγαλύτερη από ότι τον ίδιο μήνα πέρυσι (7,7%).</w:t>
      </w:r>
      <w:r>
        <w:rPr>
          <w:rFonts w:ascii="Tahoma" w:hAnsi="Tahoma" w:cs="Tahoma"/>
          <w:color w:val="0000FF"/>
          <w:sz w:val="22"/>
          <w:szCs w:val="22"/>
        </w:rPr>
        <w:t xml:space="preserve"> </w:t>
      </w:r>
      <w:r w:rsidRPr="005504B6">
        <w:rPr>
          <w:rFonts w:ascii="Tahoma" w:hAnsi="Tahoma" w:cs="Tahoma"/>
          <w:sz w:val="22"/>
          <w:szCs w:val="22"/>
        </w:rPr>
        <w:t xml:space="preserve">Οι κλάδοι </w:t>
      </w:r>
      <w:r>
        <w:rPr>
          <w:rFonts w:ascii="Tahoma" w:hAnsi="Tahoma" w:cs="Tahoma"/>
          <w:sz w:val="22"/>
          <w:szCs w:val="22"/>
        </w:rPr>
        <w:t xml:space="preserve">στους οποίους εντοπίζεται </w:t>
      </w:r>
      <w:r w:rsidRPr="005504B6">
        <w:rPr>
          <w:rFonts w:ascii="Tahoma" w:hAnsi="Tahoma" w:cs="Tahoma"/>
          <w:sz w:val="22"/>
          <w:szCs w:val="22"/>
        </w:rPr>
        <w:t>η μεγαλύτερη άνοδο</w:t>
      </w:r>
      <w:r>
        <w:rPr>
          <w:rFonts w:ascii="Tahoma" w:hAnsi="Tahoma" w:cs="Tahoma"/>
          <w:sz w:val="22"/>
          <w:szCs w:val="22"/>
        </w:rPr>
        <w:t>ς</w:t>
      </w:r>
      <w:r w:rsidRPr="005504B6">
        <w:rPr>
          <w:rFonts w:ascii="Tahoma" w:hAnsi="Tahoma" w:cs="Tahoma"/>
          <w:sz w:val="22"/>
          <w:szCs w:val="22"/>
        </w:rPr>
        <w:t xml:space="preserve"> είναι το Αργό </w:t>
      </w:r>
      <w:r>
        <w:rPr>
          <w:rFonts w:ascii="Tahoma" w:hAnsi="Tahoma" w:cs="Tahoma"/>
          <w:sz w:val="22"/>
          <w:szCs w:val="22"/>
        </w:rPr>
        <w:t>Πετρέλαιο και Φυσικό Αέριο (36,6</w:t>
      </w:r>
      <w:r w:rsidRPr="005504B6">
        <w:rPr>
          <w:rFonts w:ascii="Tahoma" w:hAnsi="Tahoma" w:cs="Tahoma"/>
          <w:sz w:val="22"/>
          <w:szCs w:val="22"/>
        </w:rPr>
        <w:t>%), τα Προϊόντ</w:t>
      </w:r>
      <w:r>
        <w:rPr>
          <w:rFonts w:ascii="Tahoma" w:hAnsi="Tahoma" w:cs="Tahoma"/>
          <w:sz w:val="22"/>
          <w:szCs w:val="22"/>
        </w:rPr>
        <w:t>α Οπτάνθρακα και Διύλισης (21</w:t>
      </w:r>
      <w:r w:rsidRPr="005504B6">
        <w:rPr>
          <w:rFonts w:ascii="Tahoma" w:hAnsi="Tahoma" w:cs="Tahoma"/>
          <w:sz w:val="22"/>
          <w:szCs w:val="22"/>
        </w:rPr>
        <w:t>,7%), τα Ενεργειακά Αγαθ</w:t>
      </w:r>
      <w:r>
        <w:rPr>
          <w:rFonts w:ascii="Tahoma" w:hAnsi="Tahoma" w:cs="Tahoma"/>
          <w:sz w:val="22"/>
          <w:szCs w:val="22"/>
        </w:rPr>
        <w:t xml:space="preserve">ά </w:t>
      </w:r>
      <w:r w:rsidR="00A95F16">
        <w:rPr>
          <w:rFonts w:ascii="Tahoma" w:hAnsi="Tahoma" w:cs="Tahoma"/>
          <w:sz w:val="22"/>
          <w:szCs w:val="22"/>
        </w:rPr>
        <w:t xml:space="preserve">εκτός της </w:t>
      </w:r>
      <w:r>
        <w:rPr>
          <w:rFonts w:ascii="Tahoma" w:hAnsi="Tahoma" w:cs="Tahoma"/>
          <w:sz w:val="22"/>
          <w:szCs w:val="22"/>
        </w:rPr>
        <w:t>ηλεκτρική</w:t>
      </w:r>
      <w:r w:rsidR="00A95F16">
        <w:rPr>
          <w:rFonts w:ascii="Tahoma" w:hAnsi="Tahoma" w:cs="Tahoma"/>
          <w:sz w:val="22"/>
          <w:szCs w:val="22"/>
        </w:rPr>
        <w:t>ς</w:t>
      </w:r>
      <w:r>
        <w:rPr>
          <w:rFonts w:ascii="Tahoma" w:hAnsi="Tahoma" w:cs="Tahoma"/>
          <w:sz w:val="22"/>
          <w:szCs w:val="22"/>
        </w:rPr>
        <w:t xml:space="preserve"> ενέργεια</w:t>
      </w:r>
      <w:r w:rsidR="00A95F16">
        <w:rPr>
          <w:rFonts w:ascii="Tahoma" w:hAnsi="Tahoma" w:cs="Tahoma"/>
          <w:sz w:val="22"/>
          <w:szCs w:val="22"/>
        </w:rPr>
        <w:t>ς</w:t>
      </w:r>
      <w:r>
        <w:rPr>
          <w:rFonts w:ascii="Tahoma" w:hAnsi="Tahoma" w:cs="Tahoma"/>
          <w:sz w:val="22"/>
          <w:szCs w:val="22"/>
        </w:rPr>
        <w:t xml:space="preserve"> (19,4%) και το Ηλεκτρικό ρεύμα (14,8</w:t>
      </w:r>
      <w:r w:rsidRPr="005504B6">
        <w:rPr>
          <w:rFonts w:ascii="Tahoma" w:hAnsi="Tahoma" w:cs="Tahoma"/>
          <w:sz w:val="22"/>
          <w:szCs w:val="22"/>
        </w:rPr>
        <w:t xml:space="preserve">%). </w:t>
      </w:r>
      <w:r>
        <w:rPr>
          <w:rFonts w:ascii="Tahoma" w:hAnsi="Tahoma" w:cs="Tahoma"/>
          <w:sz w:val="22"/>
          <w:szCs w:val="22"/>
        </w:rPr>
        <w:t xml:space="preserve">Στις υπόλοιπες κατηγορίες καταγράφεται άνοδος της τάξης περίπου του 2%, με εξαίρεση τα Μηχανήματα και τον Ηλεκτρικό εξοπλισμό, στα οποία ο δείκτης υποχωρεί σε σχέση με πέρυσι (-1,5% και -2,8% αντίστοιχα). </w:t>
      </w:r>
    </w:p>
    <w:p w:rsidR="00EA2458" w:rsidRPr="0034365C" w:rsidRDefault="00EA2458" w:rsidP="00D8122A">
      <w:pPr>
        <w:pStyle w:val="BodyText"/>
        <w:spacing w:before="240" w:after="240" w:line="312" w:lineRule="auto"/>
        <w:ind w:right="284"/>
        <w:rPr>
          <w:rFonts w:ascii="Tahoma" w:hAnsi="Tahoma" w:cs="Tahoma"/>
          <w:sz w:val="22"/>
          <w:szCs w:val="22"/>
        </w:rPr>
      </w:pPr>
      <w:r>
        <w:rPr>
          <w:rFonts w:ascii="Tahoma" w:hAnsi="Tahoma" w:cs="Tahoma"/>
          <w:sz w:val="22"/>
          <w:szCs w:val="22"/>
        </w:rPr>
        <w:lastRenderedPageBreak/>
        <w:t>Πιέσεις στο</w:t>
      </w:r>
      <w:r w:rsidRPr="0034365C">
        <w:rPr>
          <w:rFonts w:ascii="Tahoma" w:hAnsi="Tahoma" w:cs="Tahoma"/>
          <w:sz w:val="22"/>
          <w:szCs w:val="22"/>
        </w:rPr>
        <w:t xml:space="preserve"> κόστος παραγωγής </w:t>
      </w:r>
      <w:r>
        <w:rPr>
          <w:rFonts w:ascii="Tahoma" w:hAnsi="Tahoma" w:cs="Tahoma"/>
          <w:sz w:val="22"/>
          <w:szCs w:val="22"/>
        </w:rPr>
        <w:t>ασκούνται και από την πορεία</w:t>
      </w:r>
      <w:r w:rsidRPr="0034365C">
        <w:rPr>
          <w:rFonts w:ascii="Tahoma" w:hAnsi="Tahoma" w:cs="Tahoma"/>
          <w:sz w:val="22"/>
          <w:szCs w:val="22"/>
        </w:rPr>
        <w:t xml:space="preserve"> των τιμών </w:t>
      </w:r>
      <w:r>
        <w:rPr>
          <w:rFonts w:ascii="Tahoma" w:hAnsi="Tahoma" w:cs="Tahoma"/>
          <w:sz w:val="22"/>
          <w:szCs w:val="22"/>
        </w:rPr>
        <w:t>στις εισαγόμενες πρώτες ύλες,</w:t>
      </w:r>
      <w:r w:rsidRPr="0034365C">
        <w:rPr>
          <w:rFonts w:ascii="Tahoma" w:hAnsi="Tahoma" w:cs="Tahoma"/>
          <w:sz w:val="22"/>
          <w:szCs w:val="22"/>
        </w:rPr>
        <w:t xml:space="preserve"> </w:t>
      </w:r>
      <w:r>
        <w:rPr>
          <w:rFonts w:ascii="Tahoma" w:hAnsi="Tahoma" w:cs="Tahoma"/>
          <w:sz w:val="22"/>
          <w:szCs w:val="22"/>
        </w:rPr>
        <w:t>με</w:t>
      </w:r>
      <w:r w:rsidRPr="0034365C">
        <w:rPr>
          <w:rFonts w:ascii="Tahoma" w:hAnsi="Tahoma" w:cs="Tahoma"/>
          <w:sz w:val="22"/>
          <w:szCs w:val="22"/>
        </w:rPr>
        <w:t xml:space="preserve"> το </w:t>
      </w:r>
      <w:r>
        <w:rPr>
          <w:rFonts w:ascii="Tahoma" w:hAnsi="Tahoma" w:cs="Tahoma"/>
          <w:sz w:val="22"/>
          <w:szCs w:val="22"/>
        </w:rPr>
        <w:t xml:space="preserve">δείκτη να σημειώνει </w:t>
      </w:r>
      <w:r w:rsidRPr="0034365C">
        <w:rPr>
          <w:rFonts w:ascii="Tahoma" w:hAnsi="Tahoma" w:cs="Tahoma"/>
          <w:sz w:val="22"/>
          <w:szCs w:val="22"/>
        </w:rPr>
        <w:t>άνοδο</w:t>
      </w:r>
      <w:r>
        <w:rPr>
          <w:rFonts w:ascii="Tahoma" w:hAnsi="Tahoma" w:cs="Tahoma"/>
          <w:sz w:val="22"/>
          <w:szCs w:val="22"/>
        </w:rPr>
        <w:t xml:space="preserve"> το </w:t>
      </w:r>
      <w:r w:rsidRPr="0034365C">
        <w:rPr>
          <w:rFonts w:ascii="Tahoma" w:hAnsi="Tahoma" w:cs="Tahoma"/>
          <w:sz w:val="22"/>
          <w:szCs w:val="22"/>
        </w:rPr>
        <w:t xml:space="preserve">2011 </w:t>
      </w:r>
      <w:r>
        <w:rPr>
          <w:rFonts w:ascii="Tahoma" w:hAnsi="Tahoma" w:cs="Tahoma"/>
          <w:sz w:val="22"/>
          <w:szCs w:val="22"/>
        </w:rPr>
        <w:t>παραπλήσια με εκείνη του μέσου όρου της Ευρωζώνης-17 (</w:t>
      </w:r>
      <w:r w:rsidRPr="0034365C">
        <w:rPr>
          <w:rFonts w:ascii="Tahoma" w:hAnsi="Tahoma" w:cs="Tahoma"/>
          <w:sz w:val="22"/>
          <w:szCs w:val="22"/>
        </w:rPr>
        <w:t>7,6% έναντι 6,6%</w:t>
      </w:r>
      <w:r>
        <w:rPr>
          <w:rFonts w:ascii="Tahoma" w:hAnsi="Tahoma" w:cs="Tahoma"/>
          <w:sz w:val="22"/>
          <w:szCs w:val="22"/>
        </w:rPr>
        <w:t xml:space="preserve"> το 2010). Και αυτή η αυξητική τάση κλιμακώνεται στις αρχές του 2012 (8,7% έναντι 6,1% τον Ιανουάριο του 2011), έχοντας αρνητικό αντίκτυπο στο κόστος παραγωγής. </w:t>
      </w:r>
      <w:bookmarkStart w:id="262" w:name="_Toc159057946"/>
      <w:bookmarkStart w:id="263" w:name="_Toc185748666"/>
      <w:bookmarkStart w:id="264" w:name="_Toc202325290"/>
      <w:bookmarkStart w:id="265" w:name="_Toc210204890"/>
      <w:bookmarkStart w:id="266" w:name="_Toc231286130"/>
      <w:bookmarkStart w:id="267" w:name="_Toc249262127"/>
      <w:bookmarkStart w:id="268" w:name="_Toc265593838"/>
      <w:bookmarkStart w:id="269" w:name="_Toc265759432"/>
      <w:bookmarkStart w:id="270" w:name="_Toc289262468"/>
    </w:p>
    <w:p w:rsidR="00EA2458" w:rsidRPr="00B81D21" w:rsidRDefault="00EA2458" w:rsidP="00D8122A">
      <w:pPr>
        <w:pStyle w:val="new2"/>
        <w:spacing w:before="240" w:line="312" w:lineRule="auto"/>
        <w:ind w:right="284"/>
        <w:rPr>
          <w:rFonts w:cs="Tahoma"/>
        </w:rPr>
      </w:pPr>
      <w:bookmarkStart w:id="271" w:name="_Toc320872889"/>
      <w:r w:rsidRPr="00B81D21">
        <w:rPr>
          <w:rFonts w:cs="Tahoma"/>
        </w:rPr>
        <w:t>Μεσοπρόθεσμες εκτιμήσεις</w:t>
      </w:r>
      <w:bookmarkEnd w:id="204"/>
      <w:bookmarkEnd w:id="262"/>
      <w:bookmarkEnd w:id="263"/>
      <w:bookmarkEnd w:id="264"/>
      <w:bookmarkEnd w:id="265"/>
      <w:bookmarkEnd w:id="266"/>
      <w:bookmarkEnd w:id="267"/>
      <w:bookmarkEnd w:id="268"/>
      <w:bookmarkEnd w:id="269"/>
      <w:bookmarkEnd w:id="270"/>
      <w:bookmarkEnd w:id="271"/>
    </w:p>
    <w:p w:rsidR="00A95F16" w:rsidRPr="00A95F16" w:rsidRDefault="00EA2458" w:rsidP="0078142C">
      <w:pPr>
        <w:spacing w:before="240" w:after="240" w:line="312" w:lineRule="auto"/>
        <w:ind w:right="1"/>
        <w:jc w:val="both"/>
        <w:rPr>
          <w:rFonts w:ascii="Tahoma" w:hAnsi="Tahoma" w:cs="Tahoma"/>
          <w:b/>
          <w:sz w:val="22"/>
          <w:szCs w:val="22"/>
        </w:rPr>
      </w:pPr>
      <w:r w:rsidRPr="004D301F">
        <w:rPr>
          <w:rFonts w:ascii="Tahoma" w:hAnsi="Tahoma" w:cs="Tahoma"/>
          <w:sz w:val="22"/>
          <w:szCs w:val="22"/>
        </w:rPr>
        <w:t>Η πτωτική πορεία του πληθωρισμού βάσει του ΓΔΤΚ θα συνεχισθεί τους επόμενους μήνες, καθώς τα πρόσφατα δημοσιονομικά-διαρθρωτικά μέτρα που αφορούν στους μισθούς στον ιδιωτικό τομέα και στις συντάξεις, αλλά και η έντονη αύξηση της ανεργίας στα τέλη του 2011, που πιθανότατα θα συνεχιστεί τουλάχιστον στο πρώτο τρίμηνο του τρέχοντος έτους, θα ασκήσουν νέες πιέσεις στην ήδη εξασθενημένη ζήτηση για προϊόντα και υπηρεσίες και κατ΄</w:t>
      </w:r>
      <w:r w:rsidR="00FB2EFC">
        <w:rPr>
          <w:rFonts w:ascii="Tahoma" w:hAnsi="Tahoma" w:cs="Tahoma"/>
          <w:sz w:val="22"/>
          <w:szCs w:val="22"/>
        </w:rPr>
        <w:t xml:space="preserve"> </w:t>
      </w:r>
      <w:r w:rsidRPr="004D301F">
        <w:rPr>
          <w:rFonts w:ascii="Tahoma" w:hAnsi="Tahoma" w:cs="Tahoma"/>
          <w:sz w:val="22"/>
          <w:szCs w:val="22"/>
        </w:rPr>
        <w:t xml:space="preserve">επέκταση στις τιμές τους. Στην υποχώρηση του πληθωρισμού, ενδεχομένως και στη διαμόρφωσή του σε αρνητικά επίπεδα κάποιους μήνες του έτους, εκτιμάται ότι θα συμβάλλει και το πολύ υψηλό επίπεδο του ΓΔΤΚ από τον Μάρτιο του 2011 και μετά, που αποτελεί βάση σύγκρισης για τις φετινές τιμές. Ωστόσο αντίρροπα στις παραπάνω περιοριστικές στον πληθωρισμό επιδράσεις θα λειτουργήσουν τυχόν αυξήσεις έμμεσων φόρων για την επίτευξη των δημοσιονομικών στόχων, όπως η εξίσωση του ειδικού φόρου στο πετρέλαιο θέρμανσης για οικιακή χρήση και κίνησης από το φθινόπωρο. Εξάλλου, όπως έχει διαπιστωθεί αρκετές φορές το παρελθόν στην Ελλάδα, παρά την υποχώρηση της </w:t>
      </w:r>
      <w:r>
        <w:rPr>
          <w:rFonts w:ascii="Tahoma" w:hAnsi="Tahoma" w:cs="Tahoma"/>
          <w:sz w:val="22"/>
          <w:szCs w:val="22"/>
        </w:rPr>
        <w:t xml:space="preserve">ζήτησης, στρεβλώσεις και μη ικανοποιητική </w:t>
      </w:r>
      <w:r>
        <w:rPr>
          <w:rFonts w:ascii="Tahoma" w:hAnsi="Tahoma" w:cs="Tahoma"/>
          <w:sz w:val="22"/>
          <w:szCs w:val="22"/>
        </w:rPr>
        <w:lastRenderedPageBreak/>
        <w:t xml:space="preserve">λειτουργία του ανταγωνισμού σε </w:t>
      </w:r>
      <w:r w:rsidRPr="004D301F">
        <w:rPr>
          <w:rFonts w:ascii="Tahoma" w:hAnsi="Tahoma" w:cs="Tahoma"/>
          <w:sz w:val="22"/>
          <w:szCs w:val="22"/>
        </w:rPr>
        <w:t>ορισμένες αγορές, εμποδίζο</w:t>
      </w:r>
      <w:r>
        <w:rPr>
          <w:rFonts w:ascii="Tahoma" w:hAnsi="Tahoma" w:cs="Tahoma"/>
          <w:sz w:val="22"/>
          <w:szCs w:val="22"/>
        </w:rPr>
        <w:t>υ</w:t>
      </w:r>
      <w:r w:rsidRPr="004D301F">
        <w:rPr>
          <w:rFonts w:ascii="Tahoma" w:hAnsi="Tahoma" w:cs="Tahoma"/>
          <w:sz w:val="22"/>
          <w:szCs w:val="22"/>
        </w:rPr>
        <w:t>ν</w:t>
      </w:r>
      <w:r>
        <w:rPr>
          <w:rFonts w:ascii="Tahoma" w:hAnsi="Tahoma" w:cs="Tahoma"/>
          <w:sz w:val="22"/>
          <w:szCs w:val="22"/>
        </w:rPr>
        <w:t xml:space="preserve"> </w:t>
      </w:r>
      <w:r w:rsidRPr="004D301F">
        <w:rPr>
          <w:rFonts w:ascii="Tahoma" w:hAnsi="Tahoma" w:cs="Tahoma"/>
          <w:sz w:val="22"/>
          <w:szCs w:val="22"/>
        </w:rPr>
        <w:t xml:space="preserve">την </w:t>
      </w:r>
      <w:r>
        <w:rPr>
          <w:rFonts w:ascii="Tahoma" w:hAnsi="Tahoma" w:cs="Tahoma"/>
          <w:sz w:val="22"/>
          <w:szCs w:val="22"/>
        </w:rPr>
        <w:t xml:space="preserve">ταχύτερη </w:t>
      </w:r>
      <w:r w:rsidRPr="004D301F">
        <w:rPr>
          <w:rFonts w:ascii="Tahoma" w:hAnsi="Tahoma" w:cs="Tahoma"/>
          <w:sz w:val="22"/>
          <w:szCs w:val="22"/>
        </w:rPr>
        <w:t>προσαρμογή των τιμών σε χαμηλότερο επίπεδο.</w:t>
      </w:r>
      <w:r>
        <w:rPr>
          <w:rFonts w:ascii="Tahoma" w:hAnsi="Tahoma" w:cs="Tahoma"/>
          <w:sz w:val="22"/>
          <w:szCs w:val="22"/>
        </w:rPr>
        <w:t xml:space="preserve"> </w:t>
      </w:r>
      <w:r w:rsidRPr="001E7B10">
        <w:rPr>
          <w:rFonts w:ascii="Tahoma" w:hAnsi="Tahoma" w:cs="Tahoma"/>
          <w:b/>
          <w:sz w:val="22"/>
          <w:szCs w:val="22"/>
        </w:rPr>
        <w:t xml:space="preserve">Δεδομένων των παραπάνω αναμενόμενων επιδράσεων, ο πληθωρισμός αναμένεται να κινηθεί το 2012 </w:t>
      </w:r>
      <w:r>
        <w:rPr>
          <w:rFonts w:ascii="Tahoma" w:hAnsi="Tahoma" w:cs="Tahoma"/>
          <w:b/>
          <w:sz w:val="22"/>
          <w:szCs w:val="22"/>
        </w:rPr>
        <w:t xml:space="preserve">λίγο χαμηλότερα </w:t>
      </w:r>
      <w:r w:rsidRPr="001E7B10">
        <w:rPr>
          <w:rFonts w:ascii="Tahoma" w:hAnsi="Tahoma" w:cs="Tahoma"/>
          <w:b/>
          <w:sz w:val="22"/>
          <w:szCs w:val="22"/>
        </w:rPr>
        <w:t>του 1%</w:t>
      </w:r>
      <w:r>
        <w:rPr>
          <w:rFonts w:ascii="Tahoma" w:hAnsi="Tahoma" w:cs="Tahoma"/>
          <w:b/>
          <w:sz w:val="22"/>
          <w:szCs w:val="22"/>
        </w:rPr>
        <w:t>.</w:t>
      </w:r>
    </w:p>
    <w:p w:rsidR="00EA2458" w:rsidRDefault="00EA2458" w:rsidP="0078142C">
      <w:pPr>
        <w:pStyle w:val="BodyText"/>
        <w:spacing w:before="240" w:after="240" w:line="312" w:lineRule="auto"/>
        <w:ind w:right="1"/>
        <w:rPr>
          <w:rFonts w:ascii="Tahoma" w:hAnsi="Tahoma" w:cs="Tahoma"/>
          <w:sz w:val="22"/>
          <w:szCs w:val="22"/>
        </w:rPr>
      </w:pPr>
      <w:r w:rsidRPr="00896327">
        <w:rPr>
          <w:rFonts w:ascii="Tahoma" w:hAnsi="Tahoma" w:cs="Tahoma"/>
          <w:sz w:val="22"/>
          <w:szCs w:val="22"/>
        </w:rPr>
        <w:t>Σ</w:t>
      </w:r>
      <w:r>
        <w:rPr>
          <w:rFonts w:ascii="Tahoma" w:hAnsi="Tahoma" w:cs="Tahoma"/>
          <w:sz w:val="22"/>
          <w:szCs w:val="22"/>
        </w:rPr>
        <w:t>την Ευρωζώνη-17 ο πληθωρισμός αναμένεται να διαμορφωθεί σε επίπεδο οριακά υψηλότερο του 2% το 2012 (2,7% το 2011), με αποτέλεσμα η ΕΚΤ να εστιάζει στη διατήρηση του βασικού επιτοκίου στο 1%. Αυτή η πολιτική της ΕΚΤ αντανακλά την προτεραιότητά της να προλαμβάνει-αντιμετωπίζει φαινόμενα υψηλού πληθωρισμού, που ενδεχομένως να προξενηθούν φέτος από αύξηση των τιμών του πετρελαίου και άνοδο της φορολογίας σε χώρες-μέλη της ζώνης του ευρώ, προκειμένου να επιτευχθούν οι δημοσιονομικοί στόχοι που έχουν τεθεί. Ωστόσο η οριακή ύφεση στην Ευρωζώνη, που ήδη εκτιμάται από διεθνείς οργανισμούς και φορείς (Ευρωπαϊκή Επιτροπή, ΔΝΤ), ενδεχομένως να οδηγήσει σε μεγαλύτερη επιβράδυνση του πληθωρισμού.</w:t>
      </w:r>
    </w:p>
    <w:p w:rsidR="00EA2458" w:rsidRDefault="00EA2458" w:rsidP="0078142C">
      <w:pPr>
        <w:pStyle w:val="BodyText"/>
        <w:spacing w:before="240" w:after="240" w:line="312" w:lineRule="auto"/>
        <w:ind w:right="1"/>
        <w:rPr>
          <w:rFonts w:ascii="Tahoma" w:hAnsi="Tahoma" w:cs="Tahoma"/>
          <w:sz w:val="22"/>
          <w:szCs w:val="22"/>
        </w:rPr>
      </w:pPr>
      <w:r>
        <w:rPr>
          <w:rFonts w:ascii="Tahoma" w:hAnsi="Tahoma" w:cs="Tahoma"/>
          <w:sz w:val="22"/>
          <w:szCs w:val="22"/>
        </w:rPr>
        <w:t>Σ</w:t>
      </w:r>
      <w:r w:rsidRPr="00B143B3">
        <w:rPr>
          <w:rFonts w:ascii="Tahoma" w:hAnsi="Tahoma" w:cs="Tahoma"/>
          <w:sz w:val="22"/>
          <w:szCs w:val="22"/>
        </w:rPr>
        <w:t xml:space="preserve">ημαντική πληροφόρηση για την εξέλιξη των τιμών στο επόμενο διάστημα παρέχουν και τα αποτελέσματα </w:t>
      </w:r>
      <w:r>
        <w:rPr>
          <w:rFonts w:ascii="Tahoma" w:hAnsi="Tahoma" w:cs="Tahoma"/>
          <w:sz w:val="22"/>
          <w:szCs w:val="22"/>
        </w:rPr>
        <w:t>τ</w:t>
      </w:r>
      <w:r w:rsidRPr="00BF6266">
        <w:rPr>
          <w:rFonts w:ascii="Tahoma" w:hAnsi="Tahoma" w:cs="Tahoma"/>
          <w:sz w:val="22"/>
          <w:szCs w:val="22"/>
        </w:rPr>
        <w:t>ων μηνιαίων ερευνών οικονομικής συγκυρίας του ΙΟΒΕ</w:t>
      </w:r>
      <w:r>
        <w:rPr>
          <w:rFonts w:ascii="Tahoma" w:hAnsi="Tahoma" w:cs="Tahoma"/>
          <w:sz w:val="22"/>
          <w:szCs w:val="22"/>
        </w:rPr>
        <w:t>, τα οποία συνιστούν πρόδρομες ενδείξεις για την εξέλιξή τους από την πλευρά της προσφοράς</w:t>
      </w:r>
      <w:r w:rsidRPr="00BF6266">
        <w:rPr>
          <w:rFonts w:ascii="Tahoma" w:hAnsi="Tahoma" w:cs="Tahoma"/>
          <w:sz w:val="22"/>
          <w:szCs w:val="22"/>
        </w:rPr>
        <w:t xml:space="preserve">. </w:t>
      </w:r>
      <w:r>
        <w:rPr>
          <w:rFonts w:ascii="Tahoma" w:hAnsi="Tahoma" w:cs="Tahoma"/>
          <w:sz w:val="22"/>
          <w:szCs w:val="22"/>
        </w:rPr>
        <w:t>Συγκεκριμένα:</w:t>
      </w:r>
    </w:p>
    <w:p w:rsidR="00EA2458" w:rsidRPr="003141FF" w:rsidRDefault="00EA2458" w:rsidP="0078142C">
      <w:pPr>
        <w:spacing w:before="240" w:after="240" w:line="312" w:lineRule="auto"/>
        <w:ind w:right="1"/>
        <w:jc w:val="both"/>
        <w:rPr>
          <w:rFonts w:ascii="Tahoma" w:hAnsi="Tahoma" w:cs="Tahoma"/>
          <w:sz w:val="22"/>
          <w:szCs w:val="22"/>
        </w:rPr>
      </w:pPr>
      <w:r w:rsidRPr="00724A25">
        <w:rPr>
          <w:rFonts w:ascii="Tahoma" w:hAnsi="Tahoma" w:cs="Tahoma"/>
          <w:b/>
          <w:sz w:val="22"/>
          <w:szCs w:val="22"/>
        </w:rPr>
        <w:t xml:space="preserve">Οι προβλέψεις </w:t>
      </w:r>
      <w:r>
        <w:rPr>
          <w:rFonts w:ascii="Tahoma" w:hAnsi="Tahoma" w:cs="Tahoma"/>
          <w:b/>
          <w:sz w:val="22"/>
          <w:szCs w:val="22"/>
        </w:rPr>
        <w:t>μείωσης των τιμών στο δίμηνο Ιανουαρίου – Φεβρουαρίου περιορίζονται ήπια σε σχέση με το τελευταίο τρίμηνο του 2011 στη Βιομηχανία και σημαντικά περισσότερο στις</w:t>
      </w:r>
      <w:r w:rsidRPr="00E777EB">
        <w:rPr>
          <w:rFonts w:ascii="Tahoma" w:hAnsi="Tahoma" w:cs="Tahoma"/>
          <w:sz w:val="22"/>
          <w:szCs w:val="22"/>
        </w:rPr>
        <w:t xml:space="preserve"> </w:t>
      </w:r>
      <w:r w:rsidRPr="00E777EB">
        <w:rPr>
          <w:rFonts w:ascii="Tahoma" w:hAnsi="Tahoma" w:cs="Tahoma"/>
          <w:b/>
          <w:sz w:val="22"/>
          <w:szCs w:val="22"/>
        </w:rPr>
        <w:t>Ιδιωτικές Κατασκευές,</w:t>
      </w:r>
      <w:r>
        <w:rPr>
          <w:rFonts w:ascii="Tahoma" w:hAnsi="Tahoma" w:cs="Tahoma"/>
          <w:b/>
          <w:sz w:val="22"/>
          <w:szCs w:val="22"/>
        </w:rPr>
        <w:t xml:space="preserve"> μετά τα </w:t>
      </w:r>
      <w:r>
        <w:rPr>
          <w:rFonts w:ascii="Tahoma" w:hAnsi="Tahoma" w:cs="Tahoma"/>
          <w:b/>
          <w:sz w:val="22"/>
          <w:szCs w:val="22"/>
        </w:rPr>
        <w:lastRenderedPageBreak/>
        <w:t>ιστορικά χαμηλά επίπεδα του περασμένου φθινοπώρου</w:t>
      </w:r>
      <w:r>
        <w:rPr>
          <w:rFonts w:ascii="Tahoma" w:hAnsi="Tahoma" w:cs="Tahoma"/>
          <w:sz w:val="22"/>
          <w:szCs w:val="22"/>
        </w:rPr>
        <w:t xml:space="preserve">. Ο τομέας των Υπηρεσιών παρουσιάζει μικρή υποχώρηση τιμών, με το μέσο δείκτη να μειώνεται ελαφρά σε σχέση με το προηγούμενο τρίμηνο, ενώ στο Λιανικό Εμπόριο, το σχετικό μέσο ισοζύγιο παραμένει σε χαμηλά επίπεδα το τελευταίο εξάμηνο. Σε σύγκριση με την αντίστοιχη περσινή περίοδο, οι αποπληθωριστικές προσδοκίες έχουν ενταθεί περισσότερο στο </w:t>
      </w:r>
      <w:r w:rsidRPr="00684EAC">
        <w:rPr>
          <w:rFonts w:ascii="Tahoma" w:hAnsi="Tahoma" w:cs="Tahoma"/>
          <w:sz w:val="22"/>
          <w:szCs w:val="22"/>
        </w:rPr>
        <w:t>Λιανικό Εμπόριο</w:t>
      </w:r>
      <w:r>
        <w:rPr>
          <w:rFonts w:ascii="Tahoma" w:hAnsi="Tahoma" w:cs="Tahoma"/>
          <w:sz w:val="22"/>
          <w:szCs w:val="22"/>
        </w:rPr>
        <w:t xml:space="preserve"> και λιγότερο στις Υπηρεσίες, ενώ στη Βιομηχανία ο σχετικός δείκτης, από ελαφρά πληθωριστικός το ίδιο διάστημα πέρυσι, φέτος εμφανίζεται ισοσκελισμένος. </w:t>
      </w:r>
      <w:r w:rsidRPr="003916EE">
        <w:rPr>
          <w:rFonts w:ascii="Tahoma" w:hAnsi="Tahoma" w:cs="Tahoma"/>
          <w:sz w:val="22"/>
          <w:szCs w:val="22"/>
        </w:rPr>
        <w:t>Αναλυτικότερα:</w:t>
      </w:r>
    </w:p>
    <w:p w:rsidR="00EA2458" w:rsidRPr="00330950" w:rsidRDefault="00EA2458" w:rsidP="0078142C">
      <w:pPr>
        <w:spacing w:before="240" w:after="240" w:line="312" w:lineRule="auto"/>
        <w:ind w:right="1"/>
        <w:jc w:val="both"/>
        <w:rPr>
          <w:rFonts w:ascii="Tahoma" w:hAnsi="Tahoma" w:cs="Tahoma"/>
          <w:sz w:val="22"/>
          <w:szCs w:val="22"/>
        </w:rPr>
      </w:pPr>
      <w:r w:rsidRPr="00187261">
        <w:rPr>
          <w:rFonts w:ascii="Tahoma" w:hAnsi="Tahoma" w:cs="Tahoma"/>
          <w:b/>
          <w:sz w:val="22"/>
          <w:szCs w:val="22"/>
        </w:rPr>
        <w:t xml:space="preserve">Στη Βιομηχανία, οι </w:t>
      </w:r>
      <w:r>
        <w:rPr>
          <w:rFonts w:ascii="Tahoma" w:hAnsi="Tahoma" w:cs="Tahoma"/>
          <w:b/>
          <w:sz w:val="22"/>
          <w:szCs w:val="22"/>
        </w:rPr>
        <w:t xml:space="preserve">αποπληθωριστικές </w:t>
      </w:r>
      <w:r w:rsidRPr="00187261">
        <w:rPr>
          <w:rFonts w:ascii="Tahoma" w:hAnsi="Tahoma" w:cs="Tahoma"/>
          <w:b/>
          <w:sz w:val="22"/>
          <w:szCs w:val="22"/>
        </w:rPr>
        <w:t xml:space="preserve">προβλέψεις </w:t>
      </w:r>
      <w:r>
        <w:rPr>
          <w:rFonts w:ascii="Tahoma" w:hAnsi="Tahoma" w:cs="Tahoma"/>
          <w:b/>
          <w:sz w:val="22"/>
          <w:szCs w:val="22"/>
        </w:rPr>
        <w:t xml:space="preserve">περιορίζονται </w:t>
      </w:r>
      <w:r w:rsidRPr="00187261">
        <w:rPr>
          <w:rFonts w:ascii="Tahoma" w:hAnsi="Tahoma" w:cs="Tahoma"/>
          <w:b/>
          <w:sz w:val="22"/>
          <w:szCs w:val="22"/>
        </w:rPr>
        <w:t xml:space="preserve">το </w:t>
      </w:r>
      <w:r>
        <w:rPr>
          <w:rFonts w:ascii="Tahoma" w:hAnsi="Tahoma" w:cs="Tahoma"/>
          <w:b/>
          <w:sz w:val="22"/>
          <w:szCs w:val="22"/>
        </w:rPr>
        <w:t>πρώτο δίμηνο του 2012 έναντι του τελευταίου τριμήνου του προηγούμενου έτους</w:t>
      </w:r>
      <w:r w:rsidRPr="00187261">
        <w:rPr>
          <w:rFonts w:ascii="Tahoma" w:hAnsi="Tahoma" w:cs="Tahoma"/>
          <w:b/>
          <w:sz w:val="22"/>
          <w:szCs w:val="22"/>
        </w:rPr>
        <w:t xml:space="preserve">, </w:t>
      </w:r>
      <w:r w:rsidRPr="00187261">
        <w:rPr>
          <w:rFonts w:ascii="Tahoma" w:hAnsi="Tahoma" w:cs="Tahoma"/>
          <w:sz w:val="22"/>
          <w:szCs w:val="22"/>
        </w:rPr>
        <w:t xml:space="preserve">με το σχετικό ισοζύγιο να </w:t>
      </w:r>
      <w:r>
        <w:rPr>
          <w:rFonts w:ascii="Tahoma" w:hAnsi="Tahoma" w:cs="Tahoma"/>
          <w:sz w:val="22"/>
          <w:szCs w:val="22"/>
        </w:rPr>
        <w:t>ισοσκελίζεται (από -8</w:t>
      </w:r>
      <w:r w:rsidRPr="00187261">
        <w:rPr>
          <w:rFonts w:ascii="Tahoma" w:hAnsi="Tahoma" w:cs="Tahoma"/>
          <w:sz w:val="22"/>
          <w:szCs w:val="22"/>
        </w:rPr>
        <w:t xml:space="preserve"> μονάδες το προηγούμενο τρίμηνο). Η επίδοση αυτή βρίσκεται </w:t>
      </w:r>
      <w:r>
        <w:rPr>
          <w:rFonts w:ascii="Tahoma" w:hAnsi="Tahoma" w:cs="Tahoma"/>
          <w:sz w:val="22"/>
          <w:szCs w:val="22"/>
        </w:rPr>
        <w:t xml:space="preserve">αρκετά </w:t>
      </w:r>
      <w:r w:rsidRPr="00187261">
        <w:rPr>
          <w:rFonts w:ascii="Tahoma" w:hAnsi="Tahoma" w:cs="Tahoma"/>
          <w:sz w:val="22"/>
          <w:szCs w:val="22"/>
        </w:rPr>
        <w:t xml:space="preserve">χαμηλότερα </w:t>
      </w:r>
      <w:r>
        <w:rPr>
          <w:rFonts w:ascii="Tahoma" w:hAnsi="Tahoma" w:cs="Tahoma"/>
          <w:sz w:val="22"/>
          <w:szCs w:val="22"/>
        </w:rPr>
        <w:t>σε σχέση με</w:t>
      </w:r>
      <w:r w:rsidRPr="00187261">
        <w:rPr>
          <w:rFonts w:ascii="Tahoma" w:hAnsi="Tahoma" w:cs="Tahoma"/>
          <w:sz w:val="22"/>
          <w:szCs w:val="22"/>
        </w:rPr>
        <w:t xml:space="preserve"> τα αντίστοιχα </w:t>
      </w:r>
      <w:r>
        <w:rPr>
          <w:rFonts w:ascii="Tahoma" w:hAnsi="Tahoma" w:cs="Tahoma"/>
          <w:sz w:val="22"/>
          <w:szCs w:val="22"/>
        </w:rPr>
        <w:t>περσινά, θετικά επίπεδα (+11</w:t>
      </w:r>
      <w:r w:rsidRPr="00187261">
        <w:rPr>
          <w:rFonts w:ascii="Tahoma" w:hAnsi="Tahoma" w:cs="Tahoma"/>
          <w:sz w:val="22"/>
          <w:szCs w:val="22"/>
        </w:rPr>
        <w:t xml:space="preserve"> μονάδες).</w:t>
      </w:r>
      <w:r>
        <w:rPr>
          <w:rFonts w:ascii="Tahoma" w:hAnsi="Tahoma" w:cs="Tahoma"/>
          <w:sz w:val="22"/>
          <w:szCs w:val="22"/>
        </w:rPr>
        <w:t xml:space="preserve"> Από ένα 12% των επιχειρήσεων του τομέα το δίμηνο Ιανουαρίου – Φεβρουαρίου αμφότερα</w:t>
      </w:r>
      <w:r w:rsidRPr="00862295">
        <w:rPr>
          <w:rFonts w:ascii="Tahoma" w:hAnsi="Tahoma" w:cs="Tahoma"/>
          <w:sz w:val="22"/>
          <w:szCs w:val="22"/>
        </w:rPr>
        <w:t xml:space="preserve"> </w:t>
      </w:r>
      <w:r>
        <w:rPr>
          <w:rFonts w:ascii="Tahoma" w:hAnsi="Tahoma" w:cs="Tahoma"/>
          <w:sz w:val="22"/>
          <w:szCs w:val="22"/>
        </w:rPr>
        <w:t xml:space="preserve">προβλέπει </w:t>
      </w:r>
      <w:r w:rsidRPr="00862295">
        <w:rPr>
          <w:rFonts w:ascii="Tahoma" w:hAnsi="Tahoma" w:cs="Tahoma"/>
          <w:sz w:val="22"/>
          <w:szCs w:val="22"/>
        </w:rPr>
        <w:t xml:space="preserve">άνοδο </w:t>
      </w:r>
      <w:r>
        <w:rPr>
          <w:rFonts w:ascii="Tahoma" w:hAnsi="Tahoma" w:cs="Tahoma"/>
          <w:sz w:val="22"/>
          <w:szCs w:val="22"/>
        </w:rPr>
        <w:t xml:space="preserve">και πτώση </w:t>
      </w:r>
      <w:r w:rsidRPr="00862295">
        <w:rPr>
          <w:rFonts w:ascii="Tahoma" w:hAnsi="Tahoma" w:cs="Tahoma"/>
          <w:sz w:val="22"/>
          <w:szCs w:val="22"/>
        </w:rPr>
        <w:t xml:space="preserve">των τιμών </w:t>
      </w:r>
      <w:r>
        <w:rPr>
          <w:rFonts w:ascii="Tahoma" w:hAnsi="Tahoma" w:cs="Tahoma"/>
          <w:sz w:val="22"/>
          <w:szCs w:val="22"/>
        </w:rPr>
        <w:t xml:space="preserve">και το υπόλοιπο 76% </w:t>
      </w:r>
      <w:r w:rsidRPr="00187261">
        <w:rPr>
          <w:rFonts w:ascii="Tahoma" w:hAnsi="Tahoma" w:cs="Tahoma"/>
          <w:sz w:val="22"/>
          <w:szCs w:val="22"/>
        </w:rPr>
        <w:t xml:space="preserve">αναμένει </w:t>
      </w:r>
      <w:r>
        <w:rPr>
          <w:rFonts w:ascii="Tahoma" w:hAnsi="Tahoma" w:cs="Tahoma"/>
          <w:sz w:val="22"/>
          <w:szCs w:val="22"/>
        </w:rPr>
        <w:t xml:space="preserve">εκ νέου σταθερότητα </w:t>
      </w:r>
      <w:r w:rsidRPr="00187261">
        <w:rPr>
          <w:rFonts w:ascii="Tahoma" w:hAnsi="Tahoma" w:cs="Tahoma"/>
          <w:sz w:val="22"/>
          <w:szCs w:val="22"/>
        </w:rPr>
        <w:t xml:space="preserve">το </w:t>
      </w:r>
      <w:r>
        <w:rPr>
          <w:rFonts w:ascii="Tahoma" w:hAnsi="Tahoma" w:cs="Tahoma"/>
          <w:sz w:val="22"/>
          <w:szCs w:val="22"/>
        </w:rPr>
        <w:t>προσεχές</w:t>
      </w:r>
      <w:r w:rsidRPr="00187261">
        <w:rPr>
          <w:rFonts w:ascii="Tahoma" w:hAnsi="Tahoma" w:cs="Tahoma"/>
          <w:sz w:val="22"/>
          <w:szCs w:val="22"/>
        </w:rPr>
        <w:t xml:space="preserve"> διάστημα.</w:t>
      </w:r>
    </w:p>
    <w:p w:rsidR="00EA2458" w:rsidRPr="00431CD6" w:rsidRDefault="00EA2458" w:rsidP="0078142C">
      <w:pPr>
        <w:spacing w:before="240" w:after="240" w:line="312" w:lineRule="auto"/>
        <w:ind w:right="1"/>
        <w:jc w:val="both"/>
        <w:rPr>
          <w:rFonts w:ascii="Tahoma" w:hAnsi="Tahoma" w:cs="Tahoma"/>
          <w:sz w:val="22"/>
          <w:szCs w:val="22"/>
        </w:rPr>
      </w:pPr>
      <w:r w:rsidRPr="00187261">
        <w:rPr>
          <w:rFonts w:ascii="Tahoma" w:hAnsi="Tahoma" w:cs="Tahoma"/>
          <w:b/>
          <w:sz w:val="22"/>
          <w:szCs w:val="22"/>
        </w:rPr>
        <w:t xml:space="preserve">Στο Λιανικό Εμπόριο το </w:t>
      </w:r>
      <w:r>
        <w:rPr>
          <w:rFonts w:ascii="Tahoma" w:hAnsi="Tahoma" w:cs="Tahoma"/>
          <w:b/>
          <w:sz w:val="22"/>
          <w:szCs w:val="22"/>
        </w:rPr>
        <w:t>εξεταζόμενο δίμηνο</w:t>
      </w:r>
      <w:r w:rsidRPr="00187261">
        <w:rPr>
          <w:rFonts w:ascii="Tahoma" w:hAnsi="Tahoma" w:cs="Tahoma"/>
          <w:b/>
          <w:sz w:val="22"/>
          <w:szCs w:val="22"/>
        </w:rPr>
        <w:t xml:space="preserve">, οι προβλέψεις υποχώρησης του επιπέδου των τιμών </w:t>
      </w:r>
      <w:r>
        <w:rPr>
          <w:rFonts w:ascii="Tahoma" w:hAnsi="Tahoma" w:cs="Tahoma"/>
          <w:b/>
          <w:sz w:val="22"/>
          <w:szCs w:val="22"/>
        </w:rPr>
        <w:t xml:space="preserve">παραμένουν στα ίδια επίπεδα με το προηγούμενο τρίμηνο, </w:t>
      </w:r>
      <w:r w:rsidRPr="00187261">
        <w:rPr>
          <w:rFonts w:ascii="Tahoma" w:hAnsi="Tahoma" w:cs="Tahoma"/>
          <w:sz w:val="22"/>
          <w:szCs w:val="22"/>
        </w:rPr>
        <w:t>με το σχετικό</w:t>
      </w:r>
      <w:r>
        <w:rPr>
          <w:rFonts w:ascii="Tahoma" w:hAnsi="Tahoma" w:cs="Tahoma"/>
          <w:sz w:val="22"/>
          <w:szCs w:val="22"/>
        </w:rPr>
        <w:t xml:space="preserve"> αρνητικό</w:t>
      </w:r>
      <w:r w:rsidRPr="00187261">
        <w:rPr>
          <w:rFonts w:ascii="Tahoma" w:hAnsi="Tahoma" w:cs="Tahoma"/>
          <w:sz w:val="22"/>
          <w:szCs w:val="22"/>
        </w:rPr>
        <w:t xml:space="preserve"> ισοζύγιο να διαμορφώνεται </w:t>
      </w:r>
      <w:r>
        <w:rPr>
          <w:rFonts w:ascii="Tahoma" w:hAnsi="Tahoma" w:cs="Tahoma"/>
          <w:sz w:val="22"/>
          <w:szCs w:val="22"/>
        </w:rPr>
        <w:t xml:space="preserve">και πάλι </w:t>
      </w:r>
      <w:r w:rsidRPr="00187261">
        <w:rPr>
          <w:rFonts w:ascii="Tahoma" w:hAnsi="Tahoma" w:cs="Tahoma"/>
          <w:sz w:val="22"/>
          <w:szCs w:val="22"/>
        </w:rPr>
        <w:t>στις</w:t>
      </w:r>
      <w:r>
        <w:rPr>
          <w:rFonts w:ascii="Tahoma" w:hAnsi="Tahoma" w:cs="Tahoma"/>
          <w:sz w:val="22"/>
          <w:szCs w:val="22"/>
        </w:rPr>
        <w:t xml:space="preserve"> -23 μονάδες, σε υπερδιπλάσια επίπεδα σε </w:t>
      </w:r>
      <w:r w:rsidRPr="00187261">
        <w:rPr>
          <w:rFonts w:ascii="Tahoma" w:hAnsi="Tahoma" w:cs="Tahoma"/>
          <w:sz w:val="22"/>
          <w:szCs w:val="22"/>
        </w:rPr>
        <w:t xml:space="preserve">σχέση με </w:t>
      </w:r>
      <w:r>
        <w:rPr>
          <w:rFonts w:ascii="Tahoma" w:hAnsi="Tahoma" w:cs="Tahoma"/>
          <w:sz w:val="22"/>
          <w:szCs w:val="22"/>
        </w:rPr>
        <w:t>τα αντίστοιχα περσινά (-10</w:t>
      </w:r>
      <w:r w:rsidRPr="00187261">
        <w:rPr>
          <w:rFonts w:ascii="Tahoma" w:hAnsi="Tahoma" w:cs="Tahoma"/>
          <w:sz w:val="22"/>
          <w:szCs w:val="22"/>
        </w:rPr>
        <w:t xml:space="preserve"> μονάδες). Το ποσοστό των επιχειρήσεων που αναμένουν πτώση </w:t>
      </w:r>
      <w:r>
        <w:rPr>
          <w:rFonts w:ascii="Tahoma" w:hAnsi="Tahoma" w:cs="Tahoma"/>
          <w:sz w:val="22"/>
          <w:szCs w:val="22"/>
        </w:rPr>
        <w:t xml:space="preserve">των τιμών </w:t>
      </w:r>
      <w:r w:rsidRPr="00187261">
        <w:rPr>
          <w:rFonts w:ascii="Tahoma" w:hAnsi="Tahoma" w:cs="Tahoma"/>
          <w:sz w:val="22"/>
          <w:szCs w:val="22"/>
        </w:rPr>
        <w:t>το επόμε</w:t>
      </w:r>
      <w:r>
        <w:rPr>
          <w:rFonts w:ascii="Tahoma" w:hAnsi="Tahoma" w:cs="Tahoma"/>
          <w:sz w:val="22"/>
          <w:szCs w:val="22"/>
        </w:rPr>
        <w:t>νο διάστημα διαμορφώνεται στο 28%</w:t>
      </w:r>
      <w:r w:rsidRPr="00187261">
        <w:rPr>
          <w:rFonts w:ascii="Tahoma" w:hAnsi="Tahoma" w:cs="Tahoma"/>
          <w:sz w:val="22"/>
          <w:szCs w:val="22"/>
        </w:rPr>
        <w:t xml:space="preserve">, </w:t>
      </w:r>
      <w:r>
        <w:rPr>
          <w:rFonts w:ascii="Tahoma" w:hAnsi="Tahoma" w:cs="Tahoma"/>
          <w:sz w:val="22"/>
          <w:szCs w:val="22"/>
        </w:rPr>
        <w:t xml:space="preserve">στα ίδια επίπεδα με </w:t>
      </w:r>
      <w:r>
        <w:rPr>
          <w:rFonts w:ascii="Tahoma" w:hAnsi="Tahoma" w:cs="Tahoma"/>
          <w:sz w:val="22"/>
          <w:szCs w:val="22"/>
        </w:rPr>
        <w:lastRenderedPageBreak/>
        <w:t xml:space="preserve">το μέσο όρο του αμέσως προηγούμενου τριμήνου, </w:t>
      </w:r>
      <w:r w:rsidRPr="00187261">
        <w:rPr>
          <w:rFonts w:ascii="Tahoma" w:hAnsi="Tahoma" w:cs="Tahoma"/>
          <w:sz w:val="22"/>
          <w:szCs w:val="22"/>
        </w:rPr>
        <w:t xml:space="preserve">ενώ </w:t>
      </w:r>
      <w:r>
        <w:rPr>
          <w:rFonts w:ascii="Tahoma" w:hAnsi="Tahoma" w:cs="Tahoma"/>
          <w:sz w:val="22"/>
          <w:szCs w:val="22"/>
        </w:rPr>
        <w:t xml:space="preserve">μόνο 6% </w:t>
      </w:r>
      <w:r w:rsidRPr="00187261">
        <w:rPr>
          <w:rFonts w:ascii="Tahoma" w:hAnsi="Tahoma" w:cs="Tahoma"/>
          <w:sz w:val="22"/>
          <w:szCs w:val="22"/>
        </w:rPr>
        <w:t xml:space="preserve">αναμένουν άνοδό τους. Στους επιμέρους κλάδους, οι ισχυρότερες προβλέψεις </w:t>
      </w:r>
      <w:r>
        <w:rPr>
          <w:rFonts w:ascii="Tahoma" w:hAnsi="Tahoma" w:cs="Tahoma"/>
          <w:sz w:val="22"/>
          <w:szCs w:val="22"/>
        </w:rPr>
        <w:t>μείωσης των</w:t>
      </w:r>
      <w:r w:rsidRPr="00187261">
        <w:rPr>
          <w:rFonts w:ascii="Tahoma" w:hAnsi="Tahoma" w:cs="Tahoma"/>
          <w:sz w:val="22"/>
          <w:szCs w:val="22"/>
        </w:rPr>
        <w:t xml:space="preserve"> τιμών </w:t>
      </w:r>
      <w:r>
        <w:rPr>
          <w:rFonts w:ascii="Tahoma" w:hAnsi="Tahoma" w:cs="Tahoma"/>
          <w:sz w:val="22"/>
          <w:szCs w:val="22"/>
        </w:rPr>
        <w:t>εμφανίζονται και αυτήν την περίοδο με μεγάλη διαφορά σ</w:t>
      </w:r>
      <w:r w:rsidRPr="00187261">
        <w:rPr>
          <w:rFonts w:ascii="Tahoma" w:hAnsi="Tahoma" w:cs="Tahoma"/>
          <w:sz w:val="22"/>
          <w:szCs w:val="22"/>
        </w:rPr>
        <w:t>τα Υφάσματα – Ένδυση – Υπό</w:t>
      </w:r>
      <w:r>
        <w:rPr>
          <w:rFonts w:ascii="Tahoma" w:hAnsi="Tahoma" w:cs="Tahoma"/>
          <w:sz w:val="22"/>
          <w:szCs w:val="22"/>
        </w:rPr>
        <w:t xml:space="preserve">δηση, ενώ έντονα αρνητικοί είναι οι σχετικοί δείκτες και στα Πολυκαταστήματα, τα Οχήματα – Ανταλλακτικά, αλλά και στα Τρόφιμα- Ποτά – Καπνός, όπου το σχετικό ισοζύγιο κατέγραψε αισθητή πτώση σε σχέση με το προηγούμενο τρίμηνο. Ο μόνος κλάδος στον οποίο ο δείκτης πρόβλεψης των τιμών δεν είναι αρνητικός, αλλά ισοσκελισμένος είναι τα </w:t>
      </w:r>
      <w:r w:rsidRPr="00431CD6">
        <w:rPr>
          <w:rFonts w:ascii="Tahoma" w:hAnsi="Tahoma" w:cs="Tahoma"/>
          <w:sz w:val="22"/>
          <w:szCs w:val="22"/>
        </w:rPr>
        <w:t>Είδη οικιακού εξοπλισμού</w:t>
      </w:r>
      <w:r>
        <w:rPr>
          <w:rFonts w:ascii="Tahoma" w:hAnsi="Tahoma" w:cs="Tahoma"/>
          <w:sz w:val="22"/>
          <w:szCs w:val="22"/>
        </w:rPr>
        <w:t>.</w:t>
      </w:r>
    </w:p>
    <w:p w:rsidR="00EA2458" w:rsidRDefault="00EA2458" w:rsidP="0078142C">
      <w:pPr>
        <w:tabs>
          <w:tab w:val="left" w:pos="-3261"/>
        </w:tabs>
        <w:spacing w:before="240" w:after="240" w:line="312" w:lineRule="auto"/>
        <w:ind w:right="1"/>
        <w:jc w:val="both"/>
        <w:rPr>
          <w:rFonts w:ascii="Tahoma" w:hAnsi="Tahoma" w:cs="Tahoma"/>
          <w:sz w:val="22"/>
          <w:szCs w:val="22"/>
        </w:rPr>
      </w:pPr>
      <w:r w:rsidRPr="00691B72">
        <w:rPr>
          <w:rFonts w:ascii="Tahoma" w:hAnsi="Tahoma" w:cs="Tahoma"/>
          <w:b/>
          <w:sz w:val="22"/>
          <w:szCs w:val="22"/>
        </w:rPr>
        <w:t xml:space="preserve">Στον τομέα των Υπηρεσιών, </w:t>
      </w:r>
      <w:r>
        <w:rPr>
          <w:rFonts w:ascii="Tahoma" w:hAnsi="Tahoma" w:cs="Tahoma"/>
          <w:b/>
          <w:sz w:val="22"/>
          <w:szCs w:val="22"/>
        </w:rPr>
        <w:t xml:space="preserve">το ισοζύγιο των τιμών κινείται ελαφρώς πτωτικά στο δίμηνο Ιανουαρίου – Φεβρουαρίου σε σχέση με τους τελευταίους μήνες του 2011 και κατά μέσο όρο διαμορφώνεται στις -25 μονάδες (από -22). </w:t>
      </w:r>
      <w:r>
        <w:rPr>
          <w:rFonts w:ascii="Tahoma" w:hAnsi="Tahoma" w:cs="Tahoma"/>
          <w:sz w:val="22"/>
          <w:szCs w:val="22"/>
        </w:rPr>
        <w:t xml:space="preserve">Η επίδοση αυτή είναι </w:t>
      </w:r>
      <w:r w:rsidRPr="00691B72">
        <w:rPr>
          <w:rFonts w:ascii="Tahoma" w:hAnsi="Tahoma" w:cs="Tahoma"/>
          <w:sz w:val="22"/>
          <w:szCs w:val="22"/>
        </w:rPr>
        <w:t xml:space="preserve">ελαφρώς </w:t>
      </w:r>
      <w:r>
        <w:rPr>
          <w:rFonts w:ascii="Tahoma" w:hAnsi="Tahoma" w:cs="Tahoma"/>
          <w:sz w:val="22"/>
          <w:szCs w:val="22"/>
        </w:rPr>
        <w:t xml:space="preserve">χαμηλότερη και </w:t>
      </w:r>
      <w:r w:rsidRPr="00691B72">
        <w:rPr>
          <w:rFonts w:ascii="Tahoma" w:hAnsi="Tahoma" w:cs="Tahoma"/>
          <w:sz w:val="22"/>
          <w:szCs w:val="22"/>
        </w:rPr>
        <w:t xml:space="preserve">έναντι της αντίστοιχης περσινής </w:t>
      </w:r>
      <w:r>
        <w:rPr>
          <w:rFonts w:ascii="Tahoma" w:hAnsi="Tahoma" w:cs="Tahoma"/>
          <w:sz w:val="22"/>
          <w:szCs w:val="22"/>
        </w:rPr>
        <w:t>(-20</w:t>
      </w:r>
      <w:r w:rsidRPr="00691B72">
        <w:rPr>
          <w:rFonts w:ascii="Tahoma" w:hAnsi="Tahoma" w:cs="Tahoma"/>
          <w:sz w:val="22"/>
          <w:szCs w:val="22"/>
        </w:rPr>
        <w:t xml:space="preserve"> μονάδες). </w:t>
      </w:r>
      <w:r>
        <w:rPr>
          <w:rFonts w:ascii="Tahoma" w:hAnsi="Tahoma" w:cs="Tahoma"/>
          <w:sz w:val="22"/>
          <w:szCs w:val="22"/>
        </w:rPr>
        <w:t xml:space="preserve">Το υπό εξέταση διάστημα, το 27% των επιχειρήσεων </w:t>
      </w:r>
      <w:r w:rsidRPr="00691B72">
        <w:rPr>
          <w:rFonts w:ascii="Tahoma" w:hAnsi="Tahoma" w:cs="Tahoma"/>
          <w:sz w:val="22"/>
          <w:szCs w:val="22"/>
        </w:rPr>
        <w:t xml:space="preserve">του τομέα αναμένει </w:t>
      </w:r>
      <w:r>
        <w:rPr>
          <w:rFonts w:ascii="Tahoma" w:hAnsi="Tahoma" w:cs="Tahoma"/>
          <w:sz w:val="22"/>
          <w:szCs w:val="22"/>
        </w:rPr>
        <w:t xml:space="preserve">υποχώρηση των τιμών βραχυπρόθεσμα, </w:t>
      </w:r>
      <w:r w:rsidRPr="00691B72">
        <w:rPr>
          <w:rFonts w:ascii="Tahoma" w:hAnsi="Tahoma" w:cs="Tahoma"/>
          <w:sz w:val="22"/>
          <w:szCs w:val="22"/>
        </w:rPr>
        <w:t xml:space="preserve">ενώ </w:t>
      </w:r>
      <w:r>
        <w:rPr>
          <w:rFonts w:ascii="Tahoma" w:hAnsi="Tahoma" w:cs="Tahoma"/>
          <w:sz w:val="22"/>
          <w:szCs w:val="22"/>
        </w:rPr>
        <w:t>επτά στις δέκα επιχειρήσεις</w:t>
      </w:r>
      <w:r w:rsidRPr="00691B72">
        <w:rPr>
          <w:rFonts w:ascii="Tahoma" w:hAnsi="Tahoma" w:cs="Tahoma"/>
          <w:sz w:val="22"/>
          <w:szCs w:val="22"/>
        </w:rPr>
        <w:t xml:space="preserve"> (7</w:t>
      </w:r>
      <w:r>
        <w:rPr>
          <w:rFonts w:ascii="Tahoma" w:hAnsi="Tahoma" w:cs="Tahoma"/>
          <w:sz w:val="22"/>
          <w:szCs w:val="22"/>
        </w:rPr>
        <w:t>1</w:t>
      </w:r>
      <w:r w:rsidRPr="00691B72">
        <w:rPr>
          <w:rFonts w:ascii="Tahoma" w:hAnsi="Tahoma" w:cs="Tahoma"/>
          <w:sz w:val="22"/>
          <w:szCs w:val="22"/>
        </w:rPr>
        <w:t xml:space="preserve">%) </w:t>
      </w:r>
      <w:r>
        <w:rPr>
          <w:rFonts w:ascii="Tahoma" w:hAnsi="Tahoma" w:cs="Tahoma"/>
          <w:sz w:val="22"/>
          <w:szCs w:val="22"/>
        </w:rPr>
        <w:t>προβλέπουν</w:t>
      </w:r>
      <w:r w:rsidRPr="00691B72">
        <w:rPr>
          <w:rFonts w:ascii="Tahoma" w:hAnsi="Tahoma" w:cs="Tahoma"/>
          <w:sz w:val="22"/>
          <w:szCs w:val="22"/>
        </w:rPr>
        <w:t xml:space="preserve"> </w:t>
      </w:r>
      <w:r>
        <w:rPr>
          <w:rFonts w:ascii="Tahoma" w:hAnsi="Tahoma" w:cs="Tahoma"/>
          <w:sz w:val="22"/>
          <w:szCs w:val="22"/>
        </w:rPr>
        <w:t>σταθερές τιμές</w:t>
      </w:r>
      <w:r w:rsidRPr="00691B72">
        <w:rPr>
          <w:rFonts w:ascii="Tahoma" w:hAnsi="Tahoma" w:cs="Tahoma"/>
          <w:sz w:val="22"/>
          <w:szCs w:val="22"/>
        </w:rPr>
        <w:t xml:space="preserve">. </w:t>
      </w:r>
      <w:r>
        <w:rPr>
          <w:rFonts w:ascii="Tahoma" w:hAnsi="Tahoma" w:cs="Tahoma"/>
          <w:sz w:val="22"/>
          <w:szCs w:val="22"/>
        </w:rPr>
        <w:t xml:space="preserve">Στους περισσότερους επιμέρους </w:t>
      </w:r>
      <w:r w:rsidRPr="00691B72">
        <w:rPr>
          <w:rFonts w:ascii="Tahoma" w:hAnsi="Tahoma" w:cs="Tahoma"/>
          <w:sz w:val="22"/>
          <w:szCs w:val="22"/>
        </w:rPr>
        <w:t xml:space="preserve">κλάδους, </w:t>
      </w:r>
      <w:r>
        <w:rPr>
          <w:rFonts w:ascii="Tahoma" w:hAnsi="Tahoma" w:cs="Tahoma"/>
          <w:sz w:val="22"/>
          <w:szCs w:val="22"/>
        </w:rPr>
        <w:t>οι σχετικοί δείκτες δείχνουν μείωση τιμών το επόμενο τρίμηνο, με τις αποπληθωριστικές προσδοκίες να είναι εντονότερες στις Διάφορες Επιχειρηματικές Δραστηριότητες και στις Υπηρεσίες Πληροφορικής.</w:t>
      </w:r>
    </w:p>
    <w:p w:rsidR="00295EC3" w:rsidRDefault="00EA2458" w:rsidP="0078142C">
      <w:pPr>
        <w:spacing w:before="240" w:after="240" w:line="312" w:lineRule="auto"/>
        <w:ind w:right="1"/>
        <w:jc w:val="both"/>
        <w:rPr>
          <w:rFonts w:ascii="Tahoma" w:hAnsi="Tahoma" w:cs="Tahoma"/>
          <w:sz w:val="22"/>
          <w:szCs w:val="22"/>
        </w:rPr>
      </w:pPr>
      <w:r w:rsidRPr="00330950">
        <w:rPr>
          <w:rFonts w:ascii="Tahoma" w:hAnsi="Tahoma" w:cs="Tahoma"/>
          <w:b/>
          <w:sz w:val="22"/>
          <w:szCs w:val="22"/>
        </w:rPr>
        <w:t xml:space="preserve">Τέλος, </w:t>
      </w:r>
      <w:r>
        <w:rPr>
          <w:rFonts w:ascii="Tahoma" w:hAnsi="Tahoma" w:cs="Tahoma"/>
          <w:b/>
          <w:sz w:val="22"/>
          <w:szCs w:val="22"/>
        </w:rPr>
        <w:t xml:space="preserve">οι έντονα αρνητικές προβλέψεις των τιμών </w:t>
      </w:r>
      <w:r w:rsidRPr="00330950">
        <w:rPr>
          <w:rFonts w:ascii="Tahoma" w:hAnsi="Tahoma" w:cs="Tahoma"/>
          <w:b/>
          <w:sz w:val="22"/>
          <w:szCs w:val="22"/>
        </w:rPr>
        <w:t xml:space="preserve">στις Ιδιωτικές Κατασκευές </w:t>
      </w:r>
      <w:r>
        <w:rPr>
          <w:rFonts w:ascii="Tahoma" w:hAnsi="Tahoma" w:cs="Tahoma"/>
          <w:b/>
          <w:sz w:val="22"/>
          <w:szCs w:val="22"/>
        </w:rPr>
        <w:t xml:space="preserve">ελαφρώς εξομαλύνονται </w:t>
      </w:r>
      <w:r w:rsidRPr="00330950">
        <w:rPr>
          <w:rFonts w:ascii="Tahoma" w:hAnsi="Tahoma" w:cs="Tahoma"/>
          <w:b/>
          <w:sz w:val="22"/>
          <w:szCs w:val="22"/>
        </w:rPr>
        <w:t xml:space="preserve">το υπό εξέταση </w:t>
      </w:r>
      <w:r>
        <w:rPr>
          <w:rFonts w:ascii="Tahoma" w:hAnsi="Tahoma" w:cs="Tahoma"/>
          <w:b/>
          <w:sz w:val="22"/>
          <w:szCs w:val="22"/>
        </w:rPr>
        <w:t xml:space="preserve">δίμηνο, αλλά εξακολουθούν να υποδηλώνουν μεγάλες μειώσεις τιμών </w:t>
      </w:r>
      <w:r>
        <w:rPr>
          <w:rFonts w:ascii="Tahoma" w:hAnsi="Tahoma" w:cs="Tahoma"/>
          <w:b/>
          <w:sz w:val="22"/>
          <w:szCs w:val="22"/>
        </w:rPr>
        <w:lastRenderedPageBreak/>
        <w:t xml:space="preserve">προσεχώς. </w:t>
      </w:r>
      <w:r w:rsidRPr="002E48DA">
        <w:rPr>
          <w:rFonts w:ascii="Tahoma" w:hAnsi="Tahoma" w:cs="Tahoma"/>
          <w:sz w:val="22"/>
          <w:szCs w:val="22"/>
        </w:rPr>
        <w:t>Έτσι, το</w:t>
      </w:r>
      <w:r>
        <w:rPr>
          <w:rFonts w:ascii="Tahoma" w:hAnsi="Tahoma" w:cs="Tahoma"/>
          <w:sz w:val="22"/>
          <w:szCs w:val="22"/>
        </w:rPr>
        <w:t xml:space="preserve"> σχετικό αρνητικό ισοζύγιο το εξεταζόμενο δίμηνο διαμορφώνεται στις -34 μονάδες, υψηλότερα και σε σχέση με την αντίστοιχη περσινή του επίδοση (-44 μονάδες). Τα 2/5 των </w:t>
      </w:r>
      <w:r>
        <w:rPr>
          <w:rFonts w:ascii="Tahoma" w:hAnsi="Tahoma" w:cs="Tahoma"/>
          <w:sz w:val="22"/>
          <w:szCs w:val="22"/>
        </w:rPr>
        <w:lastRenderedPageBreak/>
        <w:t>επιχειρήσεων του κλάδου (από 67%) αναμένουν μείωση τιμών το επόμενο τρίμηνο, ενώ αντίθετα ένα 5% προβλέπει</w:t>
      </w:r>
      <w:r w:rsidRPr="00691B72">
        <w:rPr>
          <w:rFonts w:ascii="Tahoma" w:hAnsi="Tahoma" w:cs="Tahoma"/>
          <w:sz w:val="22"/>
          <w:szCs w:val="22"/>
        </w:rPr>
        <w:t xml:space="preserve"> </w:t>
      </w:r>
      <w:r>
        <w:rPr>
          <w:rFonts w:ascii="Tahoma" w:hAnsi="Tahoma" w:cs="Tahoma"/>
          <w:sz w:val="22"/>
          <w:szCs w:val="22"/>
        </w:rPr>
        <w:t>κλιμάκωση</w:t>
      </w:r>
      <w:r w:rsidRPr="00691B72">
        <w:rPr>
          <w:rFonts w:ascii="Tahoma" w:hAnsi="Tahoma" w:cs="Tahoma"/>
          <w:sz w:val="22"/>
          <w:szCs w:val="22"/>
        </w:rPr>
        <w:t xml:space="preserve"> τιμών</w:t>
      </w:r>
      <w:r>
        <w:rPr>
          <w:rFonts w:ascii="Tahoma" w:hAnsi="Tahoma" w:cs="Tahoma"/>
          <w:sz w:val="22"/>
          <w:szCs w:val="22"/>
        </w:rPr>
        <w:t>.</w:t>
      </w:r>
    </w:p>
    <w:p w:rsidR="003133F2" w:rsidRDefault="003133F2" w:rsidP="00FB2EFC">
      <w:pPr>
        <w:spacing w:before="240" w:after="240" w:line="312" w:lineRule="auto"/>
        <w:ind w:left="-142" w:right="-57"/>
        <w:jc w:val="both"/>
        <w:rPr>
          <w:rFonts w:ascii="Tahoma" w:hAnsi="Tahoma" w:cs="Tahoma"/>
          <w:sz w:val="22"/>
          <w:szCs w:val="22"/>
        </w:rPr>
        <w:sectPr w:rsidR="003133F2" w:rsidSect="003133F2">
          <w:headerReference w:type="default" r:id="rId50"/>
          <w:footerReference w:type="even" r:id="rId51"/>
          <w:pgSz w:w="11906" w:h="16838"/>
          <w:pgMar w:top="1440" w:right="720" w:bottom="1440" w:left="1559" w:header="720" w:footer="720" w:gutter="0"/>
          <w:paperSrc w:first="7" w:other="7"/>
          <w:cols w:num="2" w:space="553"/>
        </w:sectPr>
      </w:pPr>
    </w:p>
    <w:p w:rsidR="003133F2" w:rsidRDefault="003133F2" w:rsidP="00FB2EFC">
      <w:pPr>
        <w:spacing w:before="240" w:after="240" w:line="312" w:lineRule="auto"/>
        <w:ind w:left="-142" w:right="-57"/>
        <w:jc w:val="both"/>
        <w:rPr>
          <w:rFonts w:ascii="Tahoma" w:hAnsi="Tahoma" w:cs="Tahoma"/>
          <w:sz w:val="22"/>
          <w:szCs w:val="22"/>
        </w:rPr>
      </w:pPr>
    </w:p>
    <w:p w:rsidR="003133F2" w:rsidRDefault="003133F2" w:rsidP="00FB2EFC">
      <w:pPr>
        <w:spacing w:before="240" w:after="240" w:line="312" w:lineRule="auto"/>
        <w:ind w:left="-142" w:right="-57"/>
        <w:jc w:val="both"/>
        <w:rPr>
          <w:rFonts w:ascii="Tahoma" w:hAnsi="Tahoma" w:cs="Tahoma"/>
          <w:sz w:val="22"/>
          <w:szCs w:val="22"/>
        </w:rPr>
        <w:sectPr w:rsidR="003133F2" w:rsidSect="003133F2">
          <w:type w:val="continuous"/>
          <w:pgSz w:w="11906" w:h="16838"/>
          <w:pgMar w:top="1391" w:right="1418" w:bottom="1418" w:left="1418" w:header="720" w:footer="720" w:gutter="0"/>
          <w:paperSrc w:first="242" w:other="242"/>
          <w:cols w:space="720"/>
          <w:rtlGutter/>
        </w:sectPr>
      </w:pPr>
    </w:p>
    <w:p w:rsidR="00EA2458" w:rsidRPr="0091514A" w:rsidRDefault="00FB2EFC" w:rsidP="00EA2458">
      <w:pPr>
        <w:pStyle w:val="new4"/>
        <w:spacing w:before="120" w:after="120" w:line="240" w:lineRule="auto"/>
      </w:pPr>
      <w:r>
        <w:lastRenderedPageBreak/>
        <w:t>Διάγραμμα 3.16</w:t>
      </w:r>
    </w:p>
    <w:p w:rsidR="00EA2458" w:rsidRDefault="00EA2458" w:rsidP="00EA2458">
      <w:pPr>
        <w:pStyle w:val="new4"/>
        <w:spacing w:before="120" w:after="120" w:line="240" w:lineRule="auto"/>
        <w:rPr>
          <w:b w:val="0"/>
          <w:bCs w:val="0"/>
          <w:color w:val="000000"/>
        </w:rPr>
      </w:pPr>
      <w:bookmarkStart w:id="272" w:name="_Toc110690401"/>
      <w:bookmarkStart w:id="273" w:name="_Toc128387575"/>
      <w:bookmarkStart w:id="274" w:name="_Toc128396894"/>
      <w:bookmarkStart w:id="275" w:name="_Toc150583649"/>
      <w:bookmarkStart w:id="276" w:name="_Toc158997841"/>
      <w:bookmarkStart w:id="277" w:name="_Toc159135551"/>
      <w:bookmarkStart w:id="278" w:name="_Toc159143395"/>
      <w:bookmarkStart w:id="279" w:name="_Toc177820095"/>
      <w:bookmarkStart w:id="280" w:name="_Toc177872910"/>
      <w:bookmarkStart w:id="281" w:name="_Toc185664940"/>
      <w:bookmarkStart w:id="282" w:name="_Toc193883152"/>
      <w:bookmarkStart w:id="283" w:name="_Toc193883418"/>
      <w:bookmarkStart w:id="284" w:name="_Toc202325393"/>
      <w:bookmarkStart w:id="285" w:name="_Toc202325784"/>
      <w:bookmarkStart w:id="286" w:name="_Toc210206159"/>
      <w:bookmarkStart w:id="287" w:name="_Toc210206855"/>
      <w:bookmarkStart w:id="288" w:name="_Toc210207770"/>
      <w:bookmarkStart w:id="289" w:name="_Toc217466251"/>
      <w:bookmarkStart w:id="290" w:name="_Toc217724907"/>
      <w:bookmarkStart w:id="291" w:name="_Toc217728931"/>
      <w:bookmarkStart w:id="292" w:name="_Toc230757370"/>
      <w:bookmarkStart w:id="293" w:name="_Toc237064882"/>
      <w:r w:rsidRPr="004222BE">
        <w:rPr>
          <w:b w:val="0"/>
          <w:bCs w:val="0"/>
          <w:color w:val="000000"/>
        </w:rPr>
        <w:t>Προβλέψεις για την απασχόληση (διαφορά θετικών – αρνητικών απαντήσεων)</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tbl>
      <w:tblPr>
        <w:tblW w:w="9640" w:type="dxa"/>
        <w:tblInd w:w="1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4952"/>
        <w:gridCol w:w="4688"/>
      </w:tblGrid>
      <w:tr w:rsidR="00EA2458" w:rsidRPr="00CA592F" w:rsidTr="00AE1766">
        <w:trPr>
          <w:trHeight w:val="5100"/>
        </w:trPr>
        <w:tc>
          <w:tcPr>
            <w:tcW w:w="4952" w:type="dxa"/>
          </w:tcPr>
          <w:p w:rsidR="00EA2458" w:rsidRPr="00CA592F" w:rsidRDefault="00EA2458" w:rsidP="00AE1766">
            <w:pPr>
              <w:spacing w:before="240" w:after="240"/>
              <w:jc w:val="center"/>
              <w:rPr>
                <w:rFonts w:ascii="Tahoma" w:hAnsi="Tahoma" w:cs="Tahoma"/>
                <w:b/>
              </w:rPr>
            </w:pPr>
            <w:r w:rsidRPr="00CA592F">
              <w:rPr>
                <w:rFonts w:ascii="Tahoma" w:hAnsi="Tahoma" w:cs="Tahoma"/>
                <w:b/>
              </w:rPr>
              <w:t>Βιομηχανία</w:t>
            </w:r>
          </w:p>
          <w:p w:rsidR="00EA2458" w:rsidRPr="00CA592F" w:rsidRDefault="00EA2458" w:rsidP="00AE1766">
            <w:pPr>
              <w:spacing w:before="240" w:after="240"/>
              <w:jc w:val="both"/>
              <w:rPr>
                <w:rFonts w:ascii="Tahoma" w:hAnsi="Tahoma" w:cs="Tahoma"/>
                <w:b/>
                <w:noProof/>
              </w:rPr>
            </w:pPr>
            <w:r>
              <w:rPr>
                <w:rFonts w:ascii="Tahoma" w:hAnsi="Tahoma" w:cs="Tahoma"/>
                <w:b/>
                <w:noProof/>
                <w:lang w:val="en-US" w:eastAsia="en-US"/>
              </w:rPr>
              <w:drawing>
                <wp:inline distT="0" distB="0" distL="0" distR="0">
                  <wp:extent cx="3009900" cy="2571750"/>
                  <wp:effectExtent l="0" t="0" r="0" b="0"/>
                  <wp:docPr id="257" name="Εικόνα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2" cstate="print"/>
                          <a:srcRect/>
                          <a:stretch>
                            <a:fillRect/>
                          </a:stretch>
                        </pic:blipFill>
                        <pic:spPr bwMode="auto">
                          <a:xfrm>
                            <a:off x="0" y="0"/>
                            <a:ext cx="3009900" cy="2571750"/>
                          </a:xfrm>
                          <a:prstGeom prst="rect">
                            <a:avLst/>
                          </a:prstGeom>
                          <a:noFill/>
                          <a:ln w="9525">
                            <a:noFill/>
                            <a:miter lim="800000"/>
                            <a:headEnd/>
                            <a:tailEnd/>
                          </a:ln>
                        </pic:spPr>
                      </pic:pic>
                    </a:graphicData>
                  </a:graphic>
                </wp:inline>
              </w:drawing>
            </w:r>
          </w:p>
        </w:tc>
        <w:tc>
          <w:tcPr>
            <w:tcW w:w="4688" w:type="dxa"/>
          </w:tcPr>
          <w:p w:rsidR="00EA2458" w:rsidRPr="00CA592F" w:rsidRDefault="00EA2458" w:rsidP="00AE1766">
            <w:pPr>
              <w:spacing w:before="240" w:after="240"/>
              <w:jc w:val="center"/>
              <w:rPr>
                <w:rFonts w:ascii="Tahoma" w:hAnsi="Tahoma" w:cs="Tahoma"/>
                <w:b/>
              </w:rPr>
            </w:pPr>
            <w:r w:rsidRPr="00CA592F">
              <w:rPr>
                <w:rFonts w:ascii="Tahoma" w:hAnsi="Tahoma" w:cs="Tahoma"/>
                <w:b/>
              </w:rPr>
              <w:t>Ιδιωτικές Κατασκευές</w:t>
            </w:r>
          </w:p>
          <w:p w:rsidR="00EA2458" w:rsidRPr="00CA592F" w:rsidRDefault="00EA2458" w:rsidP="00AE1766">
            <w:pPr>
              <w:spacing w:before="240" w:after="240"/>
              <w:jc w:val="both"/>
              <w:rPr>
                <w:rFonts w:ascii="Tahoma" w:hAnsi="Tahoma" w:cs="Tahoma"/>
                <w:b/>
                <w:noProof/>
              </w:rPr>
            </w:pPr>
            <w:r>
              <w:rPr>
                <w:rFonts w:ascii="Tahoma" w:hAnsi="Tahoma" w:cs="Tahoma"/>
                <w:b/>
                <w:noProof/>
                <w:lang w:val="en-US" w:eastAsia="en-US"/>
              </w:rPr>
              <w:drawing>
                <wp:inline distT="0" distB="0" distL="0" distR="0">
                  <wp:extent cx="2838450" cy="2533650"/>
                  <wp:effectExtent l="0" t="0" r="0" b="0"/>
                  <wp:docPr id="256" name="Εικόνα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3" cstate="print"/>
                          <a:srcRect/>
                          <a:stretch>
                            <a:fillRect/>
                          </a:stretch>
                        </pic:blipFill>
                        <pic:spPr bwMode="auto">
                          <a:xfrm>
                            <a:off x="0" y="0"/>
                            <a:ext cx="2838450" cy="2533650"/>
                          </a:xfrm>
                          <a:prstGeom prst="rect">
                            <a:avLst/>
                          </a:prstGeom>
                          <a:noFill/>
                          <a:ln w="9525">
                            <a:noFill/>
                            <a:miter lim="800000"/>
                            <a:headEnd/>
                            <a:tailEnd/>
                          </a:ln>
                        </pic:spPr>
                      </pic:pic>
                    </a:graphicData>
                  </a:graphic>
                </wp:inline>
              </w:drawing>
            </w:r>
          </w:p>
        </w:tc>
      </w:tr>
      <w:tr w:rsidR="00EA2458" w:rsidRPr="00CA592F" w:rsidTr="00AE1766">
        <w:trPr>
          <w:trHeight w:val="4076"/>
        </w:trPr>
        <w:tc>
          <w:tcPr>
            <w:tcW w:w="4952" w:type="dxa"/>
          </w:tcPr>
          <w:p w:rsidR="00EA2458" w:rsidRPr="00CA592F" w:rsidRDefault="00EA2458" w:rsidP="00AE1766">
            <w:pPr>
              <w:tabs>
                <w:tab w:val="left" w:pos="4814"/>
              </w:tabs>
              <w:spacing w:before="240" w:after="240"/>
              <w:jc w:val="center"/>
              <w:rPr>
                <w:rFonts w:ascii="Tahoma" w:hAnsi="Tahoma" w:cs="Tahoma"/>
                <w:b/>
              </w:rPr>
            </w:pPr>
            <w:r w:rsidRPr="00CA592F">
              <w:rPr>
                <w:rFonts w:ascii="Tahoma" w:hAnsi="Tahoma" w:cs="Tahoma"/>
                <w:b/>
              </w:rPr>
              <w:t>Λιανικό Εμπόριο</w:t>
            </w:r>
          </w:p>
          <w:p w:rsidR="00EA2458" w:rsidRPr="00CA592F" w:rsidRDefault="00EA2458" w:rsidP="00AE1766">
            <w:pPr>
              <w:spacing w:before="240" w:after="240"/>
              <w:jc w:val="both"/>
              <w:rPr>
                <w:rFonts w:ascii="Tahoma" w:hAnsi="Tahoma" w:cs="Tahoma"/>
                <w:b/>
                <w:noProof/>
              </w:rPr>
            </w:pPr>
            <w:r>
              <w:rPr>
                <w:rFonts w:ascii="Tahoma" w:hAnsi="Tahoma" w:cs="Tahoma"/>
                <w:b/>
                <w:noProof/>
                <w:lang w:val="en-US" w:eastAsia="en-US"/>
              </w:rPr>
              <w:drawing>
                <wp:inline distT="0" distB="0" distL="0" distR="0">
                  <wp:extent cx="3009900" cy="2505075"/>
                  <wp:effectExtent l="0" t="0" r="0" b="0"/>
                  <wp:docPr id="54" name="Εικόνα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4" cstate="print"/>
                          <a:srcRect/>
                          <a:stretch>
                            <a:fillRect/>
                          </a:stretch>
                        </pic:blipFill>
                        <pic:spPr bwMode="auto">
                          <a:xfrm>
                            <a:off x="0" y="0"/>
                            <a:ext cx="3009900" cy="2505075"/>
                          </a:xfrm>
                          <a:prstGeom prst="rect">
                            <a:avLst/>
                          </a:prstGeom>
                          <a:noFill/>
                          <a:ln w="9525">
                            <a:noFill/>
                            <a:miter lim="800000"/>
                            <a:headEnd/>
                            <a:tailEnd/>
                          </a:ln>
                        </pic:spPr>
                      </pic:pic>
                    </a:graphicData>
                  </a:graphic>
                </wp:inline>
              </w:drawing>
            </w:r>
          </w:p>
        </w:tc>
        <w:tc>
          <w:tcPr>
            <w:tcW w:w="4688" w:type="dxa"/>
          </w:tcPr>
          <w:p w:rsidR="00EA2458" w:rsidRPr="00CA592F" w:rsidRDefault="00EA2458" w:rsidP="00AE1766">
            <w:pPr>
              <w:spacing w:before="240" w:after="240"/>
              <w:jc w:val="center"/>
              <w:rPr>
                <w:rFonts w:ascii="Tahoma" w:hAnsi="Tahoma" w:cs="Tahoma"/>
                <w:b/>
              </w:rPr>
            </w:pPr>
            <w:r w:rsidRPr="00CA592F">
              <w:rPr>
                <w:rFonts w:ascii="Tahoma" w:hAnsi="Tahoma" w:cs="Tahoma"/>
                <w:b/>
              </w:rPr>
              <w:t>Υπηρεσίες</w:t>
            </w:r>
          </w:p>
          <w:p w:rsidR="00EA2458" w:rsidRPr="00CA592F" w:rsidRDefault="00EA2458" w:rsidP="00AE1766">
            <w:pPr>
              <w:spacing w:before="240" w:after="240"/>
              <w:jc w:val="both"/>
              <w:rPr>
                <w:rFonts w:ascii="Tahoma" w:hAnsi="Tahoma" w:cs="Tahoma"/>
                <w:b/>
                <w:noProof/>
              </w:rPr>
            </w:pPr>
            <w:r>
              <w:rPr>
                <w:rFonts w:ascii="Tahoma" w:hAnsi="Tahoma" w:cs="Tahoma"/>
                <w:b/>
                <w:noProof/>
                <w:lang w:val="en-US" w:eastAsia="en-US"/>
              </w:rPr>
              <w:drawing>
                <wp:inline distT="0" distB="0" distL="0" distR="0">
                  <wp:extent cx="2838450" cy="2552700"/>
                  <wp:effectExtent l="0" t="0" r="0" b="0"/>
                  <wp:docPr id="53" name="Εικόνα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5" cstate="print"/>
                          <a:srcRect/>
                          <a:stretch>
                            <a:fillRect/>
                          </a:stretch>
                        </pic:blipFill>
                        <pic:spPr bwMode="auto">
                          <a:xfrm>
                            <a:off x="0" y="0"/>
                            <a:ext cx="2838450" cy="2552700"/>
                          </a:xfrm>
                          <a:prstGeom prst="rect">
                            <a:avLst/>
                          </a:prstGeom>
                          <a:noFill/>
                          <a:ln w="9525">
                            <a:noFill/>
                            <a:miter lim="800000"/>
                            <a:headEnd/>
                            <a:tailEnd/>
                          </a:ln>
                        </pic:spPr>
                      </pic:pic>
                    </a:graphicData>
                  </a:graphic>
                </wp:inline>
              </w:drawing>
            </w:r>
          </w:p>
        </w:tc>
      </w:tr>
    </w:tbl>
    <w:p w:rsidR="00EA2458" w:rsidRPr="00FB2EFC" w:rsidRDefault="00EA2458" w:rsidP="00EA2458">
      <w:pPr>
        <w:rPr>
          <w:rFonts w:ascii="Tahoma" w:hAnsi="Tahoma" w:cs="Tahoma"/>
          <w:sz w:val="16"/>
          <w:szCs w:val="16"/>
        </w:rPr>
      </w:pPr>
      <w:r w:rsidRPr="00FB2EFC">
        <w:rPr>
          <w:rFonts w:ascii="Tahoma" w:hAnsi="Tahoma" w:cs="Tahoma"/>
          <w:b/>
          <w:sz w:val="16"/>
          <w:szCs w:val="16"/>
        </w:rPr>
        <w:t>Πηγή</w:t>
      </w:r>
      <w:r w:rsidRPr="00FB2EFC">
        <w:rPr>
          <w:rFonts w:ascii="Tahoma" w:hAnsi="Tahoma" w:cs="Tahoma"/>
          <w:sz w:val="16"/>
          <w:szCs w:val="16"/>
        </w:rPr>
        <w:t xml:space="preserve">: </w:t>
      </w:r>
      <w:r w:rsidRPr="00FB2EFC">
        <w:rPr>
          <w:rFonts w:ascii="Tahoma" w:hAnsi="Tahoma" w:cs="Tahoma"/>
          <w:sz w:val="16"/>
          <w:szCs w:val="16"/>
          <w:lang w:val="en-US"/>
        </w:rPr>
        <w:t>IOBE</w:t>
      </w:r>
    </w:p>
    <w:p w:rsidR="00FB2EFC" w:rsidRDefault="00FB2EFC" w:rsidP="003257F4">
      <w:pPr>
        <w:pStyle w:val="new3"/>
        <w:spacing w:before="240" w:line="312" w:lineRule="auto"/>
        <w:ind w:left="0" w:right="-318" w:firstLine="0"/>
        <w:rPr>
          <w:rFonts w:cs="Tahoma"/>
        </w:rPr>
        <w:sectPr w:rsidR="00FB2EFC" w:rsidSect="00591211">
          <w:pgSz w:w="11906" w:h="16838"/>
          <w:pgMar w:top="1391" w:right="1418" w:bottom="1418" w:left="1418" w:header="720" w:footer="720" w:gutter="0"/>
          <w:paperSrc w:first="242" w:other="242"/>
          <w:cols w:space="720"/>
          <w:rtlGutter/>
        </w:sectPr>
      </w:pPr>
      <w:bookmarkStart w:id="294" w:name="_Toc249262128"/>
    </w:p>
    <w:p w:rsidR="0007608A" w:rsidRPr="00042E21" w:rsidRDefault="0007608A" w:rsidP="0007608A">
      <w:pPr>
        <w:pStyle w:val="new3"/>
        <w:spacing w:before="240" w:line="312" w:lineRule="auto"/>
        <w:ind w:left="0" w:right="-318" w:firstLine="0"/>
        <w:rPr>
          <w:rFonts w:cs="Tahoma"/>
        </w:rPr>
      </w:pPr>
      <w:bookmarkStart w:id="295" w:name="_Toc320872890"/>
      <w:bookmarkStart w:id="296" w:name="_Toc202326886"/>
      <w:bookmarkStart w:id="297" w:name="_Toc210207785"/>
      <w:bookmarkStart w:id="298" w:name="_Toc217724922"/>
      <w:bookmarkEnd w:id="294"/>
      <w:r w:rsidRPr="00042E21">
        <w:rPr>
          <w:rFonts w:cs="Tahoma"/>
        </w:rPr>
        <w:lastRenderedPageBreak/>
        <w:t>3.</w:t>
      </w:r>
      <w:r>
        <w:rPr>
          <w:rFonts w:cs="Tahoma"/>
        </w:rPr>
        <w:t>6</w:t>
      </w:r>
      <w:r w:rsidRPr="00042E21">
        <w:rPr>
          <w:rFonts w:cs="Tahoma"/>
        </w:rPr>
        <w:tab/>
        <w:t>Ισοζύγιο Εξωτερικών Συναλλαγών</w:t>
      </w:r>
      <w:bookmarkEnd w:id="295"/>
    </w:p>
    <w:p w:rsidR="0007608A" w:rsidRPr="00611A0B" w:rsidRDefault="0007608A" w:rsidP="00E54163">
      <w:pPr>
        <w:pStyle w:val="new2"/>
        <w:spacing w:before="240" w:line="312" w:lineRule="auto"/>
        <w:outlineLvl w:val="1"/>
        <w:rPr>
          <w:rFonts w:cs="Tahoma"/>
        </w:rPr>
      </w:pPr>
      <w:bookmarkStart w:id="299" w:name="_Toc226537150"/>
      <w:bookmarkStart w:id="300" w:name="_Toc249262129"/>
      <w:bookmarkStart w:id="301" w:name="_Toc320872891"/>
      <w:r w:rsidRPr="00611A0B">
        <w:rPr>
          <w:rFonts w:cs="Tahoma"/>
        </w:rPr>
        <w:t>Ισοζύγιο Τρεχουσών Συναλλαγών</w:t>
      </w:r>
      <w:bookmarkEnd w:id="299"/>
      <w:bookmarkEnd w:id="300"/>
      <w:bookmarkEnd w:id="301"/>
    </w:p>
    <w:p w:rsidR="0007608A" w:rsidRDefault="0007608A" w:rsidP="0007608A">
      <w:pPr>
        <w:pStyle w:val="NormalWeb"/>
        <w:spacing w:before="240" w:after="240" w:afterAutospacing="0" w:line="312" w:lineRule="auto"/>
        <w:jc w:val="both"/>
        <w:rPr>
          <w:rFonts w:ascii="Tahoma" w:hAnsi="Tahoma" w:cs="Tahoma"/>
          <w:color w:val="auto"/>
          <w:sz w:val="22"/>
          <w:szCs w:val="22"/>
        </w:rPr>
      </w:pPr>
      <w:r>
        <w:rPr>
          <w:rFonts w:ascii="Tahoma" w:hAnsi="Tahoma" w:cs="Tahoma"/>
          <w:color w:val="auto"/>
          <w:sz w:val="22"/>
          <w:szCs w:val="22"/>
        </w:rPr>
        <w:t xml:space="preserve">Το έλλειμμα του </w:t>
      </w:r>
      <w:r w:rsidRPr="00A7745D">
        <w:rPr>
          <w:rFonts w:ascii="Tahoma" w:hAnsi="Tahoma" w:cs="Tahoma"/>
          <w:b/>
          <w:color w:val="auto"/>
          <w:sz w:val="22"/>
          <w:szCs w:val="22"/>
        </w:rPr>
        <w:t>ισοζυγίου τρεχουσών συναλλαγών</w:t>
      </w:r>
      <w:r w:rsidRPr="00242FFD">
        <w:rPr>
          <w:rFonts w:ascii="Tahoma" w:hAnsi="Tahoma" w:cs="Tahoma"/>
          <w:color w:val="auto"/>
          <w:sz w:val="22"/>
          <w:szCs w:val="22"/>
        </w:rPr>
        <w:t xml:space="preserve"> συρρικν</w:t>
      </w:r>
      <w:r>
        <w:rPr>
          <w:rFonts w:ascii="Tahoma" w:hAnsi="Tahoma" w:cs="Tahoma"/>
          <w:color w:val="auto"/>
          <w:sz w:val="22"/>
          <w:szCs w:val="22"/>
        </w:rPr>
        <w:t>ώθηκε το 2011 κατά 8,3% και διαμορφώθηκε στα 21,1 δισεκ. ευρώ, χαμηλότερα κατά 1,9 δισεκ. ευρώ σε σχέση με το 2010 και 13,7 δισεκ. ευρώ</w:t>
      </w:r>
      <w:r w:rsidRPr="00F05479">
        <w:rPr>
          <w:rFonts w:ascii="Tahoma" w:hAnsi="Tahoma" w:cs="Tahoma"/>
          <w:color w:val="auto"/>
          <w:sz w:val="22"/>
          <w:szCs w:val="22"/>
        </w:rPr>
        <w:t xml:space="preserve"> σε σχ</w:t>
      </w:r>
      <w:r>
        <w:rPr>
          <w:rFonts w:ascii="Tahoma" w:hAnsi="Tahoma" w:cs="Tahoma"/>
          <w:color w:val="auto"/>
          <w:sz w:val="22"/>
          <w:szCs w:val="22"/>
        </w:rPr>
        <w:t>έση με τα επίπεδα του 2008 (34,8 δισεκ. ευρώ)</w:t>
      </w:r>
      <w:r>
        <w:rPr>
          <w:rStyle w:val="FootnoteReference"/>
          <w:rFonts w:cs="Tahoma"/>
          <w:color w:val="auto"/>
          <w:sz w:val="22"/>
          <w:szCs w:val="22"/>
        </w:rPr>
        <w:footnoteReference w:id="12"/>
      </w:r>
      <w:r>
        <w:rPr>
          <w:rFonts w:ascii="Tahoma" w:hAnsi="Tahoma" w:cs="Tahoma"/>
          <w:color w:val="auto"/>
          <w:sz w:val="22"/>
          <w:szCs w:val="22"/>
        </w:rPr>
        <w:t>.</w:t>
      </w:r>
      <w:r w:rsidRPr="00624967">
        <w:rPr>
          <w:rFonts w:ascii="Tahoma" w:hAnsi="Tahoma" w:cs="Tahoma"/>
          <w:color w:val="auto"/>
          <w:sz w:val="22"/>
          <w:szCs w:val="22"/>
        </w:rPr>
        <w:t xml:space="preserve"> </w:t>
      </w:r>
      <w:r>
        <w:rPr>
          <w:rFonts w:ascii="Tahoma" w:hAnsi="Tahoma" w:cs="Tahoma"/>
          <w:color w:val="auto"/>
          <w:sz w:val="22"/>
          <w:szCs w:val="22"/>
        </w:rPr>
        <w:t xml:space="preserve">Η μείωση του ελλείμματος του εμπορικού ισοζυγίου, η ενίσχυση του πλεονάσματος στο ισοζύγιο εισοδημάτων αλλά και η αύξηση στα πλεονάσματα των ισοζυγίων τρεχουσών και κεφαλαιακών μεταβιβάσεων, περιόρισαν το έλλειμμα στο ισοζύγιο τρεχουσών συναλλαγών, παρότι η αύξηση στο έλλειμμα του ισοζυγίου εισοδημάτων </w:t>
      </w:r>
      <w:r w:rsidR="00A95F16">
        <w:rPr>
          <w:rFonts w:ascii="Tahoma" w:hAnsi="Tahoma" w:cs="Tahoma"/>
          <w:color w:val="auto"/>
          <w:sz w:val="22"/>
          <w:szCs w:val="22"/>
        </w:rPr>
        <w:t xml:space="preserve">μετρίασε </w:t>
      </w:r>
      <w:r>
        <w:rPr>
          <w:rFonts w:ascii="Tahoma" w:hAnsi="Tahoma" w:cs="Tahoma"/>
          <w:color w:val="auto"/>
          <w:sz w:val="22"/>
          <w:szCs w:val="22"/>
        </w:rPr>
        <w:t>το τελικό αποτέλεσμα.</w:t>
      </w:r>
    </w:p>
    <w:p w:rsidR="0007608A" w:rsidRDefault="0007608A" w:rsidP="0078142C">
      <w:pPr>
        <w:pStyle w:val="NormalWeb"/>
        <w:tabs>
          <w:tab w:val="left" w:pos="7230"/>
        </w:tabs>
        <w:spacing w:before="240" w:after="240" w:afterAutospacing="0" w:line="312" w:lineRule="auto"/>
        <w:ind w:right="64"/>
        <w:jc w:val="both"/>
        <w:rPr>
          <w:rFonts w:ascii="Tahoma" w:hAnsi="Tahoma" w:cs="Tahoma"/>
          <w:color w:val="auto"/>
          <w:sz w:val="22"/>
          <w:szCs w:val="22"/>
        </w:rPr>
      </w:pPr>
      <w:r>
        <w:rPr>
          <w:rFonts w:ascii="Tahoma" w:hAnsi="Tahoma" w:cs="Tahoma"/>
          <w:color w:val="auto"/>
          <w:sz w:val="22"/>
          <w:szCs w:val="22"/>
        </w:rPr>
        <w:t xml:space="preserve">Στα επιμέρους στοιχεία, το έλλειμμα </w:t>
      </w:r>
      <w:r w:rsidRPr="00611A0B">
        <w:rPr>
          <w:rFonts w:ascii="Tahoma" w:hAnsi="Tahoma" w:cs="Tahoma"/>
          <w:color w:val="auto"/>
          <w:sz w:val="22"/>
          <w:szCs w:val="22"/>
        </w:rPr>
        <w:t xml:space="preserve">του </w:t>
      </w:r>
      <w:r w:rsidRPr="00611A0B">
        <w:rPr>
          <w:rFonts w:ascii="Tahoma" w:hAnsi="Tahoma" w:cs="Tahoma"/>
          <w:b/>
          <w:color w:val="auto"/>
          <w:sz w:val="22"/>
          <w:szCs w:val="22"/>
        </w:rPr>
        <w:t>εμπορικού ισοζυγίου</w:t>
      </w:r>
      <w:r>
        <w:rPr>
          <w:rFonts w:ascii="Tahoma" w:hAnsi="Tahoma" w:cs="Tahoma"/>
          <w:b/>
          <w:color w:val="auto"/>
          <w:sz w:val="22"/>
          <w:szCs w:val="22"/>
        </w:rPr>
        <w:t xml:space="preserve"> </w:t>
      </w:r>
      <w:r>
        <w:rPr>
          <w:rFonts w:ascii="Tahoma" w:hAnsi="Tahoma" w:cs="Tahoma"/>
          <w:color w:val="auto"/>
          <w:sz w:val="22"/>
          <w:szCs w:val="22"/>
        </w:rPr>
        <w:t>διαμορφώθηκε στα 27,2 δισεκ. ευρώ το 2011, μειωμένο κατά 3,7% (1,1 δισεκ. ευρώ), ενώ σε σχέση με το 2008 έχει περιοριστεί κατά 16,8 δισεκ. ευρώ. Η μεί</w:t>
      </w:r>
      <w:r w:rsidR="00A95F16">
        <w:rPr>
          <w:rFonts w:ascii="Tahoma" w:hAnsi="Tahoma" w:cs="Tahoma"/>
          <w:color w:val="auto"/>
          <w:sz w:val="22"/>
          <w:szCs w:val="22"/>
        </w:rPr>
        <w:softHyphen/>
      </w:r>
      <w:r>
        <w:rPr>
          <w:rFonts w:ascii="Tahoma" w:hAnsi="Tahoma" w:cs="Tahoma"/>
          <w:color w:val="auto"/>
          <w:sz w:val="22"/>
          <w:szCs w:val="22"/>
        </w:rPr>
        <w:t xml:space="preserve">ωση προήλθε κυρίως από το εμπορικό ισοζύγιο χωρίς καύσιμα και πλοία, το έλλειμμα του οποίου </w:t>
      </w:r>
      <w:r w:rsidR="00A95F16">
        <w:rPr>
          <w:rFonts w:ascii="Tahoma" w:hAnsi="Tahoma" w:cs="Tahoma"/>
          <w:color w:val="auto"/>
          <w:sz w:val="22"/>
          <w:szCs w:val="22"/>
        </w:rPr>
        <w:t xml:space="preserve">περιορίσθηκε </w:t>
      </w:r>
      <w:r>
        <w:rPr>
          <w:rFonts w:ascii="Tahoma" w:hAnsi="Tahoma" w:cs="Tahoma"/>
          <w:color w:val="auto"/>
          <w:sz w:val="22"/>
          <w:szCs w:val="22"/>
        </w:rPr>
        <w:t xml:space="preserve">κατά 19,9% και </w:t>
      </w:r>
      <w:r w:rsidR="00A95F16">
        <w:rPr>
          <w:rFonts w:ascii="Tahoma" w:hAnsi="Tahoma" w:cs="Tahoma"/>
          <w:color w:val="auto"/>
          <w:sz w:val="22"/>
          <w:szCs w:val="22"/>
        </w:rPr>
        <w:t>δια</w:t>
      </w:r>
      <w:r w:rsidR="00A95F16">
        <w:rPr>
          <w:rFonts w:ascii="Tahoma" w:hAnsi="Tahoma" w:cs="Tahoma"/>
          <w:color w:val="auto"/>
          <w:sz w:val="22"/>
          <w:szCs w:val="22"/>
        </w:rPr>
        <w:softHyphen/>
        <w:t xml:space="preserve">μορφώθηκε </w:t>
      </w:r>
      <w:r>
        <w:rPr>
          <w:rFonts w:ascii="Tahoma" w:hAnsi="Tahoma" w:cs="Tahoma"/>
          <w:color w:val="auto"/>
          <w:sz w:val="22"/>
          <w:szCs w:val="22"/>
        </w:rPr>
        <w:t xml:space="preserve">στα 12,8 δισεκ. ευρώ, καθώς οι εξαγωγές λοιπών αγαθών κατέγραψαν άνοδο 17,3% (+1,9 δισεκ. ευρώ), έναντι πτώσης 4,5% (-1,2 δισεκ. ευρώ) στις εισαγωγές, διευρύνοντας περαιτέρω την τάση συρρίκνωσης του ισοζυγίου, παρά την κόπωση που καταγράφηκε στις εξαγωγές τον Δεκέμβριο. Οι εξαγωγές προσεγγίζουν το μέγιστο επίπεδο του 2008, 13,8 δισεκ. ευρώ, ενώ αντίθετα οι εισαγωγές αγαθών έχουν </w:t>
      </w:r>
      <w:r>
        <w:rPr>
          <w:rFonts w:ascii="Tahoma" w:hAnsi="Tahoma" w:cs="Tahoma"/>
          <w:color w:val="auto"/>
          <w:sz w:val="22"/>
          <w:szCs w:val="22"/>
        </w:rPr>
        <w:lastRenderedPageBreak/>
        <w:t>διαμορφωθεί στο ελάχιστο σημείο από το 2001. Οι εξαγωγές καυσίμων συνέχισαν την ανοδική τους πορεία, καταγράφοντας αύξηση 25%, και βρίσκονται πλέον στο μέγιστο σημείο των τελευταίων 11 ετών, με παράλληλη όμως αύξηση και των εισαγωγών καυσίμων, κατά 27,5% στα 17,3 δισεκ. ευρώ, στο επίσης υψηλότερο σημείο. Έτσι, το σχετικό ισοζύγιο καυσίμων κατέγραψε αυξημένο έλλειμμα κατά 29% ή κατά 2,5 δισεκ. ευρώ.</w:t>
      </w:r>
    </w:p>
    <w:p w:rsidR="0007608A" w:rsidRDefault="0007608A" w:rsidP="0078142C">
      <w:pPr>
        <w:pStyle w:val="NormalWeb"/>
        <w:spacing w:before="240" w:after="240" w:afterAutospacing="0" w:line="312" w:lineRule="auto"/>
        <w:ind w:right="64"/>
        <w:jc w:val="both"/>
        <w:rPr>
          <w:rFonts w:ascii="Tahoma" w:hAnsi="Tahoma" w:cs="Tahoma"/>
          <w:color w:val="auto"/>
          <w:sz w:val="22"/>
          <w:szCs w:val="22"/>
        </w:rPr>
      </w:pPr>
      <w:r>
        <w:rPr>
          <w:rFonts w:ascii="Tahoma" w:hAnsi="Tahoma" w:cs="Tahoma"/>
          <w:color w:val="auto"/>
          <w:sz w:val="22"/>
          <w:szCs w:val="22"/>
        </w:rPr>
        <w:t xml:space="preserve">Σημαντική ενίσχυση στο πλεόνασμα του </w:t>
      </w:r>
      <w:r>
        <w:rPr>
          <w:rFonts w:ascii="Tahoma" w:hAnsi="Tahoma" w:cs="Tahoma"/>
          <w:b/>
          <w:color w:val="auto"/>
          <w:sz w:val="22"/>
          <w:szCs w:val="22"/>
        </w:rPr>
        <w:t>ισοζυγίου</w:t>
      </w:r>
      <w:r w:rsidRPr="00611A0B">
        <w:rPr>
          <w:rFonts w:ascii="Tahoma" w:hAnsi="Tahoma" w:cs="Tahoma"/>
          <w:b/>
          <w:color w:val="auto"/>
          <w:sz w:val="22"/>
          <w:szCs w:val="22"/>
        </w:rPr>
        <w:t xml:space="preserve"> υπηρεσιών</w:t>
      </w:r>
      <w:r>
        <w:rPr>
          <w:rFonts w:ascii="Tahoma" w:hAnsi="Tahoma" w:cs="Tahoma"/>
          <w:b/>
          <w:color w:val="auto"/>
          <w:sz w:val="22"/>
          <w:szCs w:val="22"/>
        </w:rPr>
        <w:t xml:space="preserve"> </w:t>
      </w:r>
      <w:r>
        <w:rPr>
          <w:rFonts w:ascii="Tahoma" w:hAnsi="Tahoma" w:cs="Tahoma"/>
          <w:color w:val="auto"/>
          <w:sz w:val="22"/>
          <w:szCs w:val="22"/>
        </w:rPr>
        <w:t>καταγράφηκε το 2011, καθώς αυξήθηκε κατά 10,5% (1,4 δισεκ. ευρώ), έναντι αύξησης 4,8% το 2010 και διαμορφώθηκε στα 14,6 δισεκ. ευρώ. Η αύξηση αυτή οφείλεται κατά κύριο λόγο στον περιορισμό των πληρωμών κατά 8,2% (-1,2 δισεκ. ευρώ) και λιγότερο στην αύξηση των εισπράξεων κατά 0,5% (+146 εκ. ευρώ). Στην πλευρά των εισπράξεων, όπου διαμορφώθηκαν συνολικά στα 28,6 δισεκ. ευρώ, η άνοδος του τουριστικού τομέα ώθησε τις συγκεκριμένες εισπράξεις σε άνοδο κατά 9,5% (908 εκ. ευρώ), ενώ αύξηση καταγράφηκε και στις εισπράξεις από λοιπές υπηρεσίες κατά 16,2% (560 εκ. ευρώ). Η πτώση των εισπράξεων από μεταφορές κατά 8,6% (1,3 δισεκ. ευρώ) αντιστάθμισε σχεδόν εξολοκλήρου τις παραπάνω αυξήσεις. Οι συνολικές πληρωμές ανήλθαν το 2011 στα 14 δισεκ. ευρώ, ενώ ο τουριστικός τομέας κατέγραψε άνοδο κατά 5,4% (117 εκ. ευρώ). Οι πληρωμές από μεταφορές μειώθηκαν κατά 11,3% (-922 εκ. ευρώ) και αντίστοιχα για λοιπές υπηρεσίες κατά 8,9% (-439 εκ. ευρώ).</w:t>
      </w:r>
    </w:p>
    <w:p w:rsidR="0007608A" w:rsidRDefault="0007608A" w:rsidP="0078142C">
      <w:pPr>
        <w:pStyle w:val="NormalWeb"/>
        <w:spacing w:before="240" w:after="240" w:afterAutospacing="0" w:line="312" w:lineRule="auto"/>
        <w:ind w:right="64"/>
        <w:jc w:val="both"/>
        <w:rPr>
          <w:rFonts w:ascii="Tahoma" w:hAnsi="Tahoma" w:cs="Tahoma"/>
          <w:color w:val="auto"/>
          <w:sz w:val="22"/>
          <w:szCs w:val="22"/>
        </w:rPr>
      </w:pPr>
      <w:r>
        <w:rPr>
          <w:rFonts w:ascii="Tahoma" w:hAnsi="Tahoma" w:cs="Tahoma"/>
          <w:color w:val="auto"/>
          <w:sz w:val="22"/>
          <w:szCs w:val="22"/>
        </w:rPr>
        <w:t>Τ</w:t>
      </w:r>
      <w:r w:rsidRPr="00611A0B">
        <w:rPr>
          <w:rFonts w:ascii="Tahoma" w:hAnsi="Tahoma" w:cs="Tahoma"/>
          <w:color w:val="auto"/>
          <w:sz w:val="22"/>
          <w:szCs w:val="22"/>
        </w:rPr>
        <w:t xml:space="preserve">ο έλλειμμα του </w:t>
      </w:r>
      <w:r w:rsidRPr="00611A0B">
        <w:rPr>
          <w:rFonts w:ascii="Tahoma" w:hAnsi="Tahoma" w:cs="Tahoma"/>
          <w:b/>
          <w:color w:val="auto"/>
          <w:sz w:val="22"/>
          <w:szCs w:val="22"/>
        </w:rPr>
        <w:t xml:space="preserve">ισοζυγίου εισοδημάτων </w:t>
      </w:r>
      <w:r>
        <w:rPr>
          <w:rFonts w:ascii="Tahoma" w:hAnsi="Tahoma" w:cs="Tahoma"/>
          <w:color w:val="auto"/>
          <w:sz w:val="22"/>
          <w:szCs w:val="22"/>
        </w:rPr>
        <w:t xml:space="preserve">επεκτάθηκε το 2011 στα 9,1 δισεκ. ευρώ, </w:t>
      </w:r>
      <w:r>
        <w:rPr>
          <w:rFonts w:ascii="Tahoma" w:hAnsi="Tahoma" w:cs="Tahoma"/>
          <w:color w:val="auto"/>
          <w:sz w:val="22"/>
          <w:szCs w:val="22"/>
        </w:rPr>
        <w:lastRenderedPageBreak/>
        <w:t>στα ίδια επίπεδα περίπου με το 2007, καταγράφοντας αύξηση 11,3%, έναντι πτώσης 9,4% το 2010. Οι εισπράξεις, κυρίως από τόκους, μερίσματα και κέρδη περιορίστηκαν κατά 6,5% (-232 εκ. ευρώ), ενώ οι πληρωμές, από αμοιβές, μισθούς αλλά και τόκους και μερίσματα αυξήθηκαν κατά 5,9% (690 εκ. ευρώ)</w:t>
      </w:r>
      <w:r w:rsidRPr="00611A0B">
        <w:rPr>
          <w:rFonts w:ascii="Tahoma" w:hAnsi="Tahoma" w:cs="Tahoma"/>
          <w:color w:val="auto"/>
          <w:sz w:val="22"/>
          <w:szCs w:val="22"/>
        </w:rPr>
        <w:t>.</w:t>
      </w:r>
    </w:p>
    <w:p w:rsidR="0007608A" w:rsidRDefault="0007608A" w:rsidP="0007608A">
      <w:pPr>
        <w:pStyle w:val="NormalWeb"/>
        <w:spacing w:before="240" w:after="240" w:afterAutospacing="0" w:line="312" w:lineRule="auto"/>
        <w:jc w:val="both"/>
        <w:rPr>
          <w:rFonts w:ascii="Tahoma" w:hAnsi="Tahoma" w:cs="Tahoma"/>
          <w:color w:val="auto"/>
          <w:sz w:val="22"/>
          <w:szCs w:val="22"/>
        </w:rPr>
      </w:pPr>
      <w:r>
        <w:rPr>
          <w:rFonts w:ascii="Tahoma" w:hAnsi="Tahoma" w:cs="Tahoma"/>
          <w:color w:val="auto"/>
          <w:sz w:val="22"/>
          <w:szCs w:val="22"/>
        </w:rPr>
        <w:t>Το</w:t>
      </w:r>
      <w:r w:rsidRPr="00611A0B">
        <w:rPr>
          <w:rFonts w:ascii="Tahoma" w:hAnsi="Tahoma" w:cs="Tahoma"/>
          <w:color w:val="auto"/>
          <w:sz w:val="22"/>
          <w:szCs w:val="22"/>
        </w:rPr>
        <w:t xml:space="preserve"> </w:t>
      </w:r>
      <w:r>
        <w:rPr>
          <w:rFonts w:ascii="Tahoma" w:hAnsi="Tahoma" w:cs="Tahoma"/>
          <w:color w:val="auto"/>
          <w:sz w:val="22"/>
          <w:szCs w:val="22"/>
        </w:rPr>
        <w:t xml:space="preserve">πλεόνασμα του </w:t>
      </w:r>
      <w:r w:rsidRPr="00611A0B">
        <w:rPr>
          <w:rFonts w:ascii="Tahoma" w:hAnsi="Tahoma" w:cs="Tahoma"/>
          <w:b/>
          <w:color w:val="auto"/>
          <w:sz w:val="22"/>
          <w:szCs w:val="22"/>
        </w:rPr>
        <w:t>ισοζυγίο</w:t>
      </w:r>
      <w:r>
        <w:rPr>
          <w:rFonts w:ascii="Tahoma" w:hAnsi="Tahoma" w:cs="Tahoma"/>
          <w:b/>
          <w:color w:val="auto"/>
          <w:sz w:val="22"/>
          <w:szCs w:val="22"/>
        </w:rPr>
        <w:t>υ</w:t>
      </w:r>
      <w:r w:rsidRPr="00611A0B">
        <w:rPr>
          <w:rFonts w:ascii="Tahoma" w:hAnsi="Tahoma" w:cs="Tahoma"/>
          <w:b/>
          <w:color w:val="auto"/>
          <w:sz w:val="22"/>
          <w:szCs w:val="22"/>
        </w:rPr>
        <w:t xml:space="preserve"> τρεχουσών μεταβιβάσεων</w:t>
      </w:r>
      <w:r>
        <w:rPr>
          <w:rFonts w:ascii="Tahoma" w:hAnsi="Tahoma" w:cs="Tahoma"/>
          <w:b/>
          <w:color w:val="auto"/>
          <w:sz w:val="22"/>
          <w:szCs w:val="22"/>
        </w:rPr>
        <w:t xml:space="preserve"> </w:t>
      </w:r>
      <w:r>
        <w:rPr>
          <w:rFonts w:ascii="Tahoma" w:hAnsi="Tahoma" w:cs="Tahoma"/>
          <w:color w:val="auto"/>
          <w:sz w:val="22"/>
          <w:szCs w:val="22"/>
        </w:rPr>
        <w:t>τριπλασιάστηκε σχεδόν το 2011 και διαμορφώθηκε στα 579 εκ. ευρώ, υπολειπόμενο όμως κατά πολύ από τα προ κρίσης επίπεδα (</w:t>
      </w:r>
      <w:r>
        <w:rPr>
          <w:rFonts w:ascii="Arial" w:hAnsi="Arial" w:cs="Arial"/>
          <w:color w:val="auto"/>
          <w:sz w:val="22"/>
          <w:szCs w:val="22"/>
        </w:rPr>
        <w:t>~</w:t>
      </w:r>
      <w:r>
        <w:rPr>
          <w:rFonts w:ascii="Tahoma" w:hAnsi="Tahoma" w:cs="Tahoma"/>
          <w:color w:val="auto"/>
          <w:sz w:val="22"/>
          <w:szCs w:val="22"/>
        </w:rPr>
        <w:t>3 δισεκ. ευρώ).</w:t>
      </w:r>
      <w:r>
        <w:rPr>
          <w:rFonts w:ascii="Tahoma" w:hAnsi="Tahoma" w:cs="Tahoma"/>
          <w:b/>
          <w:color w:val="auto"/>
          <w:sz w:val="22"/>
          <w:szCs w:val="22"/>
        </w:rPr>
        <w:t xml:space="preserve"> </w:t>
      </w:r>
      <w:r>
        <w:rPr>
          <w:rFonts w:ascii="Tahoma" w:hAnsi="Tahoma" w:cs="Tahoma"/>
          <w:color w:val="auto"/>
          <w:sz w:val="22"/>
          <w:szCs w:val="22"/>
        </w:rPr>
        <w:t>Οι συνολικές εισπράξεις</w:t>
      </w:r>
      <w:r>
        <w:rPr>
          <w:rStyle w:val="FootnoteReference"/>
          <w:rFonts w:cs="Tahoma"/>
          <w:color w:val="auto"/>
          <w:sz w:val="22"/>
          <w:szCs w:val="22"/>
        </w:rPr>
        <w:footnoteReference w:id="13"/>
      </w:r>
      <w:r>
        <w:rPr>
          <w:rFonts w:ascii="Tahoma" w:hAnsi="Tahoma" w:cs="Tahoma"/>
          <w:color w:val="auto"/>
          <w:sz w:val="22"/>
          <w:szCs w:val="22"/>
        </w:rPr>
        <w:t xml:space="preserve"> μειώθηκαν κατά 4,7% (-219 εκ. ευρώ), λόγω πτώσης των μεταναστευτικών εμβασμάτων κατά 285 εκ. ευρώ, καθώς οι μεταβιβάσεις από τη ΕΕ αυξήθηκαν κατά 66 εκ. ευρώ. Στο άλλο σκέλος του ισοζυγίου, στις πληρωμές</w:t>
      </w:r>
      <w:r>
        <w:rPr>
          <w:rStyle w:val="FootnoteReference"/>
          <w:rFonts w:cs="Tahoma"/>
          <w:color w:val="auto"/>
          <w:sz w:val="22"/>
          <w:szCs w:val="22"/>
        </w:rPr>
        <w:footnoteReference w:id="14"/>
      </w:r>
      <w:r>
        <w:rPr>
          <w:rFonts w:ascii="Tahoma" w:hAnsi="Tahoma" w:cs="Tahoma"/>
          <w:color w:val="auto"/>
          <w:sz w:val="22"/>
          <w:szCs w:val="22"/>
        </w:rPr>
        <w:t>, καταγράφηκε επίσης πτώση, κατά 13,5% (-599 εκ. ευρώ), κυρίως λόγω της μείωσης των πληρωμών προς την ΕΕ κατά 375 εκ. ευρώ.</w:t>
      </w:r>
    </w:p>
    <w:p w:rsidR="0007608A" w:rsidRPr="00611A0B" w:rsidRDefault="0007608A" w:rsidP="00E54163">
      <w:pPr>
        <w:pStyle w:val="new2"/>
        <w:spacing w:before="240" w:line="312" w:lineRule="auto"/>
        <w:ind w:right="-147"/>
        <w:outlineLvl w:val="1"/>
        <w:rPr>
          <w:rFonts w:cs="Tahoma"/>
        </w:rPr>
      </w:pPr>
      <w:bookmarkStart w:id="302" w:name="_Toc185748669"/>
      <w:bookmarkStart w:id="303" w:name="_Toc202325293"/>
      <w:bookmarkStart w:id="304" w:name="_Toc226537151"/>
      <w:bookmarkStart w:id="305" w:name="_Toc249262130"/>
      <w:bookmarkStart w:id="306" w:name="_Toc320872892"/>
      <w:r w:rsidRPr="00611A0B">
        <w:rPr>
          <w:rFonts w:cs="Tahoma"/>
        </w:rPr>
        <w:t>Ισοζύγιο Κεφαλαιακών Μεταβιβάσεων</w:t>
      </w:r>
      <w:bookmarkEnd w:id="302"/>
      <w:bookmarkEnd w:id="303"/>
      <w:bookmarkEnd w:id="304"/>
      <w:bookmarkEnd w:id="305"/>
      <w:bookmarkEnd w:id="306"/>
      <w:r w:rsidRPr="00611A0B">
        <w:rPr>
          <w:rFonts w:cs="Tahoma"/>
        </w:rPr>
        <w:t xml:space="preserve"> </w:t>
      </w:r>
    </w:p>
    <w:p w:rsidR="0007608A" w:rsidRDefault="0007608A" w:rsidP="0007608A">
      <w:pPr>
        <w:spacing w:before="240" w:after="240" w:line="312" w:lineRule="auto"/>
        <w:jc w:val="both"/>
        <w:rPr>
          <w:rFonts w:ascii="Tahoma" w:hAnsi="Tahoma" w:cs="Tahoma"/>
          <w:sz w:val="22"/>
          <w:szCs w:val="22"/>
        </w:rPr>
      </w:pPr>
      <w:bookmarkStart w:id="307" w:name="_Toc185748670"/>
      <w:r>
        <w:rPr>
          <w:rFonts w:ascii="Tahoma" w:hAnsi="Tahoma" w:cs="Tahoma"/>
          <w:sz w:val="22"/>
          <w:szCs w:val="22"/>
        </w:rPr>
        <w:t xml:space="preserve">Το πλεόνασμα του </w:t>
      </w:r>
      <w:r w:rsidRPr="005B7C59">
        <w:rPr>
          <w:rFonts w:ascii="Tahoma" w:hAnsi="Tahoma" w:cs="Tahoma"/>
          <w:b/>
          <w:sz w:val="22"/>
          <w:szCs w:val="22"/>
        </w:rPr>
        <w:t>ισοζυγίο</w:t>
      </w:r>
      <w:r>
        <w:rPr>
          <w:rFonts w:ascii="Tahoma" w:hAnsi="Tahoma" w:cs="Tahoma"/>
          <w:b/>
          <w:sz w:val="22"/>
          <w:szCs w:val="22"/>
        </w:rPr>
        <w:t>υ</w:t>
      </w:r>
      <w:r w:rsidRPr="005B7C59">
        <w:rPr>
          <w:rFonts w:ascii="Tahoma" w:hAnsi="Tahoma" w:cs="Tahoma"/>
          <w:b/>
          <w:sz w:val="22"/>
          <w:szCs w:val="22"/>
        </w:rPr>
        <w:t xml:space="preserve"> κεφαλαιακών μεταβιβάσεων</w:t>
      </w:r>
      <w:r>
        <w:rPr>
          <w:rFonts w:ascii="Tahoma" w:hAnsi="Tahoma" w:cs="Tahoma"/>
          <w:b/>
          <w:sz w:val="22"/>
          <w:szCs w:val="22"/>
        </w:rPr>
        <w:t xml:space="preserve"> </w:t>
      </w:r>
      <w:r>
        <w:rPr>
          <w:rFonts w:ascii="Tahoma" w:hAnsi="Tahoma" w:cs="Tahoma"/>
          <w:sz w:val="22"/>
          <w:szCs w:val="22"/>
        </w:rPr>
        <w:t>αυξήθηκε κατά 29% το 2011 (600 εκ. ευρώ), υψηλότερα και από το 2009. Έτσι, το ισοζύγιο διαμορφώθηκε στα 2,6 δισεκ. ευρώ, ενώ βασική συνιστώσα είναι η αύξηση των εισπράξεων</w:t>
      </w:r>
      <w:r>
        <w:rPr>
          <w:rStyle w:val="FootnoteReference"/>
          <w:rFonts w:cs="Tahoma"/>
          <w:sz w:val="22"/>
          <w:szCs w:val="22"/>
        </w:rPr>
        <w:footnoteReference w:id="15"/>
      </w:r>
      <w:r>
        <w:rPr>
          <w:rFonts w:ascii="Tahoma" w:hAnsi="Tahoma" w:cs="Tahoma"/>
          <w:sz w:val="22"/>
          <w:szCs w:val="22"/>
        </w:rPr>
        <w:t xml:space="preserve"> κατά 24,5% (576 εκ. ευρώ), αλλά και η μείωση των πληρωμών </w:t>
      </w:r>
      <w:bookmarkStart w:id="308" w:name="_Toc202325294"/>
      <w:bookmarkStart w:id="309" w:name="_Toc226537152"/>
      <w:r>
        <w:rPr>
          <w:rFonts w:ascii="Tahoma" w:hAnsi="Tahoma" w:cs="Tahoma"/>
          <w:sz w:val="22"/>
          <w:szCs w:val="22"/>
        </w:rPr>
        <w:t>κατά 8,4% (-24 εκ. ευρώ).</w:t>
      </w:r>
    </w:p>
    <w:p w:rsidR="003133F2" w:rsidRDefault="0007608A" w:rsidP="0078142C">
      <w:pPr>
        <w:spacing w:before="240" w:after="240" w:line="312" w:lineRule="auto"/>
        <w:ind w:right="64"/>
        <w:jc w:val="both"/>
        <w:rPr>
          <w:rFonts w:ascii="Tahoma" w:hAnsi="Tahoma" w:cs="Tahoma"/>
          <w:sz w:val="22"/>
          <w:szCs w:val="22"/>
        </w:rPr>
      </w:pPr>
      <w:r w:rsidRPr="00611A0B">
        <w:rPr>
          <w:rFonts w:ascii="Tahoma" w:hAnsi="Tahoma" w:cs="Tahoma"/>
          <w:sz w:val="22"/>
          <w:szCs w:val="22"/>
        </w:rPr>
        <w:lastRenderedPageBreak/>
        <w:t xml:space="preserve">Τέλος, το έλλειμμα του </w:t>
      </w:r>
      <w:r w:rsidRPr="00611A0B">
        <w:rPr>
          <w:rFonts w:ascii="Tahoma" w:hAnsi="Tahoma" w:cs="Tahoma"/>
          <w:b/>
          <w:sz w:val="22"/>
          <w:szCs w:val="22"/>
        </w:rPr>
        <w:t>Ισοζυγίου Τρεχουσών Συναλλαγών και Κεφαλαιακών Μεταβιβάσεων</w:t>
      </w:r>
      <w:r>
        <w:rPr>
          <w:rFonts w:ascii="Tahoma" w:hAnsi="Tahoma" w:cs="Tahoma"/>
          <w:b/>
          <w:sz w:val="22"/>
          <w:szCs w:val="22"/>
        </w:rPr>
        <w:t xml:space="preserve">, </w:t>
      </w:r>
      <w:r w:rsidRPr="00642CE7">
        <w:rPr>
          <w:rFonts w:ascii="Tahoma" w:hAnsi="Tahoma" w:cs="Tahoma"/>
          <w:sz w:val="22"/>
          <w:szCs w:val="22"/>
        </w:rPr>
        <w:t xml:space="preserve">που αντανακλά ως ένα βαθμό τις </w:t>
      </w:r>
      <w:r w:rsidRPr="00611A0B">
        <w:rPr>
          <w:rFonts w:ascii="Tahoma" w:hAnsi="Tahoma" w:cs="Tahoma"/>
          <w:sz w:val="22"/>
          <w:szCs w:val="22"/>
        </w:rPr>
        <w:t>δανειακές ανάγκες</w:t>
      </w:r>
      <w:r>
        <w:rPr>
          <w:rFonts w:ascii="Tahoma" w:hAnsi="Tahoma" w:cs="Tahoma"/>
          <w:sz w:val="22"/>
          <w:szCs w:val="22"/>
        </w:rPr>
        <w:t xml:space="preserve"> </w:t>
      </w:r>
      <w:r w:rsidRPr="00611A0B">
        <w:rPr>
          <w:rFonts w:ascii="Tahoma" w:hAnsi="Tahoma" w:cs="Tahoma"/>
          <w:sz w:val="22"/>
          <w:szCs w:val="22"/>
        </w:rPr>
        <w:t>της οικονομίας από τ</w:t>
      </w:r>
      <w:r>
        <w:rPr>
          <w:rFonts w:ascii="Tahoma" w:hAnsi="Tahoma" w:cs="Tahoma"/>
          <w:sz w:val="22"/>
          <w:szCs w:val="22"/>
        </w:rPr>
        <w:t>ο εξωτερικό, διαμορφώθηκε στα 18,4 δισεκ. ευρώ από 20,9 δισεκ. ευρώ το 2010, στο χαμηλότερο επίπεδο από το 2006. Οι δανειακές ανάγκες σε σχέση με το 2008 είναι μειωμένες κατά 12,3 δισεκ. ευρώ.</w:t>
      </w:r>
    </w:p>
    <w:p w:rsidR="009D6205" w:rsidRPr="00611A0B" w:rsidRDefault="009D6205" w:rsidP="00D8122A">
      <w:pPr>
        <w:pStyle w:val="new2"/>
        <w:spacing w:before="240" w:line="312" w:lineRule="auto"/>
        <w:ind w:right="64"/>
        <w:jc w:val="left"/>
        <w:outlineLvl w:val="1"/>
        <w:rPr>
          <w:rFonts w:cs="Tahoma"/>
        </w:rPr>
      </w:pPr>
      <w:bookmarkStart w:id="310" w:name="_Toc320872893"/>
      <w:r w:rsidRPr="00611A0B">
        <w:rPr>
          <w:rFonts w:cs="Tahoma"/>
        </w:rPr>
        <w:t xml:space="preserve">Ισοζύγιο Χρηματοοικονομικών </w:t>
      </w:r>
      <w:bookmarkStart w:id="311" w:name="_Toc185748671"/>
      <w:r w:rsidRPr="00611A0B">
        <w:rPr>
          <w:rFonts w:cs="Tahoma"/>
        </w:rPr>
        <w:t>Συναλλαγών</w:t>
      </w:r>
      <w:bookmarkEnd w:id="310"/>
      <w:bookmarkEnd w:id="311"/>
      <w:r w:rsidRPr="00611A0B">
        <w:rPr>
          <w:rFonts w:cs="Tahoma"/>
        </w:rPr>
        <w:t xml:space="preserve"> </w:t>
      </w:r>
    </w:p>
    <w:p w:rsidR="009D6205" w:rsidRDefault="009D6205" w:rsidP="0078142C">
      <w:pPr>
        <w:spacing w:before="240" w:after="240" w:line="312" w:lineRule="auto"/>
        <w:ind w:right="64"/>
        <w:jc w:val="both"/>
        <w:rPr>
          <w:rFonts w:ascii="Tahoma" w:hAnsi="Tahoma" w:cs="Tahoma"/>
          <w:sz w:val="22"/>
          <w:szCs w:val="22"/>
        </w:rPr>
      </w:pPr>
      <w:r w:rsidRPr="006F1F66">
        <w:rPr>
          <w:rFonts w:ascii="Tahoma" w:hAnsi="Tahoma" w:cs="Tahoma"/>
          <w:sz w:val="22"/>
          <w:szCs w:val="22"/>
        </w:rPr>
        <w:t>Το</w:t>
      </w:r>
      <w:r>
        <w:rPr>
          <w:rFonts w:ascii="Tahoma" w:hAnsi="Tahoma" w:cs="Tahoma"/>
          <w:b/>
          <w:sz w:val="22"/>
          <w:szCs w:val="22"/>
        </w:rPr>
        <w:t xml:space="preserve"> ισοζύγιο χρηματο</w:t>
      </w:r>
      <w:r w:rsidRPr="00611A0B">
        <w:rPr>
          <w:rFonts w:ascii="Tahoma" w:hAnsi="Tahoma" w:cs="Tahoma"/>
          <w:b/>
          <w:sz w:val="22"/>
          <w:szCs w:val="22"/>
        </w:rPr>
        <w:t>οικονομικών συναλλαγών</w:t>
      </w:r>
      <w:r w:rsidRPr="00611A0B">
        <w:rPr>
          <w:rFonts w:ascii="Tahoma" w:hAnsi="Tahoma" w:cs="Tahoma"/>
          <w:sz w:val="22"/>
          <w:szCs w:val="22"/>
        </w:rPr>
        <w:t xml:space="preserve"> </w:t>
      </w:r>
      <w:r>
        <w:rPr>
          <w:rFonts w:ascii="Tahoma" w:hAnsi="Tahoma" w:cs="Tahoma"/>
          <w:sz w:val="22"/>
          <w:szCs w:val="22"/>
        </w:rPr>
        <w:t>υποχωρεί το 2011 κατά 16,2%, καθώς διαμορφώθηκε στα 17,9 δισεκ. ευρώ από 21,3 δισεκ. ευρώ το 2010.</w:t>
      </w:r>
    </w:p>
    <w:p w:rsidR="009D6205" w:rsidRDefault="009D6205" w:rsidP="0078142C">
      <w:pPr>
        <w:spacing w:before="240" w:after="240" w:line="312" w:lineRule="auto"/>
        <w:ind w:right="64"/>
        <w:jc w:val="both"/>
        <w:rPr>
          <w:rFonts w:ascii="Tahoma" w:hAnsi="Tahoma" w:cs="Tahoma"/>
          <w:sz w:val="22"/>
          <w:szCs w:val="22"/>
        </w:rPr>
      </w:pPr>
      <w:r w:rsidRPr="00611A0B">
        <w:rPr>
          <w:rFonts w:ascii="Tahoma" w:hAnsi="Tahoma" w:cs="Tahoma"/>
          <w:sz w:val="22"/>
          <w:szCs w:val="22"/>
        </w:rPr>
        <w:t>Στους επιμέρους λογαριασμούς,</w:t>
      </w:r>
      <w:r>
        <w:rPr>
          <w:rFonts w:ascii="Tahoma" w:hAnsi="Tahoma" w:cs="Tahoma"/>
          <w:sz w:val="22"/>
          <w:szCs w:val="22"/>
        </w:rPr>
        <w:t xml:space="preserve"> οι </w:t>
      </w:r>
      <w:r w:rsidRPr="00611A0B">
        <w:rPr>
          <w:rFonts w:ascii="Tahoma" w:hAnsi="Tahoma" w:cs="Tahoma"/>
          <w:b/>
          <w:sz w:val="22"/>
          <w:szCs w:val="22"/>
        </w:rPr>
        <w:t>άμεσες επενδύσεις</w:t>
      </w:r>
      <w:r>
        <w:rPr>
          <w:rFonts w:ascii="Tahoma" w:hAnsi="Tahoma" w:cs="Tahoma"/>
          <w:b/>
          <w:sz w:val="22"/>
          <w:szCs w:val="22"/>
        </w:rPr>
        <w:t xml:space="preserve"> </w:t>
      </w:r>
      <w:r w:rsidRPr="00BD0CDE">
        <w:rPr>
          <w:rFonts w:ascii="Tahoma" w:hAnsi="Tahoma" w:cs="Tahoma"/>
          <w:sz w:val="22"/>
          <w:szCs w:val="22"/>
        </w:rPr>
        <w:t>εμφάνισαν</w:t>
      </w:r>
      <w:r>
        <w:rPr>
          <w:rFonts w:ascii="Tahoma" w:hAnsi="Tahoma" w:cs="Tahoma"/>
          <w:b/>
          <w:sz w:val="22"/>
          <w:szCs w:val="22"/>
        </w:rPr>
        <w:t xml:space="preserve"> </w:t>
      </w:r>
      <w:r>
        <w:rPr>
          <w:rFonts w:ascii="Tahoma" w:hAnsi="Tahoma" w:cs="Tahoma"/>
          <w:sz w:val="22"/>
          <w:szCs w:val="22"/>
        </w:rPr>
        <w:t>στο σύνολο του 2011 καθαρή εισροή αξίας 25 εκ. ευρώ, η οποία όμως οφείλεται στις σημαντικές εισροές του Δεκεμβρίου. Οι άμεσες επενδύσεις προς την Ελλάδα διαμορφώθηκαν σε καθαρή εισροή ύψους 1,3 δισεκ. ευρώ, έναντι 281 εκ. ευρώ το 2010, ενώ και οι επενδύσεις ελλήνων προς το εξωτερικό αυξήθηκαν, στα 1,28 δισεκ. ευρώ, έναντι 738 εκ. ευρώ το 2010. Οι σημαντικότερες επενδύσεις που έλαβαν χώρα μέσα στο 2011 είναι:</w:t>
      </w:r>
    </w:p>
    <w:p w:rsidR="009D6205" w:rsidRPr="0032238F" w:rsidRDefault="009D6205" w:rsidP="0078142C">
      <w:pPr>
        <w:pStyle w:val="ListParagraph"/>
        <w:numPr>
          <w:ilvl w:val="0"/>
          <w:numId w:val="6"/>
        </w:numPr>
        <w:spacing w:before="240" w:after="240" w:line="312" w:lineRule="auto"/>
        <w:ind w:left="284" w:right="64" w:hanging="284"/>
        <w:jc w:val="both"/>
        <w:rPr>
          <w:rFonts w:ascii="Tahoma" w:hAnsi="Tahoma" w:cs="Tahoma"/>
          <w:sz w:val="22"/>
          <w:szCs w:val="22"/>
        </w:rPr>
      </w:pPr>
      <w:r w:rsidRPr="0032238F">
        <w:rPr>
          <w:rFonts w:ascii="Tahoma" w:hAnsi="Tahoma" w:cs="Tahoma"/>
          <w:b/>
          <w:sz w:val="22"/>
          <w:szCs w:val="22"/>
        </w:rPr>
        <w:t>Εισροή</w:t>
      </w:r>
      <w:r w:rsidRPr="0032238F">
        <w:rPr>
          <w:rFonts w:ascii="Tahoma" w:hAnsi="Tahoma" w:cs="Tahoma"/>
          <w:sz w:val="22"/>
          <w:szCs w:val="22"/>
        </w:rPr>
        <w:t xml:space="preserve"> </w:t>
      </w:r>
      <w:r>
        <w:rPr>
          <w:rFonts w:ascii="Tahoma" w:hAnsi="Tahoma" w:cs="Tahoma"/>
          <w:b/>
          <w:sz w:val="22"/>
          <w:szCs w:val="22"/>
        </w:rPr>
        <w:t>1 δισεκ.</w:t>
      </w:r>
      <w:r w:rsidRPr="0032238F">
        <w:rPr>
          <w:rFonts w:ascii="Tahoma" w:hAnsi="Tahoma" w:cs="Tahoma"/>
          <w:b/>
          <w:sz w:val="22"/>
          <w:szCs w:val="22"/>
        </w:rPr>
        <w:t>ευρώ</w:t>
      </w:r>
      <w:r w:rsidRPr="0032238F">
        <w:rPr>
          <w:rFonts w:ascii="Tahoma" w:hAnsi="Tahoma" w:cs="Tahoma"/>
          <w:sz w:val="22"/>
          <w:szCs w:val="22"/>
        </w:rPr>
        <w:t xml:space="preserve"> για αύξηση της συμμετοχής της Crédit Agricole S.A (Γαλλία) στην αύξηση μετοχικού κεφαλαίου της Εμπορικής Τράπεζας της Ελλάδος ΑΕ (Δεκέμβριος)</w:t>
      </w:r>
    </w:p>
    <w:p w:rsidR="009D6205" w:rsidRPr="0032238F" w:rsidRDefault="009D6205" w:rsidP="0078142C">
      <w:pPr>
        <w:pStyle w:val="ListParagraph"/>
        <w:numPr>
          <w:ilvl w:val="0"/>
          <w:numId w:val="6"/>
        </w:numPr>
        <w:spacing w:before="240" w:after="240" w:line="312" w:lineRule="auto"/>
        <w:ind w:left="284" w:right="64" w:hanging="284"/>
        <w:jc w:val="both"/>
        <w:rPr>
          <w:rFonts w:ascii="Tahoma" w:hAnsi="Tahoma" w:cs="Tahoma"/>
          <w:sz w:val="22"/>
          <w:szCs w:val="22"/>
        </w:rPr>
      </w:pPr>
      <w:r w:rsidRPr="0032238F">
        <w:rPr>
          <w:rFonts w:ascii="Tahoma" w:hAnsi="Tahoma" w:cs="Tahoma"/>
          <w:b/>
          <w:sz w:val="22"/>
          <w:szCs w:val="22"/>
        </w:rPr>
        <w:t>Εισροή</w:t>
      </w:r>
      <w:r w:rsidRPr="0032238F">
        <w:rPr>
          <w:rFonts w:ascii="Tahoma" w:hAnsi="Tahoma" w:cs="Tahoma"/>
          <w:sz w:val="22"/>
          <w:szCs w:val="22"/>
        </w:rPr>
        <w:t xml:space="preserve"> </w:t>
      </w:r>
      <w:r>
        <w:rPr>
          <w:rFonts w:ascii="Tahoma" w:hAnsi="Tahoma" w:cs="Tahoma"/>
          <w:b/>
          <w:sz w:val="22"/>
          <w:szCs w:val="22"/>
        </w:rPr>
        <w:t>575 εκ.</w:t>
      </w:r>
      <w:r w:rsidRPr="0032238F">
        <w:rPr>
          <w:rFonts w:ascii="Tahoma" w:hAnsi="Tahoma" w:cs="Tahoma"/>
          <w:b/>
          <w:sz w:val="22"/>
          <w:szCs w:val="22"/>
        </w:rPr>
        <w:t>ευρώ</w:t>
      </w:r>
      <w:r w:rsidRPr="0032238F">
        <w:rPr>
          <w:rFonts w:ascii="Tahoma" w:hAnsi="Tahoma" w:cs="Tahoma"/>
          <w:sz w:val="22"/>
          <w:szCs w:val="22"/>
        </w:rPr>
        <w:t xml:space="preserve"> λόγω συμμετοχής της Société Générale (Γαλλία) στην </w:t>
      </w:r>
      <w:r w:rsidRPr="0032238F">
        <w:rPr>
          <w:rFonts w:ascii="Tahoma" w:hAnsi="Tahoma" w:cs="Tahoma"/>
          <w:sz w:val="22"/>
          <w:szCs w:val="22"/>
        </w:rPr>
        <w:lastRenderedPageBreak/>
        <w:t>αύξηση μετοχικού κεφαλαίου της Γενικής Τράπεζας (Δεκέμβριος)</w:t>
      </w:r>
    </w:p>
    <w:p w:rsidR="009D6205" w:rsidRPr="0032238F" w:rsidRDefault="009D6205" w:rsidP="0078142C">
      <w:pPr>
        <w:pStyle w:val="ListParagraph"/>
        <w:numPr>
          <w:ilvl w:val="0"/>
          <w:numId w:val="6"/>
        </w:numPr>
        <w:spacing w:before="240" w:after="240" w:line="312" w:lineRule="auto"/>
        <w:ind w:left="284" w:right="64" w:hanging="284"/>
        <w:jc w:val="both"/>
        <w:rPr>
          <w:rFonts w:ascii="Tahoma" w:hAnsi="Tahoma" w:cs="Tahoma"/>
          <w:sz w:val="22"/>
          <w:szCs w:val="22"/>
        </w:rPr>
      </w:pPr>
      <w:r w:rsidRPr="0032238F">
        <w:rPr>
          <w:rFonts w:ascii="Tahoma" w:hAnsi="Tahoma" w:cs="Tahoma"/>
          <w:b/>
          <w:sz w:val="22"/>
          <w:szCs w:val="22"/>
        </w:rPr>
        <w:t>Εισροή</w:t>
      </w:r>
      <w:r w:rsidRPr="0032238F">
        <w:rPr>
          <w:rFonts w:ascii="Tahoma" w:hAnsi="Tahoma" w:cs="Tahoma"/>
          <w:sz w:val="22"/>
          <w:szCs w:val="22"/>
        </w:rPr>
        <w:t xml:space="preserve"> </w:t>
      </w:r>
      <w:r w:rsidRPr="0032238F">
        <w:rPr>
          <w:rFonts w:ascii="Tahoma" w:hAnsi="Tahoma" w:cs="Tahoma"/>
          <w:b/>
          <w:sz w:val="22"/>
          <w:szCs w:val="22"/>
        </w:rPr>
        <w:t>400 εκ</w:t>
      </w:r>
      <w:r>
        <w:rPr>
          <w:rFonts w:ascii="Tahoma" w:hAnsi="Tahoma" w:cs="Tahoma"/>
          <w:b/>
          <w:sz w:val="22"/>
          <w:szCs w:val="22"/>
        </w:rPr>
        <w:t>.</w:t>
      </w:r>
      <w:r w:rsidRPr="0032238F">
        <w:rPr>
          <w:rFonts w:ascii="Tahoma" w:hAnsi="Tahoma" w:cs="Tahoma"/>
          <w:b/>
          <w:sz w:val="22"/>
          <w:szCs w:val="22"/>
        </w:rPr>
        <w:t>ευρώ</w:t>
      </w:r>
      <w:r w:rsidRPr="0032238F">
        <w:rPr>
          <w:rFonts w:ascii="Tahoma" w:hAnsi="Tahoma" w:cs="Tahoma"/>
          <w:sz w:val="22"/>
          <w:szCs w:val="22"/>
        </w:rPr>
        <w:t xml:space="preserve"> για την εξαγορά της εταιρίας Specifar Pharmaceuticals SA από την εταιρία Watson Pharmaceuticals Inc. (ΗΠΑ) (Μάιος)</w:t>
      </w:r>
    </w:p>
    <w:p w:rsidR="009D6205" w:rsidRPr="0032238F" w:rsidRDefault="009D6205" w:rsidP="0078142C">
      <w:pPr>
        <w:pStyle w:val="ListParagraph"/>
        <w:numPr>
          <w:ilvl w:val="0"/>
          <w:numId w:val="6"/>
        </w:numPr>
        <w:spacing w:before="240" w:after="240" w:line="312" w:lineRule="auto"/>
        <w:ind w:left="284" w:right="64" w:hanging="284"/>
        <w:jc w:val="both"/>
        <w:rPr>
          <w:rFonts w:ascii="Tahoma" w:hAnsi="Tahoma" w:cs="Tahoma"/>
          <w:sz w:val="22"/>
          <w:szCs w:val="22"/>
        </w:rPr>
      </w:pPr>
      <w:r w:rsidRPr="0032238F">
        <w:rPr>
          <w:rFonts w:ascii="Tahoma" w:hAnsi="Tahoma" w:cs="Tahoma"/>
          <w:b/>
          <w:sz w:val="22"/>
          <w:szCs w:val="22"/>
        </w:rPr>
        <w:t>Εισροή</w:t>
      </w:r>
      <w:r w:rsidRPr="0032238F">
        <w:rPr>
          <w:rFonts w:ascii="Tahoma" w:hAnsi="Tahoma" w:cs="Tahoma"/>
          <w:sz w:val="22"/>
          <w:szCs w:val="22"/>
        </w:rPr>
        <w:t xml:space="preserve"> </w:t>
      </w:r>
      <w:r w:rsidRPr="0032238F">
        <w:rPr>
          <w:rFonts w:ascii="Tahoma" w:hAnsi="Tahoma" w:cs="Tahoma"/>
          <w:b/>
          <w:sz w:val="22"/>
          <w:szCs w:val="22"/>
        </w:rPr>
        <w:t>392 εκ</w:t>
      </w:r>
      <w:r>
        <w:rPr>
          <w:rFonts w:ascii="Tahoma" w:hAnsi="Tahoma" w:cs="Tahoma"/>
          <w:b/>
          <w:sz w:val="22"/>
          <w:szCs w:val="22"/>
        </w:rPr>
        <w:t>.</w:t>
      </w:r>
      <w:r w:rsidRPr="0032238F">
        <w:rPr>
          <w:rFonts w:ascii="Tahoma" w:hAnsi="Tahoma" w:cs="Tahoma"/>
          <w:b/>
          <w:sz w:val="22"/>
          <w:szCs w:val="22"/>
        </w:rPr>
        <w:t>ευρώ</w:t>
      </w:r>
      <w:r w:rsidRPr="0032238F">
        <w:rPr>
          <w:rFonts w:ascii="Tahoma" w:hAnsi="Tahoma" w:cs="Tahoma"/>
          <w:sz w:val="22"/>
          <w:szCs w:val="22"/>
        </w:rPr>
        <w:t xml:space="preserve"> για την εξαγορά του 10% του μετοχικού κεφαλαίου του ΟΤΕ από τη Deutsche Telekom (Γερμανία) (Ιούλιος)</w:t>
      </w:r>
    </w:p>
    <w:p w:rsidR="009D6205" w:rsidRPr="0032238F" w:rsidRDefault="009D6205" w:rsidP="009D6205">
      <w:pPr>
        <w:pStyle w:val="ListParagraph"/>
        <w:numPr>
          <w:ilvl w:val="0"/>
          <w:numId w:val="7"/>
        </w:numPr>
        <w:spacing w:before="240" w:after="240" w:line="312" w:lineRule="auto"/>
        <w:ind w:left="284" w:hanging="284"/>
        <w:jc w:val="both"/>
        <w:rPr>
          <w:rFonts w:ascii="Tahoma" w:hAnsi="Tahoma" w:cs="Tahoma"/>
          <w:sz w:val="22"/>
          <w:szCs w:val="22"/>
        </w:rPr>
      </w:pPr>
      <w:r w:rsidRPr="0032238F">
        <w:rPr>
          <w:rFonts w:ascii="Tahoma" w:hAnsi="Tahoma" w:cs="Tahoma"/>
          <w:b/>
          <w:sz w:val="22"/>
          <w:szCs w:val="22"/>
        </w:rPr>
        <w:t>Εκροή</w:t>
      </w:r>
      <w:r w:rsidRPr="0032238F">
        <w:rPr>
          <w:rFonts w:ascii="Tahoma" w:hAnsi="Tahoma" w:cs="Tahoma"/>
          <w:sz w:val="22"/>
          <w:szCs w:val="22"/>
        </w:rPr>
        <w:t xml:space="preserve"> </w:t>
      </w:r>
      <w:r w:rsidRPr="0032238F">
        <w:rPr>
          <w:rFonts w:ascii="Tahoma" w:hAnsi="Tahoma" w:cs="Tahoma"/>
          <w:b/>
          <w:sz w:val="22"/>
          <w:szCs w:val="22"/>
        </w:rPr>
        <w:t>350 εκ</w:t>
      </w:r>
      <w:r>
        <w:rPr>
          <w:rFonts w:ascii="Tahoma" w:hAnsi="Tahoma" w:cs="Tahoma"/>
          <w:b/>
          <w:sz w:val="22"/>
          <w:szCs w:val="22"/>
        </w:rPr>
        <w:t>.</w:t>
      </w:r>
      <w:r w:rsidRPr="0032238F">
        <w:rPr>
          <w:rFonts w:ascii="Tahoma" w:hAnsi="Tahoma" w:cs="Tahoma"/>
          <w:b/>
          <w:sz w:val="22"/>
          <w:szCs w:val="22"/>
        </w:rPr>
        <w:t>ευρώ</w:t>
      </w:r>
      <w:r w:rsidRPr="0032238F">
        <w:rPr>
          <w:rFonts w:ascii="Tahoma" w:hAnsi="Tahoma" w:cs="Tahoma"/>
          <w:sz w:val="22"/>
          <w:szCs w:val="22"/>
        </w:rPr>
        <w:t xml:space="preserve"> για την προικοδότηση από την EFG Eurobank Ergasias SA της θυγατρικής της “EFG Eurobank Ergasias S.A. Spolka Akcyjna Oddzial w Polsce” (Πολωνία) (Ιούλιος)</w:t>
      </w:r>
    </w:p>
    <w:p w:rsidR="009D6205" w:rsidRPr="0032238F" w:rsidRDefault="009D6205" w:rsidP="009D6205">
      <w:pPr>
        <w:pStyle w:val="ListParagraph"/>
        <w:numPr>
          <w:ilvl w:val="0"/>
          <w:numId w:val="7"/>
        </w:numPr>
        <w:spacing w:before="240" w:after="240" w:line="312" w:lineRule="auto"/>
        <w:ind w:left="284" w:hanging="284"/>
        <w:jc w:val="both"/>
        <w:rPr>
          <w:rFonts w:ascii="Tahoma" w:hAnsi="Tahoma" w:cs="Tahoma"/>
          <w:sz w:val="22"/>
          <w:szCs w:val="22"/>
        </w:rPr>
      </w:pPr>
      <w:r w:rsidRPr="0032238F">
        <w:rPr>
          <w:rFonts w:ascii="Tahoma" w:hAnsi="Tahoma" w:cs="Tahoma"/>
          <w:b/>
          <w:sz w:val="22"/>
          <w:szCs w:val="22"/>
        </w:rPr>
        <w:t>Εκροή</w:t>
      </w:r>
      <w:r w:rsidRPr="0032238F">
        <w:rPr>
          <w:rFonts w:ascii="Tahoma" w:hAnsi="Tahoma" w:cs="Tahoma"/>
          <w:sz w:val="22"/>
          <w:szCs w:val="22"/>
        </w:rPr>
        <w:t xml:space="preserve"> </w:t>
      </w:r>
      <w:r w:rsidRPr="0032238F">
        <w:rPr>
          <w:rFonts w:ascii="Tahoma" w:hAnsi="Tahoma" w:cs="Tahoma"/>
          <w:b/>
          <w:sz w:val="22"/>
          <w:szCs w:val="22"/>
        </w:rPr>
        <w:t>160 εκ.ευρώ</w:t>
      </w:r>
      <w:r w:rsidRPr="0032238F">
        <w:rPr>
          <w:rFonts w:ascii="Tahoma" w:hAnsi="Tahoma" w:cs="Tahoma"/>
          <w:sz w:val="22"/>
          <w:szCs w:val="22"/>
        </w:rPr>
        <w:t xml:space="preserve"> για τη μείωση του μετοχικού κεφαλαίου της Coca Cola ΕΕΕ ΑΕ και την επιστροφή των ποσών στους μετόχους (ΗΠΑ) (Ιο</w:t>
      </w:r>
      <w:r>
        <w:rPr>
          <w:rFonts w:ascii="Tahoma" w:hAnsi="Tahoma" w:cs="Tahoma"/>
          <w:sz w:val="22"/>
          <w:szCs w:val="22"/>
        </w:rPr>
        <w:t>ύνιος)</w:t>
      </w:r>
    </w:p>
    <w:p w:rsidR="009D6205" w:rsidRDefault="009D6205" w:rsidP="009D6205">
      <w:pPr>
        <w:pStyle w:val="ListParagraph"/>
        <w:numPr>
          <w:ilvl w:val="0"/>
          <w:numId w:val="7"/>
        </w:numPr>
        <w:spacing w:before="240" w:after="240" w:line="312" w:lineRule="auto"/>
        <w:ind w:left="284" w:hanging="284"/>
        <w:jc w:val="both"/>
        <w:rPr>
          <w:rFonts w:ascii="Tahoma" w:hAnsi="Tahoma" w:cs="Tahoma"/>
          <w:sz w:val="22"/>
          <w:szCs w:val="22"/>
        </w:rPr>
      </w:pPr>
      <w:r w:rsidRPr="0032238F">
        <w:rPr>
          <w:rFonts w:ascii="Tahoma" w:hAnsi="Tahoma" w:cs="Tahoma"/>
          <w:b/>
          <w:sz w:val="22"/>
          <w:szCs w:val="22"/>
        </w:rPr>
        <w:t>Εκροή</w:t>
      </w:r>
      <w:r w:rsidRPr="0032238F">
        <w:rPr>
          <w:rFonts w:ascii="Tahoma" w:hAnsi="Tahoma" w:cs="Tahoma"/>
          <w:sz w:val="22"/>
          <w:szCs w:val="22"/>
        </w:rPr>
        <w:t xml:space="preserve"> </w:t>
      </w:r>
      <w:r w:rsidRPr="0032238F">
        <w:rPr>
          <w:rFonts w:ascii="Tahoma" w:hAnsi="Tahoma" w:cs="Tahoma"/>
          <w:b/>
          <w:sz w:val="22"/>
          <w:szCs w:val="22"/>
        </w:rPr>
        <w:t>101 εκ.ευρώ</w:t>
      </w:r>
      <w:r w:rsidRPr="0032238F">
        <w:rPr>
          <w:rFonts w:ascii="Tahoma" w:hAnsi="Tahoma" w:cs="Tahoma"/>
          <w:sz w:val="22"/>
          <w:szCs w:val="22"/>
        </w:rPr>
        <w:t xml:space="preserve"> για την προικοδότηση από την EFG Eurobank Ergasias SA του υποκαταστήματός της EFG Eurobank Ergasias S.A Spolka (Πολωνία) (Φεβρουάριος)</w:t>
      </w:r>
    </w:p>
    <w:p w:rsidR="009D6205" w:rsidRPr="009D6205" w:rsidRDefault="009D6205" w:rsidP="0078142C">
      <w:pPr>
        <w:tabs>
          <w:tab w:val="left" w:pos="4395"/>
        </w:tabs>
        <w:spacing w:before="240" w:after="240" w:line="312" w:lineRule="auto"/>
        <w:ind w:right="64"/>
        <w:jc w:val="both"/>
        <w:rPr>
          <w:rFonts w:ascii="Tahoma" w:hAnsi="Tahoma" w:cs="Tahoma"/>
          <w:sz w:val="22"/>
          <w:szCs w:val="22"/>
        </w:rPr>
      </w:pPr>
      <w:r w:rsidRPr="009D6205">
        <w:rPr>
          <w:rFonts w:ascii="Tahoma" w:hAnsi="Tahoma" w:cs="Tahoma"/>
          <w:sz w:val="22"/>
          <w:szCs w:val="22"/>
        </w:rPr>
        <w:t xml:space="preserve">Στην κατηγορία των </w:t>
      </w:r>
      <w:r w:rsidRPr="009D6205">
        <w:rPr>
          <w:rFonts w:ascii="Tahoma" w:hAnsi="Tahoma" w:cs="Tahoma"/>
          <w:b/>
          <w:sz w:val="22"/>
          <w:szCs w:val="22"/>
        </w:rPr>
        <w:t>επενδύσεων χαρτοφυλακίου,</w:t>
      </w:r>
      <w:r w:rsidRPr="009D6205">
        <w:rPr>
          <w:rFonts w:ascii="Tahoma" w:hAnsi="Tahoma" w:cs="Tahoma"/>
          <w:sz w:val="22"/>
          <w:szCs w:val="22"/>
        </w:rPr>
        <w:t xml:space="preserve"> περιορίζεται η καθαρή εκροή του 2010, από 20,6 δισεκ. ευρώ, στα 17,3 δισεκ. ευρώ, δηλαδή υποχώρηση κατά 3,6 δισεκ. ευρώ. Η καθαρή εισροή από απαιτήσεις μειώθηκε στο ήμισυ και διαμορφώθηκε στα 6,2 δισεκ. ευρώ, ενώ η καθαρή εκροή των υποχρεώσεων σημείωσε πτώση κατά το 1/3 και διαμορφώθηκε στα 23,4 δισεκ. ευρώ. Σύμφωνα με τα στοιχεία της Τράπεζας της Ελλάδος, οι τοποθετήσεις μη κατοίκων σε ομόλογα και έντοκα </w:t>
      </w:r>
      <w:r w:rsidRPr="009D6205">
        <w:rPr>
          <w:rFonts w:ascii="Tahoma" w:hAnsi="Tahoma" w:cs="Tahoma"/>
          <w:sz w:val="22"/>
          <w:szCs w:val="22"/>
        </w:rPr>
        <w:lastRenderedPageBreak/>
        <w:t>γραμμάτια του ελληνικού δημοσίου μειώθηκαν κατά 23,2 δισεκ. ευρώ, κυρίως λόγω μετατόπισης του χρέους από τους ιδιώτες προς τα ευρωπαϊκά κράτη και την ΕΚΤ, ενώ οι τοποθετήσεις κατοίκων σε παράγωγα του εξωτερικού αυξήθηκαν, κατά 707 εκ. ευρώ. Ταυτόχρονα, οι τοποθετήσεις μη κατοίκων σε μετοχές ελληνικών επιχειρήσεων μειώθηκαν κατά 246 εκ. ευρώ. Τέλος, οι επενδύσεις των εγχώριων θεσμικών επενδυτών σε ομόλογα και έντοκα γραμμάτια του εξωτερικού μειώθηκαν κατά 6,8 δισεκ. ευρώ, αντισταθμίζοντας τις παραπάνω μεταβολές, ενώ μείωση καταγράφηκε και στις τοποθετήσεις κατοίκων σε μετοχές αλλοδαπών επιχειρήσεων κατά 71 εκ. ευρώ.</w:t>
      </w:r>
    </w:p>
    <w:p w:rsidR="009D6205" w:rsidRPr="009D6205" w:rsidRDefault="009D6205" w:rsidP="0078142C">
      <w:pPr>
        <w:spacing w:before="240" w:after="240" w:line="312" w:lineRule="auto"/>
        <w:ind w:right="64"/>
        <w:jc w:val="both"/>
        <w:rPr>
          <w:rFonts w:ascii="Tahoma" w:hAnsi="Tahoma" w:cs="Tahoma"/>
          <w:sz w:val="22"/>
          <w:szCs w:val="22"/>
        </w:rPr>
      </w:pPr>
      <w:r w:rsidRPr="009D6205">
        <w:rPr>
          <w:rFonts w:ascii="Tahoma" w:hAnsi="Tahoma" w:cs="Tahoma"/>
          <w:sz w:val="22"/>
          <w:szCs w:val="22"/>
        </w:rPr>
        <w:t xml:space="preserve">Στην κατηγορία των </w:t>
      </w:r>
      <w:r w:rsidRPr="009D6205">
        <w:rPr>
          <w:rFonts w:ascii="Tahoma" w:hAnsi="Tahoma" w:cs="Tahoma"/>
          <w:b/>
          <w:sz w:val="22"/>
          <w:szCs w:val="22"/>
        </w:rPr>
        <w:t>"λοιπών'' επενδύσεων</w:t>
      </w:r>
      <w:r w:rsidRPr="009D6205">
        <w:rPr>
          <w:rFonts w:ascii="Tahoma" w:hAnsi="Tahoma" w:cs="Tahoma"/>
          <w:sz w:val="22"/>
          <w:szCs w:val="22"/>
        </w:rPr>
        <w:t xml:space="preserve">, το σχετικό ισοζύγιο καταγράφει καθαρή εισροή ύψους 35,2 δισεκ. ευρώ, έναντι 42,5 δισεκ. ευρώ το 2010. Η εξέλιξη αυτά αντανακλά κυρίως την αύξηση του δανεισμού της γενικής κυβέρνησης, αλλά και του ιδιωτικού τομέα. Συγκεκριμένα τα δάνεια Γενικής Κυβέρνησης ανήλθαν στα 39,4 δισεκ. ευρώ, από 30,0 δισεκ. ευρώ το 2010. Οι τοποθετήσεις των εγχώριων επενδυτών σε καταθέσεις και repos στο εξωτερικό μειώθηκαν κατά 5,5 δισεκ. ευρώ, ενώ και οι τοποθετήσεις μη κατοίκων σε καταθέσεις και repos στην Ελλάδα μειώθηκαν, κατά 8,8 δισεκ. ευρώ. Τέλος, τα </w:t>
      </w:r>
      <w:r w:rsidRPr="009D6205">
        <w:rPr>
          <w:rFonts w:ascii="Tahoma" w:hAnsi="Tahoma" w:cs="Tahoma"/>
          <w:b/>
          <w:sz w:val="22"/>
          <w:szCs w:val="22"/>
        </w:rPr>
        <w:t>συναλλαγματικά διαθέσιμα</w:t>
      </w:r>
      <w:r w:rsidRPr="009D6205">
        <w:rPr>
          <w:rFonts w:ascii="Tahoma" w:hAnsi="Tahoma" w:cs="Tahoma"/>
          <w:sz w:val="22"/>
          <w:szCs w:val="22"/>
        </w:rPr>
        <w:t xml:space="preserve"> της χώρας διαμορφώθηκαν στα τέλη Δεκεμβρίου στα 5,4 δισεκ. ευρώ, από 4,8 δισεκ. ευρώ τον Δεκέμβριο του 2010.</w:t>
      </w:r>
    </w:p>
    <w:p w:rsidR="009D6205" w:rsidRDefault="009D6205" w:rsidP="0007608A">
      <w:pPr>
        <w:spacing w:before="240" w:after="240" w:line="312" w:lineRule="auto"/>
        <w:jc w:val="both"/>
        <w:rPr>
          <w:rFonts w:ascii="Tahoma" w:hAnsi="Tahoma" w:cs="Tahoma"/>
          <w:sz w:val="22"/>
          <w:szCs w:val="22"/>
        </w:rPr>
      </w:pPr>
    </w:p>
    <w:p w:rsidR="009D6205" w:rsidRDefault="009D6205" w:rsidP="0007608A">
      <w:pPr>
        <w:spacing w:before="240" w:after="240" w:line="312" w:lineRule="auto"/>
        <w:jc w:val="both"/>
        <w:rPr>
          <w:rFonts w:ascii="Tahoma" w:hAnsi="Tahoma" w:cs="Tahoma"/>
          <w:sz w:val="22"/>
          <w:szCs w:val="22"/>
        </w:rPr>
        <w:sectPr w:rsidR="009D6205" w:rsidSect="005F0AB5">
          <w:pgSz w:w="11906" w:h="16838"/>
          <w:pgMar w:top="1440" w:right="720" w:bottom="1440" w:left="1559" w:header="709" w:footer="709" w:gutter="0"/>
          <w:cols w:num="2" w:space="708"/>
          <w:docGrid w:linePitch="360"/>
        </w:sectPr>
      </w:pPr>
    </w:p>
    <w:p w:rsidR="00295EC3" w:rsidRDefault="00295EC3">
      <w:pPr>
        <w:spacing w:after="200" w:line="276" w:lineRule="auto"/>
        <w:rPr>
          <w:rFonts w:ascii="Tahoma" w:hAnsi="Tahoma"/>
          <w:b/>
          <w:bCs/>
        </w:rPr>
        <w:sectPr w:rsidR="00295EC3" w:rsidSect="003133F2">
          <w:type w:val="continuous"/>
          <w:pgSz w:w="11906" w:h="16838"/>
          <w:pgMar w:top="1440" w:right="1133" w:bottom="1440" w:left="993" w:header="708" w:footer="708" w:gutter="0"/>
          <w:cols w:space="708"/>
          <w:docGrid w:linePitch="360"/>
        </w:sectPr>
      </w:pPr>
      <w:bookmarkStart w:id="312" w:name="_Toc249262131"/>
    </w:p>
    <w:p w:rsidR="0007608A" w:rsidRDefault="0007608A" w:rsidP="0007608A">
      <w:pPr>
        <w:pStyle w:val="new4"/>
        <w:spacing w:line="240" w:lineRule="auto"/>
      </w:pPr>
      <w:r>
        <w:lastRenderedPageBreak/>
        <w:t>Διάγραμμα 3.17</w:t>
      </w:r>
    </w:p>
    <w:p w:rsidR="0007608A" w:rsidRDefault="0007608A" w:rsidP="0007608A">
      <w:pPr>
        <w:pStyle w:val="new4"/>
        <w:spacing w:line="240" w:lineRule="auto"/>
        <w:rPr>
          <w:b w:val="0"/>
        </w:rPr>
      </w:pPr>
      <w:r w:rsidRPr="00195723">
        <w:rPr>
          <w:b w:val="0"/>
        </w:rPr>
        <w:t xml:space="preserve">Εισαγωγές-Εξαγωγές </w:t>
      </w:r>
      <w:r>
        <w:rPr>
          <w:b w:val="0"/>
        </w:rPr>
        <w:t>2001</w:t>
      </w:r>
      <w:r w:rsidRPr="00195723">
        <w:rPr>
          <w:b w:val="0"/>
        </w:rPr>
        <w:t>-</w:t>
      </w:r>
      <w:r>
        <w:rPr>
          <w:b w:val="0"/>
        </w:rPr>
        <w:t>2011</w:t>
      </w:r>
      <w:r w:rsidRPr="00195723">
        <w:rPr>
          <w:b w:val="0"/>
        </w:rPr>
        <w:t xml:space="preserve"> (Ιανουάριος</w:t>
      </w:r>
      <w:r>
        <w:rPr>
          <w:b w:val="0"/>
        </w:rPr>
        <w:t xml:space="preserve"> </w:t>
      </w:r>
      <w:r w:rsidRPr="00195723">
        <w:rPr>
          <w:b w:val="0"/>
        </w:rPr>
        <w:t>-</w:t>
      </w:r>
      <w:r>
        <w:rPr>
          <w:b w:val="0"/>
        </w:rPr>
        <w:t xml:space="preserve"> Δεκέμβριος</w:t>
      </w:r>
      <w:r w:rsidRPr="00195723">
        <w:rPr>
          <w:b w:val="0"/>
        </w:rPr>
        <w:t>)</w:t>
      </w:r>
    </w:p>
    <w:p w:rsidR="0007608A" w:rsidRPr="00195723" w:rsidRDefault="0007608A" w:rsidP="00A747F6">
      <w:pPr>
        <w:pStyle w:val="new4"/>
        <w:spacing w:line="240" w:lineRule="auto"/>
        <w:jc w:val="right"/>
        <w:rPr>
          <w:b w:val="0"/>
        </w:rPr>
      </w:pPr>
      <w:r>
        <w:rPr>
          <w:b w:val="0"/>
          <w:noProof/>
          <w:lang w:val="en-US" w:eastAsia="en-US"/>
        </w:rPr>
        <w:drawing>
          <wp:inline distT="0" distB="0" distL="0" distR="0">
            <wp:extent cx="5924550" cy="3419475"/>
            <wp:effectExtent l="0" t="0" r="0" b="0"/>
            <wp:docPr id="27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07608A" w:rsidRPr="00FB5C5A" w:rsidRDefault="0007608A" w:rsidP="0007608A">
      <w:pPr>
        <w:pStyle w:val="BodyText"/>
        <w:spacing w:after="240" w:line="240" w:lineRule="auto"/>
        <w:rPr>
          <w:rFonts w:ascii="Tahoma" w:hAnsi="Tahoma" w:cs="Tahoma"/>
          <w:sz w:val="16"/>
          <w:szCs w:val="16"/>
        </w:rPr>
      </w:pPr>
      <w:r w:rsidRPr="004778C5">
        <w:rPr>
          <w:rFonts w:ascii="Tahoma" w:hAnsi="Tahoma" w:cs="Tahoma"/>
          <w:b/>
          <w:sz w:val="16"/>
          <w:szCs w:val="16"/>
        </w:rPr>
        <w:t>Πηγή</w:t>
      </w:r>
      <w:r w:rsidRPr="004778C5">
        <w:rPr>
          <w:rFonts w:ascii="Tahoma" w:hAnsi="Tahoma" w:cs="Tahoma"/>
          <w:sz w:val="16"/>
          <w:szCs w:val="16"/>
        </w:rPr>
        <w:t>:</w:t>
      </w:r>
      <w:r w:rsidRPr="000E7737">
        <w:rPr>
          <w:rFonts w:ascii="Tahoma" w:hAnsi="Tahoma" w:cs="Tahoma"/>
          <w:sz w:val="16"/>
          <w:szCs w:val="16"/>
        </w:rPr>
        <w:t xml:space="preserve"> </w:t>
      </w:r>
      <w:r w:rsidRPr="004778C5">
        <w:rPr>
          <w:rFonts w:ascii="Tahoma" w:hAnsi="Tahoma" w:cs="Tahoma"/>
          <w:sz w:val="16"/>
          <w:szCs w:val="16"/>
        </w:rPr>
        <w:t xml:space="preserve">Τράπεζα της Ελλάδος </w:t>
      </w:r>
      <w:r>
        <w:rPr>
          <w:rFonts w:ascii="Tahoma" w:hAnsi="Tahoma" w:cs="Tahoma"/>
          <w:sz w:val="16"/>
          <w:szCs w:val="16"/>
        </w:rPr>
        <w:t>- Επεξεργασία στοιχείων ΙΟΒΕ</w:t>
      </w:r>
      <w:r w:rsidRPr="00FB5C5A">
        <w:rPr>
          <w:rFonts w:ascii="Tahoma" w:hAnsi="Tahoma" w:cs="Tahoma"/>
          <w:sz w:val="16"/>
          <w:szCs w:val="16"/>
        </w:rPr>
        <w:t xml:space="preserve"> </w:t>
      </w:r>
    </w:p>
    <w:p w:rsidR="0007608A" w:rsidRDefault="0007608A" w:rsidP="0007608A">
      <w:pPr>
        <w:pStyle w:val="new4"/>
        <w:spacing w:line="240" w:lineRule="auto"/>
      </w:pPr>
      <w:r w:rsidRPr="002724D7">
        <w:t>Διά</w:t>
      </w:r>
      <w:r>
        <w:t>γραμμα 3.18</w:t>
      </w:r>
    </w:p>
    <w:p w:rsidR="0007608A" w:rsidRPr="00195723" w:rsidRDefault="0007608A" w:rsidP="0007608A">
      <w:pPr>
        <w:pStyle w:val="new4"/>
        <w:spacing w:line="240" w:lineRule="auto"/>
        <w:rPr>
          <w:b w:val="0"/>
        </w:rPr>
      </w:pPr>
      <w:r w:rsidRPr="00195723">
        <w:rPr>
          <w:b w:val="0"/>
        </w:rPr>
        <w:t xml:space="preserve">Ισοζύγιο Τρεχουσών Συναλλαγών </w:t>
      </w:r>
      <w:r>
        <w:rPr>
          <w:b w:val="0"/>
        </w:rPr>
        <w:t>2001</w:t>
      </w:r>
      <w:r w:rsidRPr="00195723">
        <w:rPr>
          <w:b w:val="0"/>
        </w:rPr>
        <w:t>-</w:t>
      </w:r>
      <w:r>
        <w:rPr>
          <w:b w:val="0"/>
        </w:rPr>
        <w:t>2011</w:t>
      </w:r>
      <w:r w:rsidRPr="00195723">
        <w:rPr>
          <w:b w:val="0"/>
        </w:rPr>
        <w:t xml:space="preserve"> (Ιανουάριος</w:t>
      </w:r>
      <w:r>
        <w:rPr>
          <w:b w:val="0"/>
        </w:rPr>
        <w:t xml:space="preserve"> </w:t>
      </w:r>
      <w:r w:rsidRPr="00195723">
        <w:rPr>
          <w:b w:val="0"/>
        </w:rPr>
        <w:t>-</w:t>
      </w:r>
      <w:r>
        <w:rPr>
          <w:b w:val="0"/>
        </w:rPr>
        <w:t xml:space="preserve"> Δεκέμβριος</w:t>
      </w:r>
      <w:r w:rsidRPr="00195723">
        <w:rPr>
          <w:b w:val="0"/>
        </w:rPr>
        <w:t>)</w:t>
      </w:r>
    </w:p>
    <w:p w:rsidR="0007608A" w:rsidRPr="00AF253C" w:rsidRDefault="0007608A" w:rsidP="00A747F6">
      <w:pPr>
        <w:ind w:left="-180"/>
        <w:jc w:val="right"/>
        <w:rPr>
          <w:rFonts w:cs="Tahoma"/>
          <w:b/>
          <w:szCs w:val="22"/>
        </w:rPr>
      </w:pPr>
      <w:r>
        <w:rPr>
          <w:rFonts w:cs="Tahoma"/>
          <w:b/>
          <w:noProof/>
          <w:szCs w:val="22"/>
          <w:lang w:val="en-US" w:eastAsia="en-US"/>
        </w:rPr>
        <w:drawing>
          <wp:inline distT="0" distB="0" distL="0" distR="0">
            <wp:extent cx="5972175" cy="3476625"/>
            <wp:effectExtent l="0" t="0" r="0" b="0"/>
            <wp:docPr id="273"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07608A" w:rsidRPr="00FB5C5A" w:rsidRDefault="0007608A" w:rsidP="0007608A">
      <w:pPr>
        <w:pStyle w:val="BodyText"/>
        <w:spacing w:after="240" w:line="240" w:lineRule="auto"/>
        <w:rPr>
          <w:rFonts w:ascii="Tahoma" w:hAnsi="Tahoma" w:cs="Tahoma"/>
          <w:sz w:val="16"/>
          <w:szCs w:val="16"/>
        </w:rPr>
      </w:pPr>
      <w:r w:rsidRPr="00FB5C5A">
        <w:rPr>
          <w:rFonts w:ascii="Tahoma" w:hAnsi="Tahoma" w:cs="Tahoma"/>
          <w:b/>
          <w:sz w:val="16"/>
          <w:szCs w:val="16"/>
        </w:rPr>
        <w:t>Πηγή:</w:t>
      </w:r>
      <w:r w:rsidRPr="00FB5C5A">
        <w:rPr>
          <w:rFonts w:ascii="Tahoma" w:hAnsi="Tahoma" w:cs="Tahoma"/>
          <w:sz w:val="16"/>
          <w:szCs w:val="16"/>
        </w:rPr>
        <w:t xml:space="preserve"> Τράπεζα της Ελλάδος</w:t>
      </w:r>
      <w:r>
        <w:rPr>
          <w:rFonts w:ascii="Tahoma" w:hAnsi="Tahoma" w:cs="Tahoma"/>
          <w:sz w:val="16"/>
          <w:szCs w:val="16"/>
        </w:rPr>
        <w:t xml:space="preserve"> - Επεξεργασία στοιχείων ΙΟΒΕ</w:t>
      </w:r>
      <w:r w:rsidRPr="00FB5C5A">
        <w:rPr>
          <w:rFonts w:ascii="Tahoma" w:hAnsi="Tahoma" w:cs="Tahoma"/>
          <w:sz w:val="16"/>
          <w:szCs w:val="16"/>
        </w:rPr>
        <w:t xml:space="preserve"> </w:t>
      </w:r>
    </w:p>
    <w:p w:rsidR="00295EC3" w:rsidRDefault="00295EC3" w:rsidP="00E54163">
      <w:pPr>
        <w:pStyle w:val="new2"/>
        <w:spacing w:before="240" w:line="312" w:lineRule="auto"/>
        <w:jc w:val="left"/>
        <w:outlineLvl w:val="1"/>
        <w:rPr>
          <w:rFonts w:cs="Tahoma"/>
        </w:rPr>
        <w:sectPr w:rsidR="00295EC3" w:rsidSect="002421F1">
          <w:pgSz w:w="11906" w:h="16838"/>
          <w:pgMar w:top="1440" w:right="1133" w:bottom="1440" w:left="993" w:header="708" w:footer="708" w:gutter="0"/>
          <w:cols w:space="708"/>
          <w:docGrid w:linePitch="360"/>
        </w:sectPr>
      </w:pPr>
    </w:p>
    <w:p w:rsidR="0007608A" w:rsidRDefault="0007608A" w:rsidP="009018F8">
      <w:pPr>
        <w:pStyle w:val="new2"/>
        <w:spacing w:before="240" w:line="312" w:lineRule="auto"/>
        <w:ind w:right="206"/>
        <w:jc w:val="left"/>
        <w:rPr>
          <w:rFonts w:cs="Tahoma"/>
        </w:rPr>
      </w:pPr>
      <w:bookmarkStart w:id="313" w:name="_Toc320872894"/>
      <w:bookmarkEnd w:id="307"/>
      <w:bookmarkEnd w:id="308"/>
      <w:bookmarkEnd w:id="309"/>
      <w:bookmarkEnd w:id="312"/>
      <w:r>
        <w:rPr>
          <w:rFonts w:cs="Tahoma"/>
        </w:rPr>
        <w:lastRenderedPageBreak/>
        <w:t>Αποτίμηση</w:t>
      </w:r>
      <w:bookmarkStart w:id="314" w:name="_Toc217728946"/>
      <w:bookmarkEnd w:id="313"/>
      <w:r w:rsidRPr="00761663">
        <w:rPr>
          <w:rFonts w:cs="Tahoma"/>
        </w:rPr>
        <w:t xml:space="preserve"> </w:t>
      </w:r>
    </w:p>
    <w:p w:rsidR="0007608A" w:rsidRDefault="0007608A" w:rsidP="0078142C">
      <w:pPr>
        <w:spacing w:before="240" w:after="240" w:line="312" w:lineRule="auto"/>
        <w:ind w:right="64"/>
        <w:jc w:val="both"/>
        <w:rPr>
          <w:rFonts w:ascii="Tahoma" w:hAnsi="Tahoma" w:cs="Tahoma"/>
          <w:sz w:val="22"/>
          <w:szCs w:val="22"/>
        </w:rPr>
      </w:pPr>
      <w:r>
        <w:rPr>
          <w:rFonts w:ascii="Tahoma" w:hAnsi="Tahoma" w:cs="Tahoma"/>
          <w:sz w:val="22"/>
          <w:szCs w:val="22"/>
        </w:rPr>
        <w:t xml:space="preserve">Οι εξαγωγές αγαθών λοιπών αγαθών (χωρίς καύσιμα και πλοία) αυξήθηκαν το 2011 κατά 17,3%, ενώ οι εισπράξεις από τουριστικές υπηρεσίες σημείωσαν άνοδο κατά 10,8%. Οι αυξήσεις αυτές ανακόπηκαν τον τελευταίο μήνα του έτους (δίμηνο για τον τουρισμό), καθώς καταγράφηκε «κόπωση» στην εξαγωγική δραστηριότητα. Συνολικά όμως, οι εξαγωγές αγαθών και οι εισπράξεις από τουριστικές υπηρεσίες ανέκαμψαν το 2011 κατά 14,3%, με αποτέλεσμα το σχετικό ισοζύγιο να συρρικνωθεί στο ήμισυ των επιπέδων του 2010, σε συνδυασμό με την κάμψη των εισαγωγών κατά 4%. Οι θετικοί ρυθμοί μεγέθυνσης σε αρκετές οικονομίες της ΕΕ και το 2011, παρά την επιβράδυνση σε σχέση με το 2010, αλλά και η σημαντική ανάκαμψη των νέων χωρών μελών, οι οποίες αποτελούν χώρες υποδοχής ελληνικών προϊόντων, αποτέλεσε βασικό παράγοντα ενίσχυσης των εξαγωγών. Έτσι, η άνοδος του διεθνούς εμπορίου, σε συνδυασμό με την εμφατική προσπάθεια των ήδη εξαγωγικών ελληνικών επιχειρήσεων για ενίσχυση των εξαγωγών τους, επηρέασαν θετικά την εξαγωγική επίδοση της ελληνικής οικονομίας κατά το 2011. </w:t>
      </w:r>
    </w:p>
    <w:p w:rsidR="009D6205" w:rsidRDefault="0007608A" w:rsidP="0078142C">
      <w:pPr>
        <w:tabs>
          <w:tab w:val="left" w:pos="4395"/>
        </w:tabs>
        <w:spacing w:before="240" w:after="240" w:line="312" w:lineRule="auto"/>
        <w:ind w:right="64"/>
        <w:jc w:val="both"/>
        <w:rPr>
          <w:rFonts w:ascii="Tahoma" w:hAnsi="Tahoma" w:cs="Tahoma"/>
          <w:sz w:val="22"/>
          <w:szCs w:val="22"/>
        </w:rPr>
      </w:pPr>
      <w:r>
        <w:rPr>
          <w:rFonts w:ascii="Tahoma" w:hAnsi="Tahoma" w:cs="Tahoma"/>
          <w:sz w:val="22"/>
          <w:szCs w:val="22"/>
        </w:rPr>
        <w:t xml:space="preserve">Η θετική αυτή εξέλιξη, η οποία όμως αναμένεται να μην συνεχιστεί με την ίδια ένταση, εξαιτίας της συρρίκνωσης της οικονομικής δραστηριότητας στις χώρες της ΕΕ (στασιμότητα το 2012 στην ΕΕ27), δεν φτάνει ως ικανή συνθήκη για αλλαγή του παραγωγικού μοντέλου της ελληνικής οικονομίας, καθώς η μείωση των εισαγωγών δεν αναπληρώνεται από εγχώρια παραγωγή. Σύμφωνα με το διάγραμμα 3.20. παράλληλα με την καθοδική τάση στις εισαγωγές τα </w:t>
      </w:r>
      <w:r>
        <w:rPr>
          <w:rFonts w:ascii="Tahoma" w:hAnsi="Tahoma" w:cs="Tahoma"/>
          <w:sz w:val="22"/>
          <w:szCs w:val="22"/>
        </w:rPr>
        <w:lastRenderedPageBreak/>
        <w:t>τελευταία έτη, καταγράφεται και αντίστοιχη πτώση στη βιομηχανική παραγωγή, με αποτέλεσμα το κενό που δημιουργείται από τη μείωση των εισαγωγών να μην καλύπτεται εγχώρια παραγωγή. Πέρα από την κάλυψη σε ορισμένα προϊόντα, η γενική τάση είναι ενδεικτική της έλλειψης της κατάλληλης παραγωγικής δομής που επιτρέπει τη σχετική αυτάρκεια σε μια οικονομία. Έτσι, η εξαγωγική προσπάθεια των επιχειρήσεων ώστε να αντισταθμίσουν τις αρνητικές επιπτώσεις της μειούμενης εγχώριας ζήτησης, με αναπλήρωση από τις εξαγωγές, είναι σίγουρα θετικό</w:t>
      </w:r>
      <w:r w:rsidR="00A95F16">
        <w:rPr>
          <w:rFonts w:ascii="Tahoma" w:hAnsi="Tahoma" w:cs="Tahoma"/>
          <w:sz w:val="22"/>
          <w:szCs w:val="22"/>
        </w:rPr>
        <w:t>ς</w:t>
      </w:r>
      <w:r>
        <w:rPr>
          <w:rFonts w:ascii="Tahoma" w:hAnsi="Tahoma" w:cs="Tahoma"/>
          <w:sz w:val="22"/>
          <w:szCs w:val="22"/>
        </w:rPr>
        <w:t xml:space="preserve"> για την οικονομία αλλά και για τη διαμόρφωση μιας νέας επιχειρηματικής κουλτούρας, η οποία εκτιθέμενη στον διεθνή ανταγωνισμό δημιουργεί μια νέα δυναμική. Παράλληλα όμως η συνεχώς μειούμενη εγχώρια δραστηριότητα ενδεχομένως να αποτελέσει ανάχωμα στην περαιτέρω ανάπτυξη των επιχειρήσεων, καθώς η αναμενόμενη </w:t>
      </w:r>
      <w:r w:rsidR="00A95F16">
        <w:rPr>
          <w:rFonts w:ascii="Tahoma" w:hAnsi="Tahoma" w:cs="Tahoma"/>
          <w:sz w:val="22"/>
          <w:szCs w:val="22"/>
        </w:rPr>
        <w:t xml:space="preserve">επιβράδυνση </w:t>
      </w:r>
      <w:r>
        <w:rPr>
          <w:rFonts w:ascii="Tahoma" w:hAnsi="Tahoma" w:cs="Tahoma"/>
          <w:sz w:val="22"/>
          <w:szCs w:val="22"/>
        </w:rPr>
        <w:t>στις εξαγωγές, δύσκολα θα αναπληρωθεί από την ενίσχυση της εγχώριας ζήτησης.</w:t>
      </w:r>
    </w:p>
    <w:p w:rsidR="00A95F16" w:rsidRDefault="00A95F16" w:rsidP="00227662">
      <w:pPr>
        <w:spacing w:before="240" w:after="240" w:line="312" w:lineRule="auto"/>
        <w:jc w:val="both"/>
        <w:rPr>
          <w:rFonts w:ascii="Tahoma" w:hAnsi="Tahoma" w:cs="Tahoma"/>
          <w:sz w:val="22"/>
          <w:szCs w:val="22"/>
        </w:rPr>
        <w:sectPr w:rsidR="00A95F16" w:rsidSect="005F0AB5">
          <w:pgSz w:w="11906" w:h="16838"/>
          <w:pgMar w:top="1440" w:right="720" w:bottom="1440" w:left="1559" w:header="709" w:footer="709" w:gutter="0"/>
          <w:cols w:num="2" w:space="708"/>
          <w:docGrid w:linePitch="360"/>
        </w:sectPr>
      </w:pPr>
    </w:p>
    <w:p w:rsidR="0007608A" w:rsidRDefault="0007608A" w:rsidP="0007608A">
      <w:pPr>
        <w:pStyle w:val="new4"/>
        <w:spacing w:line="240" w:lineRule="auto"/>
      </w:pPr>
      <w:r w:rsidRPr="002724D7">
        <w:lastRenderedPageBreak/>
        <w:t>Διά</w:t>
      </w:r>
      <w:r>
        <w:t>γραμμα 3.19</w:t>
      </w:r>
    </w:p>
    <w:p w:rsidR="0007608A" w:rsidRPr="00195723" w:rsidRDefault="0007608A" w:rsidP="0007608A">
      <w:pPr>
        <w:pStyle w:val="new4"/>
        <w:spacing w:line="240" w:lineRule="auto"/>
        <w:rPr>
          <w:b w:val="0"/>
        </w:rPr>
      </w:pPr>
      <w:r w:rsidRPr="00195723">
        <w:rPr>
          <w:b w:val="0"/>
        </w:rPr>
        <w:t>Εισαγωγές-Εξαγωγές</w:t>
      </w:r>
      <w:r>
        <w:rPr>
          <w:b w:val="0"/>
        </w:rPr>
        <w:t xml:space="preserve"> (</w:t>
      </w:r>
      <w:r w:rsidRPr="008F4234">
        <w:t>χωρίς καύσιμα</w:t>
      </w:r>
      <w:r>
        <w:rPr>
          <w:b w:val="0"/>
        </w:rPr>
        <w:t>)</w:t>
      </w:r>
      <w:r w:rsidRPr="00195723">
        <w:rPr>
          <w:b w:val="0"/>
        </w:rPr>
        <w:t xml:space="preserve"> </w:t>
      </w:r>
      <w:r>
        <w:rPr>
          <w:b w:val="0"/>
        </w:rPr>
        <w:t>2001</w:t>
      </w:r>
      <w:r w:rsidRPr="00195723">
        <w:rPr>
          <w:b w:val="0"/>
        </w:rPr>
        <w:t>-</w:t>
      </w:r>
      <w:r>
        <w:rPr>
          <w:b w:val="0"/>
        </w:rPr>
        <w:t>2011</w:t>
      </w:r>
      <w:r w:rsidRPr="00195723">
        <w:rPr>
          <w:b w:val="0"/>
        </w:rPr>
        <w:t xml:space="preserve"> (Ιανουάριος-</w:t>
      </w:r>
      <w:r>
        <w:rPr>
          <w:b w:val="0"/>
        </w:rPr>
        <w:t>Δεκέμβριος</w:t>
      </w:r>
      <w:r w:rsidRPr="00195723">
        <w:rPr>
          <w:b w:val="0"/>
        </w:rPr>
        <w:t>)</w:t>
      </w:r>
    </w:p>
    <w:p w:rsidR="0007608A" w:rsidRPr="00AF253C" w:rsidRDefault="0007608A" w:rsidP="00A436FA">
      <w:pPr>
        <w:pStyle w:val="new4"/>
        <w:spacing w:line="240" w:lineRule="auto"/>
        <w:ind w:left="-540"/>
        <w:jc w:val="right"/>
        <w:rPr>
          <w:lang w:val="en-US"/>
        </w:rPr>
      </w:pPr>
      <w:r>
        <w:rPr>
          <w:noProof/>
          <w:lang w:val="en-US" w:eastAsia="en-US"/>
        </w:rPr>
        <w:drawing>
          <wp:inline distT="0" distB="0" distL="0" distR="0">
            <wp:extent cx="5905500" cy="3067050"/>
            <wp:effectExtent l="0" t="0" r="0" b="0"/>
            <wp:docPr id="272"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07608A" w:rsidRPr="008F4234" w:rsidRDefault="0007608A" w:rsidP="0007608A">
      <w:pPr>
        <w:pStyle w:val="BodyText"/>
        <w:spacing w:after="240" w:line="240" w:lineRule="auto"/>
        <w:rPr>
          <w:rFonts w:ascii="Tahoma" w:hAnsi="Tahoma" w:cs="Tahoma"/>
          <w:sz w:val="16"/>
          <w:szCs w:val="16"/>
        </w:rPr>
      </w:pPr>
      <w:r w:rsidRPr="008F4234">
        <w:rPr>
          <w:rFonts w:ascii="Tahoma" w:hAnsi="Tahoma" w:cs="Tahoma"/>
          <w:b/>
          <w:sz w:val="16"/>
          <w:szCs w:val="16"/>
        </w:rPr>
        <w:t>Πηγή:</w:t>
      </w:r>
      <w:r>
        <w:rPr>
          <w:rFonts w:ascii="Tahoma" w:hAnsi="Tahoma" w:cs="Tahoma"/>
          <w:b/>
          <w:sz w:val="16"/>
          <w:szCs w:val="16"/>
        </w:rPr>
        <w:t xml:space="preserve"> </w:t>
      </w:r>
      <w:r w:rsidRPr="008F4234">
        <w:rPr>
          <w:rFonts w:ascii="Tahoma" w:hAnsi="Tahoma" w:cs="Tahoma"/>
          <w:sz w:val="16"/>
          <w:szCs w:val="16"/>
        </w:rPr>
        <w:t xml:space="preserve">Τράπεζα της Ελλάδος - Επεξεργασία στοιχείων ΙΟΒΕ </w:t>
      </w:r>
    </w:p>
    <w:p w:rsidR="0007608A" w:rsidRDefault="0007608A" w:rsidP="0007608A">
      <w:pPr>
        <w:pStyle w:val="new4"/>
        <w:spacing w:line="240" w:lineRule="auto"/>
      </w:pPr>
      <w:r w:rsidRPr="002724D7">
        <w:t>Διά</w:t>
      </w:r>
      <w:r>
        <w:t>γραμμα 3.20</w:t>
      </w:r>
    </w:p>
    <w:p w:rsidR="0007608A" w:rsidRDefault="0007608A" w:rsidP="0007608A">
      <w:pPr>
        <w:pStyle w:val="new4"/>
        <w:spacing w:line="240" w:lineRule="auto"/>
        <w:rPr>
          <w:b w:val="0"/>
        </w:rPr>
      </w:pPr>
      <w:r>
        <w:rPr>
          <w:b w:val="0"/>
        </w:rPr>
        <w:t>Εισαγωγές αγαθών και υπηρεσιών και Δείκτης Βιομηχανικής Παραγωγής στη Μεταποίηση</w:t>
      </w:r>
    </w:p>
    <w:p w:rsidR="0007608A" w:rsidRPr="00195723" w:rsidRDefault="0007608A" w:rsidP="009018F8">
      <w:pPr>
        <w:pStyle w:val="new4"/>
        <w:spacing w:line="240" w:lineRule="auto"/>
        <w:ind w:left="-567"/>
        <w:jc w:val="right"/>
        <w:rPr>
          <w:b w:val="0"/>
        </w:rPr>
      </w:pPr>
      <w:r>
        <w:rPr>
          <w:b w:val="0"/>
          <w:noProof/>
          <w:lang w:val="en-US" w:eastAsia="en-US"/>
        </w:rPr>
        <w:drawing>
          <wp:inline distT="0" distB="0" distL="0" distR="0">
            <wp:extent cx="6315075" cy="3409950"/>
            <wp:effectExtent l="0" t="0" r="0" b="0"/>
            <wp:docPr id="271"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07608A" w:rsidRPr="008F4234" w:rsidRDefault="0007608A" w:rsidP="0007608A">
      <w:pPr>
        <w:pStyle w:val="BodyText"/>
        <w:spacing w:after="240" w:line="240" w:lineRule="auto"/>
        <w:rPr>
          <w:rFonts w:ascii="Tahoma" w:hAnsi="Tahoma" w:cs="Tahoma"/>
          <w:sz w:val="16"/>
          <w:szCs w:val="16"/>
        </w:rPr>
      </w:pPr>
      <w:r w:rsidRPr="008F4234">
        <w:rPr>
          <w:rFonts w:ascii="Tahoma" w:hAnsi="Tahoma" w:cs="Tahoma"/>
          <w:b/>
          <w:sz w:val="16"/>
          <w:szCs w:val="16"/>
        </w:rPr>
        <w:t>Πηγή:</w:t>
      </w:r>
      <w:r>
        <w:rPr>
          <w:rFonts w:ascii="Tahoma" w:hAnsi="Tahoma" w:cs="Tahoma"/>
          <w:b/>
          <w:sz w:val="16"/>
          <w:szCs w:val="16"/>
        </w:rPr>
        <w:t xml:space="preserve"> </w:t>
      </w:r>
      <w:r w:rsidRPr="008F4234">
        <w:rPr>
          <w:rFonts w:ascii="Tahoma" w:hAnsi="Tahoma" w:cs="Tahoma"/>
          <w:sz w:val="16"/>
          <w:szCs w:val="16"/>
        </w:rPr>
        <w:t>Τράπεζα της Ελλάδος</w:t>
      </w:r>
      <w:r>
        <w:rPr>
          <w:rFonts w:ascii="Tahoma" w:hAnsi="Tahoma" w:cs="Tahoma"/>
          <w:sz w:val="16"/>
          <w:szCs w:val="16"/>
        </w:rPr>
        <w:t>, ΕΛ.ΣΤΑΤ.,</w:t>
      </w:r>
      <w:r w:rsidRPr="008F4234">
        <w:rPr>
          <w:rFonts w:ascii="Tahoma" w:hAnsi="Tahoma" w:cs="Tahoma"/>
          <w:sz w:val="16"/>
          <w:szCs w:val="16"/>
        </w:rPr>
        <w:t xml:space="preserve"> - Επεξεργασία στοιχείων ΙΟΒΕ </w:t>
      </w:r>
    </w:p>
    <w:p w:rsidR="0007608A" w:rsidRPr="00A36FCC" w:rsidRDefault="00295EC3" w:rsidP="0007608A">
      <w:pPr>
        <w:pStyle w:val="new4"/>
        <w:spacing w:after="0" w:line="240" w:lineRule="auto"/>
      </w:pPr>
      <w:r>
        <w:br w:type="column"/>
      </w:r>
      <w:bookmarkEnd w:id="314"/>
      <w:r w:rsidR="0007608A" w:rsidRPr="0027102A">
        <w:lastRenderedPageBreak/>
        <w:t>Πίνακας 3.</w:t>
      </w:r>
      <w:r w:rsidR="0007608A">
        <w:t>1</w:t>
      </w:r>
      <w:r w:rsidR="00B511B9" w:rsidRPr="00A36FCC">
        <w:t>0</w:t>
      </w:r>
    </w:p>
    <w:p w:rsidR="0007608A" w:rsidRPr="00687E67" w:rsidRDefault="0007608A" w:rsidP="0007608A">
      <w:pPr>
        <w:pStyle w:val="new4"/>
        <w:spacing w:after="0" w:line="240" w:lineRule="auto"/>
        <w:ind w:left="-900" w:right="-874"/>
        <w:rPr>
          <w:rFonts w:cs="Tahoma"/>
          <w:b w:val="0"/>
        </w:rPr>
      </w:pPr>
      <w:bookmarkStart w:id="315" w:name="_Toc202326887"/>
      <w:bookmarkStart w:id="316" w:name="_Toc210207786"/>
      <w:bookmarkStart w:id="317" w:name="_Toc217724923"/>
      <w:bookmarkStart w:id="318" w:name="_Toc217728947"/>
      <w:r>
        <w:rPr>
          <w:rFonts w:cs="Tahoma"/>
          <w:b w:val="0"/>
        </w:rPr>
        <w:t xml:space="preserve">Προσωρινό Ισοζύγιο Εξωτερικών Συναλλαγών (Ιανουάριος-Δεκέμβριος) σε εκ. </w:t>
      </w:r>
      <w:r w:rsidRPr="005C0AB8">
        <w:rPr>
          <w:rFonts w:cs="Tahoma"/>
          <w:b w:val="0"/>
        </w:rPr>
        <w:t>ευρώ</w:t>
      </w:r>
      <w:bookmarkEnd w:id="315"/>
      <w:bookmarkEnd w:id="316"/>
      <w:bookmarkEnd w:id="317"/>
      <w:bookmarkEnd w:id="318"/>
    </w:p>
    <w:tbl>
      <w:tblPr>
        <w:tblW w:w="10966" w:type="dxa"/>
        <w:jc w:val="center"/>
        <w:tblLook w:val="00A0"/>
      </w:tblPr>
      <w:tblGrid>
        <w:gridCol w:w="621"/>
        <w:gridCol w:w="4372"/>
        <w:gridCol w:w="1043"/>
        <w:gridCol w:w="1043"/>
        <w:gridCol w:w="1043"/>
        <w:gridCol w:w="948"/>
        <w:gridCol w:w="948"/>
        <w:gridCol w:w="948"/>
      </w:tblGrid>
      <w:tr w:rsidR="0007608A" w:rsidRPr="00DE16A7" w:rsidTr="00227662">
        <w:trPr>
          <w:trHeight w:val="41"/>
          <w:jc w:val="center"/>
        </w:trPr>
        <w:tc>
          <w:tcPr>
            <w:tcW w:w="4993" w:type="dxa"/>
            <w:gridSpan w:val="2"/>
            <w:vMerge w:val="restart"/>
            <w:tcBorders>
              <w:top w:val="single" w:sz="8" w:space="0" w:color="000000"/>
              <w:left w:val="single" w:sz="8" w:space="0" w:color="auto"/>
              <w:right w:val="single" w:sz="8" w:space="0" w:color="000000"/>
            </w:tcBorders>
            <w:noWrap/>
            <w:vAlign w:val="center"/>
          </w:tcPr>
          <w:p w:rsidR="0007608A" w:rsidRPr="00DE16A7" w:rsidRDefault="0007608A" w:rsidP="00227662">
            <w:pPr>
              <w:rPr>
                <w:rFonts w:ascii="Tahoma" w:hAnsi="Tahoma" w:cs="Tahoma"/>
                <w:b/>
                <w:bCs/>
                <w:sz w:val="15"/>
                <w:szCs w:val="15"/>
              </w:rPr>
            </w:pPr>
          </w:p>
        </w:tc>
        <w:tc>
          <w:tcPr>
            <w:tcW w:w="3129" w:type="dxa"/>
            <w:gridSpan w:val="3"/>
            <w:tcBorders>
              <w:top w:val="single" w:sz="8" w:space="0" w:color="000000"/>
              <w:left w:val="single" w:sz="8" w:space="0" w:color="000000"/>
              <w:bottom w:val="single" w:sz="8" w:space="0" w:color="auto"/>
              <w:right w:val="single" w:sz="8" w:space="0" w:color="000000"/>
            </w:tcBorders>
            <w:noWrap/>
            <w:vAlign w:val="center"/>
          </w:tcPr>
          <w:p w:rsidR="0007608A" w:rsidRPr="00DE16A7" w:rsidRDefault="0007608A" w:rsidP="00227662">
            <w:pPr>
              <w:jc w:val="center"/>
              <w:rPr>
                <w:rFonts w:ascii="Tahoma" w:hAnsi="Tahoma" w:cs="Tahoma"/>
                <w:b/>
                <w:bCs/>
                <w:sz w:val="15"/>
                <w:szCs w:val="15"/>
              </w:rPr>
            </w:pPr>
            <w:r w:rsidRPr="00DE16A7">
              <w:rPr>
                <w:rFonts w:ascii="Tahoma" w:hAnsi="Tahoma" w:cs="Tahoma"/>
                <w:b/>
                <w:bCs/>
                <w:sz w:val="15"/>
                <w:szCs w:val="15"/>
              </w:rPr>
              <w:t>Ιανουάριος - Δεκέμβριος</w:t>
            </w:r>
          </w:p>
        </w:tc>
        <w:tc>
          <w:tcPr>
            <w:tcW w:w="2844" w:type="dxa"/>
            <w:gridSpan w:val="3"/>
            <w:tcBorders>
              <w:top w:val="single" w:sz="8" w:space="0" w:color="000000"/>
              <w:left w:val="single" w:sz="8" w:space="0" w:color="000000"/>
              <w:bottom w:val="single" w:sz="8" w:space="0" w:color="auto"/>
              <w:right w:val="single" w:sz="8" w:space="0" w:color="000000"/>
            </w:tcBorders>
            <w:noWrap/>
            <w:vAlign w:val="center"/>
          </w:tcPr>
          <w:p w:rsidR="0007608A" w:rsidRPr="00DE16A7" w:rsidRDefault="0007608A" w:rsidP="00227662">
            <w:pPr>
              <w:jc w:val="center"/>
              <w:rPr>
                <w:rFonts w:ascii="Tahoma" w:hAnsi="Tahoma" w:cs="Tahoma"/>
                <w:b/>
                <w:bCs/>
                <w:sz w:val="15"/>
                <w:szCs w:val="15"/>
              </w:rPr>
            </w:pPr>
            <w:r w:rsidRPr="00DE16A7">
              <w:rPr>
                <w:rFonts w:ascii="Tahoma" w:hAnsi="Tahoma" w:cs="Tahoma"/>
                <w:b/>
                <w:bCs/>
                <w:sz w:val="15"/>
                <w:szCs w:val="15"/>
              </w:rPr>
              <w:t>Δεκέμβριος</w:t>
            </w:r>
          </w:p>
        </w:tc>
      </w:tr>
      <w:tr w:rsidR="0007608A" w:rsidRPr="00DE16A7" w:rsidTr="00227662">
        <w:trPr>
          <w:trHeight w:val="41"/>
          <w:jc w:val="center"/>
        </w:trPr>
        <w:tc>
          <w:tcPr>
            <w:tcW w:w="4993" w:type="dxa"/>
            <w:gridSpan w:val="2"/>
            <w:vMerge/>
            <w:tcBorders>
              <w:left w:val="single" w:sz="8" w:space="0" w:color="auto"/>
              <w:bottom w:val="single" w:sz="8" w:space="0" w:color="auto"/>
              <w:right w:val="single" w:sz="8" w:space="0" w:color="000000"/>
            </w:tcBorders>
            <w:noWrap/>
            <w:vAlign w:val="center"/>
          </w:tcPr>
          <w:p w:rsidR="0007608A" w:rsidRPr="00DE16A7" w:rsidRDefault="0007608A" w:rsidP="00227662">
            <w:pPr>
              <w:rPr>
                <w:rFonts w:ascii="Tahoma" w:hAnsi="Tahoma" w:cs="Tahoma"/>
                <w:b/>
                <w:bCs/>
                <w:sz w:val="15"/>
                <w:szCs w:val="15"/>
              </w:rPr>
            </w:pPr>
          </w:p>
        </w:tc>
        <w:tc>
          <w:tcPr>
            <w:tcW w:w="1043" w:type="dxa"/>
            <w:tcBorders>
              <w:top w:val="nil"/>
              <w:left w:val="single" w:sz="8" w:space="0" w:color="000000"/>
              <w:bottom w:val="single" w:sz="8" w:space="0" w:color="auto"/>
              <w:right w:val="nil"/>
            </w:tcBorders>
            <w:noWrap/>
            <w:vAlign w:val="center"/>
          </w:tcPr>
          <w:p w:rsidR="0007608A" w:rsidRPr="00DE16A7" w:rsidRDefault="0007608A" w:rsidP="00227662">
            <w:pPr>
              <w:jc w:val="center"/>
              <w:rPr>
                <w:rFonts w:ascii="Tahoma" w:hAnsi="Tahoma" w:cs="Tahoma"/>
                <w:b/>
                <w:bCs/>
                <w:sz w:val="15"/>
                <w:szCs w:val="15"/>
              </w:rPr>
            </w:pPr>
            <w:r w:rsidRPr="00DE16A7">
              <w:rPr>
                <w:rFonts w:ascii="Tahoma" w:hAnsi="Tahoma" w:cs="Tahoma"/>
                <w:b/>
                <w:bCs/>
                <w:sz w:val="15"/>
                <w:szCs w:val="15"/>
              </w:rPr>
              <w:t>2009</w:t>
            </w:r>
          </w:p>
        </w:tc>
        <w:tc>
          <w:tcPr>
            <w:tcW w:w="1043" w:type="dxa"/>
            <w:tcBorders>
              <w:top w:val="nil"/>
              <w:left w:val="nil"/>
              <w:bottom w:val="single" w:sz="8" w:space="0" w:color="auto"/>
              <w:right w:val="nil"/>
            </w:tcBorders>
            <w:noWrap/>
            <w:vAlign w:val="center"/>
          </w:tcPr>
          <w:p w:rsidR="0007608A" w:rsidRPr="00DE16A7" w:rsidRDefault="0007608A" w:rsidP="00227662">
            <w:pPr>
              <w:jc w:val="center"/>
              <w:rPr>
                <w:rFonts w:ascii="Tahoma" w:hAnsi="Tahoma" w:cs="Tahoma"/>
                <w:b/>
                <w:bCs/>
                <w:sz w:val="15"/>
                <w:szCs w:val="15"/>
              </w:rPr>
            </w:pPr>
            <w:r w:rsidRPr="00DE16A7">
              <w:rPr>
                <w:rFonts w:ascii="Tahoma" w:hAnsi="Tahoma" w:cs="Tahoma"/>
                <w:b/>
                <w:bCs/>
                <w:sz w:val="15"/>
                <w:szCs w:val="15"/>
              </w:rPr>
              <w:t>2010</w:t>
            </w:r>
          </w:p>
        </w:tc>
        <w:tc>
          <w:tcPr>
            <w:tcW w:w="1043" w:type="dxa"/>
            <w:tcBorders>
              <w:top w:val="nil"/>
              <w:left w:val="nil"/>
              <w:bottom w:val="single" w:sz="8" w:space="0" w:color="auto"/>
              <w:right w:val="single" w:sz="8" w:space="0" w:color="auto"/>
            </w:tcBorders>
            <w:noWrap/>
            <w:vAlign w:val="center"/>
          </w:tcPr>
          <w:p w:rsidR="0007608A" w:rsidRPr="00DE16A7" w:rsidRDefault="0007608A" w:rsidP="00227662">
            <w:pPr>
              <w:jc w:val="center"/>
              <w:rPr>
                <w:rFonts w:ascii="Tahoma" w:hAnsi="Tahoma" w:cs="Tahoma"/>
                <w:b/>
                <w:bCs/>
                <w:sz w:val="15"/>
                <w:szCs w:val="15"/>
              </w:rPr>
            </w:pPr>
            <w:r w:rsidRPr="00DE16A7">
              <w:rPr>
                <w:rFonts w:ascii="Tahoma" w:hAnsi="Tahoma" w:cs="Tahoma"/>
                <w:b/>
                <w:bCs/>
                <w:sz w:val="15"/>
                <w:szCs w:val="15"/>
              </w:rPr>
              <w:t>2011</w:t>
            </w:r>
          </w:p>
        </w:tc>
        <w:tc>
          <w:tcPr>
            <w:tcW w:w="948" w:type="dxa"/>
            <w:tcBorders>
              <w:top w:val="nil"/>
              <w:left w:val="nil"/>
              <w:bottom w:val="single" w:sz="8" w:space="0" w:color="auto"/>
              <w:right w:val="nil"/>
            </w:tcBorders>
            <w:noWrap/>
            <w:vAlign w:val="bottom"/>
          </w:tcPr>
          <w:p w:rsidR="0007608A" w:rsidRPr="00DE16A7" w:rsidRDefault="0007608A" w:rsidP="00227662">
            <w:pPr>
              <w:jc w:val="center"/>
              <w:rPr>
                <w:rFonts w:ascii="Tahoma" w:hAnsi="Tahoma" w:cs="Tahoma"/>
                <w:b/>
                <w:bCs/>
                <w:sz w:val="15"/>
                <w:szCs w:val="15"/>
              </w:rPr>
            </w:pPr>
            <w:r w:rsidRPr="00DE16A7">
              <w:rPr>
                <w:rFonts w:ascii="Tahoma" w:hAnsi="Tahoma" w:cs="Tahoma"/>
                <w:b/>
                <w:bCs/>
                <w:sz w:val="15"/>
                <w:szCs w:val="15"/>
              </w:rPr>
              <w:t>2009</w:t>
            </w:r>
          </w:p>
        </w:tc>
        <w:tc>
          <w:tcPr>
            <w:tcW w:w="948" w:type="dxa"/>
            <w:tcBorders>
              <w:top w:val="nil"/>
              <w:left w:val="nil"/>
              <w:bottom w:val="single" w:sz="8" w:space="0" w:color="auto"/>
              <w:right w:val="nil"/>
            </w:tcBorders>
            <w:noWrap/>
            <w:vAlign w:val="bottom"/>
          </w:tcPr>
          <w:p w:rsidR="0007608A" w:rsidRPr="00DE16A7" w:rsidRDefault="0007608A" w:rsidP="00227662">
            <w:pPr>
              <w:jc w:val="center"/>
              <w:rPr>
                <w:rFonts w:ascii="Tahoma" w:hAnsi="Tahoma" w:cs="Tahoma"/>
                <w:b/>
                <w:bCs/>
                <w:sz w:val="15"/>
                <w:szCs w:val="15"/>
              </w:rPr>
            </w:pPr>
            <w:r w:rsidRPr="00DE16A7">
              <w:rPr>
                <w:rFonts w:ascii="Tahoma" w:hAnsi="Tahoma" w:cs="Tahoma"/>
                <w:b/>
                <w:bCs/>
                <w:sz w:val="15"/>
                <w:szCs w:val="15"/>
              </w:rPr>
              <w:t>2010</w:t>
            </w:r>
          </w:p>
        </w:tc>
        <w:tc>
          <w:tcPr>
            <w:tcW w:w="948" w:type="dxa"/>
            <w:tcBorders>
              <w:top w:val="nil"/>
              <w:left w:val="nil"/>
              <w:bottom w:val="single" w:sz="8" w:space="0" w:color="auto"/>
              <w:right w:val="single" w:sz="8" w:space="0" w:color="auto"/>
            </w:tcBorders>
            <w:noWrap/>
            <w:vAlign w:val="bottom"/>
          </w:tcPr>
          <w:p w:rsidR="0007608A" w:rsidRPr="00DE16A7" w:rsidRDefault="0007608A" w:rsidP="00227662">
            <w:pPr>
              <w:jc w:val="center"/>
              <w:rPr>
                <w:rFonts w:ascii="Tahoma" w:hAnsi="Tahoma" w:cs="Tahoma"/>
                <w:b/>
                <w:bCs/>
                <w:sz w:val="15"/>
                <w:szCs w:val="15"/>
              </w:rPr>
            </w:pPr>
            <w:r w:rsidRPr="00DE16A7">
              <w:rPr>
                <w:rFonts w:ascii="Tahoma" w:hAnsi="Tahoma" w:cs="Tahoma"/>
                <w:b/>
                <w:bCs/>
                <w:sz w:val="15"/>
                <w:szCs w:val="15"/>
              </w:rPr>
              <w:t>2011</w:t>
            </w:r>
          </w:p>
        </w:tc>
      </w:tr>
      <w:tr w:rsidR="0007608A" w:rsidRPr="00DE16A7" w:rsidTr="00227662">
        <w:trPr>
          <w:trHeight w:val="186"/>
          <w:jc w:val="center"/>
        </w:trPr>
        <w:tc>
          <w:tcPr>
            <w:tcW w:w="621" w:type="dxa"/>
            <w:tcBorders>
              <w:top w:val="single" w:sz="8" w:space="0" w:color="auto"/>
              <w:left w:val="single" w:sz="8" w:space="0" w:color="auto"/>
              <w:right w:val="single" w:sz="8" w:space="0" w:color="auto"/>
            </w:tcBorders>
            <w:shd w:val="clear" w:color="auto" w:fill="A6A6A6"/>
            <w:noWrap/>
            <w:vAlign w:val="center"/>
          </w:tcPr>
          <w:p w:rsidR="0007608A" w:rsidRPr="00DE16A7" w:rsidRDefault="0007608A" w:rsidP="00227662">
            <w:pPr>
              <w:jc w:val="center"/>
              <w:rPr>
                <w:rFonts w:ascii="Tahoma" w:hAnsi="Tahoma" w:cs="Tahoma"/>
                <w:b/>
                <w:bCs/>
                <w:sz w:val="15"/>
                <w:szCs w:val="15"/>
              </w:rPr>
            </w:pPr>
            <w:r w:rsidRPr="00DE16A7">
              <w:rPr>
                <w:rFonts w:ascii="Tahoma" w:hAnsi="Tahoma" w:cs="Tahoma"/>
                <w:b/>
                <w:bCs/>
                <w:sz w:val="15"/>
                <w:szCs w:val="15"/>
              </w:rPr>
              <w:t>I</w:t>
            </w:r>
          </w:p>
        </w:tc>
        <w:tc>
          <w:tcPr>
            <w:tcW w:w="4372" w:type="dxa"/>
            <w:tcBorders>
              <w:top w:val="single" w:sz="8" w:space="0" w:color="auto"/>
              <w:left w:val="nil"/>
              <w:right w:val="single" w:sz="8" w:space="0" w:color="auto"/>
            </w:tcBorders>
            <w:shd w:val="clear" w:color="auto" w:fill="A6A6A6"/>
            <w:noWrap/>
            <w:vAlign w:val="center"/>
          </w:tcPr>
          <w:p w:rsidR="0007608A" w:rsidRPr="00DE16A7" w:rsidRDefault="0007608A" w:rsidP="00227662">
            <w:pPr>
              <w:rPr>
                <w:rFonts w:ascii="Tahoma" w:hAnsi="Tahoma" w:cs="Tahoma"/>
                <w:b/>
                <w:bCs/>
                <w:sz w:val="15"/>
                <w:szCs w:val="15"/>
              </w:rPr>
            </w:pPr>
            <w:r w:rsidRPr="00DE16A7">
              <w:rPr>
                <w:rFonts w:ascii="Tahoma" w:hAnsi="Tahoma" w:cs="Tahoma"/>
                <w:b/>
                <w:bCs/>
                <w:sz w:val="15"/>
                <w:szCs w:val="15"/>
              </w:rPr>
              <w:t>ΙΣΟΖΥΓΙΟ ΤΡΕΧΟΥΣΩΝ ΣΥΝ/ΓΩΝ (ΙΑ+ΙΒ+ΙΓ+ΙΔ)</w:t>
            </w:r>
          </w:p>
        </w:tc>
        <w:tc>
          <w:tcPr>
            <w:tcW w:w="1043" w:type="dxa"/>
            <w:tcBorders>
              <w:top w:val="single" w:sz="8" w:space="0" w:color="auto"/>
              <w:left w:val="nil"/>
              <w:right w:val="nil"/>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-25.818,7</w:t>
            </w:r>
          </w:p>
        </w:tc>
        <w:tc>
          <w:tcPr>
            <w:tcW w:w="1043" w:type="dxa"/>
            <w:tcBorders>
              <w:top w:val="single" w:sz="8" w:space="0" w:color="auto"/>
              <w:left w:val="nil"/>
              <w:right w:val="nil"/>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-22.975,6</w:t>
            </w:r>
          </w:p>
        </w:tc>
        <w:tc>
          <w:tcPr>
            <w:tcW w:w="1043" w:type="dxa"/>
            <w:tcBorders>
              <w:top w:val="single" w:sz="8" w:space="0" w:color="auto"/>
              <w:left w:val="nil"/>
              <w:right w:val="single" w:sz="8" w:space="0" w:color="auto"/>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-21.069,8</w:t>
            </w:r>
          </w:p>
        </w:tc>
        <w:tc>
          <w:tcPr>
            <w:tcW w:w="948" w:type="dxa"/>
            <w:tcBorders>
              <w:top w:val="single" w:sz="8" w:space="0" w:color="auto"/>
              <w:left w:val="nil"/>
              <w:right w:val="nil"/>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-3.074,2</w:t>
            </w:r>
          </w:p>
        </w:tc>
        <w:tc>
          <w:tcPr>
            <w:tcW w:w="948" w:type="dxa"/>
            <w:tcBorders>
              <w:top w:val="single" w:sz="8" w:space="0" w:color="auto"/>
              <w:left w:val="nil"/>
              <w:right w:val="nil"/>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-1.818,6</w:t>
            </w:r>
          </w:p>
        </w:tc>
        <w:tc>
          <w:tcPr>
            <w:tcW w:w="948" w:type="dxa"/>
            <w:tcBorders>
              <w:top w:val="single" w:sz="8" w:space="0" w:color="auto"/>
              <w:left w:val="nil"/>
              <w:right w:val="single" w:sz="8" w:space="0" w:color="auto"/>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-2.172,1</w:t>
            </w:r>
          </w:p>
        </w:tc>
      </w:tr>
      <w:tr w:rsidR="0007608A" w:rsidRPr="00DE16A7" w:rsidTr="00227662">
        <w:trPr>
          <w:trHeight w:val="51"/>
          <w:jc w:val="center"/>
        </w:trPr>
        <w:tc>
          <w:tcPr>
            <w:tcW w:w="621" w:type="dxa"/>
            <w:tcBorders>
              <w:left w:val="single" w:sz="8" w:space="0" w:color="auto"/>
              <w:bottom w:val="single" w:sz="8" w:space="0" w:color="auto"/>
              <w:right w:val="single" w:sz="8" w:space="0" w:color="auto"/>
            </w:tcBorders>
            <w:shd w:val="clear" w:color="auto" w:fill="D9D9D9"/>
            <w:noWrap/>
            <w:vAlign w:val="center"/>
          </w:tcPr>
          <w:p w:rsidR="0007608A" w:rsidRPr="00DE16A7" w:rsidRDefault="0007608A" w:rsidP="00227662">
            <w:pPr>
              <w:jc w:val="center"/>
              <w:rPr>
                <w:rFonts w:ascii="Tahoma" w:hAnsi="Tahoma" w:cs="Tahoma"/>
                <w:b/>
                <w:bCs/>
                <w:sz w:val="15"/>
                <w:szCs w:val="15"/>
              </w:rPr>
            </w:pPr>
            <w:r w:rsidRPr="00DE16A7">
              <w:rPr>
                <w:rFonts w:ascii="Tahoma" w:hAnsi="Tahoma" w:cs="Tahoma"/>
                <w:b/>
                <w:bCs/>
                <w:sz w:val="15"/>
                <w:szCs w:val="15"/>
              </w:rPr>
              <w:t>Ι.A</w:t>
            </w:r>
          </w:p>
        </w:tc>
        <w:tc>
          <w:tcPr>
            <w:tcW w:w="4372" w:type="dxa"/>
            <w:tcBorders>
              <w:left w:val="nil"/>
              <w:bottom w:val="single" w:sz="8" w:space="0" w:color="auto"/>
              <w:right w:val="single" w:sz="8" w:space="0" w:color="auto"/>
            </w:tcBorders>
            <w:shd w:val="clear" w:color="auto" w:fill="D9D9D9"/>
            <w:noWrap/>
            <w:vAlign w:val="center"/>
          </w:tcPr>
          <w:p w:rsidR="0007608A" w:rsidRPr="00DE16A7" w:rsidRDefault="0007608A" w:rsidP="00227662">
            <w:pPr>
              <w:rPr>
                <w:rFonts w:ascii="Tahoma" w:hAnsi="Tahoma" w:cs="Tahoma"/>
                <w:b/>
                <w:bCs/>
                <w:sz w:val="15"/>
                <w:szCs w:val="15"/>
              </w:rPr>
            </w:pPr>
            <w:r w:rsidRPr="00DE16A7">
              <w:rPr>
                <w:rFonts w:ascii="Tahoma" w:hAnsi="Tahoma" w:cs="Tahoma"/>
                <w:b/>
                <w:bCs/>
                <w:sz w:val="15"/>
                <w:szCs w:val="15"/>
              </w:rPr>
              <w:t>ΕΜΠΟΡΙΚΟ ΙΣΟΖΥΓΙΟ ( I.Α.1 -  I.Α.2)</w:t>
            </w:r>
          </w:p>
        </w:tc>
        <w:tc>
          <w:tcPr>
            <w:tcW w:w="1043" w:type="dxa"/>
            <w:tcBorders>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-30.767,3</w:t>
            </w:r>
          </w:p>
        </w:tc>
        <w:tc>
          <w:tcPr>
            <w:tcW w:w="1043" w:type="dxa"/>
            <w:tcBorders>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-28.279,6</w:t>
            </w:r>
          </w:p>
        </w:tc>
        <w:tc>
          <w:tcPr>
            <w:tcW w:w="1043" w:type="dxa"/>
            <w:tcBorders>
              <w:left w:val="nil"/>
              <w:bottom w:val="single" w:sz="8" w:space="0" w:color="auto"/>
              <w:right w:val="single" w:sz="8" w:space="0" w:color="auto"/>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-27.221,2</w:t>
            </w:r>
          </w:p>
        </w:tc>
        <w:tc>
          <w:tcPr>
            <w:tcW w:w="948" w:type="dxa"/>
            <w:tcBorders>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-2.779,6</w:t>
            </w:r>
          </w:p>
        </w:tc>
        <w:tc>
          <w:tcPr>
            <w:tcW w:w="948" w:type="dxa"/>
            <w:tcBorders>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-1.456,9</w:t>
            </w:r>
          </w:p>
        </w:tc>
        <w:tc>
          <w:tcPr>
            <w:tcW w:w="948" w:type="dxa"/>
            <w:tcBorders>
              <w:left w:val="nil"/>
              <w:bottom w:val="single" w:sz="8" w:space="0" w:color="auto"/>
              <w:right w:val="single" w:sz="8" w:space="0" w:color="auto"/>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-1.956,1</w:t>
            </w:r>
          </w:p>
        </w:tc>
      </w:tr>
      <w:tr w:rsidR="0007608A" w:rsidRPr="00DE16A7" w:rsidTr="00227662">
        <w:trPr>
          <w:trHeight w:val="96"/>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ΙΣΟΖΥΓΙΟ καυσίμων</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-7.596,5</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-8.627,2</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-11.126,9</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-621,0</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-10,8</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-670,3</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ΕΜΠΟΡΙΚΟ ΙΣΟΖΥΓΙΟ χωρίς καύσιμα</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-23.170,8</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-19.652,4</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-16.094,2</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-2.158,6</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-1.446,1</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-1.285,7</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ΙΣΟΖΥΓΙΟ πλοίων</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-3.356,9</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-3.621,3</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-3.261,2</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-333,9</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-242,4</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-250,7</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ΕΜΠΟΡΙΚΟ ΙΣΟΖΥΓΙΟ χωρίς καύσιμα και πλοία</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-19.813,9</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-16.031,1</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-12.833,0</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-1.824,7</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-1.203,7</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-1.035,0</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r w:rsidRPr="00DE16A7">
              <w:rPr>
                <w:rFonts w:ascii="Tahoma" w:hAnsi="Tahoma" w:cs="Tahoma"/>
                <w:sz w:val="15"/>
                <w:szCs w:val="15"/>
              </w:rPr>
              <w:t>I.A.1</w:t>
            </w: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b/>
                <w:bCs/>
                <w:sz w:val="15"/>
                <w:szCs w:val="15"/>
              </w:rPr>
            </w:pPr>
            <w:r w:rsidRPr="00DE16A7">
              <w:rPr>
                <w:rFonts w:ascii="Tahoma" w:hAnsi="Tahoma" w:cs="Tahoma"/>
                <w:b/>
                <w:bCs/>
                <w:sz w:val="15"/>
                <w:szCs w:val="15"/>
              </w:rPr>
              <w:t>Εξαγωγές αγαθών</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15.318,0</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17.081,5</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20.233,0</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1.469,2</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1.869,0</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1.639,4</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Καύσιμα</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3.063,2</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4.950,0</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6.187,7</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370,0</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692,9</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536,4</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Πλοία (εισπράξεις)</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771,7</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798,6</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754,7</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11,0</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90,0</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49,5</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Λοιπά αγαθά</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11.483,1</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11.332,9</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13.290,6</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1.088,2</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1.086,1</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1.053,5</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r w:rsidRPr="00DE16A7">
              <w:rPr>
                <w:rFonts w:ascii="Tahoma" w:hAnsi="Tahoma" w:cs="Tahoma"/>
                <w:sz w:val="15"/>
                <w:szCs w:val="15"/>
              </w:rPr>
              <w:t>I.A.2</w:t>
            </w: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b/>
                <w:bCs/>
                <w:sz w:val="15"/>
                <w:szCs w:val="15"/>
              </w:rPr>
            </w:pPr>
            <w:r w:rsidRPr="00DE16A7">
              <w:rPr>
                <w:rFonts w:ascii="Tahoma" w:hAnsi="Tahoma" w:cs="Tahoma"/>
                <w:b/>
                <w:bCs/>
                <w:sz w:val="15"/>
                <w:szCs w:val="15"/>
              </w:rPr>
              <w:t>Εισαγωγές  αγαθών</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46.085,3</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45.361,0</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47.454,1</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4.248,8</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3.325,9</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3.595,4</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Καύσιμα</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10.659,8</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13.577,1</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17.314,6</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991,0</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703,7</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1.206,7</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Πλοία (πληρωμές)</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4.128,6</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4.419,9</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4.015,9</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344,9</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332,4</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300,2</w:t>
            </w:r>
          </w:p>
        </w:tc>
      </w:tr>
      <w:tr w:rsidR="0007608A" w:rsidRPr="00DE16A7" w:rsidTr="00227662">
        <w:trPr>
          <w:trHeight w:val="186"/>
          <w:jc w:val="center"/>
        </w:trPr>
        <w:tc>
          <w:tcPr>
            <w:tcW w:w="621" w:type="dxa"/>
            <w:tcBorders>
              <w:top w:val="nil"/>
              <w:left w:val="single" w:sz="8" w:space="0" w:color="auto"/>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Λοιπά αγαθά</w:t>
            </w:r>
          </w:p>
        </w:tc>
        <w:tc>
          <w:tcPr>
            <w:tcW w:w="1043" w:type="dxa"/>
            <w:tcBorders>
              <w:top w:val="nil"/>
              <w:left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31.296,9</w:t>
            </w:r>
          </w:p>
        </w:tc>
        <w:tc>
          <w:tcPr>
            <w:tcW w:w="1043" w:type="dxa"/>
            <w:tcBorders>
              <w:top w:val="nil"/>
              <w:left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27.364,0</w:t>
            </w:r>
          </w:p>
        </w:tc>
        <w:tc>
          <w:tcPr>
            <w:tcW w:w="1043" w:type="dxa"/>
            <w:tcBorders>
              <w:top w:val="nil"/>
              <w:left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26.123,7</w:t>
            </w:r>
          </w:p>
        </w:tc>
        <w:tc>
          <w:tcPr>
            <w:tcW w:w="948" w:type="dxa"/>
            <w:tcBorders>
              <w:top w:val="nil"/>
              <w:left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2.912,9</w:t>
            </w:r>
          </w:p>
        </w:tc>
        <w:tc>
          <w:tcPr>
            <w:tcW w:w="948" w:type="dxa"/>
            <w:tcBorders>
              <w:top w:val="nil"/>
              <w:left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2.289,8</w:t>
            </w:r>
          </w:p>
        </w:tc>
        <w:tc>
          <w:tcPr>
            <w:tcW w:w="948" w:type="dxa"/>
            <w:tcBorders>
              <w:top w:val="nil"/>
              <w:left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2.088,5</w:t>
            </w:r>
          </w:p>
        </w:tc>
      </w:tr>
      <w:tr w:rsidR="0007608A" w:rsidRPr="00DE16A7" w:rsidTr="00227662">
        <w:trPr>
          <w:trHeight w:val="186"/>
          <w:jc w:val="center"/>
        </w:trPr>
        <w:tc>
          <w:tcPr>
            <w:tcW w:w="621" w:type="dxa"/>
            <w:tcBorders>
              <w:left w:val="single" w:sz="8" w:space="0" w:color="auto"/>
              <w:bottom w:val="single" w:sz="8" w:space="0" w:color="auto"/>
              <w:right w:val="single" w:sz="8" w:space="0" w:color="auto"/>
            </w:tcBorders>
            <w:shd w:val="clear" w:color="auto" w:fill="D9D9D9"/>
            <w:noWrap/>
            <w:vAlign w:val="center"/>
          </w:tcPr>
          <w:p w:rsidR="0007608A" w:rsidRPr="00DE16A7" w:rsidRDefault="0007608A" w:rsidP="00227662">
            <w:pPr>
              <w:jc w:val="center"/>
              <w:rPr>
                <w:rFonts w:ascii="Tahoma" w:hAnsi="Tahoma" w:cs="Tahoma"/>
                <w:b/>
                <w:bCs/>
                <w:sz w:val="15"/>
                <w:szCs w:val="15"/>
              </w:rPr>
            </w:pPr>
            <w:r w:rsidRPr="00DE16A7">
              <w:rPr>
                <w:rFonts w:ascii="Tahoma" w:hAnsi="Tahoma" w:cs="Tahoma"/>
                <w:b/>
                <w:bCs/>
                <w:sz w:val="15"/>
                <w:szCs w:val="15"/>
              </w:rPr>
              <w:t>Ι.Β</w:t>
            </w:r>
          </w:p>
        </w:tc>
        <w:tc>
          <w:tcPr>
            <w:tcW w:w="4372" w:type="dxa"/>
            <w:tcBorders>
              <w:left w:val="nil"/>
              <w:bottom w:val="single" w:sz="8" w:space="0" w:color="auto"/>
              <w:right w:val="single" w:sz="8" w:space="0" w:color="auto"/>
            </w:tcBorders>
            <w:shd w:val="clear" w:color="auto" w:fill="D9D9D9"/>
            <w:noWrap/>
            <w:vAlign w:val="center"/>
          </w:tcPr>
          <w:p w:rsidR="0007608A" w:rsidRPr="00DE16A7" w:rsidRDefault="0007608A" w:rsidP="00227662">
            <w:pPr>
              <w:rPr>
                <w:rFonts w:ascii="Tahoma" w:hAnsi="Tahoma" w:cs="Tahoma"/>
                <w:b/>
                <w:bCs/>
                <w:sz w:val="15"/>
                <w:szCs w:val="15"/>
              </w:rPr>
            </w:pPr>
            <w:r w:rsidRPr="00DE16A7">
              <w:rPr>
                <w:rFonts w:ascii="Tahoma" w:hAnsi="Tahoma" w:cs="Tahoma"/>
                <w:b/>
                <w:bCs/>
                <w:sz w:val="15"/>
                <w:szCs w:val="15"/>
              </w:rPr>
              <w:t>ΙΣΟΖΥΓΙΟ ΥΠΗΡΕΣΙΩΝ ( I.Β.1 -  I.Β.2)</w:t>
            </w:r>
          </w:p>
        </w:tc>
        <w:tc>
          <w:tcPr>
            <w:tcW w:w="1043" w:type="dxa"/>
            <w:tcBorders>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12.640,2</w:t>
            </w:r>
          </w:p>
        </w:tc>
        <w:tc>
          <w:tcPr>
            <w:tcW w:w="1043" w:type="dxa"/>
            <w:tcBorders>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13.248,5</w:t>
            </w:r>
          </w:p>
        </w:tc>
        <w:tc>
          <w:tcPr>
            <w:tcW w:w="1043" w:type="dxa"/>
            <w:tcBorders>
              <w:left w:val="nil"/>
              <w:bottom w:val="single" w:sz="8" w:space="0" w:color="auto"/>
              <w:right w:val="single" w:sz="8" w:space="0" w:color="auto"/>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14.638,7</w:t>
            </w:r>
          </w:p>
        </w:tc>
        <w:tc>
          <w:tcPr>
            <w:tcW w:w="948" w:type="dxa"/>
            <w:tcBorders>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448,5</w:t>
            </w:r>
          </w:p>
        </w:tc>
        <w:tc>
          <w:tcPr>
            <w:tcW w:w="948" w:type="dxa"/>
            <w:tcBorders>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470,7</w:t>
            </w:r>
          </w:p>
        </w:tc>
        <w:tc>
          <w:tcPr>
            <w:tcW w:w="948" w:type="dxa"/>
            <w:tcBorders>
              <w:left w:val="nil"/>
              <w:bottom w:val="single" w:sz="8" w:space="0" w:color="auto"/>
              <w:right w:val="single" w:sz="8" w:space="0" w:color="auto"/>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607,9</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r w:rsidRPr="00DE16A7">
              <w:rPr>
                <w:rFonts w:ascii="Tahoma" w:hAnsi="Tahoma" w:cs="Tahoma"/>
                <w:sz w:val="15"/>
                <w:szCs w:val="15"/>
              </w:rPr>
              <w:t>I.B.1</w:t>
            </w: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b/>
                <w:bCs/>
                <w:sz w:val="15"/>
                <w:szCs w:val="15"/>
              </w:rPr>
            </w:pPr>
            <w:r w:rsidRPr="00DE16A7">
              <w:rPr>
                <w:rFonts w:ascii="Tahoma" w:hAnsi="Tahoma" w:cs="Tahoma"/>
                <w:b/>
                <w:bCs/>
                <w:sz w:val="15"/>
                <w:szCs w:val="15"/>
              </w:rPr>
              <w:t>Εισπράξεις</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26.983,3</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28.477,8</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28.624,1</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1.797,0</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1.746,1</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1.765,9</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Ταξιδιωτικό</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10.400,3</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9.611,3</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10.519,6</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185,9</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153,8</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146,3</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Μεταφορές</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13.552,2</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15.418,4</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14.096,6</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1.258,0</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1.234,8</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1.212,9</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Λοιπές υπηρεσίες</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3.030,9</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3.448,1</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4.007,9</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353,2</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357,4</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406,7</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r w:rsidRPr="00DE16A7">
              <w:rPr>
                <w:rFonts w:ascii="Tahoma" w:hAnsi="Tahoma" w:cs="Tahoma"/>
                <w:sz w:val="15"/>
                <w:szCs w:val="15"/>
              </w:rPr>
              <w:t>I.B.2</w:t>
            </w: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b/>
                <w:bCs/>
                <w:sz w:val="15"/>
                <w:szCs w:val="15"/>
              </w:rPr>
            </w:pPr>
            <w:r w:rsidRPr="00DE16A7">
              <w:rPr>
                <w:rFonts w:ascii="Tahoma" w:hAnsi="Tahoma" w:cs="Tahoma"/>
                <w:b/>
                <w:bCs/>
                <w:sz w:val="15"/>
                <w:szCs w:val="15"/>
              </w:rPr>
              <w:t>Πληρωμές</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14.343,2</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15.229,4</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13.985,4</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1.348,5</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1.275,4</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1.158,0</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Ταξιδιωτικό</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2.424,6</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2.156,0</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2.273,5</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210,9</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161,0</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186,5</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Μεταφορές</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7.073,4</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8.155,4</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7.233,2</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657,9</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669,7</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573,7</w:t>
            </w:r>
          </w:p>
        </w:tc>
      </w:tr>
      <w:tr w:rsidR="0007608A" w:rsidRPr="00DE16A7" w:rsidTr="00227662">
        <w:trPr>
          <w:trHeight w:val="186"/>
          <w:jc w:val="center"/>
        </w:trPr>
        <w:tc>
          <w:tcPr>
            <w:tcW w:w="621" w:type="dxa"/>
            <w:tcBorders>
              <w:top w:val="nil"/>
              <w:left w:val="single" w:sz="8" w:space="0" w:color="auto"/>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Λοιπές υπηρεσίες</w:t>
            </w:r>
          </w:p>
        </w:tc>
        <w:tc>
          <w:tcPr>
            <w:tcW w:w="1043" w:type="dxa"/>
            <w:tcBorders>
              <w:top w:val="nil"/>
              <w:left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4.845,1</w:t>
            </w:r>
          </w:p>
        </w:tc>
        <w:tc>
          <w:tcPr>
            <w:tcW w:w="1043" w:type="dxa"/>
            <w:tcBorders>
              <w:top w:val="nil"/>
              <w:left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4.917,9</w:t>
            </w:r>
          </w:p>
        </w:tc>
        <w:tc>
          <w:tcPr>
            <w:tcW w:w="1043" w:type="dxa"/>
            <w:tcBorders>
              <w:top w:val="nil"/>
              <w:left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4.478,7</w:t>
            </w:r>
          </w:p>
        </w:tc>
        <w:tc>
          <w:tcPr>
            <w:tcW w:w="948" w:type="dxa"/>
            <w:tcBorders>
              <w:top w:val="nil"/>
              <w:left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479,7</w:t>
            </w:r>
          </w:p>
        </w:tc>
        <w:tc>
          <w:tcPr>
            <w:tcW w:w="948" w:type="dxa"/>
            <w:tcBorders>
              <w:top w:val="nil"/>
              <w:left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444,7</w:t>
            </w:r>
          </w:p>
        </w:tc>
        <w:tc>
          <w:tcPr>
            <w:tcW w:w="948" w:type="dxa"/>
            <w:tcBorders>
              <w:top w:val="nil"/>
              <w:left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397,8</w:t>
            </w:r>
          </w:p>
        </w:tc>
      </w:tr>
      <w:tr w:rsidR="0007608A" w:rsidRPr="00DE16A7" w:rsidTr="00227662">
        <w:trPr>
          <w:trHeight w:val="218"/>
          <w:jc w:val="center"/>
        </w:trPr>
        <w:tc>
          <w:tcPr>
            <w:tcW w:w="621" w:type="dxa"/>
            <w:tcBorders>
              <w:left w:val="single" w:sz="8" w:space="0" w:color="auto"/>
              <w:bottom w:val="single" w:sz="8" w:space="0" w:color="auto"/>
              <w:right w:val="single" w:sz="8" w:space="0" w:color="auto"/>
            </w:tcBorders>
            <w:shd w:val="clear" w:color="auto" w:fill="D9D9D9"/>
            <w:noWrap/>
            <w:vAlign w:val="center"/>
          </w:tcPr>
          <w:p w:rsidR="0007608A" w:rsidRPr="00DE16A7" w:rsidRDefault="0007608A" w:rsidP="00227662">
            <w:pPr>
              <w:jc w:val="center"/>
              <w:rPr>
                <w:rFonts w:ascii="Tahoma" w:hAnsi="Tahoma" w:cs="Tahoma"/>
                <w:b/>
                <w:bCs/>
                <w:sz w:val="15"/>
                <w:szCs w:val="15"/>
              </w:rPr>
            </w:pPr>
            <w:r w:rsidRPr="00DE16A7">
              <w:rPr>
                <w:rFonts w:ascii="Tahoma" w:hAnsi="Tahoma" w:cs="Tahoma"/>
                <w:b/>
                <w:bCs/>
                <w:sz w:val="15"/>
                <w:szCs w:val="15"/>
              </w:rPr>
              <w:t>Ι.Γ</w:t>
            </w:r>
          </w:p>
        </w:tc>
        <w:tc>
          <w:tcPr>
            <w:tcW w:w="4372" w:type="dxa"/>
            <w:tcBorders>
              <w:left w:val="nil"/>
              <w:bottom w:val="single" w:sz="8" w:space="0" w:color="auto"/>
              <w:right w:val="single" w:sz="8" w:space="0" w:color="auto"/>
            </w:tcBorders>
            <w:shd w:val="clear" w:color="auto" w:fill="D9D9D9"/>
            <w:noWrap/>
            <w:vAlign w:val="center"/>
          </w:tcPr>
          <w:p w:rsidR="0007608A" w:rsidRPr="00DE16A7" w:rsidRDefault="0007608A" w:rsidP="00227662">
            <w:pPr>
              <w:rPr>
                <w:rFonts w:ascii="Tahoma" w:hAnsi="Tahoma" w:cs="Tahoma"/>
                <w:b/>
                <w:bCs/>
                <w:sz w:val="15"/>
                <w:szCs w:val="15"/>
              </w:rPr>
            </w:pPr>
            <w:r w:rsidRPr="00DE16A7">
              <w:rPr>
                <w:rFonts w:ascii="Tahoma" w:hAnsi="Tahoma" w:cs="Tahoma"/>
                <w:b/>
                <w:bCs/>
                <w:sz w:val="15"/>
                <w:szCs w:val="15"/>
              </w:rPr>
              <w:t>ΙΣΟΖΥΓΙΟ ΕΙΣΟΔΗΜΑΤΩΝ (I.Γ.1 - I.Γ.2)</w:t>
            </w:r>
          </w:p>
        </w:tc>
        <w:tc>
          <w:tcPr>
            <w:tcW w:w="1043" w:type="dxa"/>
            <w:tcBorders>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-8.984,3</w:t>
            </w:r>
          </w:p>
        </w:tc>
        <w:tc>
          <w:tcPr>
            <w:tcW w:w="1043" w:type="dxa"/>
            <w:tcBorders>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-8.143,4</w:t>
            </w:r>
          </w:p>
        </w:tc>
        <w:tc>
          <w:tcPr>
            <w:tcW w:w="1043" w:type="dxa"/>
            <w:tcBorders>
              <w:left w:val="nil"/>
              <w:bottom w:val="single" w:sz="8" w:space="0" w:color="auto"/>
              <w:right w:val="single" w:sz="8" w:space="0" w:color="auto"/>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-9.066,5</w:t>
            </w:r>
          </w:p>
        </w:tc>
        <w:tc>
          <w:tcPr>
            <w:tcW w:w="948" w:type="dxa"/>
            <w:tcBorders>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-832,5</w:t>
            </w:r>
          </w:p>
        </w:tc>
        <w:tc>
          <w:tcPr>
            <w:tcW w:w="948" w:type="dxa"/>
            <w:tcBorders>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-849,9</w:t>
            </w:r>
          </w:p>
        </w:tc>
        <w:tc>
          <w:tcPr>
            <w:tcW w:w="948" w:type="dxa"/>
            <w:tcBorders>
              <w:left w:val="nil"/>
              <w:bottom w:val="single" w:sz="8" w:space="0" w:color="auto"/>
              <w:right w:val="single" w:sz="8" w:space="0" w:color="auto"/>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-1.055,8</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r w:rsidRPr="00DE16A7">
              <w:rPr>
                <w:rFonts w:ascii="Tahoma" w:hAnsi="Tahoma" w:cs="Tahoma"/>
                <w:sz w:val="15"/>
                <w:szCs w:val="15"/>
              </w:rPr>
              <w:t>I.Γ.1</w:t>
            </w: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b/>
                <w:bCs/>
                <w:sz w:val="15"/>
                <w:szCs w:val="15"/>
              </w:rPr>
            </w:pPr>
            <w:r w:rsidRPr="00DE16A7">
              <w:rPr>
                <w:rFonts w:ascii="Tahoma" w:hAnsi="Tahoma" w:cs="Tahoma"/>
                <w:b/>
                <w:bCs/>
                <w:sz w:val="15"/>
                <w:szCs w:val="15"/>
              </w:rPr>
              <w:t>Εισπράξεις</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4.282,9</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3.571,9</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3.339,4</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332,9</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297,2</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330,0</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Αμοιβές,</w:t>
            </w:r>
            <w:r w:rsidRPr="00DE16A7">
              <w:rPr>
                <w:rFonts w:ascii="Tahoma" w:hAnsi="Tahoma" w:cs="Tahoma"/>
                <w:sz w:val="15"/>
                <w:szCs w:val="15"/>
                <w:lang w:val="en-US"/>
              </w:rPr>
              <w:t xml:space="preserve"> </w:t>
            </w:r>
            <w:r w:rsidRPr="00DE16A7">
              <w:rPr>
                <w:rFonts w:ascii="Tahoma" w:hAnsi="Tahoma" w:cs="Tahoma"/>
                <w:sz w:val="15"/>
                <w:szCs w:val="15"/>
              </w:rPr>
              <w:t>μισθοί</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294,6</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199,7</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188,0</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24,0</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16,5</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19,2</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Τόκοι,</w:t>
            </w:r>
            <w:r w:rsidRPr="00DE16A7">
              <w:rPr>
                <w:rFonts w:ascii="Tahoma" w:hAnsi="Tahoma" w:cs="Tahoma"/>
                <w:sz w:val="15"/>
                <w:szCs w:val="15"/>
                <w:lang w:val="en-US"/>
              </w:rPr>
              <w:t xml:space="preserve"> </w:t>
            </w:r>
            <w:r w:rsidRPr="00DE16A7">
              <w:rPr>
                <w:rFonts w:ascii="Tahoma" w:hAnsi="Tahoma" w:cs="Tahoma"/>
                <w:sz w:val="15"/>
                <w:szCs w:val="15"/>
              </w:rPr>
              <w:t>μερίσματα,</w:t>
            </w:r>
            <w:r w:rsidRPr="00DE16A7">
              <w:rPr>
                <w:rFonts w:ascii="Tahoma" w:hAnsi="Tahoma" w:cs="Tahoma"/>
                <w:sz w:val="15"/>
                <w:szCs w:val="15"/>
                <w:lang w:val="en-US"/>
              </w:rPr>
              <w:t xml:space="preserve"> </w:t>
            </w:r>
            <w:r w:rsidRPr="00DE16A7">
              <w:rPr>
                <w:rFonts w:ascii="Tahoma" w:hAnsi="Tahoma" w:cs="Tahoma"/>
                <w:sz w:val="15"/>
                <w:szCs w:val="15"/>
              </w:rPr>
              <w:t>κέρδη</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3.988,3</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3.372,2</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3.151,4</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308,9</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280,7</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310,9</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r w:rsidRPr="00DE16A7">
              <w:rPr>
                <w:rFonts w:ascii="Tahoma" w:hAnsi="Tahoma" w:cs="Tahoma"/>
                <w:sz w:val="15"/>
                <w:szCs w:val="15"/>
              </w:rPr>
              <w:t>I.Γ.2</w:t>
            </w: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b/>
                <w:bCs/>
                <w:sz w:val="15"/>
                <w:szCs w:val="15"/>
              </w:rPr>
            </w:pPr>
            <w:r w:rsidRPr="00DE16A7">
              <w:rPr>
                <w:rFonts w:ascii="Tahoma" w:hAnsi="Tahoma" w:cs="Tahoma"/>
                <w:b/>
                <w:bCs/>
                <w:sz w:val="15"/>
                <w:szCs w:val="15"/>
              </w:rPr>
              <w:t>Πληρωμές</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13.267,2</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11.715,2</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12.405,9</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1.165,4</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1.147,1</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1.385,8</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Αμοιβές,</w:t>
            </w:r>
            <w:r w:rsidRPr="00DE16A7">
              <w:rPr>
                <w:rFonts w:ascii="Tahoma" w:hAnsi="Tahoma" w:cs="Tahoma"/>
                <w:sz w:val="15"/>
                <w:szCs w:val="15"/>
                <w:lang w:val="en-US"/>
              </w:rPr>
              <w:t xml:space="preserve"> </w:t>
            </w:r>
            <w:r w:rsidRPr="00DE16A7">
              <w:rPr>
                <w:rFonts w:ascii="Tahoma" w:hAnsi="Tahoma" w:cs="Tahoma"/>
                <w:sz w:val="15"/>
                <w:szCs w:val="15"/>
              </w:rPr>
              <w:t>μισθοί</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411,9</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377,6</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470,0</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41,1</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36,6</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48,2</w:t>
            </w:r>
          </w:p>
        </w:tc>
      </w:tr>
      <w:tr w:rsidR="0007608A" w:rsidRPr="00DE16A7" w:rsidTr="00227662">
        <w:trPr>
          <w:trHeight w:val="186"/>
          <w:jc w:val="center"/>
        </w:trPr>
        <w:tc>
          <w:tcPr>
            <w:tcW w:w="621" w:type="dxa"/>
            <w:tcBorders>
              <w:top w:val="nil"/>
              <w:left w:val="single" w:sz="8" w:space="0" w:color="auto"/>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Τόκοι,</w:t>
            </w:r>
            <w:r w:rsidRPr="00DE16A7">
              <w:rPr>
                <w:rFonts w:ascii="Tahoma" w:hAnsi="Tahoma" w:cs="Tahoma"/>
                <w:sz w:val="15"/>
                <w:szCs w:val="15"/>
                <w:lang w:val="en-US"/>
              </w:rPr>
              <w:t xml:space="preserve"> </w:t>
            </w:r>
            <w:r w:rsidRPr="00DE16A7">
              <w:rPr>
                <w:rFonts w:ascii="Tahoma" w:hAnsi="Tahoma" w:cs="Tahoma"/>
                <w:sz w:val="15"/>
                <w:szCs w:val="15"/>
              </w:rPr>
              <w:t>μερίσματα,</w:t>
            </w:r>
            <w:r w:rsidRPr="00DE16A7">
              <w:rPr>
                <w:rFonts w:ascii="Tahoma" w:hAnsi="Tahoma" w:cs="Tahoma"/>
                <w:sz w:val="15"/>
                <w:szCs w:val="15"/>
                <w:lang w:val="en-US"/>
              </w:rPr>
              <w:t xml:space="preserve"> </w:t>
            </w:r>
            <w:r w:rsidRPr="00DE16A7">
              <w:rPr>
                <w:rFonts w:ascii="Tahoma" w:hAnsi="Tahoma" w:cs="Tahoma"/>
                <w:sz w:val="15"/>
                <w:szCs w:val="15"/>
              </w:rPr>
              <w:t>κέρδη</w:t>
            </w:r>
          </w:p>
        </w:tc>
        <w:tc>
          <w:tcPr>
            <w:tcW w:w="1043" w:type="dxa"/>
            <w:tcBorders>
              <w:top w:val="nil"/>
              <w:left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12.855,2</w:t>
            </w:r>
          </w:p>
        </w:tc>
        <w:tc>
          <w:tcPr>
            <w:tcW w:w="1043" w:type="dxa"/>
            <w:tcBorders>
              <w:top w:val="nil"/>
              <w:left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11.337,7</w:t>
            </w:r>
          </w:p>
        </w:tc>
        <w:tc>
          <w:tcPr>
            <w:tcW w:w="1043" w:type="dxa"/>
            <w:tcBorders>
              <w:top w:val="nil"/>
              <w:left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11.936,0</w:t>
            </w:r>
          </w:p>
        </w:tc>
        <w:tc>
          <w:tcPr>
            <w:tcW w:w="948" w:type="dxa"/>
            <w:tcBorders>
              <w:top w:val="nil"/>
              <w:left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1.124,3</w:t>
            </w:r>
          </w:p>
        </w:tc>
        <w:tc>
          <w:tcPr>
            <w:tcW w:w="948" w:type="dxa"/>
            <w:tcBorders>
              <w:top w:val="nil"/>
              <w:left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1.110,5</w:t>
            </w:r>
          </w:p>
        </w:tc>
        <w:tc>
          <w:tcPr>
            <w:tcW w:w="948" w:type="dxa"/>
            <w:tcBorders>
              <w:top w:val="nil"/>
              <w:left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1.337,6</w:t>
            </w:r>
          </w:p>
        </w:tc>
      </w:tr>
      <w:tr w:rsidR="0007608A" w:rsidRPr="00DE16A7" w:rsidTr="00227662">
        <w:trPr>
          <w:trHeight w:val="228"/>
          <w:jc w:val="center"/>
        </w:trPr>
        <w:tc>
          <w:tcPr>
            <w:tcW w:w="621" w:type="dxa"/>
            <w:tcBorders>
              <w:left w:val="single" w:sz="8" w:space="0" w:color="auto"/>
              <w:bottom w:val="single" w:sz="8" w:space="0" w:color="auto"/>
              <w:right w:val="single" w:sz="8" w:space="0" w:color="auto"/>
            </w:tcBorders>
            <w:shd w:val="clear" w:color="auto" w:fill="D9D9D9"/>
            <w:noWrap/>
            <w:vAlign w:val="center"/>
          </w:tcPr>
          <w:p w:rsidR="0007608A" w:rsidRPr="00DE16A7" w:rsidRDefault="0007608A" w:rsidP="00227662">
            <w:pPr>
              <w:jc w:val="center"/>
              <w:rPr>
                <w:rFonts w:ascii="Tahoma" w:hAnsi="Tahoma" w:cs="Tahoma"/>
                <w:b/>
                <w:bCs/>
                <w:sz w:val="15"/>
                <w:szCs w:val="15"/>
              </w:rPr>
            </w:pPr>
            <w:r w:rsidRPr="00DE16A7">
              <w:rPr>
                <w:rFonts w:ascii="Tahoma" w:hAnsi="Tahoma" w:cs="Tahoma"/>
                <w:b/>
                <w:bCs/>
                <w:sz w:val="15"/>
                <w:szCs w:val="15"/>
              </w:rPr>
              <w:t>Ι.Δ</w:t>
            </w:r>
          </w:p>
        </w:tc>
        <w:tc>
          <w:tcPr>
            <w:tcW w:w="4372" w:type="dxa"/>
            <w:tcBorders>
              <w:left w:val="nil"/>
              <w:bottom w:val="single" w:sz="8" w:space="0" w:color="auto"/>
              <w:right w:val="single" w:sz="8" w:space="0" w:color="auto"/>
            </w:tcBorders>
            <w:shd w:val="clear" w:color="auto" w:fill="D9D9D9"/>
            <w:noWrap/>
            <w:vAlign w:val="center"/>
          </w:tcPr>
          <w:p w:rsidR="0007608A" w:rsidRPr="00DE16A7" w:rsidRDefault="0007608A" w:rsidP="00227662">
            <w:pPr>
              <w:rPr>
                <w:rFonts w:ascii="Tahoma" w:hAnsi="Tahoma" w:cs="Tahoma"/>
                <w:b/>
                <w:bCs/>
                <w:sz w:val="15"/>
                <w:szCs w:val="15"/>
              </w:rPr>
            </w:pPr>
            <w:r w:rsidRPr="00DE16A7">
              <w:rPr>
                <w:rFonts w:ascii="Tahoma" w:hAnsi="Tahoma" w:cs="Tahoma"/>
                <w:b/>
                <w:bCs/>
                <w:sz w:val="15"/>
                <w:szCs w:val="15"/>
              </w:rPr>
              <w:t xml:space="preserve">ΙΣΟΖΥΓΙΟ  ΤΡΕΧΟΥΣΩΝ ΜΕΤΑΒΙΒΑΣΕΩΝ </w:t>
            </w:r>
          </w:p>
          <w:p w:rsidR="0007608A" w:rsidRPr="00DE16A7" w:rsidRDefault="0007608A" w:rsidP="00227662">
            <w:pPr>
              <w:rPr>
                <w:rFonts w:ascii="Tahoma" w:hAnsi="Tahoma" w:cs="Tahoma"/>
                <w:b/>
                <w:bCs/>
                <w:sz w:val="15"/>
                <w:szCs w:val="15"/>
              </w:rPr>
            </w:pPr>
            <w:r w:rsidRPr="00DE16A7">
              <w:rPr>
                <w:rFonts w:ascii="Tahoma" w:hAnsi="Tahoma" w:cs="Tahoma"/>
                <w:b/>
                <w:bCs/>
                <w:sz w:val="15"/>
                <w:szCs w:val="15"/>
              </w:rPr>
              <w:t>(I.Δ.1 - I.Δ.2)</w:t>
            </w:r>
          </w:p>
        </w:tc>
        <w:tc>
          <w:tcPr>
            <w:tcW w:w="1043" w:type="dxa"/>
            <w:tcBorders>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1.292,6</w:t>
            </w:r>
          </w:p>
        </w:tc>
        <w:tc>
          <w:tcPr>
            <w:tcW w:w="1043" w:type="dxa"/>
            <w:tcBorders>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198,9</w:t>
            </w:r>
          </w:p>
        </w:tc>
        <w:tc>
          <w:tcPr>
            <w:tcW w:w="1043" w:type="dxa"/>
            <w:tcBorders>
              <w:left w:val="nil"/>
              <w:bottom w:val="single" w:sz="8" w:space="0" w:color="auto"/>
              <w:right w:val="single" w:sz="8" w:space="0" w:color="auto"/>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579,2</w:t>
            </w:r>
          </w:p>
        </w:tc>
        <w:tc>
          <w:tcPr>
            <w:tcW w:w="948" w:type="dxa"/>
            <w:tcBorders>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89,4</w:t>
            </w:r>
          </w:p>
        </w:tc>
        <w:tc>
          <w:tcPr>
            <w:tcW w:w="948" w:type="dxa"/>
            <w:tcBorders>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17,5</w:t>
            </w:r>
          </w:p>
        </w:tc>
        <w:tc>
          <w:tcPr>
            <w:tcW w:w="948" w:type="dxa"/>
            <w:tcBorders>
              <w:left w:val="nil"/>
              <w:bottom w:val="single" w:sz="8" w:space="0" w:color="auto"/>
              <w:right w:val="single" w:sz="8" w:space="0" w:color="auto"/>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231,8</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r w:rsidRPr="00DE16A7">
              <w:rPr>
                <w:rFonts w:ascii="Tahoma" w:hAnsi="Tahoma" w:cs="Tahoma"/>
                <w:sz w:val="15"/>
                <w:szCs w:val="15"/>
              </w:rPr>
              <w:t>I.Δ.1</w:t>
            </w: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b/>
                <w:bCs/>
                <w:sz w:val="15"/>
                <w:szCs w:val="15"/>
              </w:rPr>
            </w:pPr>
            <w:r w:rsidRPr="00DE16A7">
              <w:rPr>
                <w:rFonts w:ascii="Tahoma" w:hAnsi="Tahoma" w:cs="Tahoma"/>
                <w:b/>
                <w:bCs/>
                <w:sz w:val="15"/>
                <w:szCs w:val="15"/>
              </w:rPr>
              <w:t>Εισπράξεις</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5.380,7</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4.654,3</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4.435,0</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329,6</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295,3</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409,4</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Γενική Κυβέρνηση (κυρίως μεταβιβάσεις απο ΕΕ)</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3.527,9</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3.188,5</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3.254,9</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190,7</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189,6</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308,2</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Λοιποί τομείς (μεταναστευτικά εμβάσματα, κλπ)</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1.852,8</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1.465,8</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1.180,1</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138,9</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105,7</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101,2</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r w:rsidRPr="00DE16A7">
              <w:rPr>
                <w:rFonts w:ascii="Tahoma" w:hAnsi="Tahoma" w:cs="Tahoma"/>
                <w:sz w:val="15"/>
                <w:szCs w:val="15"/>
              </w:rPr>
              <w:t>I.Δ.2</w:t>
            </w: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b/>
                <w:bCs/>
                <w:sz w:val="15"/>
                <w:szCs w:val="15"/>
              </w:rPr>
            </w:pPr>
            <w:r w:rsidRPr="00DE16A7">
              <w:rPr>
                <w:rFonts w:ascii="Tahoma" w:hAnsi="Tahoma" w:cs="Tahoma"/>
                <w:b/>
                <w:bCs/>
                <w:sz w:val="15"/>
                <w:szCs w:val="15"/>
              </w:rPr>
              <w:t>Πληρωμές</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4.088,1</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4.455,4</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3.855,8</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240,2</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277,9</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177,5</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Γενική Κυβέρνηση (κυρίως πληρωμές προς ΕΕ)</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2.679,6</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2.860,4</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2.485,4</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122,3</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120,6</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106,1</w:t>
            </w:r>
          </w:p>
        </w:tc>
      </w:tr>
      <w:tr w:rsidR="0007608A" w:rsidRPr="00DE16A7" w:rsidTr="00227662">
        <w:trPr>
          <w:trHeight w:val="186"/>
          <w:jc w:val="center"/>
        </w:trPr>
        <w:tc>
          <w:tcPr>
            <w:tcW w:w="621" w:type="dxa"/>
            <w:tcBorders>
              <w:top w:val="nil"/>
              <w:left w:val="single" w:sz="8" w:space="0" w:color="auto"/>
              <w:bottom w:val="single" w:sz="8" w:space="0" w:color="auto"/>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bottom w:val="single" w:sz="8" w:space="0" w:color="auto"/>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Λοιποί τομείς</w:t>
            </w:r>
          </w:p>
        </w:tc>
        <w:tc>
          <w:tcPr>
            <w:tcW w:w="1043" w:type="dxa"/>
            <w:tcBorders>
              <w:top w:val="nil"/>
              <w:left w:val="nil"/>
              <w:bottom w:val="single" w:sz="8" w:space="0" w:color="auto"/>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1.408,5</w:t>
            </w:r>
          </w:p>
        </w:tc>
        <w:tc>
          <w:tcPr>
            <w:tcW w:w="1043" w:type="dxa"/>
            <w:tcBorders>
              <w:top w:val="nil"/>
              <w:left w:val="nil"/>
              <w:bottom w:val="single" w:sz="8" w:space="0" w:color="auto"/>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1.595,0</w:t>
            </w:r>
          </w:p>
        </w:tc>
        <w:tc>
          <w:tcPr>
            <w:tcW w:w="1043" w:type="dxa"/>
            <w:tcBorders>
              <w:top w:val="nil"/>
              <w:left w:val="nil"/>
              <w:bottom w:val="single" w:sz="8" w:space="0" w:color="auto"/>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1.370,4</w:t>
            </w:r>
          </w:p>
        </w:tc>
        <w:tc>
          <w:tcPr>
            <w:tcW w:w="948" w:type="dxa"/>
            <w:tcBorders>
              <w:top w:val="nil"/>
              <w:left w:val="nil"/>
              <w:bottom w:val="single" w:sz="8" w:space="0" w:color="auto"/>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117,9</w:t>
            </w:r>
          </w:p>
        </w:tc>
        <w:tc>
          <w:tcPr>
            <w:tcW w:w="948" w:type="dxa"/>
            <w:tcBorders>
              <w:top w:val="nil"/>
              <w:left w:val="nil"/>
              <w:bottom w:val="single" w:sz="8" w:space="0" w:color="auto"/>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157,3</w:t>
            </w:r>
          </w:p>
        </w:tc>
        <w:tc>
          <w:tcPr>
            <w:tcW w:w="948" w:type="dxa"/>
            <w:tcBorders>
              <w:top w:val="nil"/>
              <w:left w:val="nil"/>
              <w:bottom w:val="single" w:sz="8" w:space="0" w:color="auto"/>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71,5</w:t>
            </w:r>
          </w:p>
        </w:tc>
      </w:tr>
      <w:tr w:rsidR="0007608A" w:rsidRPr="00DE16A7" w:rsidTr="00227662">
        <w:trPr>
          <w:trHeight w:val="342"/>
          <w:jc w:val="center"/>
        </w:trPr>
        <w:tc>
          <w:tcPr>
            <w:tcW w:w="621" w:type="dxa"/>
            <w:tcBorders>
              <w:top w:val="single" w:sz="8" w:space="0" w:color="auto"/>
              <w:left w:val="single" w:sz="8" w:space="0" w:color="auto"/>
              <w:bottom w:val="single" w:sz="8" w:space="0" w:color="auto"/>
              <w:right w:val="single" w:sz="8" w:space="0" w:color="auto"/>
            </w:tcBorders>
            <w:shd w:val="clear" w:color="auto" w:fill="A6A6A6"/>
            <w:noWrap/>
            <w:vAlign w:val="center"/>
          </w:tcPr>
          <w:p w:rsidR="0007608A" w:rsidRPr="00DE16A7" w:rsidRDefault="0007608A" w:rsidP="00227662">
            <w:pPr>
              <w:jc w:val="center"/>
              <w:rPr>
                <w:rFonts w:ascii="Tahoma" w:hAnsi="Tahoma" w:cs="Tahoma"/>
                <w:b/>
                <w:bCs/>
                <w:sz w:val="15"/>
                <w:szCs w:val="15"/>
              </w:rPr>
            </w:pPr>
            <w:r w:rsidRPr="00DE16A7">
              <w:rPr>
                <w:rFonts w:ascii="Tahoma" w:hAnsi="Tahoma" w:cs="Tahoma"/>
                <w:b/>
                <w:bCs/>
                <w:sz w:val="15"/>
                <w:szCs w:val="15"/>
              </w:rPr>
              <w:t>II</w:t>
            </w:r>
          </w:p>
        </w:tc>
        <w:tc>
          <w:tcPr>
            <w:tcW w:w="4372" w:type="dxa"/>
            <w:tcBorders>
              <w:top w:val="single" w:sz="8" w:space="0" w:color="auto"/>
              <w:left w:val="nil"/>
              <w:bottom w:val="single" w:sz="8" w:space="0" w:color="auto"/>
              <w:right w:val="single" w:sz="8" w:space="0" w:color="auto"/>
            </w:tcBorders>
            <w:shd w:val="clear" w:color="auto" w:fill="A6A6A6"/>
            <w:noWrap/>
            <w:vAlign w:val="center"/>
          </w:tcPr>
          <w:p w:rsidR="0007608A" w:rsidRPr="00DE16A7" w:rsidRDefault="0007608A" w:rsidP="00227662">
            <w:pPr>
              <w:rPr>
                <w:rFonts w:ascii="Tahoma" w:hAnsi="Tahoma" w:cs="Tahoma"/>
                <w:b/>
                <w:bCs/>
                <w:sz w:val="15"/>
                <w:szCs w:val="15"/>
              </w:rPr>
            </w:pPr>
            <w:r w:rsidRPr="00DE16A7">
              <w:rPr>
                <w:rFonts w:ascii="Tahoma" w:hAnsi="Tahoma" w:cs="Tahoma"/>
                <w:b/>
                <w:bCs/>
                <w:sz w:val="15"/>
                <w:szCs w:val="15"/>
              </w:rPr>
              <w:t>ΙΣΟΖΥΓΙΟ  ΚΕΦΑΛΑΙΑΚΩΝ ΜΕΤΑΒΙΒΑΣΕΩΝ (ΙΙ.1-ΙΙ.2)</w:t>
            </w:r>
          </w:p>
        </w:tc>
        <w:tc>
          <w:tcPr>
            <w:tcW w:w="1043" w:type="dxa"/>
            <w:tcBorders>
              <w:top w:val="single" w:sz="8" w:space="0" w:color="auto"/>
              <w:left w:val="nil"/>
              <w:bottom w:val="single" w:sz="8" w:space="0" w:color="auto"/>
              <w:right w:val="nil"/>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2.017,4</w:t>
            </w:r>
          </w:p>
        </w:tc>
        <w:tc>
          <w:tcPr>
            <w:tcW w:w="1043" w:type="dxa"/>
            <w:tcBorders>
              <w:top w:val="single" w:sz="8" w:space="0" w:color="auto"/>
              <w:left w:val="nil"/>
              <w:bottom w:val="single" w:sz="8" w:space="0" w:color="auto"/>
              <w:right w:val="nil"/>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2.071,5</w:t>
            </w:r>
          </w:p>
        </w:tc>
        <w:tc>
          <w:tcPr>
            <w:tcW w:w="1043" w:type="dxa"/>
            <w:tcBorders>
              <w:top w:val="single" w:sz="8" w:space="0" w:color="auto"/>
              <w:left w:val="nil"/>
              <w:bottom w:val="single" w:sz="8" w:space="0" w:color="auto"/>
              <w:right w:val="single" w:sz="8" w:space="0" w:color="auto"/>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2.671,8</w:t>
            </w:r>
          </w:p>
        </w:tc>
        <w:tc>
          <w:tcPr>
            <w:tcW w:w="948" w:type="dxa"/>
            <w:tcBorders>
              <w:top w:val="single" w:sz="8" w:space="0" w:color="auto"/>
              <w:left w:val="nil"/>
              <w:bottom w:val="single" w:sz="8" w:space="0" w:color="auto"/>
              <w:right w:val="nil"/>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53,6</w:t>
            </w:r>
          </w:p>
        </w:tc>
        <w:tc>
          <w:tcPr>
            <w:tcW w:w="948" w:type="dxa"/>
            <w:tcBorders>
              <w:top w:val="single" w:sz="8" w:space="0" w:color="auto"/>
              <w:left w:val="nil"/>
              <w:bottom w:val="single" w:sz="8" w:space="0" w:color="auto"/>
              <w:right w:val="nil"/>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1.190,9</w:t>
            </w:r>
          </w:p>
        </w:tc>
        <w:tc>
          <w:tcPr>
            <w:tcW w:w="948" w:type="dxa"/>
            <w:tcBorders>
              <w:top w:val="single" w:sz="8" w:space="0" w:color="auto"/>
              <w:left w:val="nil"/>
              <w:bottom w:val="single" w:sz="8" w:space="0" w:color="auto"/>
              <w:right w:val="single" w:sz="8" w:space="0" w:color="auto"/>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794,7</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r w:rsidRPr="00DE16A7">
              <w:rPr>
                <w:rFonts w:ascii="Tahoma" w:hAnsi="Tahoma" w:cs="Tahoma"/>
                <w:sz w:val="15"/>
                <w:szCs w:val="15"/>
              </w:rPr>
              <w:t>ΙΙ.1</w:t>
            </w: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b/>
                <w:bCs/>
                <w:sz w:val="15"/>
                <w:szCs w:val="15"/>
              </w:rPr>
            </w:pPr>
            <w:r w:rsidRPr="00DE16A7">
              <w:rPr>
                <w:rFonts w:ascii="Tahoma" w:hAnsi="Tahoma" w:cs="Tahoma"/>
                <w:b/>
                <w:bCs/>
                <w:sz w:val="15"/>
                <w:szCs w:val="15"/>
              </w:rPr>
              <w:t>Εισπράξεις</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2.328,1</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2.356,2</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2.932,7</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84,4</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1.216,4</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820,8</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Γενική Κυβέρνηση (κυρίως μεταβιβάσεις απο ΕΕ)</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2.133,2</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2.239,3</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2.798,5</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65,6</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1.205,7</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809,0</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Λοιποί τομείς</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194,9</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116,9</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134,2</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18,8</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10,7</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11,7</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r w:rsidRPr="00DE16A7">
              <w:rPr>
                <w:rFonts w:ascii="Tahoma" w:hAnsi="Tahoma" w:cs="Tahoma"/>
                <w:sz w:val="15"/>
                <w:szCs w:val="15"/>
              </w:rPr>
              <w:t>ΙΙ.2</w:t>
            </w: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b/>
                <w:bCs/>
                <w:sz w:val="15"/>
                <w:szCs w:val="15"/>
              </w:rPr>
            </w:pPr>
            <w:r w:rsidRPr="00DE16A7">
              <w:rPr>
                <w:rFonts w:ascii="Tahoma" w:hAnsi="Tahoma" w:cs="Tahoma"/>
                <w:b/>
                <w:bCs/>
                <w:sz w:val="15"/>
                <w:szCs w:val="15"/>
              </w:rPr>
              <w:t>Πληρωμές</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310,7</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284,7</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260,8</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30,8</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25,5</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26,1</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Γενική Κυβέρνηση (κυρίως πληρωμές προς ΕΕ)</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14,4</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15,8</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12,7</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1,5</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0,7</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0,5</w:t>
            </w:r>
          </w:p>
        </w:tc>
      </w:tr>
      <w:tr w:rsidR="0007608A" w:rsidRPr="00DE16A7" w:rsidTr="00227662">
        <w:trPr>
          <w:trHeight w:val="186"/>
          <w:jc w:val="center"/>
        </w:trPr>
        <w:tc>
          <w:tcPr>
            <w:tcW w:w="621" w:type="dxa"/>
            <w:tcBorders>
              <w:top w:val="nil"/>
              <w:left w:val="single" w:sz="8" w:space="0" w:color="auto"/>
              <w:bottom w:val="single" w:sz="8" w:space="0" w:color="auto"/>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bottom w:val="single" w:sz="8" w:space="0" w:color="auto"/>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Λοιποί τομείς</w:t>
            </w:r>
          </w:p>
        </w:tc>
        <w:tc>
          <w:tcPr>
            <w:tcW w:w="1043" w:type="dxa"/>
            <w:tcBorders>
              <w:top w:val="nil"/>
              <w:left w:val="nil"/>
              <w:bottom w:val="single" w:sz="8" w:space="0" w:color="auto"/>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296,3</w:t>
            </w:r>
          </w:p>
        </w:tc>
        <w:tc>
          <w:tcPr>
            <w:tcW w:w="1043" w:type="dxa"/>
            <w:tcBorders>
              <w:top w:val="nil"/>
              <w:left w:val="nil"/>
              <w:bottom w:val="single" w:sz="8" w:space="0" w:color="auto"/>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268,9</w:t>
            </w:r>
          </w:p>
        </w:tc>
        <w:tc>
          <w:tcPr>
            <w:tcW w:w="1043" w:type="dxa"/>
            <w:tcBorders>
              <w:top w:val="nil"/>
              <w:left w:val="nil"/>
              <w:bottom w:val="single" w:sz="8" w:space="0" w:color="auto"/>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248,1</w:t>
            </w:r>
          </w:p>
        </w:tc>
        <w:tc>
          <w:tcPr>
            <w:tcW w:w="948" w:type="dxa"/>
            <w:tcBorders>
              <w:top w:val="nil"/>
              <w:left w:val="nil"/>
              <w:bottom w:val="single" w:sz="8" w:space="0" w:color="auto"/>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29,2</w:t>
            </w:r>
          </w:p>
        </w:tc>
        <w:tc>
          <w:tcPr>
            <w:tcW w:w="948" w:type="dxa"/>
            <w:tcBorders>
              <w:top w:val="nil"/>
              <w:left w:val="nil"/>
              <w:bottom w:val="single" w:sz="8" w:space="0" w:color="auto"/>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24,7</w:t>
            </w:r>
          </w:p>
        </w:tc>
        <w:tc>
          <w:tcPr>
            <w:tcW w:w="948" w:type="dxa"/>
            <w:tcBorders>
              <w:top w:val="nil"/>
              <w:left w:val="nil"/>
              <w:bottom w:val="single" w:sz="8" w:space="0" w:color="auto"/>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25,6</w:t>
            </w:r>
          </w:p>
        </w:tc>
      </w:tr>
      <w:tr w:rsidR="0007608A" w:rsidRPr="00DE16A7" w:rsidTr="00227662">
        <w:trPr>
          <w:trHeight w:val="199"/>
          <w:jc w:val="center"/>
        </w:trPr>
        <w:tc>
          <w:tcPr>
            <w:tcW w:w="621" w:type="dxa"/>
            <w:tcBorders>
              <w:top w:val="single" w:sz="8" w:space="0" w:color="auto"/>
              <w:left w:val="single" w:sz="8" w:space="0" w:color="auto"/>
              <w:bottom w:val="single" w:sz="8" w:space="0" w:color="auto"/>
              <w:right w:val="single" w:sz="8" w:space="0" w:color="auto"/>
            </w:tcBorders>
            <w:shd w:val="clear" w:color="auto" w:fill="A6A6A6"/>
            <w:noWrap/>
            <w:vAlign w:val="center"/>
          </w:tcPr>
          <w:p w:rsidR="0007608A" w:rsidRPr="00DE16A7" w:rsidRDefault="0007608A" w:rsidP="00227662">
            <w:pPr>
              <w:jc w:val="center"/>
              <w:rPr>
                <w:rFonts w:ascii="Tahoma" w:hAnsi="Tahoma" w:cs="Tahoma"/>
                <w:b/>
                <w:bCs/>
                <w:sz w:val="15"/>
                <w:szCs w:val="15"/>
              </w:rPr>
            </w:pPr>
            <w:r w:rsidRPr="00DE16A7">
              <w:rPr>
                <w:rFonts w:ascii="Tahoma" w:hAnsi="Tahoma" w:cs="Tahoma"/>
                <w:b/>
                <w:bCs/>
                <w:sz w:val="15"/>
                <w:szCs w:val="15"/>
              </w:rPr>
              <w:t>III</w:t>
            </w:r>
          </w:p>
        </w:tc>
        <w:tc>
          <w:tcPr>
            <w:tcW w:w="4372" w:type="dxa"/>
            <w:tcBorders>
              <w:top w:val="single" w:sz="8" w:space="0" w:color="auto"/>
              <w:left w:val="nil"/>
              <w:bottom w:val="single" w:sz="8" w:space="0" w:color="auto"/>
              <w:right w:val="single" w:sz="8" w:space="0" w:color="auto"/>
            </w:tcBorders>
            <w:shd w:val="clear" w:color="auto" w:fill="A6A6A6"/>
            <w:vAlign w:val="center"/>
          </w:tcPr>
          <w:p w:rsidR="0007608A" w:rsidRPr="00DE16A7" w:rsidRDefault="0007608A" w:rsidP="00227662">
            <w:pPr>
              <w:rPr>
                <w:rFonts w:ascii="Tahoma" w:hAnsi="Tahoma" w:cs="Tahoma"/>
                <w:b/>
                <w:bCs/>
                <w:sz w:val="15"/>
                <w:szCs w:val="15"/>
              </w:rPr>
            </w:pPr>
            <w:r w:rsidRPr="00DE16A7">
              <w:rPr>
                <w:rFonts w:ascii="Tahoma" w:hAnsi="Tahoma" w:cs="Tahoma"/>
                <w:b/>
                <w:bCs/>
                <w:sz w:val="15"/>
                <w:szCs w:val="15"/>
              </w:rPr>
              <w:t xml:space="preserve">ΙΣΟΖΥΓΙΟ ΤΡΕΧΟΥΣΩΝ ΣΥΝ/ΓΩΝ </w:t>
            </w:r>
          </w:p>
          <w:p w:rsidR="0007608A" w:rsidRPr="00DE16A7" w:rsidRDefault="0007608A" w:rsidP="00227662">
            <w:pPr>
              <w:rPr>
                <w:rFonts w:ascii="Tahoma" w:hAnsi="Tahoma" w:cs="Tahoma"/>
                <w:b/>
                <w:bCs/>
                <w:sz w:val="15"/>
                <w:szCs w:val="15"/>
              </w:rPr>
            </w:pPr>
            <w:r w:rsidRPr="00DE16A7">
              <w:rPr>
                <w:rFonts w:ascii="Tahoma" w:hAnsi="Tahoma" w:cs="Tahoma"/>
                <w:b/>
                <w:bCs/>
                <w:sz w:val="15"/>
                <w:szCs w:val="15"/>
              </w:rPr>
              <w:t>ΚΑΙ ΚΕΦΑΛΑΙΑΚΩΝ ΜΕΤΑΒΙΒΑΣΕΩΝ (Ι + ΙΙ)</w:t>
            </w:r>
          </w:p>
        </w:tc>
        <w:tc>
          <w:tcPr>
            <w:tcW w:w="1043" w:type="dxa"/>
            <w:tcBorders>
              <w:top w:val="single" w:sz="8" w:space="0" w:color="auto"/>
              <w:left w:val="nil"/>
              <w:bottom w:val="single" w:sz="8" w:space="0" w:color="auto"/>
              <w:right w:val="nil"/>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-23.801,3</w:t>
            </w:r>
          </w:p>
        </w:tc>
        <w:tc>
          <w:tcPr>
            <w:tcW w:w="1043" w:type="dxa"/>
            <w:tcBorders>
              <w:top w:val="single" w:sz="8" w:space="0" w:color="auto"/>
              <w:left w:val="nil"/>
              <w:bottom w:val="single" w:sz="8" w:space="0" w:color="auto"/>
              <w:right w:val="nil"/>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-20.904,1</w:t>
            </w:r>
          </w:p>
        </w:tc>
        <w:tc>
          <w:tcPr>
            <w:tcW w:w="1043" w:type="dxa"/>
            <w:tcBorders>
              <w:top w:val="single" w:sz="8" w:space="0" w:color="auto"/>
              <w:left w:val="nil"/>
              <w:bottom w:val="single" w:sz="8" w:space="0" w:color="auto"/>
              <w:right w:val="single" w:sz="8" w:space="0" w:color="auto"/>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-18.398,0</w:t>
            </w:r>
          </w:p>
        </w:tc>
        <w:tc>
          <w:tcPr>
            <w:tcW w:w="948" w:type="dxa"/>
            <w:tcBorders>
              <w:top w:val="single" w:sz="8" w:space="0" w:color="auto"/>
              <w:left w:val="nil"/>
              <w:bottom w:val="single" w:sz="8" w:space="0" w:color="auto"/>
              <w:right w:val="nil"/>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-3.020,5</w:t>
            </w:r>
          </w:p>
        </w:tc>
        <w:tc>
          <w:tcPr>
            <w:tcW w:w="948" w:type="dxa"/>
            <w:tcBorders>
              <w:top w:val="single" w:sz="8" w:space="0" w:color="auto"/>
              <w:left w:val="nil"/>
              <w:bottom w:val="single" w:sz="8" w:space="0" w:color="auto"/>
              <w:right w:val="nil"/>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-627,7</w:t>
            </w:r>
          </w:p>
        </w:tc>
        <w:tc>
          <w:tcPr>
            <w:tcW w:w="948" w:type="dxa"/>
            <w:tcBorders>
              <w:top w:val="single" w:sz="8" w:space="0" w:color="auto"/>
              <w:left w:val="nil"/>
              <w:bottom w:val="single" w:sz="8" w:space="0" w:color="auto"/>
              <w:right w:val="single" w:sz="8" w:space="0" w:color="auto"/>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-1.377,4</w:t>
            </w:r>
          </w:p>
        </w:tc>
      </w:tr>
      <w:tr w:rsidR="0007608A" w:rsidRPr="00DE16A7" w:rsidTr="00227662">
        <w:trPr>
          <w:trHeight w:val="186"/>
          <w:jc w:val="center"/>
        </w:trPr>
        <w:tc>
          <w:tcPr>
            <w:tcW w:w="621" w:type="dxa"/>
            <w:tcBorders>
              <w:top w:val="single" w:sz="8" w:space="0" w:color="auto"/>
              <w:left w:val="single" w:sz="8" w:space="0" w:color="auto"/>
              <w:right w:val="single" w:sz="8" w:space="0" w:color="auto"/>
            </w:tcBorders>
            <w:shd w:val="clear" w:color="auto" w:fill="A6A6A6"/>
            <w:noWrap/>
            <w:vAlign w:val="center"/>
          </w:tcPr>
          <w:p w:rsidR="0007608A" w:rsidRPr="00DE16A7" w:rsidRDefault="0007608A" w:rsidP="00227662">
            <w:pPr>
              <w:jc w:val="center"/>
              <w:rPr>
                <w:rFonts w:ascii="Tahoma" w:hAnsi="Tahoma" w:cs="Tahoma"/>
                <w:b/>
                <w:bCs/>
                <w:sz w:val="15"/>
                <w:szCs w:val="15"/>
              </w:rPr>
            </w:pPr>
            <w:r w:rsidRPr="00DE16A7">
              <w:rPr>
                <w:rFonts w:ascii="Tahoma" w:hAnsi="Tahoma" w:cs="Tahoma"/>
                <w:b/>
                <w:bCs/>
                <w:sz w:val="15"/>
                <w:szCs w:val="15"/>
              </w:rPr>
              <w:t>IV</w:t>
            </w:r>
          </w:p>
        </w:tc>
        <w:tc>
          <w:tcPr>
            <w:tcW w:w="4372" w:type="dxa"/>
            <w:tcBorders>
              <w:top w:val="single" w:sz="8" w:space="0" w:color="auto"/>
              <w:left w:val="nil"/>
              <w:right w:val="single" w:sz="8" w:space="0" w:color="auto"/>
            </w:tcBorders>
            <w:shd w:val="clear" w:color="auto" w:fill="A6A6A6"/>
            <w:noWrap/>
            <w:vAlign w:val="center"/>
          </w:tcPr>
          <w:p w:rsidR="0007608A" w:rsidRPr="00DE16A7" w:rsidRDefault="0007608A" w:rsidP="00227662">
            <w:pPr>
              <w:rPr>
                <w:rFonts w:ascii="Tahoma" w:hAnsi="Tahoma" w:cs="Tahoma"/>
                <w:b/>
                <w:bCs/>
                <w:sz w:val="15"/>
                <w:szCs w:val="15"/>
              </w:rPr>
            </w:pPr>
            <w:r w:rsidRPr="00DE16A7">
              <w:rPr>
                <w:rFonts w:ascii="Tahoma" w:hAnsi="Tahoma" w:cs="Tahoma"/>
                <w:b/>
                <w:bCs/>
                <w:sz w:val="15"/>
                <w:szCs w:val="15"/>
              </w:rPr>
              <w:t>ΙΣΟΖΥΓΙΟ ΧΡΗΜ/ΚΩΝ ΣΥΝ/ΓΩΝ (Ι</w:t>
            </w:r>
            <w:r w:rsidRPr="00DE16A7">
              <w:rPr>
                <w:rFonts w:ascii="Tahoma" w:hAnsi="Tahoma" w:cs="Tahoma"/>
                <w:b/>
                <w:bCs/>
                <w:sz w:val="15"/>
                <w:szCs w:val="15"/>
                <w:lang w:val="en-US"/>
              </w:rPr>
              <w:t>V</w:t>
            </w:r>
            <w:r w:rsidRPr="00DE16A7">
              <w:rPr>
                <w:rFonts w:ascii="Tahoma" w:hAnsi="Tahoma" w:cs="Tahoma"/>
                <w:b/>
                <w:bCs/>
                <w:sz w:val="15"/>
                <w:szCs w:val="15"/>
              </w:rPr>
              <w:t>Α+Ι</w:t>
            </w:r>
            <w:r w:rsidRPr="00DE16A7">
              <w:rPr>
                <w:rFonts w:ascii="Tahoma" w:hAnsi="Tahoma" w:cs="Tahoma"/>
                <w:b/>
                <w:bCs/>
                <w:sz w:val="15"/>
                <w:szCs w:val="15"/>
                <w:lang w:val="en-US"/>
              </w:rPr>
              <w:t>V</w:t>
            </w:r>
            <w:r w:rsidRPr="00DE16A7">
              <w:rPr>
                <w:rFonts w:ascii="Tahoma" w:hAnsi="Tahoma" w:cs="Tahoma"/>
                <w:b/>
                <w:bCs/>
                <w:sz w:val="15"/>
                <w:szCs w:val="15"/>
              </w:rPr>
              <w:t>Β+Ι</w:t>
            </w:r>
            <w:r w:rsidRPr="00DE16A7">
              <w:rPr>
                <w:rFonts w:ascii="Tahoma" w:hAnsi="Tahoma" w:cs="Tahoma"/>
                <w:b/>
                <w:bCs/>
                <w:sz w:val="15"/>
                <w:szCs w:val="15"/>
                <w:lang w:val="en-US"/>
              </w:rPr>
              <w:t>V</w:t>
            </w:r>
            <w:r w:rsidRPr="00DE16A7">
              <w:rPr>
                <w:rFonts w:ascii="Tahoma" w:hAnsi="Tahoma" w:cs="Tahoma"/>
                <w:b/>
                <w:bCs/>
                <w:sz w:val="15"/>
                <w:szCs w:val="15"/>
              </w:rPr>
              <w:t>Γ+Ι</w:t>
            </w:r>
            <w:r w:rsidRPr="00DE16A7">
              <w:rPr>
                <w:rFonts w:ascii="Tahoma" w:hAnsi="Tahoma" w:cs="Tahoma"/>
                <w:b/>
                <w:bCs/>
                <w:sz w:val="15"/>
                <w:szCs w:val="15"/>
                <w:lang w:val="en-US"/>
              </w:rPr>
              <w:t>V</w:t>
            </w:r>
            <w:r w:rsidRPr="00DE16A7">
              <w:rPr>
                <w:rFonts w:ascii="Tahoma" w:hAnsi="Tahoma" w:cs="Tahoma"/>
                <w:b/>
                <w:bCs/>
                <w:sz w:val="15"/>
                <w:szCs w:val="15"/>
              </w:rPr>
              <w:t>Δ)</w:t>
            </w:r>
          </w:p>
        </w:tc>
        <w:tc>
          <w:tcPr>
            <w:tcW w:w="1043" w:type="dxa"/>
            <w:tcBorders>
              <w:top w:val="single" w:sz="8" w:space="0" w:color="auto"/>
              <w:left w:val="nil"/>
              <w:right w:val="nil"/>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24.395,4</w:t>
            </w:r>
          </w:p>
        </w:tc>
        <w:tc>
          <w:tcPr>
            <w:tcW w:w="1043" w:type="dxa"/>
            <w:tcBorders>
              <w:top w:val="single" w:sz="8" w:space="0" w:color="auto"/>
              <w:left w:val="nil"/>
              <w:right w:val="nil"/>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21.323,5</w:t>
            </w:r>
          </w:p>
        </w:tc>
        <w:tc>
          <w:tcPr>
            <w:tcW w:w="1043" w:type="dxa"/>
            <w:tcBorders>
              <w:top w:val="single" w:sz="8" w:space="0" w:color="auto"/>
              <w:left w:val="nil"/>
              <w:right w:val="single" w:sz="8" w:space="0" w:color="auto"/>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17.867,0</w:t>
            </w:r>
          </w:p>
        </w:tc>
        <w:tc>
          <w:tcPr>
            <w:tcW w:w="948" w:type="dxa"/>
            <w:tcBorders>
              <w:top w:val="single" w:sz="8" w:space="0" w:color="auto"/>
              <w:left w:val="nil"/>
              <w:right w:val="nil"/>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2.808,4</w:t>
            </w:r>
          </w:p>
        </w:tc>
        <w:tc>
          <w:tcPr>
            <w:tcW w:w="948" w:type="dxa"/>
            <w:tcBorders>
              <w:top w:val="single" w:sz="8" w:space="0" w:color="auto"/>
              <w:left w:val="nil"/>
              <w:right w:val="nil"/>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138,6</w:t>
            </w:r>
          </w:p>
        </w:tc>
        <w:tc>
          <w:tcPr>
            <w:tcW w:w="948" w:type="dxa"/>
            <w:tcBorders>
              <w:top w:val="single" w:sz="8" w:space="0" w:color="auto"/>
              <w:left w:val="nil"/>
              <w:right w:val="single" w:sz="8" w:space="0" w:color="auto"/>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713,8</w:t>
            </w:r>
          </w:p>
        </w:tc>
      </w:tr>
      <w:tr w:rsidR="0007608A" w:rsidRPr="00DE16A7" w:rsidTr="00227662">
        <w:trPr>
          <w:trHeight w:val="177"/>
          <w:jc w:val="center"/>
        </w:trPr>
        <w:tc>
          <w:tcPr>
            <w:tcW w:w="621" w:type="dxa"/>
            <w:tcBorders>
              <w:top w:val="nil"/>
              <w:left w:val="single" w:sz="8" w:space="0" w:color="auto"/>
              <w:bottom w:val="single" w:sz="8" w:space="0" w:color="auto"/>
              <w:right w:val="single" w:sz="8" w:space="0" w:color="auto"/>
            </w:tcBorders>
            <w:shd w:val="clear" w:color="auto" w:fill="D9D9D9"/>
            <w:noWrap/>
            <w:vAlign w:val="center"/>
          </w:tcPr>
          <w:p w:rsidR="0007608A" w:rsidRPr="00DE16A7" w:rsidRDefault="0007608A" w:rsidP="00227662">
            <w:pPr>
              <w:jc w:val="center"/>
              <w:rPr>
                <w:rFonts w:ascii="Tahoma" w:hAnsi="Tahoma" w:cs="Tahoma"/>
                <w:sz w:val="15"/>
                <w:szCs w:val="15"/>
              </w:rPr>
            </w:pPr>
            <w:r w:rsidRPr="00DE16A7">
              <w:rPr>
                <w:rFonts w:ascii="Tahoma" w:hAnsi="Tahoma" w:cs="Tahoma"/>
                <w:sz w:val="15"/>
                <w:szCs w:val="15"/>
              </w:rPr>
              <w:t>IV.A</w:t>
            </w:r>
          </w:p>
        </w:tc>
        <w:tc>
          <w:tcPr>
            <w:tcW w:w="4372" w:type="dxa"/>
            <w:tcBorders>
              <w:top w:val="nil"/>
              <w:left w:val="nil"/>
              <w:bottom w:val="single" w:sz="8" w:space="0" w:color="auto"/>
              <w:right w:val="single" w:sz="8" w:space="0" w:color="auto"/>
            </w:tcBorders>
            <w:shd w:val="clear" w:color="auto" w:fill="D9D9D9"/>
            <w:noWrap/>
            <w:vAlign w:val="center"/>
          </w:tcPr>
          <w:p w:rsidR="0007608A" w:rsidRPr="00DE16A7" w:rsidRDefault="0007608A" w:rsidP="00227662">
            <w:pPr>
              <w:rPr>
                <w:rFonts w:ascii="Tahoma" w:hAnsi="Tahoma" w:cs="Tahoma"/>
                <w:b/>
                <w:bCs/>
                <w:sz w:val="15"/>
                <w:szCs w:val="15"/>
              </w:rPr>
            </w:pPr>
            <w:r w:rsidRPr="00DE16A7">
              <w:rPr>
                <w:rFonts w:ascii="Tahoma" w:hAnsi="Tahoma" w:cs="Tahoma"/>
                <w:b/>
                <w:bCs/>
                <w:sz w:val="15"/>
                <w:szCs w:val="15"/>
              </w:rPr>
              <w:t>ΑΜΕΣΕΣ ΕΠΕΝΔΥΣΕΙΣ*</w:t>
            </w:r>
          </w:p>
        </w:tc>
        <w:tc>
          <w:tcPr>
            <w:tcW w:w="1043" w:type="dxa"/>
            <w:tcBorders>
              <w:top w:val="nil"/>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274,5</w:t>
            </w:r>
          </w:p>
        </w:tc>
        <w:tc>
          <w:tcPr>
            <w:tcW w:w="1043" w:type="dxa"/>
            <w:tcBorders>
              <w:top w:val="nil"/>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-457,4</w:t>
            </w:r>
          </w:p>
        </w:tc>
        <w:tc>
          <w:tcPr>
            <w:tcW w:w="1043" w:type="dxa"/>
            <w:tcBorders>
              <w:top w:val="nil"/>
              <w:left w:val="nil"/>
              <w:bottom w:val="single" w:sz="8" w:space="0" w:color="auto"/>
              <w:right w:val="single" w:sz="8" w:space="0" w:color="auto"/>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25,1</w:t>
            </w:r>
          </w:p>
        </w:tc>
        <w:tc>
          <w:tcPr>
            <w:tcW w:w="948" w:type="dxa"/>
            <w:tcBorders>
              <w:top w:val="nil"/>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-311,8</w:t>
            </w:r>
          </w:p>
        </w:tc>
        <w:tc>
          <w:tcPr>
            <w:tcW w:w="948" w:type="dxa"/>
            <w:tcBorders>
              <w:top w:val="nil"/>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-106,1</w:t>
            </w:r>
          </w:p>
        </w:tc>
        <w:tc>
          <w:tcPr>
            <w:tcW w:w="948" w:type="dxa"/>
            <w:tcBorders>
              <w:top w:val="nil"/>
              <w:left w:val="nil"/>
              <w:bottom w:val="single" w:sz="8" w:space="0" w:color="auto"/>
              <w:right w:val="single" w:sz="8" w:space="0" w:color="auto"/>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1.895,4</w:t>
            </w:r>
          </w:p>
        </w:tc>
      </w:tr>
      <w:tr w:rsidR="0007608A" w:rsidRPr="00DE16A7" w:rsidTr="00227662">
        <w:trPr>
          <w:trHeight w:val="177"/>
          <w:jc w:val="center"/>
        </w:trPr>
        <w:tc>
          <w:tcPr>
            <w:tcW w:w="621" w:type="dxa"/>
            <w:tcBorders>
              <w:top w:val="single" w:sz="8" w:space="0" w:color="auto"/>
              <w:left w:val="single" w:sz="8" w:space="0" w:color="auto"/>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single" w:sz="8" w:space="0" w:color="auto"/>
              <w:left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Κατοίκων στο εξωτερικό</w:t>
            </w:r>
          </w:p>
        </w:tc>
        <w:tc>
          <w:tcPr>
            <w:tcW w:w="1043" w:type="dxa"/>
            <w:tcBorders>
              <w:top w:val="single" w:sz="8" w:space="0" w:color="auto"/>
              <w:left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-1.479,3</w:t>
            </w:r>
          </w:p>
        </w:tc>
        <w:tc>
          <w:tcPr>
            <w:tcW w:w="1043" w:type="dxa"/>
            <w:tcBorders>
              <w:top w:val="single" w:sz="8" w:space="0" w:color="auto"/>
              <w:left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-738,8</w:t>
            </w:r>
          </w:p>
        </w:tc>
        <w:tc>
          <w:tcPr>
            <w:tcW w:w="1043" w:type="dxa"/>
            <w:tcBorders>
              <w:top w:val="single" w:sz="8" w:space="0" w:color="auto"/>
              <w:left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-1.286,2</w:t>
            </w:r>
          </w:p>
        </w:tc>
        <w:tc>
          <w:tcPr>
            <w:tcW w:w="948" w:type="dxa"/>
            <w:tcBorders>
              <w:top w:val="single" w:sz="8" w:space="0" w:color="auto"/>
              <w:left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-331,0</w:t>
            </w:r>
          </w:p>
        </w:tc>
        <w:tc>
          <w:tcPr>
            <w:tcW w:w="948" w:type="dxa"/>
            <w:tcBorders>
              <w:top w:val="single" w:sz="8" w:space="0" w:color="auto"/>
              <w:left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-96,1</w:t>
            </w:r>
          </w:p>
        </w:tc>
        <w:tc>
          <w:tcPr>
            <w:tcW w:w="948" w:type="dxa"/>
            <w:tcBorders>
              <w:top w:val="single" w:sz="8" w:space="0" w:color="auto"/>
              <w:left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14,7</w:t>
            </w:r>
          </w:p>
        </w:tc>
      </w:tr>
      <w:tr w:rsidR="0007608A" w:rsidRPr="00DE16A7" w:rsidTr="00227662">
        <w:trPr>
          <w:trHeight w:val="177"/>
          <w:jc w:val="center"/>
        </w:trPr>
        <w:tc>
          <w:tcPr>
            <w:tcW w:w="621" w:type="dxa"/>
            <w:tcBorders>
              <w:left w:val="single" w:sz="8" w:space="0" w:color="auto"/>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left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Μη κατοίκων στην Ελλάδα</w:t>
            </w:r>
          </w:p>
        </w:tc>
        <w:tc>
          <w:tcPr>
            <w:tcW w:w="1043" w:type="dxa"/>
            <w:tcBorders>
              <w:left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1.753,8</w:t>
            </w:r>
          </w:p>
        </w:tc>
        <w:tc>
          <w:tcPr>
            <w:tcW w:w="1043" w:type="dxa"/>
            <w:tcBorders>
              <w:left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281,4</w:t>
            </w:r>
          </w:p>
        </w:tc>
        <w:tc>
          <w:tcPr>
            <w:tcW w:w="1043" w:type="dxa"/>
            <w:tcBorders>
              <w:left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1.311,3</w:t>
            </w:r>
          </w:p>
        </w:tc>
        <w:tc>
          <w:tcPr>
            <w:tcW w:w="948" w:type="dxa"/>
            <w:tcBorders>
              <w:left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19,2</w:t>
            </w:r>
          </w:p>
        </w:tc>
        <w:tc>
          <w:tcPr>
            <w:tcW w:w="948" w:type="dxa"/>
            <w:tcBorders>
              <w:left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-10,1</w:t>
            </w:r>
          </w:p>
        </w:tc>
        <w:tc>
          <w:tcPr>
            <w:tcW w:w="948" w:type="dxa"/>
            <w:tcBorders>
              <w:left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1.880,7</w:t>
            </w:r>
          </w:p>
        </w:tc>
      </w:tr>
      <w:tr w:rsidR="0007608A" w:rsidRPr="00DE16A7" w:rsidTr="00227662">
        <w:trPr>
          <w:trHeight w:val="177"/>
          <w:jc w:val="center"/>
        </w:trPr>
        <w:tc>
          <w:tcPr>
            <w:tcW w:w="621" w:type="dxa"/>
            <w:tcBorders>
              <w:top w:val="nil"/>
              <w:left w:val="single" w:sz="8" w:space="0" w:color="auto"/>
              <w:bottom w:val="single" w:sz="8" w:space="0" w:color="auto"/>
              <w:right w:val="single" w:sz="8" w:space="0" w:color="auto"/>
            </w:tcBorders>
            <w:shd w:val="clear" w:color="auto" w:fill="D9D9D9"/>
            <w:noWrap/>
            <w:vAlign w:val="center"/>
          </w:tcPr>
          <w:p w:rsidR="0007608A" w:rsidRPr="00DE16A7" w:rsidRDefault="0007608A" w:rsidP="00227662">
            <w:pPr>
              <w:jc w:val="center"/>
              <w:rPr>
                <w:rFonts w:ascii="Tahoma" w:hAnsi="Tahoma" w:cs="Tahoma"/>
                <w:sz w:val="15"/>
                <w:szCs w:val="15"/>
              </w:rPr>
            </w:pPr>
            <w:r w:rsidRPr="00DE16A7">
              <w:rPr>
                <w:rFonts w:ascii="Tahoma" w:hAnsi="Tahoma" w:cs="Tahoma"/>
                <w:sz w:val="15"/>
                <w:szCs w:val="15"/>
              </w:rPr>
              <w:t>IV.B</w:t>
            </w:r>
          </w:p>
        </w:tc>
        <w:tc>
          <w:tcPr>
            <w:tcW w:w="4372" w:type="dxa"/>
            <w:tcBorders>
              <w:top w:val="nil"/>
              <w:left w:val="nil"/>
              <w:bottom w:val="single" w:sz="8" w:space="0" w:color="auto"/>
              <w:right w:val="single" w:sz="8" w:space="0" w:color="auto"/>
            </w:tcBorders>
            <w:shd w:val="clear" w:color="auto" w:fill="D9D9D9"/>
            <w:noWrap/>
            <w:vAlign w:val="center"/>
          </w:tcPr>
          <w:p w:rsidR="0007608A" w:rsidRPr="00DE16A7" w:rsidRDefault="0007608A" w:rsidP="00227662">
            <w:pPr>
              <w:rPr>
                <w:rFonts w:ascii="Tahoma" w:hAnsi="Tahoma" w:cs="Tahoma"/>
                <w:b/>
                <w:bCs/>
                <w:sz w:val="15"/>
                <w:szCs w:val="15"/>
              </w:rPr>
            </w:pPr>
            <w:r w:rsidRPr="00DE16A7">
              <w:rPr>
                <w:rFonts w:ascii="Tahoma" w:hAnsi="Tahoma" w:cs="Tahoma"/>
                <w:b/>
                <w:bCs/>
                <w:sz w:val="15"/>
                <w:szCs w:val="15"/>
              </w:rPr>
              <w:t>ΕΠΕΝΔΥΣΕΙΣ ΧΑΡΤΟΦΥΛΑΚΙΟΥ*</w:t>
            </w:r>
          </w:p>
        </w:tc>
        <w:tc>
          <w:tcPr>
            <w:tcW w:w="1043" w:type="dxa"/>
            <w:tcBorders>
              <w:top w:val="nil"/>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22.663,8</w:t>
            </w:r>
          </w:p>
        </w:tc>
        <w:tc>
          <w:tcPr>
            <w:tcW w:w="1043" w:type="dxa"/>
            <w:tcBorders>
              <w:top w:val="nil"/>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-20.855,0</w:t>
            </w:r>
          </w:p>
        </w:tc>
        <w:tc>
          <w:tcPr>
            <w:tcW w:w="1043" w:type="dxa"/>
            <w:tcBorders>
              <w:top w:val="nil"/>
              <w:left w:val="nil"/>
              <w:bottom w:val="single" w:sz="8" w:space="0" w:color="auto"/>
              <w:right w:val="single" w:sz="8" w:space="0" w:color="auto"/>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-17.298,3</w:t>
            </w:r>
          </w:p>
        </w:tc>
        <w:tc>
          <w:tcPr>
            <w:tcW w:w="948" w:type="dxa"/>
            <w:tcBorders>
              <w:top w:val="nil"/>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-4.647,2</w:t>
            </w:r>
          </w:p>
        </w:tc>
        <w:tc>
          <w:tcPr>
            <w:tcW w:w="948" w:type="dxa"/>
            <w:tcBorders>
              <w:top w:val="nil"/>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3.226,7</w:t>
            </w:r>
          </w:p>
        </w:tc>
        <w:tc>
          <w:tcPr>
            <w:tcW w:w="948" w:type="dxa"/>
            <w:tcBorders>
              <w:top w:val="nil"/>
              <w:left w:val="nil"/>
              <w:bottom w:val="single" w:sz="8" w:space="0" w:color="auto"/>
              <w:right w:val="single" w:sz="8" w:space="0" w:color="auto"/>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-142,8</w:t>
            </w:r>
          </w:p>
        </w:tc>
      </w:tr>
      <w:tr w:rsidR="0007608A" w:rsidRPr="00DE16A7" w:rsidTr="00227662">
        <w:trPr>
          <w:trHeight w:val="177"/>
          <w:jc w:val="center"/>
        </w:trPr>
        <w:tc>
          <w:tcPr>
            <w:tcW w:w="621" w:type="dxa"/>
            <w:tcBorders>
              <w:top w:val="single" w:sz="8" w:space="0" w:color="auto"/>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single" w:sz="8" w:space="0" w:color="auto"/>
              <w:left w:val="nil"/>
              <w:bottom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Απαιτήσεις</w:t>
            </w:r>
          </w:p>
        </w:tc>
        <w:tc>
          <w:tcPr>
            <w:tcW w:w="1043" w:type="dxa"/>
            <w:tcBorders>
              <w:top w:val="single" w:sz="8" w:space="0" w:color="auto"/>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-8.973,0</w:t>
            </w:r>
          </w:p>
        </w:tc>
        <w:tc>
          <w:tcPr>
            <w:tcW w:w="1043" w:type="dxa"/>
            <w:tcBorders>
              <w:top w:val="single" w:sz="8" w:space="0" w:color="auto"/>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13.278,7</w:t>
            </w:r>
          </w:p>
        </w:tc>
        <w:tc>
          <w:tcPr>
            <w:tcW w:w="1043" w:type="dxa"/>
            <w:tcBorders>
              <w:top w:val="single" w:sz="8" w:space="0" w:color="auto"/>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6.139,0</w:t>
            </w:r>
          </w:p>
        </w:tc>
        <w:tc>
          <w:tcPr>
            <w:tcW w:w="948" w:type="dxa"/>
            <w:tcBorders>
              <w:top w:val="single" w:sz="8" w:space="0" w:color="auto"/>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-330,7</w:t>
            </w:r>
          </w:p>
        </w:tc>
        <w:tc>
          <w:tcPr>
            <w:tcW w:w="948" w:type="dxa"/>
            <w:tcBorders>
              <w:top w:val="single" w:sz="8" w:space="0" w:color="auto"/>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1.994,9</w:t>
            </w:r>
          </w:p>
        </w:tc>
        <w:tc>
          <w:tcPr>
            <w:tcW w:w="948" w:type="dxa"/>
            <w:tcBorders>
              <w:top w:val="single" w:sz="8" w:space="0" w:color="auto"/>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1.461,2</w:t>
            </w:r>
          </w:p>
        </w:tc>
      </w:tr>
      <w:tr w:rsidR="0007608A" w:rsidRPr="00DE16A7" w:rsidTr="00227662">
        <w:trPr>
          <w:trHeight w:val="177"/>
          <w:jc w:val="center"/>
        </w:trPr>
        <w:tc>
          <w:tcPr>
            <w:tcW w:w="621" w:type="dxa"/>
            <w:tcBorders>
              <w:top w:val="nil"/>
              <w:left w:val="single" w:sz="8" w:space="0" w:color="auto"/>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Υποχρεώσεις</w:t>
            </w:r>
          </w:p>
        </w:tc>
        <w:tc>
          <w:tcPr>
            <w:tcW w:w="1043" w:type="dxa"/>
            <w:tcBorders>
              <w:top w:val="nil"/>
              <w:left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31.636,8</w:t>
            </w:r>
          </w:p>
        </w:tc>
        <w:tc>
          <w:tcPr>
            <w:tcW w:w="1043" w:type="dxa"/>
            <w:tcBorders>
              <w:top w:val="nil"/>
              <w:left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-34.133,6</w:t>
            </w:r>
          </w:p>
        </w:tc>
        <w:tc>
          <w:tcPr>
            <w:tcW w:w="1043" w:type="dxa"/>
            <w:tcBorders>
              <w:top w:val="nil"/>
              <w:left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-23.437,3</w:t>
            </w:r>
          </w:p>
        </w:tc>
        <w:tc>
          <w:tcPr>
            <w:tcW w:w="948" w:type="dxa"/>
            <w:tcBorders>
              <w:top w:val="nil"/>
              <w:left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-4.316,5</w:t>
            </w:r>
          </w:p>
        </w:tc>
        <w:tc>
          <w:tcPr>
            <w:tcW w:w="948" w:type="dxa"/>
            <w:tcBorders>
              <w:top w:val="nil"/>
              <w:left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1.231,8</w:t>
            </w:r>
          </w:p>
        </w:tc>
        <w:tc>
          <w:tcPr>
            <w:tcW w:w="948" w:type="dxa"/>
            <w:tcBorders>
              <w:top w:val="nil"/>
              <w:left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-1.604,0</w:t>
            </w:r>
          </w:p>
        </w:tc>
      </w:tr>
      <w:tr w:rsidR="0007608A" w:rsidRPr="00DE16A7" w:rsidTr="00227662">
        <w:trPr>
          <w:trHeight w:val="177"/>
          <w:jc w:val="center"/>
        </w:trPr>
        <w:tc>
          <w:tcPr>
            <w:tcW w:w="621" w:type="dxa"/>
            <w:tcBorders>
              <w:top w:val="nil"/>
              <w:left w:val="single" w:sz="8" w:space="0" w:color="auto"/>
              <w:bottom w:val="single" w:sz="8" w:space="0" w:color="auto"/>
              <w:right w:val="single" w:sz="8" w:space="0" w:color="auto"/>
            </w:tcBorders>
            <w:shd w:val="clear" w:color="auto" w:fill="D9D9D9"/>
            <w:noWrap/>
            <w:vAlign w:val="center"/>
          </w:tcPr>
          <w:p w:rsidR="0007608A" w:rsidRPr="00DE16A7" w:rsidRDefault="0007608A" w:rsidP="00227662">
            <w:pPr>
              <w:jc w:val="center"/>
              <w:rPr>
                <w:rFonts w:ascii="Tahoma" w:hAnsi="Tahoma" w:cs="Tahoma"/>
                <w:sz w:val="15"/>
                <w:szCs w:val="15"/>
              </w:rPr>
            </w:pPr>
            <w:r w:rsidRPr="00DE16A7">
              <w:rPr>
                <w:rFonts w:ascii="Tahoma" w:hAnsi="Tahoma" w:cs="Tahoma"/>
                <w:sz w:val="15"/>
                <w:szCs w:val="15"/>
              </w:rPr>
              <w:t>ΙV.Γ</w:t>
            </w:r>
          </w:p>
        </w:tc>
        <w:tc>
          <w:tcPr>
            <w:tcW w:w="4372" w:type="dxa"/>
            <w:tcBorders>
              <w:top w:val="nil"/>
              <w:left w:val="nil"/>
              <w:bottom w:val="single" w:sz="8" w:space="0" w:color="auto"/>
              <w:right w:val="single" w:sz="8" w:space="0" w:color="auto"/>
            </w:tcBorders>
            <w:shd w:val="clear" w:color="auto" w:fill="D9D9D9"/>
            <w:noWrap/>
            <w:vAlign w:val="center"/>
          </w:tcPr>
          <w:p w:rsidR="0007608A" w:rsidRPr="00DE16A7" w:rsidRDefault="0007608A" w:rsidP="00227662">
            <w:pPr>
              <w:rPr>
                <w:rFonts w:ascii="Tahoma" w:hAnsi="Tahoma" w:cs="Tahoma"/>
                <w:b/>
                <w:bCs/>
                <w:sz w:val="15"/>
                <w:szCs w:val="15"/>
              </w:rPr>
            </w:pPr>
            <w:r w:rsidRPr="00DE16A7">
              <w:rPr>
                <w:rFonts w:ascii="Tahoma" w:hAnsi="Tahoma" w:cs="Tahoma"/>
                <w:b/>
                <w:bCs/>
                <w:sz w:val="15"/>
                <w:szCs w:val="15"/>
              </w:rPr>
              <w:t>ΛΟΙΠΕΣ  ΕΠΕΝΔΥΣΕΙΣ*</w:t>
            </w:r>
          </w:p>
        </w:tc>
        <w:tc>
          <w:tcPr>
            <w:tcW w:w="1043" w:type="dxa"/>
            <w:tcBorders>
              <w:top w:val="nil"/>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1.563,1</w:t>
            </w:r>
          </w:p>
        </w:tc>
        <w:tc>
          <w:tcPr>
            <w:tcW w:w="1043" w:type="dxa"/>
            <w:tcBorders>
              <w:top w:val="nil"/>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42.538,8</w:t>
            </w:r>
          </w:p>
        </w:tc>
        <w:tc>
          <w:tcPr>
            <w:tcW w:w="1043" w:type="dxa"/>
            <w:tcBorders>
              <w:top w:val="nil"/>
              <w:left w:val="nil"/>
              <w:bottom w:val="single" w:sz="8" w:space="0" w:color="auto"/>
              <w:right w:val="single" w:sz="8" w:space="0" w:color="auto"/>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35.166,2</w:t>
            </w:r>
          </w:p>
        </w:tc>
        <w:tc>
          <w:tcPr>
            <w:tcW w:w="948" w:type="dxa"/>
            <w:tcBorders>
              <w:top w:val="nil"/>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7.819,4</w:t>
            </w:r>
          </w:p>
        </w:tc>
        <w:tc>
          <w:tcPr>
            <w:tcW w:w="948" w:type="dxa"/>
            <w:tcBorders>
              <w:top w:val="nil"/>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-2.971,9</w:t>
            </w:r>
          </w:p>
        </w:tc>
        <w:tc>
          <w:tcPr>
            <w:tcW w:w="948" w:type="dxa"/>
            <w:tcBorders>
              <w:top w:val="nil"/>
              <w:left w:val="nil"/>
              <w:bottom w:val="single" w:sz="8" w:space="0" w:color="auto"/>
              <w:right w:val="single" w:sz="8" w:space="0" w:color="auto"/>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-989,8</w:t>
            </w:r>
          </w:p>
        </w:tc>
      </w:tr>
      <w:tr w:rsidR="0007608A" w:rsidRPr="00DE16A7" w:rsidTr="00227662">
        <w:trPr>
          <w:trHeight w:val="177"/>
          <w:jc w:val="center"/>
        </w:trPr>
        <w:tc>
          <w:tcPr>
            <w:tcW w:w="621" w:type="dxa"/>
            <w:tcBorders>
              <w:top w:val="single" w:sz="8" w:space="0" w:color="auto"/>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single" w:sz="8" w:space="0" w:color="auto"/>
              <w:left w:val="nil"/>
              <w:bottom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Απαιτήσεις</w:t>
            </w:r>
          </w:p>
        </w:tc>
        <w:tc>
          <w:tcPr>
            <w:tcW w:w="1043" w:type="dxa"/>
            <w:tcBorders>
              <w:top w:val="single" w:sz="8" w:space="0" w:color="auto"/>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-23.875,7</w:t>
            </w:r>
          </w:p>
        </w:tc>
        <w:tc>
          <w:tcPr>
            <w:tcW w:w="1043" w:type="dxa"/>
            <w:tcBorders>
              <w:top w:val="single" w:sz="8" w:space="0" w:color="auto"/>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7.658,7</w:t>
            </w:r>
          </w:p>
        </w:tc>
        <w:tc>
          <w:tcPr>
            <w:tcW w:w="1043" w:type="dxa"/>
            <w:tcBorders>
              <w:top w:val="single" w:sz="8" w:space="0" w:color="auto"/>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5.429,9</w:t>
            </w:r>
          </w:p>
        </w:tc>
        <w:tc>
          <w:tcPr>
            <w:tcW w:w="948" w:type="dxa"/>
            <w:tcBorders>
              <w:top w:val="single" w:sz="8" w:space="0" w:color="auto"/>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270,2</w:t>
            </w:r>
          </w:p>
        </w:tc>
        <w:tc>
          <w:tcPr>
            <w:tcW w:w="948" w:type="dxa"/>
            <w:tcBorders>
              <w:top w:val="single" w:sz="8" w:space="0" w:color="auto"/>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7.082,8</w:t>
            </w:r>
          </w:p>
        </w:tc>
        <w:tc>
          <w:tcPr>
            <w:tcW w:w="948" w:type="dxa"/>
            <w:tcBorders>
              <w:top w:val="single" w:sz="8" w:space="0" w:color="auto"/>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1.949,9</w:t>
            </w:r>
          </w:p>
        </w:tc>
      </w:tr>
      <w:tr w:rsidR="0007608A" w:rsidRPr="00DE16A7" w:rsidTr="00227662">
        <w:trPr>
          <w:trHeight w:val="177"/>
          <w:jc w:val="center"/>
        </w:trPr>
        <w:tc>
          <w:tcPr>
            <w:tcW w:w="621" w:type="dxa"/>
            <w:tcBorders>
              <w:top w:val="nil"/>
              <w:left w:val="single" w:sz="8" w:space="0" w:color="auto"/>
              <w:bottom w:val="nil"/>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bottom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Υποχρεώσεις</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25.438,8</w:t>
            </w:r>
          </w:p>
        </w:tc>
        <w:tc>
          <w:tcPr>
            <w:tcW w:w="1043"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34.880,2</w:t>
            </w:r>
          </w:p>
        </w:tc>
        <w:tc>
          <w:tcPr>
            <w:tcW w:w="1043"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29.736,3</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7.549,2</w:t>
            </w:r>
          </w:p>
        </w:tc>
        <w:tc>
          <w:tcPr>
            <w:tcW w:w="948" w:type="dxa"/>
            <w:tcBorders>
              <w:top w:val="nil"/>
              <w:left w:val="nil"/>
              <w:bottom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-10.054,8</w:t>
            </w:r>
          </w:p>
        </w:tc>
        <w:tc>
          <w:tcPr>
            <w:tcW w:w="948" w:type="dxa"/>
            <w:tcBorders>
              <w:top w:val="nil"/>
              <w:left w:val="nil"/>
              <w:bottom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-2.939,6</w:t>
            </w:r>
          </w:p>
        </w:tc>
      </w:tr>
      <w:tr w:rsidR="0007608A" w:rsidRPr="00DE16A7" w:rsidTr="00227662">
        <w:trPr>
          <w:trHeight w:val="177"/>
          <w:jc w:val="center"/>
        </w:trPr>
        <w:tc>
          <w:tcPr>
            <w:tcW w:w="621" w:type="dxa"/>
            <w:tcBorders>
              <w:top w:val="nil"/>
              <w:left w:val="single" w:sz="8" w:space="0" w:color="auto"/>
              <w:right w:val="single" w:sz="8" w:space="0" w:color="auto"/>
            </w:tcBorders>
            <w:noWrap/>
            <w:vAlign w:val="center"/>
          </w:tcPr>
          <w:p w:rsidR="0007608A" w:rsidRPr="00DE16A7" w:rsidRDefault="0007608A" w:rsidP="00227662">
            <w:pPr>
              <w:jc w:val="center"/>
              <w:rPr>
                <w:rFonts w:ascii="Tahoma" w:hAnsi="Tahoma" w:cs="Tahoma"/>
                <w:sz w:val="15"/>
                <w:szCs w:val="15"/>
              </w:rPr>
            </w:pPr>
          </w:p>
        </w:tc>
        <w:tc>
          <w:tcPr>
            <w:tcW w:w="4372" w:type="dxa"/>
            <w:tcBorders>
              <w:top w:val="nil"/>
              <w:left w:val="nil"/>
              <w:right w:val="single" w:sz="8" w:space="0" w:color="auto"/>
            </w:tcBorders>
            <w:noWrap/>
            <w:vAlign w:val="center"/>
          </w:tcPr>
          <w:p w:rsidR="0007608A" w:rsidRPr="00DE16A7" w:rsidRDefault="0007608A" w:rsidP="00227662">
            <w:pPr>
              <w:rPr>
                <w:rFonts w:ascii="Tahoma" w:hAnsi="Tahoma" w:cs="Tahoma"/>
                <w:sz w:val="15"/>
                <w:szCs w:val="15"/>
              </w:rPr>
            </w:pPr>
            <w:r w:rsidRPr="00DE16A7">
              <w:rPr>
                <w:rFonts w:ascii="Tahoma" w:hAnsi="Tahoma" w:cs="Tahoma"/>
                <w:sz w:val="15"/>
                <w:szCs w:val="15"/>
              </w:rPr>
              <w:t>( Δάνεια Γενικής Κυβέρνησης )</w:t>
            </w:r>
          </w:p>
        </w:tc>
        <w:tc>
          <w:tcPr>
            <w:tcW w:w="1043" w:type="dxa"/>
            <w:tcBorders>
              <w:top w:val="nil"/>
              <w:left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2.865,0</w:t>
            </w:r>
          </w:p>
        </w:tc>
        <w:tc>
          <w:tcPr>
            <w:tcW w:w="1043" w:type="dxa"/>
            <w:tcBorders>
              <w:top w:val="nil"/>
              <w:left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29.978,2</w:t>
            </w:r>
          </w:p>
        </w:tc>
        <w:tc>
          <w:tcPr>
            <w:tcW w:w="1043" w:type="dxa"/>
            <w:tcBorders>
              <w:top w:val="nil"/>
              <w:left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39.393,9</w:t>
            </w:r>
          </w:p>
        </w:tc>
        <w:tc>
          <w:tcPr>
            <w:tcW w:w="948" w:type="dxa"/>
            <w:tcBorders>
              <w:top w:val="nil"/>
              <w:left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-133,2</w:t>
            </w:r>
          </w:p>
        </w:tc>
        <w:tc>
          <w:tcPr>
            <w:tcW w:w="948" w:type="dxa"/>
            <w:tcBorders>
              <w:top w:val="nil"/>
              <w:left w:val="nil"/>
              <w:right w:val="nil"/>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2.430,2</w:t>
            </w:r>
          </w:p>
        </w:tc>
        <w:tc>
          <w:tcPr>
            <w:tcW w:w="948" w:type="dxa"/>
            <w:tcBorders>
              <w:top w:val="nil"/>
              <w:left w:val="nil"/>
              <w:right w:val="single" w:sz="8" w:space="0" w:color="auto"/>
            </w:tcBorders>
            <w:noWrap/>
            <w:vAlign w:val="center"/>
          </w:tcPr>
          <w:p w:rsidR="0007608A" w:rsidRPr="00DE16A7" w:rsidRDefault="0007608A" w:rsidP="00227662">
            <w:pPr>
              <w:jc w:val="right"/>
              <w:rPr>
                <w:rFonts w:ascii="Tahoma" w:hAnsi="Tahoma" w:cs="Tahoma"/>
                <w:sz w:val="15"/>
                <w:szCs w:val="15"/>
              </w:rPr>
            </w:pPr>
            <w:r w:rsidRPr="00DE16A7">
              <w:rPr>
                <w:rFonts w:ascii="Tahoma" w:hAnsi="Tahoma" w:cs="Tahoma"/>
                <w:sz w:val="15"/>
                <w:szCs w:val="15"/>
              </w:rPr>
              <w:t>7.770,1</w:t>
            </w:r>
          </w:p>
        </w:tc>
      </w:tr>
      <w:tr w:rsidR="0007608A" w:rsidRPr="00DE16A7" w:rsidTr="00227662">
        <w:trPr>
          <w:trHeight w:val="186"/>
          <w:jc w:val="center"/>
        </w:trPr>
        <w:tc>
          <w:tcPr>
            <w:tcW w:w="621" w:type="dxa"/>
            <w:tcBorders>
              <w:top w:val="nil"/>
              <w:left w:val="single" w:sz="8" w:space="0" w:color="auto"/>
              <w:bottom w:val="single" w:sz="8" w:space="0" w:color="auto"/>
              <w:right w:val="single" w:sz="8" w:space="0" w:color="auto"/>
            </w:tcBorders>
            <w:shd w:val="clear" w:color="auto" w:fill="D9D9D9"/>
            <w:noWrap/>
            <w:vAlign w:val="center"/>
          </w:tcPr>
          <w:p w:rsidR="0007608A" w:rsidRPr="00DE16A7" w:rsidRDefault="0007608A" w:rsidP="00227662">
            <w:pPr>
              <w:jc w:val="center"/>
              <w:rPr>
                <w:rFonts w:ascii="Tahoma" w:hAnsi="Tahoma" w:cs="Tahoma"/>
                <w:sz w:val="15"/>
                <w:szCs w:val="15"/>
              </w:rPr>
            </w:pPr>
            <w:r w:rsidRPr="00DE16A7">
              <w:rPr>
                <w:rFonts w:ascii="Tahoma" w:hAnsi="Tahoma" w:cs="Tahoma"/>
                <w:sz w:val="15"/>
                <w:szCs w:val="15"/>
              </w:rPr>
              <w:t>ΙV.Δ</w:t>
            </w:r>
          </w:p>
        </w:tc>
        <w:tc>
          <w:tcPr>
            <w:tcW w:w="4372" w:type="dxa"/>
            <w:tcBorders>
              <w:top w:val="nil"/>
              <w:left w:val="nil"/>
              <w:bottom w:val="single" w:sz="8" w:space="0" w:color="auto"/>
              <w:right w:val="single" w:sz="8" w:space="0" w:color="auto"/>
            </w:tcBorders>
            <w:shd w:val="clear" w:color="auto" w:fill="D9D9D9"/>
            <w:noWrap/>
            <w:vAlign w:val="center"/>
          </w:tcPr>
          <w:p w:rsidR="0007608A" w:rsidRPr="00DE16A7" w:rsidRDefault="0007608A" w:rsidP="00227662">
            <w:pPr>
              <w:rPr>
                <w:rFonts w:ascii="Tahoma" w:hAnsi="Tahoma" w:cs="Tahoma"/>
                <w:b/>
                <w:bCs/>
                <w:sz w:val="15"/>
                <w:szCs w:val="15"/>
                <w:lang w:val="en-US"/>
              </w:rPr>
            </w:pPr>
            <w:r w:rsidRPr="00DE16A7">
              <w:rPr>
                <w:rFonts w:ascii="Tahoma" w:hAnsi="Tahoma" w:cs="Tahoma"/>
                <w:b/>
                <w:bCs/>
                <w:sz w:val="15"/>
                <w:szCs w:val="15"/>
              </w:rPr>
              <w:t xml:space="preserve">ΜΕΤΑΒΟΛΗ ΣΥΝΑΛΛΑΓΜΑΤΙΚΩΝ </w:t>
            </w:r>
          </w:p>
          <w:p w:rsidR="0007608A" w:rsidRPr="00DE16A7" w:rsidRDefault="0007608A" w:rsidP="00227662">
            <w:pPr>
              <w:rPr>
                <w:rFonts w:ascii="Tahoma" w:hAnsi="Tahoma" w:cs="Tahoma"/>
                <w:b/>
                <w:bCs/>
                <w:sz w:val="15"/>
                <w:szCs w:val="15"/>
              </w:rPr>
            </w:pPr>
            <w:r w:rsidRPr="00DE16A7">
              <w:rPr>
                <w:rFonts w:ascii="Tahoma" w:hAnsi="Tahoma" w:cs="Tahoma"/>
                <w:b/>
                <w:bCs/>
                <w:sz w:val="15"/>
                <w:szCs w:val="15"/>
              </w:rPr>
              <w:t>ΔΙΑΘΕΣΙΜΩΝ**</w:t>
            </w:r>
          </w:p>
        </w:tc>
        <w:tc>
          <w:tcPr>
            <w:tcW w:w="1043" w:type="dxa"/>
            <w:tcBorders>
              <w:top w:val="nil"/>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-106,0</w:t>
            </w:r>
          </w:p>
        </w:tc>
        <w:tc>
          <w:tcPr>
            <w:tcW w:w="1043" w:type="dxa"/>
            <w:tcBorders>
              <w:top w:val="nil"/>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97,0</w:t>
            </w:r>
          </w:p>
        </w:tc>
        <w:tc>
          <w:tcPr>
            <w:tcW w:w="1043" w:type="dxa"/>
            <w:tcBorders>
              <w:top w:val="nil"/>
              <w:left w:val="nil"/>
              <w:bottom w:val="single" w:sz="8" w:space="0" w:color="auto"/>
              <w:right w:val="single" w:sz="8" w:space="0" w:color="auto"/>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-26,0</w:t>
            </w:r>
          </w:p>
        </w:tc>
        <w:tc>
          <w:tcPr>
            <w:tcW w:w="948" w:type="dxa"/>
            <w:tcBorders>
              <w:top w:val="nil"/>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-52,0</w:t>
            </w:r>
          </w:p>
        </w:tc>
        <w:tc>
          <w:tcPr>
            <w:tcW w:w="948" w:type="dxa"/>
            <w:tcBorders>
              <w:top w:val="nil"/>
              <w:left w:val="nil"/>
              <w:bottom w:val="single" w:sz="8" w:space="0" w:color="auto"/>
              <w:right w:val="nil"/>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-10,0</w:t>
            </w:r>
          </w:p>
        </w:tc>
        <w:tc>
          <w:tcPr>
            <w:tcW w:w="948" w:type="dxa"/>
            <w:tcBorders>
              <w:top w:val="nil"/>
              <w:left w:val="nil"/>
              <w:bottom w:val="single" w:sz="8" w:space="0" w:color="auto"/>
              <w:right w:val="single" w:sz="8" w:space="0" w:color="auto"/>
            </w:tcBorders>
            <w:shd w:val="clear" w:color="auto" w:fill="D9D9D9"/>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-49,0</w:t>
            </w:r>
          </w:p>
        </w:tc>
      </w:tr>
      <w:tr w:rsidR="0007608A" w:rsidRPr="00DE16A7" w:rsidTr="00227662">
        <w:trPr>
          <w:trHeight w:val="186"/>
          <w:jc w:val="center"/>
        </w:trPr>
        <w:tc>
          <w:tcPr>
            <w:tcW w:w="621" w:type="dxa"/>
            <w:tcBorders>
              <w:top w:val="single" w:sz="8" w:space="0" w:color="auto"/>
              <w:left w:val="single" w:sz="8" w:space="0" w:color="auto"/>
              <w:bottom w:val="single" w:sz="8" w:space="0" w:color="auto"/>
              <w:right w:val="single" w:sz="8" w:space="0" w:color="auto"/>
            </w:tcBorders>
            <w:shd w:val="clear" w:color="auto" w:fill="A6A6A6"/>
            <w:noWrap/>
            <w:vAlign w:val="center"/>
          </w:tcPr>
          <w:p w:rsidR="0007608A" w:rsidRPr="00DE16A7" w:rsidRDefault="0007608A" w:rsidP="00227662">
            <w:pPr>
              <w:jc w:val="center"/>
              <w:rPr>
                <w:rFonts w:ascii="Tahoma" w:hAnsi="Tahoma" w:cs="Tahoma"/>
                <w:b/>
                <w:bCs/>
                <w:sz w:val="15"/>
                <w:szCs w:val="15"/>
              </w:rPr>
            </w:pPr>
            <w:r w:rsidRPr="00DE16A7">
              <w:rPr>
                <w:rFonts w:ascii="Tahoma" w:hAnsi="Tahoma" w:cs="Tahoma"/>
                <w:b/>
                <w:bCs/>
                <w:sz w:val="15"/>
                <w:szCs w:val="15"/>
              </w:rPr>
              <w:t>V</w:t>
            </w:r>
          </w:p>
        </w:tc>
        <w:tc>
          <w:tcPr>
            <w:tcW w:w="4372" w:type="dxa"/>
            <w:tcBorders>
              <w:top w:val="single" w:sz="8" w:space="0" w:color="auto"/>
              <w:left w:val="nil"/>
              <w:bottom w:val="single" w:sz="8" w:space="0" w:color="auto"/>
              <w:right w:val="single" w:sz="8" w:space="0" w:color="auto"/>
            </w:tcBorders>
            <w:shd w:val="clear" w:color="auto" w:fill="A6A6A6"/>
            <w:noWrap/>
            <w:vAlign w:val="center"/>
          </w:tcPr>
          <w:p w:rsidR="0007608A" w:rsidRPr="00DE16A7" w:rsidRDefault="0007608A" w:rsidP="00227662">
            <w:pPr>
              <w:rPr>
                <w:rFonts w:ascii="Tahoma" w:hAnsi="Tahoma" w:cs="Tahoma"/>
                <w:b/>
                <w:bCs/>
                <w:sz w:val="15"/>
                <w:szCs w:val="15"/>
                <w:lang w:val="en-US"/>
              </w:rPr>
            </w:pPr>
            <w:r w:rsidRPr="00DE16A7">
              <w:rPr>
                <w:rFonts w:ascii="Tahoma" w:hAnsi="Tahoma" w:cs="Tahoma"/>
                <w:b/>
                <w:bCs/>
                <w:sz w:val="15"/>
                <w:szCs w:val="15"/>
              </w:rPr>
              <w:t xml:space="preserve">ΤΑΚΤΟΠΟΙΗΤΕΑ ΣΤΟΙΧΕΙΑ </w:t>
            </w:r>
          </w:p>
        </w:tc>
        <w:tc>
          <w:tcPr>
            <w:tcW w:w="1043" w:type="dxa"/>
            <w:tcBorders>
              <w:top w:val="single" w:sz="8" w:space="0" w:color="auto"/>
              <w:left w:val="nil"/>
              <w:bottom w:val="single" w:sz="8" w:space="0" w:color="auto"/>
              <w:right w:val="nil"/>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-594,1</w:t>
            </w:r>
          </w:p>
        </w:tc>
        <w:tc>
          <w:tcPr>
            <w:tcW w:w="1043" w:type="dxa"/>
            <w:tcBorders>
              <w:top w:val="single" w:sz="8" w:space="0" w:color="auto"/>
              <w:left w:val="nil"/>
              <w:bottom w:val="single" w:sz="8" w:space="0" w:color="auto"/>
              <w:right w:val="nil"/>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-419,4</w:t>
            </w:r>
          </w:p>
        </w:tc>
        <w:tc>
          <w:tcPr>
            <w:tcW w:w="1043" w:type="dxa"/>
            <w:tcBorders>
              <w:top w:val="single" w:sz="8" w:space="0" w:color="auto"/>
              <w:left w:val="nil"/>
              <w:bottom w:val="single" w:sz="8" w:space="0" w:color="auto"/>
              <w:right w:val="single" w:sz="8" w:space="0" w:color="auto"/>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531,0</w:t>
            </w:r>
          </w:p>
        </w:tc>
        <w:tc>
          <w:tcPr>
            <w:tcW w:w="948" w:type="dxa"/>
            <w:tcBorders>
              <w:top w:val="single" w:sz="8" w:space="0" w:color="auto"/>
              <w:left w:val="nil"/>
              <w:bottom w:val="single" w:sz="8" w:space="0" w:color="auto"/>
              <w:right w:val="nil"/>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212,1</w:t>
            </w:r>
          </w:p>
        </w:tc>
        <w:tc>
          <w:tcPr>
            <w:tcW w:w="948" w:type="dxa"/>
            <w:tcBorders>
              <w:top w:val="single" w:sz="8" w:space="0" w:color="auto"/>
              <w:left w:val="nil"/>
              <w:bottom w:val="single" w:sz="8" w:space="0" w:color="auto"/>
              <w:right w:val="nil"/>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489,1</w:t>
            </w:r>
          </w:p>
        </w:tc>
        <w:tc>
          <w:tcPr>
            <w:tcW w:w="948" w:type="dxa"/>
            <w:tcBorders>
              <w:top w:val="single" w:sz="8" w:space="0" w:color="auto"/>
              <w:left w:val="nil"/>
              <w:bottom w:val="single" w:sz="8" w:space="0" w:color="auto"/>
              <w:right w:val="single" w:sz="8" w:space="0" w:color="auto"/>
            </w:tcBorders>
            <w:shd w:val="clear" w:color="auto" w:fill="A6A6A6"/>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663,6</w:t>
            </w:r>
          </w:p>
        </w:tc>
      </w:tr>
      <w:tr w:rsidR="0007608A" w:rsidRPr="00DE16A7" w:rsidTr="00227662">
        <w:trPr>
          <w:trHeight w:val="177"/>
          <w:jc w:val="center"/>
        </w:trPr>
        <w:tc>
          <w:tcPr>
            <w:tcW w:w="621" w:type="dxa"/>
            <w:tcBorders>
              <w:top w:val="single" w:sz="8" w:space="0" w:color="auto"/>
              <w:left w:val="single" w:sz="8" w:space="0" w:color="auto"/>
              <w:bottom w:val="single" w:sz="8" w:space="0" w:color="auto"/>
              <w:right w:val="nil"/>
            </w:tcBorders>
            <w:noWrap/>
            <w:vAlign w:val="center"/>
          </w:tcPr>
          <w:p w:rsidR="0007608A" w:rsidRPr="00DE16A7" w:rsidRDefault="0007608A" w:rsidP="00227662">
            <w:pPr>
              <w:jc w:val="center"/>
              <w:rPr>
                <w:rFonts w:ascii="Tahoma" w:hAnsi="Tahoma" w:cs="Tahoma"/>
                <w:sz w:val="15"/>
                <w:szCs w:val="15"/>
              </w:rPr>
            </w:pPr>
          </w:p>
        </w:tc>
        <w:tc>
          <w:tcPr>
            <w:tcW w:w="7501" w:type="dxa"/>
            <w:gridSpan w:val="4"/>
            <w:tcBorders>
              <w:top w:val="single" w:sz="8" w:space="0" w:color="auto"/>
              <w:left w:val="nil"/>
              <w:bottom w:val="single" w:sz="8" w:space="0" w:color="auto"/>
              <w:right w:val="nil"/>
            </w:tcBorders>
            <w:noWrap/>
            <w:vAlign w:val="center"/>
          </w:tcPr>
          <w:p w:rsidR="0007608A" w:rsidRPr="00DE16A7" w:rsidRDefault="0007608A" w:rsidP="00227662">
            <w:pPr>
              <w:rPr>
                <w:rFonts w:ascii="Tahoma" w:hAnsi="Tahoma" w:cs="Tahoma"/>
                <w:b/>
                <w:bCs/>
                <w:sz w:val="15"/>
                <w:szCs w:val="15"/>
              </w:rPr>
            </w:pPr>
            <w:r w:rsidRPr="00DE16A7">
              <w:rPr>
                <w:rFonts w:ascii="Tahoma" w:hAnsi="Tahoma" w:cs="Tahoma"/>
                <w:b/>
                <w:bCs/>
                <w:sz w:val="15"/>
                <w:szCs w:val="15"/>
              </w:rPr>
              <w:t>ΥΨΟΣ ΣΥΝΑΛΛΑΓΜΑΤΙΚΩΝ ΔΙΑΘΕΣΙΜΩΝ (τέλος περιόδου)***</w:t>
            </w:r>
          </w:p>
        </w:tc>
        <w:tc>
          <w:tcPr>
            <w:tcW w:w="948" w:type="dxa"/>
            <w:tcBorders>
              <w:top w:val="single" w:sz="8" w:space="0" w:color="auto"/>
              <w:left w:val="nil"/>
              <w:bottom w:val="single" w:sz="8" w:space="0" w:color="auto"/>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3.857,0</w:t>
            </w:r>
          </w:p>
        </w:tc>
        <w:tc>
          <w:tcPr>
            <w:tcW w:w="948" w:type="dxa"/>
            <w:tcBorders>
              <w:top w:val="single" w:sz="8" w:space="0" w:color="auto"/>
              <w:left w:val="nil"/>
              <w:bottom w:val="single" w:sz="8" w:space="0" w:color="auto"/>
              <w:right w:val="nil"/>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4.777,0</w:t>
            </w:r>
          </w:p>
        </w:tc>
        <w:tc>
          <w:tcPr>
            <w:tcW w:w="948" w:type="dxa"/>
            <w:tcBorders>
              <w:top w:val="single" w:sz="8" w:space="0" w:color="auto"/>
              <w:left w:val="nil"/>
              <w:bottom w:val="single" w:sz="8" w:space="0" w:color="auto"/>
              <w:right w:val="single" w:sz="8" w:space="0" w:color="auto"/>
            </w:tcBorders>
            <w:noWrap/>
            <w:vAlign w:val="center"/>
          </w:tcPr>
          <w:p w:rsidR="0007608A" w:rsidRPr="00DE16A7" w:rsidRDefault="0007608A" w:rsidP="00227662">
            <w:pPr>
              <w:jc w:val="right"/>
              <w:rPr>
                <w:rFonts w:ascii="Tahoma" w:hAnsi="Tahoma" w:cs="Tahoma"/>
                <w:b/>
                <w:bCs/>
                <w:sz w:val="15"/>
                <w:szCs w:val="15"/>
              </w:rPr>
            </w:pPr>
            <w:r w:rsidRPr="00DE16A7">
              <w:rPr>
                <w:rFonts w:ascii="Tahoma" w:hAnsi="Tahoma" w:cs="Tahoma"/>
                <w:b/>
                <w:bCs/>
                <w:sz w:val="15"/>
                <w:szCs w:val="15"/>
              </w:rPr>
              <w:t>5.377,0</w:t>
            </w:r>
          </w:p>
        </w:tc>
      </w:tr>
    </w:tbl>
    <w:p w:rsidR="0007608A" w:rsidRPr="002B2379" w:rsidRDefault="0007608A" w:rsidP="0007608A">
      <w:pPr>
        <w:pStyle w:val="new4"/>
        <w:spacing w:after="0" w:line="240" w:lineRule="auto"/>
        <w:ind w:right="-874"/>
        <w:jc w:val="left"/>
        <w:rPr>
          <w:rFonts w:cs="Tahoma"/>
          <w:sz w:val="14"/>
          <w:szCs w:val="14"/>
        </w:rPr>
      </w:pPr>
      <w:r w:rsidRPr="002B2379">
        <w:rPr>
          <w:rFonts w:cs="Tahoma"/>
          <w:sz w:val="14"/>
          <w:szCs w:val="14"/>
        </w:rPr>
        <w:t>Πηγή: Τράπεζα της Ελλάδος</w:t>
      </w:r>
    </w:p>
    <w:p w:rsidR="0007608A" w:rsidRPr="00251F0B" w:rsidRDefault="0007608A" w:rsidP="0007608A">
      <w:pPr>
        <w:ind w:left="-720" w:right="-694"/>
        <w:jc w:val="both"/>
        <w:rPr>
          <w:rFonts w:ascii="Tahoma" w:hAnsi="Tahoma" w:cs="Tahoma"/>
          <w:sz w:val="14"/>
          <w:szCs w:val="14"/>
        </w:rPr>
      </w:pPr>
      <w:r>
        <w:rPr>
          <w:rFonts w:ascii="Tahoma" w:hAnsi="Tahoma" w:cs="Tahoma"/>
          <w:sz w:val="14"/>
          <w:szCs w:val="14"/>
        </w:rPr>
        <w:t>*</w:t>
      </w:r>
      <w:r w:rsidRPr="00687E67">
        <w:rPr>
          <w:rFonts w:ascii="Tahoma" w:hAnsi="Tahoma" w:cs="Tahoma"/>
          <w:sz w:val="14"/>
          <w:szCs w:val="14"/>
        </w:rPr>
        <w:t xml:space="preserve"> </w:t>
      </w:r>
      <w:r w:rsidRPr="002B2379">
        <w:rPr>
          <w:rFonts w:ascii="Tahoma" w:hAnsi="Tahoma" w:cs="Tahoma"/>
          <w:sz w:val="14"/>
          <w:szCs w:val="14"/>
        </w:rPr>
        <w:t>( + )  κα</w:t>
      </w:r>
      <w:r>
        <w:rPr>
          <w:rFonts w:ascii="Tahoma" w:hAnsi="Tahoma" w:cs="Tahoma"/>
          <w:sz w:val="14"/>
          <w:szCs w:val="14"/>
        </w:rPr>
        <w:t xml:space="preserve">θαρή εισροή ( - )  καθαρή εκροή,  </w:t>
      </w:r>
      <w:r w:rsidRPr="002B2379">
        <w:rPr>
          <w:rFonts w:ascii="Tahoma" w:hAnsi="Tahoma" w:cs="Tahoma"/>
          <w:sz w:val="14"/>
          <w:szCs w:val="14"/>
        </w:rPr>
        <w:t xml:space="preserve">* * ( + )  μείωση   ( - )  αύξηση </w:t>
      </w:r>
    </w:p>
    <w:p w:rsidR="003C2DCF" w:rsidRDefault="0007608A" w:rsidP="0007608A">
      <w:pPr>
        <w:ind w:left="-720" w:right="-694"/>
        <w:jc w:val="both"/>
        <w:rPr>
          <w:rFonts w:ascii="Tahoma" w:hAnsi="Tahoma" w:cs="Tahoma"/>
          <w:sz w:val="14"/>
          <w:szCs w:val="14"/>
        </w:rPr>
      </w:pPr>
      <w:r w:rsidRPr="00B97D51">
        <w:rPr>
          <w:rFonts w:ascii="Tahoma" w:hAnsi="Tahoma" w:cs="Tahoma"/>
          <w:b/>
          <w:bCs/>
          <w:sz w:val="14"/>
          <w:szCs w:val="14"/>
        </w:rPr>
        <w:t>* * *</w:t>
      </w:r>
      <w:r w:rsidRPr="00B97D51">
        <w:rPr>
          <w:rFonts w:ascii="Tahoma" w:hAnsi="Tahoma" w:cs="Tahoma"/>
          <w:sz w:val="14"/>
          <w:szCs w:val="14"/>
        </w:rPr>
        <w:t xml:space="preserve"> Τα συναλλαγματικά δι</w:t>
      </w:r>
      <w:r>
        <w:rPr>
          <w:rFonts w:ascii="Tahoma" w:hAnsi="Tahoma" w:cs="Tahoma"/>
          <w:sz w:val="14"/>
          <w:szCs w:val="14"/>
        </w:rPr>
        <w:t xml:space="preserve">αθέσιμα, σύμφωνα με τον ορισμό </w:t>
      </w:r>
      <w:r w:rsidRPr="00B97D51">
        <w:rPr>
          <w:rFonts w:ascii="Tahoma" w:hAnsi="Tahoma" w:cs="Tahoma"/>
          <w:sz w:val="14"/>
          <w:szCs w:val="14"/>
        </w:rPr>
        <w:t>της Ευρωπαϊκής Κεντρικής  Τράπεζας, περιλαμβάνουν μόνο το νομισματικό χρυσό,</w:t>
      </w:r>
      <w:r>
        <w:rPr>
          <w:rFonts w:ascii="Tahoma" w:hAnsi="Tahoma" w:cs="Tahoma"/>
          <w:sz w:val="14"/>
          <w:szCs w:val="14"/>
        </w:rPr>
        <w:t xml:space="preserve"> τη "συναλλαγματική</w:t>
      </w:r>
      <w:r w:rsidRPr="00B97D51">
        <w:rPr>
          <w:rFonts w:ascii="Tahoma" w:hAnsi="Tahoma" w:cs="Tahoma"/>
          <w:sz w:val="14"/>
          <w:szCs w:val="14"/>
        </w:rPr>
        <w:t xml:space="preserve"> θέση" στο Διεθνές Νομισματικό Ταμείο, τα "ειδικά τραβηκτικά δικαιώματα" και τις απαιτήσεις της Τράπεζας της Ελλάδος σε ξένο νόμισμα έναντι κατοίκων χωρών εκτός της ζώνης του ευρώ. Αντίθετα, δεν περιλαμβάνουν τις απαιτήσεις σε ευρώ έ</w:t>
      </w:r>
      <w:r>
        <w:rPr>
          <w:rFonts w:ascii="Tahoma" w:hAnsi="Tahoma" w:cs="Tahoma"/>
          <w:sz w:val="14"/>
          <w:szCs w:val="14"/>
        </w:rPr>
        <w:t xml:space="preserve">ναντι κατοίκων χωρών εκτός </w:t>
      </w:r>
      <w:r w:rsidRPr="00B97D51">
        <w:rPr>
          <w:rFonts w:ascii="Tahoma" w:hAnsi="Tahoma" w:cs="Tahoma"/>
          <w:sz w:val="14"/>
          <w:szCs w:val="14"/>
        </w:rPr>
        <w:t xml:space="preserve">της ζώνης του </w:t>
      </w:r>
      <w:r>
        <w:rPr>
          <w:rFonts w:ascii="Tahoma" w:hAnsi="Tahoma" w:cs="Tahoma"/>
          <w:sz w:val="14"/>
          <w:szCs w:val="14"/>
        </w:rPr>
        <w:t xml:space="preserve">ευρώ, τις απαιτήσεις σε </w:t>
      </w:r>
      <w:r w:rsidRPr="00B97D51">
        <w:rPr>
          <w:rFonts w:ascii="Tahoma" w:hAnsi="Tahoma" w:cs="Tahoma"/>
          <w:sz w:val="14"/>
          <w:szCs w:val="14"/>
        </w:rPr>
        <w:t>συνάλλαγμα και</w:t>
      </w:r>
      <w:r>
        <w:rPr>
          <w:rFonts w:ascii="Tahoma" w:hAnsi="Tahoma" w:cs="Tahoma"/>
          <w:sz w:val="14"/>
          <w:szCs w:val="14"/>
        </w:rPr>
        <w:t xml:space="preserve"> σε</w:t>
      </w:r>
      <w:r w:rsidRPr="00B97D51">
        <w:rPr>
          <w:rFonts w:ascii="Tahoma" w:hAnsi="Tahoma" w:cs="Tahoma"/>
          <w:sz w:val="14"/>
          <w:szCs w:val="14"/>
        </w:rPr>
        <w:t xml:space="preserve"> ευρώ έναντι κατοίκων χωρών της ζώνης του ευρώ, και τη συμμετοχή της Τράπεζας της Ελλάδος στο κεφάλαιο και στα συναλλαγματικά διαθέσιμα της ΕΚΤ</w:t>
      </w:r>
    </w:p>
    <w:p w:rsidR="003C2DCF" w:rsidRDefault="0007608A" w:rsidP="0007608A">
      <w:pPr>
        <w:ind w:left="-720" w:right="-694"/>
        <w:jc w:val="both"/>
        <w:rPr>
          <w:rFonts w:ascii="Tahoma" w:hAnsi="Tahoma" w:cs="Tahoma"/>
          <w:sz w:val="14"/>
          <w:szCs w:val="14"/>
        </w:rPr>
        <w:sectPr w:rsidR="003C2DCF" w:rsidSect="002421F1">
          <w:headerReference w:type="default" r:id="rId60"/>
          <w:pgSz w:w="11906" w:h="16838"/>
          <w:pgMar w:top="1440" w:right="1133" w:bottom="1440" w:left="993" w:header="708" w:footer="708" w:gutter="0"/>
          <w:cols w:space="708"/>
          <w:docGrid w:linePitch="360"/>
        </w:sectPr>
      </w:pPr>
      <w:r w:rsidRPr="00B97D51">
        <w:rPr>
          <w:rFonts w:ascii="Tahoma" w:hAnsi="Tahoma" w:cs="Tahoma"/>
          <w:sz w:val="14"/>
          <w:szCs w:val="14"/>
        </w:rPr>
        <w:t xml:space="preserve">. </w:t>
      </w:r>
    </w:p>
    <w:p w:rsidR="0007608A" w:rsidRPr="00687E67" w:rsidRDefault="0007608A" w:rsidP="0007608A">
      <w:pPr>
        <w:ind w:left="-720" w:right="-694"/>
        <w:jc w:val="both"/>
        <w:rPr>
          <w:rFonts w:ascii="Tahoma" w:hAnsi="Tahoma" w:cs="Tahoma"/>
          <w:sz w:val="14"/>
          <w:szCs w:val="14"/>
        </w:rPr>
      </w:pPr>
    </w:p>
    <w:p w:rsidR="00B511B9" w:rsidRPr="00E645CA" w:rsidRDefault="00B511B9" w:rsidP="00140BB2">
      <w:pPr>
        <w:pStyle w:val="new3"/>
        <w:ind w:left="284" w:hanging="284"/>
        <w:rPr>
          <w:caps/>
        </w:rPr>
      </w:pPr>
      <w:bookmarkStart w:id="319" w:name="_Toc320872895"/>
      <w:bookmarkStart w:id="320" w:name="_Toc257646618"/>
      <w:bookmarkStart w:id="321" w:name="_Toc305610218"/>
      <w:bookmarkEnd w:id="296"/>
      <w:bookmarkEnd w:id="297"/>
      <w:bookmarkEnd w:id="298"/>
      <w:r w:rsidRPr="003C1B9F">
        <w:t>4</w:t>
      </w:r>
      <w:r w:rsidR="006F7A6B">
        <w:t>.</w:t>
      </w:r>
      <w:r w:rsidR="006F7A6B" w:rsidRPr="00071FEF">
        <w:tab/>
      </w:r>
      <w:r w:rsidR="003C1B9F" w:rsidRPr="00E645CA">
        <w:rPr>
          <w:rFonts w:eastAsia="Calibri"/>
          <w:caps/>
        </w:rPr>
        <w:t>Επιπτώσεις Εφαρμογής Προγράμματος Εθελοντικής Ανταλλαγής Ομολόγων με τη Συμμετοχή του Ιδιωτικού Τομέα</w:t>
      </w:r>
      <w:r w:rsidR="00D73DCF">
        <w:rPr>
          <w:rStyle w:val="FootnoteReference"/>
          <w:rFonts w:eastAsia="Calibri"/>
          <w:caps/>
        </w:rPr>
        <w:footnoteReference w:id="16"/>
      </w:r>
      <w:bookmarkEnd w:id="319"/>
      <w:r w:rsidR="003C1B9F" w:rsidRPr="00E645CA">
        <w:rPr>
          <w:rFonts w:eastAsia="Calibri"/>
          <w:caps/>
        </w:rPr>
        <w:t xml:space="preserve"> </w:t>
      </w:r>
    </w:p>
    <w:p w:rsidR="003C1B9F" w:rsidRPr="003C1B9F" w:rsidRDefault="003C1B9F" w:rsidP="003C1B9F">
      <w:pPr>
        <w:spacing w:before="240" w:after="240" w:line="312" w:lineRule="auto"/>
        <w:jc w:val="both"/>
        <w:rPr>
          <w:rFonts w:ascii="Tahoma" w:eastAsia="Calibri" w:hAnsi="Tahoma" w:cs="Tahoma"/>
          <w:sz w:val="22"/>
          <w:szCs w:val="22"/>
        </w:rPr>
      </w:pPr>
      <w:r w:rsidRPr="003C1B9F">
        <w:rPr>
          <w:rFonts w:ascii="Tahoma" w:eastAsia="Calibri" w:hAnsi="Tahoma" w:cs="Tahoma"/>
          <w:sz w:val="22"/>
          <w:szCs w:val="22"/>
        </w:rPr>
        <w:t xml:space="preserve">Οι πρόσφατες αποφάσεις του </w:t>
      </w:r>
      <w:r w:rsidRPr="003C1B9F">
        <w:rPr>
          <w:rFonts w:ascii="Tahoma" w:eastAsia="Calibri" w:hAnsi="Tahoma" w:cs="Tahoma"/>
          <w:sz w:val="22"/>
          <w:szCs w:val="22"/>
          <w:lang w:val="en-US"/>
        </w:rPr>
        <w:t>Eurogroup</w:t>
      </w:r>
      <w:r w:rsidRPr="003C1B9F">
        <w:rPr>
          <w:rStyle w:val="FootnoteReference"/>
          <w:rFonts w:eastAsia="Calibri" w:cs="Tahoma"/>
          <w:sz w:val="22"/>
          <w:szCs w:val="22"/>
          <w:lang w:val="en-US"/>
        </w:rPr>
        <w:footnoteReference w:id="17"/>
      </w:r>
      <w:r w:rsidRPr="003C1B9F">
        <w:rPr>
          <w:rFonts w:ascii="Tahoma" w:eastAsia="Calibri" w:hAnsi="Tahoma" w:cs="Tahoma"/>
          <w:sz w:val="22"/>
          <w:szCs w:val="22"/>
        </w:rPr>
        <w:t xml:space="preserve"> σχετικά με το δεύτερο πακέτο διάσωσης προς την Ελλάδα, οι οποίες συνοδεύονται από σημαντική μείωση του δημόσιου χρέους, προσδίδουν χρόνο στις αρμόδιες αρχές της χώρας να εφαρμόσουν τις κατάλληλες πολιτικές ώστε να τεθεί η οικονομία σε μια σταθερή και βιώσιμη αναπτυξιακή τροχιά. Θεωρούμε ότι το πρόγραμμα εθελοντικής ανταλλαγής ομολόγων επιτρέπει, υπό προϋποθέσεις, να τεθεί ο λόγος Δημόσιο Χρέος / ΑΕΠ σε μια διατηρήσιμη πτωτική πορεία μεσοπρόθεσμα. Στην ανάλυση που ακολουθεί γίνεται μια προσπάθεια ερμηνείας των ευρωπαϊκών αποφάσεων και των επιπτώσεων της αναδιάρθρωσης του ελληνικού δημόσιου χρέους:</w:t>
      </w:r>
    </w:p>
    <w:p w:rsidR="003C1B9F" w:rsidRPr="00A747F6" w:rsidRDefault="003C1B9F" w:rsidP="003C1B9F">
      <w:pPr>
        <w:pStyle w:val="Caption"/>
        <w:keepNext/>
        <w:spacing w:before="120" w:after="120"/>
        <w:jc w:val="center"/>
        <w:rPr>
          <w:rFonts w:ascii="Tahoma" w:hAnsi="Tahoma" w:cs="Tahoma"/>
          <w:color w:val="000000" w:themeColor="text1"/>
          <w:sz w:val="20"/>
        </w:rPr>
      </w:pPr>
      <w:r w:rsidRPr="00A747F6">
        <w:rPr>
          <w:rFonts w:ascii="Tahoma" w:hAnsi="Tahoma" w:cs="Tahoma"/>
          <w:color w:val="000000" w:themeColor="text1"/>
          <w:sz w:val="20"/>
        </w:rPr>
        <w:t>Διάγραμμα 4.</w:t>
      </w:r>
      <w:r w:rsidR="0073051F" w:rsidRPr="00A747F6">
        <w:rPr>
          <w:rFonts w:ascii="Tahoma" w:hAnsi="Tahoma" w:cs="Tahoma"/>
          <w:color w:val="000000" w:themeColor="text1"/>
          <w:sz w:val="20"/>
        </w:rPr>
        <w:fldChar w:fldCharType="begin"/>
      </w:r>
      <w:r w:rsidRPr="00A747F6">
        <w:rPr>
          <w:rFonts w:ascii="Tahoma" w:hAnsi="Tahoma" w:cs="Tahoma"/>
          <w:color w:val="000000" w:themeColor="text1"/>
          <w:sz w:val="20"/>
        </w:rPr>
        <w:instrText xml:space="preserve"> SEQ Διάγραμμα \* ARABIC </w:instrText>
      </w:r>
      <w:r w:rsidR="0073051F" w:rsidRPr="00A747F6">
        <w:rPr>
          <w:rFonts w:ascii="Tahoma" w:hAnsi="Tahoma" w:cs="Tahoma"/>
          <w:color w:val="000000" w:themeColor="text1"/>
          <w:sz w:val="20"/>
        </w:rPr>
        <w:fldChar w:fldCharType="separate"/>
      </w:r>
      <w:r w:rsidR="0047570C">
        <w:rPr>
          <w:rFonts w:ascii="Tahoma" w:hAnsi="Tahoma" w:cs="Tahoma"/>
          <w:noProof/>
          <w:color w:val="000000" w:themeColor="text1"/>
          <w:sz w:val="20"/>
        </w:rPr>
        <w:t>1</w:t>
      </w:r>
      <w:r w:rsidR="0073051F" w:rsidRPr="00A747F6">
        <w:rPr>
          <w:rFonts w:ascii="Tahoma" w:hAnsi="Tahoma" w:cs="Tahoma"/>
          <w:color w:val="000000" w:themeColor="text1"/>
          <w:sz w:val="20"/>
        </w:rPr>
        <w:fldChar w:fldCharType="end"/>
      </w:r>
    </w:p>
    <w:p w:rsidR="003C1B9F" w:rsidRPr="00A747F6" w:rsidRDefault="003C1B9F" w:rsidP="003C1B9F">
      <w:pPr>
        <w:pStyle w:val="Caption"/>
        <w:keepNext/>
        <w:spacing w:before="120" w:after="120"/>
        <w:jc w:val="center"/>
        <w:rPr>
          <w:rFonts w:ascii="Tahoma" w:hAnsi="Tahoma" w:cs="Tahoma"/>
          <w:b w:val="0"/>
          <w:color w:val="000000" w:themeColor="text1"/>
          <w:sz w:val="20"/>
          <w:lang w:val="en-US"/>
        </w:rPr>
      </w:pPr>
      <w:r w:rsidRPr="00A747F6">
        <w:rPr>
          <w:rFonts w:ascii="Tahoma" w:hAnsi="Tahoma" w:cs="Tahoma"/>
          <w:b w:val="0"/>
          <w:color w:val="000000" w:themeColor="text1"/>
          <w:sz w:val="20"/>
          <w:lang w:val="en-US"/>
        </w:rPr>
        <w:t>To</w:t>
      </w:r>
      <w:r w:rsidRPr="00A747F6">
        <w:rPr>
          <w:rFonts w:ascii="Tahoma" w:hAnsi="Tahoma" w:cs="Tahoma"/>
          <w:b w:val="0"/>
          <w:color w:val="000000" w:themeColor="text1"/>
          <w:sz w:val="20"/>
        </w:rPr>
        <w:t xml:space="preserve"> Δημόσιο Χρέος</w:t>
      </w:r>
    </w:p>
    <w:p w:rsidR="003C1B9F" w:rsidRDefault="003C1B9F" w:rsidP="003C1B9F">
      <w:pPr>
        <w:pStyle w:val="ListParagraph"/>
        <w:spacing w:before="240" w:after="240"/>
        <w:ind w:left="284"/>
        <w:jc w:val="center"/>
        <w:rPr>
          <w:rFonts w:ascii="Tahoma" w:eastAsia="Calibri" w:hAnsi="Tahoma" w:cs="Tahoma"/>
        </w:rPr>
      </w:pPr>
      <w:r w:rsidRPr="0017423E">
        <w:rPr>
          <w:rFonts w:ascii="Tahoma" w:eastAsia="Calibri" w:hAnsi="Tahoma" w:cs="Tahoma"/>
          <w:noProof/>
          <w:lang w:val="en-US" w:eastAsia="en-US"/>
        </w:rPr>
        <w:drawing>
          <wp:inline distT="0" distB="0" distL="0" distR="0">
            <wp:extent cx="5486400" cy="2661920"/>
            <wp:effectExtent l="19050" t="0" r="0" b="0"/>
            <wp:docPr id="20" name="Γράφημα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3C1B9F" w:rsidRDefault="003C1B9F" w:rsidP="003C1B9F">
      <w:pPr>
        <w:pStyle w:val="ListParagraph"/>
        <w:spacing w:before="240" w:after="240" w:line="312" w:lineRule="auto"/>
        <w:ind w:left="284"/>
        <w:jc w:val="both"/>
        <w:rPr>
          <w:rFonts w:ascii="Tahoma" w:eastAsia="Calibri" w:hAnsi="Tahoma" w:cs="Tahoma"/>
        </w:rPr>
      </w:pPr>
    </w:p>
    <w:p w:rsidR="003C1B9F" w:rsidRPr="00C00EB6" w:rsidRDefault="003C1B9F" w:rsidP="003C1B9F">
      <w:pPr>
        <w:spacing w:before="120" w:after="240" w:line="312" w:lineRule="auto"/>
        <w:jc w:val="both"/>
        <w:rPr>
          <w:rFonts w:ascii="Tahoma" w:eastAsia="Calibri" w:hAnsi="Tahoma" w:cs="Tahoma"/>
          <w:sz w:val="18"/>
          <w:lang w:val="en-US"/>
        </w:rPr>
      </w:pPr>
      <w:r w:rsidRPr="009E1CE2">
        <w:rPr>
          <w:rFonts w:ascii="Tahoma" w:eastAsia="Calibri" w:hAnsi="Tahoma" w:cs="Tahoma"/>
          <w:b/>
          <w:sz w:val="18"/>
        </w:rPr>
        <w:t>Πηγή</w:t>
      </w:r>
      <w:r w:rsidRPr="00C00EB6">
        <w:rPr>
          <w:rFonts w:ascii="Tahoma" w:eastAsia="Calibri" w:hAnsi="Tahoma" w:cs="Tahoma"/>
          <w:sz w:val="18"/>
          <w:lang w:val="en-US"/>
        </w:rPr>
        <w:t xml:space="preserve">: </w:t>
      </w:r>
      <w:r>
        <w:rPr>
          <w:rFonts w:ascii="Tahoma" w:eastAsia="Calibri" w:hAnsi="Tahoma" w:cs="Tahoma"/>
          <w:sz w:val="18"/>
          <w:lang w:val="en-GB"/>
        </w:rPr>
        <w:t xml:space="preserve">EC, </w:t>
      </w:r>
      <w:r w:rsidRPr="00C00EB6">
        <w:rPr>
          <w:rFonts w:ascii="Tahoma" w:eastAsia="Calibri" w:hAnsi="Tahoma" w:cs="Tahoma"/>
          <w:i/>
          <w:sz w:val="18"/>
          <w:lang w:val="en-GB"/>
        </w:rPr>
        <w:t>The second economic adjustment programme for Greece</w:t>
      </w:r>
      <w:r>
        <w:rPr>
          <w:rFonts w:ascii="Tahoma" w:eastAsia="Calibri" w:hAnsi="Tahoma" w:cs="Tahoma"/>
          <w:sz w:val="18"/>
          <w:lang w:val="en-GB"/>
        </w:rPr>
        <w:t xml:space="preserve"> (March 2012) </w:t>
      </w:r>
      <w:r w:rsidRPr="009E1CE2">
        <w:rPr>
          <w:rFonts w:ascii="Tahoma" w:eastAsia="Calibri" w:hAnsi="Tahoma" w:cs="Tahoma"/>
          <w:b/>
          <w:sz w:val="18"/>
        </w:rPr>
        <w:t>Επεξεργασία</w:t>
      </w:r>
      <w:r w:rsidRPr="00C00EB6">
        <w:rPr>
          <w:rFonts w:ascii="Tahoma" w:eastAsia="Calibri" w:hAnsi="Tahoma" w:cs="Tahoma"/>
          <w:b/>
          <w:sz w:val="18"/>
          <w:lang w:val="en-US"/>
        </w:rPr>
        <w:t xml:space="preserve"> </w:t>
      </w:r>
      <w:r w:rsidRPr="009E1CE2">
        <w:rPr>
          <w:rFonts w:ascii="Tahoma" w:eastAsia="Calibri" w:hAnsi="Tahoma" w:cs="Tahoma"/>
          <w:b/>
          <w:sz w:val="18"/>
        </w:rPr>
        <w:t>Στοιχείων</w:t>
      </w:r>
      <w:r w:rsidRPr="00C00EB6">
        <w:rPr>
          <w:rFonts w:ascii="Tahoma" w:eastAsia="Calibri" w:hAnsi="Tahoma" w:cs="Tahoma"/>
          <w:sz w:val="18"/>
          <w:lang w:val="en-US"/>
        </w:rPr>
        <w:t xml:space="preserve">: </w:t>
      </w:r>
      <w:r w:rsidRPr="009E1CE2">
        <w:rPr>
          <w:rFonts w:ascii="Tahoma" w:eastAsia="Calibri" w:hAnsi="Tahoma" w:cs="Tahoma"/>
          <w:sz w:val="18"/>
        </w:rPr>
        <w:t>ΙΟΒΕ</w:t>
      </w:r>
      <w:r w:rsidRPr="00C00EB6">
        <w:rPr>
          <w:rFonts w:ascii="Tahoma" w:eastAsia="Calibri" w:hAnsi="Tahoma" w:cs="Tahoma"/>
          <w:sz w:val="18"/>
          <w:lang w:val="en-US"/>
        </w:rPr>
        <w:t xml:space="preserve"> </w:t>
      </w:r>
    </w:p>
    <w:p w:rsidR="003C1B9F" w:rsidRPr="002421F1" w:rsidRDefault="003C1B9F" w:rsidP="00393238">
      <w:pPr>
        <w:pStyle w:val="ListParagraph"/>
        <w:numPr>
          <w:ilvl w:val="0"/>
          <w:numId w:val="11"/>
        </w:numPr>
        <w:spacing w:before="240" w:after="240" w:line="312" w:lineRule="auto"/>
        <w:ind w:left="284" w:hanging="284"/>
        <w:jc w:val="both"/>
        <w:rPr>
          <w:rFonts w:ascii="Tahoma" w:eastAsia="Calibri" w:hAnsi="Tahoma" w:cs="Tahoma"/>
        </w:rPr>
      </w:pPr>
      <w:r w:rsidRPr="002421F1">
        <w:rPr>
          <w:rFonts w:ascii="Tahoma" w:eastAsia="Calibri" w:hAnsi="Tahoma" w:cs="Tahoma"/>
          <w:sz w:val="22"/>
          <w:szCs w:val="22"/>
        </w:rPr>
        <w:t>Η συμφωνία ανταλλαγής των ομολόγων με την εθελοντική συμμετοχή του ιδιωτικού τομέα (</w:t>
      </w:r>
      <w:r w:rsidRPr="002421F1">
        <w:rPr>
          <w:rFonts w:ascii="Tahoma" w:eastAsia="Calibri" w:hAnsi="Tahoma" w:cs="Tahoma"/>
          <w:sz w:val="22"/>
          <w:szCs w:val="22"/>
          <w:lang w:val="en-GB"/>
        </w:rPr>
        <w:t>Pr</w:t>
      </w:r>
      <w:r w:rsidRPr="002421F1">
        <w:rPr>
          <w:rFonts w:ascii="Tahoma" w:eastAsia="Calibri" w:hAnsi="Tahoma" w:cs="Tahoma"/>
          <w:sz w:val="22"/>
          <w:szCs w:val="22"/>
          <w:lang w:val="en-GB"/>
        </w:rPr>
        <w:t>i</w:t>
      </w:r>
      <w:r w:rsidRPr="002421F1">
        <w:rPr>
          <w:rFonts w:ascii="Tahoma" w:eastAsia="Calibri" w:hAnsi="Tahoma" w:cs="Tahoma"/>
          <w:sz w:val="22"/>
          <w:szCs w:val="22"/>
          <w:lang w:val="en-GB"/>
        </w:rPr>
        <w:t>vate</w:t>
      </w:r>
      <w:r w:rsidRPr="002421F1">
        <w:rPr>
          <w:rFonts w:ascii="Tahoma" w:eastAsia="Calibri" w:hAnsi="Tahoma" w:cs="Tahoma"/>
          <w:sz w:val="22"/>
          <w:szCs w:val="22"/>
        </w:rPr>
        <w:t xml:space="preserve"> </w:t>
      </w:r>
      <w:r w:rsidRPr="002421F1">
        <w:rPr>
          <w:rFonts w:ascii="Tahoma" w:eastAsia="Calibri" w:hAnsi="Tahoma" w:cs="Tahoma"/>
          <w:sz w:val="22"/>
          <w:szCs w:val="22"/>
          <w:lang w:val="en-GB"/>
        </w:rPr>
        <w:t>Sector</w:t>
      </w:r>
      <w:r w:rsidRPr="002421F1">
        <w:rPr>
          <w:rFonts w:ascii="Tahoma" w:eastAsia="Calibri" w:hAnsi="Tahoma" w:cs="Tahoma"/>
          <w:sz w:val="22"/>
          <w:szCs w:val="22"/>
        </w:rPr>
        <w:t xml:space="preserve"> </w:t>
      </w:r>
      <w:r w:rsidRPr="002421F1">
        <w:rPr>
          <w:rFonts w:ascii="Tahoma" w:eastAsia="Calibri" w:hAnsi="Tahoma" w:cs="Tahoma"/>
          <w:sz w:val="22"/>
          <w:szCs w:val="22"/>
          <w:lang w:val="en-GB"/>
        </w:rPr>
        <w:t>Involvement</w:t>
      </w:r>
      <w:r w:rsidRPr="002421F1">
        <w:rPr>
          <w:rFonts w:ascii="Tahoma" w:eastAsia="Calibri" w:hAnsi="Tahoma" w:cs="Tahoma"/>
          <w:sz w:val="22"/>
          <w:szCs w:val="22"/>
        </w:rPr>
        <w:t xml:space="preserve">, </w:t>
      </w:r>
      <w:r w:rsidRPr="002421F1">
        <w:rPr>
          <w:rFonts w:ascii="Tahoma" w:eastAsia="Calibri" w:hAnsi="Tahoma" w:cs="Tahoma"/>
          <w:sz w:val="22"/>
          <w:szCs w:val="22"/>
          <w:lang w:val="en-GB"/>
        </w:rPr>
        <w:t>PSI</w:t>
      </w:r>
      <w:r w:rsidRPr="002421F1">
        <w:rPr>
          <w:rFonts w:ascii="Tahoma" w:eastAsia="Calibri" w:hAnsi="Tahoma" w:cs="Tahoma"/>
          <w:sz w:val="22"/>
          <w:szCs w:val="22"/>
        </w:rPr>
        <w:t xml:space="preserve">) μειώνει το επίπεδο του χρέους κατά €107δισ. (ή περίπου 50% του ΑΕΠ, λόγω της απομείωσης κατά 53,5% της ονομαστικής αξίας των ομολόγων του Ελληνικού Δημοσίου που διακρατεί ο ιδιωτικός τομέας ύψους περίπου € 205δισ.). Το υπόλοιπο 46,5% της αξίας των ομολόγων (ή € 98δισ.) που θα παραμείνει στην κατοχή του ιδιωτικού τομέα, θα αποτελείται πλέον από: α) νέα ομόλογα του Ελληνικού Δημοσίου με κλιμακωτό επιτόκιο ανάλογα με τη περίοδο λήξης τους (68% του χρέους που υπόκειται σε ανταλλαγή ή περίπου €66δισ.), και </w:t>
      </w:r>
      <w:r w:rsidRPr="002421F1">
        <w:rPr>
          <w:rFonts w:ascii="Tahoma" w:eastAsia="Calibri" w:hAnsi="Tahoma" w:cs="Tahoma"/>
          <w:sz w:val="22"/>
          <w:szCs w:val="22"/>
        </w:rPr>
        <w:lastRenderedPageBreak/>
        <w:t xml:space="preserve">β) βραχυπρόθεσμούς (2ετείς) τίτλους του </w:t>
      </w:r>
      <w:r w:rsidRPr="002421F1">
        <w:rPr>
          <w:rFonts w:ascii="Tahoma" w:eastAsia="Calibri" w:hAnsi="Tahoma" w:cs="Tahoma"/>
          <w:sz w:val="22"/>
          <w:szCs w:val="22"/>
          <w:lang w:val="en-GB"/>
        </w:rPr>
        <w:t>EFSF</w:t>
      </w:r>
      <w:r w:rsidRPr="002421F1">
        <w:rPr>
          <w:rFonts w:ascii="Tahoma" w:eastAsia="Calibri" w:hAnsi="Tahoma" w:cs="Tahoma"/>
          <w:sz w:val="22"/>
          <w:szCs w:val="22"/>
        </w:rPr>
        <w:t xml:space="preserve"> με επιτόκιο περίπου 3,5% (32% του χρέους που υπόκειται σε ανταλλαγή, ή περίπου €32δισ., βλ. Διάγραμμα 4.1)</w:t>
      </w:r>
    </w:p>
    <w:p w:rsidR="003C1B9F" w:rsidRPr="00A747F6" w:rsidRDefault="003C1B9F" w:rsidP="003C1B9F">
      <w:pPr>
        <w:pStyle w:val="Caption"/>
        <w:keepNext/>
        <w:spacing w:before="120" w:after="120"/>
        <w:jc w:val="center"/>
        <w:rPr>
          <w:rFonts w:ascii="Tahoma" w:hAnsi="Tahoma" w:cs="Tahoma"/>
          <w:color w:val="000000" w:themeColor="text1"/>
          <w:sz w:val="20"/>
        </w:rPr>
      </w:pPr>
      <w:r w:rsidRPr="00A747F6">
        <w:rPr>
          <w:rFonts w:ascii="Tahoma" w:hAnsi="Tahoma" w:cs="Tahoma"/>
          <w:color w:val="000000" w:themeColor="text1"/>
          <w:sz w:val="20"/>
        </w:rPr>
        <w:t>Διάγραμμα 4.</w:t>
      </w:r>
      <w:r w:rsidR="0073051F" w:rsidRPr="00A747F6">
        <w:rPr>
          <w:rFonts w:ascii="Tahoma" w:hAnsi="Tahoma" w:cs="Tahoma"/>
          <w:color w:val="000000" w:themeColor="text1"/>
          <w:sz w:val="20"/>
        </w:rPr>
        <w:fldChar w:fldCharType="begin"/>
      </w:r>
      <w:r w:rsidRPr="00A747F6">
        <w:rPr>
          <w:rFonts w:ascii="Tahoma" w:hAnsi="Tahoma" w:cs="Tahoma"/>
          <w:color w:val="000000" w:themeColor="text1"/>
          <w:sz w:val="20"/>
        </w:rPr>
        <w:instrText xml:space="preserve"> SEQ Διάγραμμα \* ARABIC </w:instrText>
      </w:r>
      <w:r w:rsidR="0073051F" w:rsidRPr="00A747F6">
        <w:rPr>
          <w:rFonts w:ascii="Tahoma" w:hAnsi="Tahoma" w:cs="Tahoma"/>
          <w:color w:val="000000" w:themeColor="text1"/>
          <w:sz w:val="20"/>
        </w:rPr>
        <w:fldChar w:fldCharType="separate"/>
      </w:r>
      <w:r w:rsidR="0047570C">
        <w:rPr>
          <w:rFonts w:ascii="Tahoma" w:hAnsi="Tahoma" w:cs="Tahoma"/>
          <w:noProof/>
          <w:color w:val="000000" w:themeColor="text1"/>
          <w:sz w:val="20"/>
        </w:rPr>
        <w:t>2</w:t>
      </w:r>
      <w:r w:rsidR="0073051F" w:rsidRPr="00A747F6">
        <w:rPr>
          <w:rFonts w:ascii="Tahoma" w:hAnsi="Tahoma" w:cs="Tahoma"/>
          <w:color w:val="000000" w:themeColor="text1"/>
          <w:sz w:val="20"/>
        </w:rPr>
        <w:fldChar w:fldCharType="end"/>
      </w:r>
    </w:p>
    <w:p w:rsidR="003C1B9F" w:rsidRPr="00A747F6" w:rsidRDefault="003C1B9F" w:rsidP="003C1B9F">
      <w:pPr>
        <w:pStyle w:val="Caption"/>
        <w:keepNext/>
        <w:spacing w:before="120" w:after="120"/>
        <w:jc w:val="center"/>
        <w:rPr>
          <w:rFonts w:ascii="Tahoma" w:hAnsi="Tahoma" w:cs="Tahoma"/>
          <w:b w:val="0"/>
          <w:color w:val="000000" w:themeColor="text1"/>
          <w:sz w:val="20"/>
        </w:rPr>
      </w:pPr>
      <w:r w:rsidRPr="00A747F6">
        <w:rPr>
          <w:rFonts w:ascii="Tahoma" w:hAnsi="Tahoma" w:cs="Tahoma"/>
          <w:b w:val="0"/>
          <w:color w:val="000000" w:themeColor="text1"/>
          <w:sz w:val="20"/>
        </w:rPr>
        <w:t>Διάρθρωση Δημοσίου Χρέους</w:t>
      </w:r>
    </w:p>
    <w:p w:rsidR="003C1B9F" w:rsidRPr="00746081" w:rsidRDefault="003C1B9F" w:rsidP="003C1B9F">
      <w:pPr>
        <w:pStyle w:val="ListParagraph"/>
        <w:spacing w:line="360" w:lineRule="auto"/>
        <w:rPr>
          <w:rFonts w:eastAsia="Calibri" w:cs="Arial"/>
        </w:rPr>
      </w:pPr>
      <w:r w:rsidRPr="003632B0">
        <w:rPr>
          <w:rFonts w:eastAsia="Calibri" w:cs="Arial"/>
          <w:noProof/>
          <w:lang w:val="en-US" w:eastAsia="en-US"/>
        </w:rPr>
        <w:drawing>
          <wp:inline distT="0" distB="0" distL="0" distR="0">
            <wp:extent cx="5446060" cy="2657475"/>
            <wp:effectExtent l="0" t="0" r="0" b="0"/>
            <wp:docPr id="21" name="Γράφημα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3C1B9F" w:rsidRPr="009E1CE2" w:rsidRDefault="003C1B9F" w:rsidP="003C1B9F">
      <w:pPr>
        <w:spacing w:before="120" w:after="240" w:line="312" w:lineRule="auto"/>
        <w:jc w:val="both"/>
        <w:rPr>
          <w:rFonts w:ascii="Tahoma" w:eastAsia="Calibri" w:hAnsi="Tahoma" w:cs="Tahoma"/>
          <w:sz w:val="18"/>
        </w:rPr>
      </w:pPr>
      <w:r w:rsidRPr="009E1CE2">
        <w:rPr>
          <w:rFonts w:ascii="Tahoma" w:eastAsia="Calibri" w:hAnsi="Tahoma" w:cs="Tahoma"/>
          <w:b/>
          <w:sz w:val="18"/>
        </w:rPr>
        <w:t>Πηγή</w:t>
      </w:r>
      <w:r w:rsidRPr="009E1CE2">
        <w:rPr>
          <w:rFonts w:ascii="Tahoma" w:eastAsia="Calibri" w:hAnsi="Tahoma" w:cs="Tahoma"/>
          <w:sz w:val="18"/>
        </w:rPr>
        <w:t>:</w:t>
      </w:r>
      <w:r>
        <w:rPr>
          <w:rFonts w:ascii="Tahoma" w:eastAsia="Calibri" w:hAnsi="Tahoma" w:cs="Tahoma"/>
          <w:sz w:val="18"/>
        </w:rPr>
        <w:t xml:space="preserve"> </w:t>
      </w:r>
      <w:r w:rsidRPr="009E1CE2">
        <w:rPr>
          <w:rFonts w:ascii="Tahoma" w:eastAsia="Calibri" w:hAnsi="Tahoma" w:cs="Tahoma"/>
          <w:sz w:val="18"/>
        </w:rPr>
        <w:t xml:space="preserve">ΟΔΔΗΧ </w:t>
      </w:r>
      <w:r w:rsidRPr="009E1CE2">
        <w:rPr>
          <w:rFonts w:ascii="Tahoma" w:eastAsia="Calibri" w:hAnsi="Tahoma" w:cs="Tahoma"/>
          <w:b/>
          <w:sz w:val="18"/>
        </w:rPr>
        <w:t>Επεξεργασία Στοιχείων</w:t>
      </w:r>
      <w:r w:rsidRPr="009E1CE2">
        <w:rPr>
          <w:rFonts w:ascii="Tahoma" w:eastAsia="Calibri" w:hAnsi="Tahoma" w:cs="Tahoma"/>
          <w:sz w:val="18"/>
        </w:rPr>
        <w:t>:</w:t>
      </w:r>
      <w:r>
        <w:rPr>
          <w:rFonts w:ascii="Tahoma" w:eastAsia="Calibri" w:hAnsi="Tahoma" w:cs="Tahoma"/>
          <w:sz w:val="18"/>
        </w:rPr>
        <w:t xml:space="preserve"> </w:t>
      </w:r>
      <w:r w:rsidRPr="009E1CE2">
        <w:rPr>
          <w:rFonts w:ascii="Tahoma" w:eastAsia="Calibri" w:hAnsi="Tahoma" w:cs="Tahoma"/>
          <w:sz w:val="18"/>
        </w:rPr>
        <w:t xml:space="preserve">ΙΟΒΕ </w:t>
      </w:r>
    </w:p>
    <w:p w:rsidR="003C1B9F" w:rsidRPr="003C1B9F" w:rsidRDefault="003C1B9F" w:rsidP="0050168E">
      <w:pPr>
        <w:pStyle w:val="ListParagraph"/>
        <w:numPr>
          <w:ilvl w:val="0"/>
          <w:numId w:val="11"/>
        </w:numPr>
        <w:spacing w:before="240" w:after="240" w:line="312" w:lineRule="auto"/>
        <w:ind w:left="284" w:hanging="284"/>
        <w:jc w:val="both"/>
        <w:rPr>
          <w:rFonts w:ascii="Tahoma" w:eastAsia="Calibri" w:hAnsi="Tahoma" w:cs="Tahoma"/>
          <w:sz w:val="22"/>
          <w:szCs w:val="22"/>
        </w:rPr>
      </w:pPr>
      <w:r w:rsidRPr="003C1B9F">
        <w:rPr>
          <w:rFonts w:ascii="Tahoma" w:eastAsia="Calibri" w:hAnsi="Tahoma" w:cs="Tahoma"/>
          <w:sz w:val="22"/>
          <w:szCs w:val="22"/>
        </w:rPr>
        <w:t xml:space="preserve">Η διάρθρωση του δημόσιου χρέους, όπως φαίνεται και στο διάγραμμα 4.2, θα αλλάξει μέχρι το 2015, με το 70% να ανήκει πλέον σε διεθνείς οργανισμούς (έναντι 50% τον Φεβρουάριο 2012) και το 30% να διακρατείται από ιδιώτες επενδυτές (έναντι 50% τον Φεβρουάριο 2012). Αυτού του είδους η δομική αλλαγή δίνει ενδεχομένως την ευκαιρία για καλύτερη διαχείριση του χρέους στο μέλλον, αποτελώντας ουσιαστικά το πρώτο αποφασιστικό βήμα προς μια πολιτική κοινής διαχείρισης κρατικών χρεών στην </w:t>
      </w:r>
      <w:r w:rsidR="00A95F16">
        <w:rPr>
          <w:rFonts w:ascii="Tahoma" w:eastAsia="Calibri" w:hAnsi="Tahoma" w:cs="Tahoma"/>
          <w:sz w:val="22"/>
          <w:szCs w:val="22"/>
        </w:rPr>
        <w:t>Ε</w:t>
      </w:r>
      <w:r w:rsidRPr="003C1B9F">
        <w:rPr>
          <w:rFonts w:ascii="Tahoma" w:eastAsia="Calibri" w:hAnsi="Tahoma" w:cs="Tahoma"/>
          <w:sz w:val="22"/>
          <w:szCs w:val="22"/>
        </w:rPr>
        <w:t>υρωζώνη (π.χ. έκδοση ευρωομολόγου, κοινό υπουργείο οικονομικών για τις χώρες-μέλη της ευρωζώνης). Από την άλλη πλευρά όμως, το γεγονός ότι σχεδόν τα 2/3 του ελλ</w:t>
      </w:r>
      <w:r w:rsidR="00A95F16">
        <w:rPr>
          <w:rFonts w:ascii="Tahoma" w:eastAsia="Calibri" w:hAnsi="Tahoma" w:cs="Tahoma"/>
          <w:sz w:val="22"/>
          <w:szCs w:val="22"/>
        </w:rPr>
        <w:t>ηνικού δημόσιου χρέους θα ανήκουν</w:t>
      </w:r>
      <w:r w:rsidRPr="003C1B9F">
        <w:rPr>
          <w:rFonts w:ascii="Tahoma" w:eastAsia="Calibri" w:hAnsi="Tahoma" w:cs="Tahoma"/>
          <w:sz w:val="22"/>
          <w:szCs w:val="22"/>
        </w:rPr>
        <w:t xml:space="preserve"> πλέον στον επίσημο τομέα το 2015 μπορεί να αποθαρρύνει τους ιδιώτες επενδυτές να τοποθετηθούν σε ελληνικά ομόλογα, καθώς μπορεί να θεωρήσουν ότι οι τίτλοι που θα εκδίδονται πλέον </w:t>
      </w:r>
      <w:r w:rsidR="00A95F16">
        <w:rPr>
          <w:rFonts w:ascii="Tahoma" w:eastAsia="Calibri" w:hAnsi="Tahoma" w:cs="Tahoma"/>
          <w:sz w:val="22"/>
          <w:szCs w:val="22"/>
        </w:rPr>
        <w:t xml:space="preserve">από </w:t>
      </w:r>
      <w:r w:rsidRPr="003C1B9F">
        <w:rPr>
          <w:rFonts w:ascii="Tahoma" w:eastAsia="Calibri" w:hAnsi="Tahoma" w:cs="Tahoma"/>
          <w:sz w:val="22"/>
          <w:szCs w:val="22"/>
        </w:rPr>
        <w:t xml:space="preserve">το Ελληνικό κράτος όταν αποκατασταθεί η έξοδος της χώρας στις αγορές χρήματος θα είναι μειωμένης εξασφάλισης.        </w:t>
      </w:r>
    </w:p>
    <w:p w:rsidR="003C1B9F" w:rsidRDefault="003C1B9F" w:rsidP="003C1B9F">
      <w:pPr>
        <w:pStyle w:val="ListParagraph"/>
        <w:spacing w:line="360" w:lineRule="auto"/>
        <w:jc w:val="both"/>
        <w:rPr>
          <w:rFonts w:eastAsia="Calibri" w:cs="Arial"/>
        </w:rPr>
      </w:pPr>
    </w:p>
    <w:p w:rsidR="003C1B9F" w:rsidRPr="00A747F6" w:rsidRDefault="003C1B9F" w:rsidP="003C1B9F">
      <w:pPr>
        <w:pStyle w:val="Caption"/>
        <w:keepNext/>
        <w:spacing w:before="120" w:after="120"/>
        <w:jc w:val="center"/>
        <w:rPr>
          <w:rFonts w:ascii="Tahoma" w:hAnsi="Tahoma" w:cs="Tahoma"/>
          <w:color w:val="000000" w:themeColor="text1"/>
          <w:sz w:val="20"/>
        </w:rPr>
      </w:pPr>
      <w:r w:rsidRPr="00A747F6">
        <w:rPr>
          <w:rFonts w:ascii="Tahoma" w:hAnsi="Tahoma" w:cs="Tahoma"/>
          <w:color w:val="000000" w:themeColor="text1"/>
          <w:sz w:val="20"/>
        </w:rPr>
        <w:lastRenderedPageBreak/>
        <w:t>Διάγραμμα 4.</w:t>
      </w:r>
      <w:r w:rsidR="0073051F" w:rsidRPr="00A747F6">
        <w:rPr>
          <w:rFonts w:ascii="Tahoma" w:hAnsi="Tahoma" w:cs="Tahoma"/>
          <w:color w:val="000000" w:themeColor="text1"/>
          <w:sz w:val="20"/>
        </w:rPr>
        <w:fldChar w:fldCharType="begin"/>
      </w:r>
      <w:r w:rsidRPr="00A747F6">
        <w:rPr>
          <w:rFonts w:ascii="Tahoma" w:hAnsi="Tahoma" w:cs="Tahoma"/>
          <w:color w:val="000000" w:themeColor="text1"/>
          <w:sz w:val="20"/>
        </w:rPr>
        <w:instrText xml:space="preserve"> SEQ Διάγραμμα \* ARABIC </w:instrText>
      </w:r>
      <w:r w:rsidR="0073051F" w:rsidRPr="00A747F6">
        <w:rPr>
          <w:rFonts w:ascii="Tahoma" w:hAnsi="Tahoma" w:cs="Tahoma"/>
          <w:color w:val="000000" w:themeColor="text1"/>
          <w:sz w:val="20"/>
        </w:rPr>
        <w:fldChar w:fldCharType="separate"/>
      </w:r>
      <w:r w:rsidR="0047570C">
        <w:rPr>
          <w:rFonts w:ascii="Tahoma" w:hAnsi="Tahoma" w:cs="Tahoma"/>
          <w:noProof/>
          <w:color w:val="000000" w:themeColor="text1"/>
          <w:sz w:val="20"/>
        </w:rPr>
        <w:t>3</w:t>
      </w:r>
      <w:r w:rsidR="0073051F" w:rsidRPr="00A747F6">
        <w:rPr>
          <w:rFonts w:ascii="Tahoma" w:hAnsi="Tahoma" w:cs="Tahoma"/>
          <w:color w:val="000000" w:themeColor="text1"/>
          <w:sz w:val="20"/>
        </w:rPr>
        <w:fldChar w:fldCharType="end"/>
      </w:r>
    </w:p>
    <w:p w:rsidR="003C1B9F" w:rsidRPr="00A747F6" w:rsidRDefault="003C1B9F" w:rsidP="003C1B9F">
      <w:pPr>
        <w:pStyle w:val="Caption"/>
        <w:keepNext/>
        <w:spacing w:before="120" w:after="120"/>
        <w:jc w:val="center"/>
        <w:rPr>
          <w:rFonts w:ascii="Tahoma" w:hAnsi="Tahoma" w:cs="Tahoma"/>
          <w:b w:val="0"/>
          <w:color w:val="000000" w:themeColor="text1"/>
          <w:sz w:val="20"/>
        </w:rPr>
      </w:pPr>
      <w:r w:rsidRPr="00A747F6">
        <w:rPr>
          <w:rFonts w:ascii="Tahoma" w:hAnsi="Tahoma" w:cs="Tahoma"/>
          <w:b w:val="0"/>
          <w:color w:val="000000" w:themeColor="text1"/>
          <w:sz w:val="20"/>
        </w:rPr>
        <w:t>Μεσοσταθμικό Επιτόκιο</w:t>
      </w:r>
    </w:p>
    <w:p w:rsidR="003C1B9F" w:rsidRDefault="003C1B9F" w:rsidP="003C1B9F">
      <w:pPr>
        <w:pStyle w:val="ListParagraph"/>
        <w:spacing w:line="360" w:lineRule="auto"/>
        <w:ind w:left="284"/>
        <w:jc w:val="both"/>
        <w:rPr>
          <w:rFonts w:eastAsia="Calibri" w:cs="Arial"/>
        </w:rPr>
      </w:pPr>
      <w:r w:rsidRPr="00975E59">
        <w:rPr>
          <w:noProof/>
          <w:lang w:val="en-US" w:eastAsia="en-US"/>
        </w:rPr>
        <w:drawing>
          <wp:inline distT="0" distB="0" distL="0" distR="0">
            <wp:extent cx="6210300" cy="2788065"/>
            <wp:effectExtent l="19050" t="0" r="0" b="0"/>
            <wp:docPr id="26"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cstate="print"/>
                    <a:srcRect/>
                    <a:stretch>
                      <a:fillRect/>
                    </a:stretch>
                  </pic:blipFill>
                  <pic:spPr bwMode="auto">
                    <a:xfrm>
                      <a:off x="0" y="0"/>
                      <a:ext cx="6210300" cy="2788065"/>
                    </a:xfrm>
                    <a:prstGeom prst="rect">
                      <a:avLst/>
                    </a:prstGeom>
                    <a:noFill/>
                    <a:ln w="9525">
                      <a:noFill/>
                      <a:miter lim="800000"/>
                      <a:headEnd/>
                      <a:tailEnd/>
                    </a:ln>
                  </pic:spPr>
                </pic:pic>
              </a:graphicData>
            </a:graphic>
          </wp:inline>
        </w:drawing>
      </w:r>
    </w:p>
    <w:p w:rsidR="003C1B9F" w:rsidRPr="00975E59" w:rsidRDefault="003C1B9F" w:rsidP="003C1B9F">
      <w:pPr>
        <w:rPr>
          <w:rFonts w:ascii="Tahoma" w:hAnsi="Tahoma" w:cs="Tahoma"/>
          <w:b/>
          <w:sz w:val="16"/>
          <w:szCs w:val="18"/>
        </w:rPr>
      </w:pPr>
      <w:r w:rsidRPr="00975E59">
        <w:rPr>
          <w:rFonts w:ascii="Tahoma" w:hAnsi="Tahoma" w:cs="Tahoma"/>
          <w:b/>
          <w:sz w:val="16"/>
          <w:szCs w:val="18"/>
        </w:rPr>
        <w:t xml:space="preserve">Πηγή: </w:t>
      </w:r>
      <w:r w:rsidRPr="00975E59">
        <w:rPr>
          <w:rFonts w:ascii="Tahoma" w:hAnsi="Tahoma" w:cs="Tahoma"/>
          <w:sz w:val="16"/>
          <w:szCs w:val="18"/>
        </w:rPr>
        <w:t>ΟΔΔΗΧ, Εκτιμήσεις ΙΟΒΕ</w:t>
      </w:r>
    </w:p>
    <w:p w:rsidR="003C1B9F" w:rsidRPr="003C1B9F" w:rsidRDefault="003C1B9F" w:rsidP="0050168E">
      <w:pPr>
        <w:pStyle w:val="ListParagraph"/>
        <w:numPr>
          <w:ilvl w:val="0"/>
          <w:numId w:val="11"/>
        </w:numPr>
        <w:spacing w:before="240" w:after="240" w:line="312" w:lineRule="auto"/>
        <w:ind w:left="284" w:hanging="284"/>
        <w:jc w:val="both"/>
        <w:rPr>
          <w:rFonts w:ascii="Tahoma" w:eastAsia="Calibri" w:hAnsi="Tahoma" w:cs="Tahoma"/>
          <w:sz w:val="22"/>
          <w:szCs w:val="22"/>
        </w:rPr>
      </w:pPr>
      <w:r w:rsidRPr="003C1B9F">
        <w:rPr>
          <w:rFonts w:ascii="Tahoma" w:eastAsia="Calibri" w:hAnsi="Tahoma" w:cs="Tahoma"/>
          <w:sz w:val="22"/>
          <w:szCs w:val="22"/>
        </w:rPr>
        <w:t>Σύμφωνα με το διάγραμμα 4.3, το μεσοσταθμικό κόστο</w:t>
      </w:r>
      <w:r w:rsidR="00A95F16">
        <w:rPr>
          <w:rFonts w:ascii="Tahoma" w:eastAsia="Calibri" w:hAnsi="Tahoma" w:cs="Tahoma"/>
          <w:sz w:val="22"/>
          <w:szCs w:val="22"/>
        </w:rPr>
        <w:t xml:space="preserve">ς δανεισμού μειώνεται σημαντικά, </w:t>
      </w:r>
      <w:r w:rsidRPr="003C1B9F">
        <w:rPr>
          <w:rFonts w:ascii="Tahoma" w:eastAsia="Calibri" w:hAnsi="Tahoma" w:cs="Tahoma"/>
          <w:sz w:val="22"/>
          <w:szCs w:val="22"/>
        </w:rPr>
        <w:t>στο 3,65% για ορίζοντα 30ετίας (2,63% έως το 2020), πολύ χαμηλότερα από τα τρέχοντα επιτόκια της αγοράς. Επιπλέον, επεκτείνεται η μέση διάρκεια αποπληρώμης του χρέους (από 7,5 χρόνια κατά μέσο όρο σε 15-30 χρόνια κατά μέσο όρο), και παρέχεται 10ετής περίοδος χάριτος για την αποπληρωμή των παλαιών και νέων δανείων προς την Ελλάδα</w:t>
      </w:r>
      <w:r w:rsidR="00F401AE">
        <w:rPr>
          <w:rFonts w:ascii="Tahoma" w:eastAsia="Calibri" w:hAnsi="Tahoma" w:cs="Tahoma"/>
          <w:sz w:val="22"/>
          <w:szCs w:val="22"/>
        </w:rPr>
        <w:t xml:space="preserve"> από το μηχανισμό στήριξης</w:t>
      </w:r>
      <w:r w:rsidRPr="003C1B9F">
        <w:rPr>
          <w:rFonts w:ascii="Tahoma" w:eastAsia="Calibri" w:hAnsi="Tahoma" w:cs="Tahoma"/>
          <w:sz w:val="22"/>
          <w:szCs w:val="22"/>
        </w:rPr>
        <w:t>, συμβάλλοντας έτσι στην ευρύτερη αναδιάρθρωση και ανακατανομή της ωρίμανσης  (</w:t>
      </w:r>
      <w:r w:rsidRPr="003C1B9F">
        <w:rPr>
          <w:rFonts w:ascii="Tahoma" w:eastAsia="Calibri" w:hAnsi="Tahoma" w:cs="Tahoma"/>
          <w:sz w:val="22"/>
          <w:szCs w:val="22"/>
          <w:lang w:val="en-GB"/>
        </w:rPr>
        <w:t>reprofiling</w:t>
      </w:r>
      <w:r w:rsidRPr="003C1B9F">
        <w:rPr>
          <w:rFonts w:ascii="Tahoma" w:eastAsia="Calibri" w:hAnsi="Tahoma" w:cs="Tahoma"/>
          <w:sz w:val="22"/>
          <w:szCs w:val="22"/>
        </w:rPr>
        <w:t xml:space="preserve">) του δημόσιου χρέους. Οι αποφάσεις αυτές που ελήφθησαν στις πρόσφατες Συνόδους Κορυφής της ΕΕ (Φεβρουάριος 2012, Δεκέμβριος 2011, Οκτώβριος 2011) θεωρούνται καθοριστικής σημασίας παράμετροι  για τη βιωσιμότητα του Ελληνικού δημόσιου χρέους, καθώς εκτιμάται ότι θα μειώσουν τις συνολικές δημόσιες δαπάνες για τόκους κατά €71,4δισ. την περίοδο 2012-2020 (ή περίπου 3,8% του ΑΕΠ κατά μέσο όρο ετησίως) και άρα θα συμβάλλουν σημαντικά στη δημοσιονομική προσαρμογή και στην επίτευξη των στόχων του προγράμματος (δηλ. στη μείωση του ελλείμματος της γενικής κυβέρνησης κάτω από το 1% του ΑΕΠ μέχρι το 2015 και τη δημιουργία πρωτογενών πλεονασμάτων από το 2013 και μετά).  </w:t>
      </w:r>
    </w:p>
    <w:p w:rsidR="003C1B9F" w:rsidRDefault="003C1B9F" w:rsidP="003C1B9F">
      <w:pPr>
        <w:spacing w:line="360" w:lineRule="auto"/>
        <w:jc w:val="both"/>
        <w:rPr>
          <w:rFonts w:eastAsia="Calibri" w:cs="Arial"/>
        </w:rPr>
        <w:sectPr w:rsidR="003C1B9F" w:rsidSect="003C2DCF">
          <w:headerReference w:type="default" r:id="rId64"/>
          <w:type w:val="oddPage"/>
          <w:pgSz w:w="11906" w:h="16838"/>
          <w:pgMar w:top="1440" w:right="1133" w:bottom="1440" w:left="993" w:header="708" w:footer="708" w:gutter="0"/>
          <w:cols w:space="708"/>
          <w:docGrid w:linePitch="360"/>
        </w:sectPr>
      </w:pPr>
    </w:p>
    <w:p w:rsidR="003C1B9F" w:rsidRPr="00A747F6" w:rsidRDefault="003C1B9F" w:rsidP="00A747F6">
      <w:pPr>
        <w:pStyle w:val="Caption"/>
        <w:keepNext/>
        <w:spacing w:before="60" w:after="60"/>
        <w:jc w:val="center"/>
        <w:rPr>
          <w:rFonts w:ascii="Tahoma" w:hAnsi="Tahoma" w:cs="Tahoma"/>
          <w:color w:val="000000" w:themeColor="text1"/>
          <w:sz w:val="20"/>
        </w:rPr>
      </w:pPr>
      <w:r w:rsidRPr="00A747F6">
        <w:rPr>
          <w:rFonts w:ascii="Tahoma" w:hAnsi="Tahoma" w:cs="Tahoma"/>
          <w:color w:val="000000" w:themeColor="text1"/>
          <w:sz w:val="20"/>
        </w:rPr>
        <w:lastRenderedPageBreak/>
        <w:t>Διάγραμμα 4.</w:t>
      </w:r>
      <w:r w:rsidR="0073051F" w:rsidRPr="00A747F6">
        <w:rPr>
          <w:rFonts w:ascii="Tahoma" w:hAnsi="Tahoma" w:cs="Tahoma"/>
          <w:color w:val="000000" w:themeColor="text1"/>
          <w:sz w:val="20"/>
        </w:rPr>
        <w:fldChar w:fldCharType="begin"/>
      </w:r>
      <w:r w:rsidRPr="00A747F6">
        <w:rPr>
          <w:rFonts w:ascii="Tahoma" w:hAnsi="Tahoma" w:cs="Tahoma"/>
          <w:color w:val="000000" w:themeColor="text1"/>
          <w:sz w:val="20"/>
        </w:rPr>
        <w:instrText xml:space="preserve"> SEQ Διάγραμμα \* ARABIC </w:instrText>
      </w:r>
      <w:r w:rsidR="0073051F" w:rsidRPr="00A747F6">
        <w:rPr>
          <w:rFonts w:ascii="Tahoma" w:hAnsi="Tahoma" w:cs="Tahoma"/>
          <w:color w:val="000000" w:themeColor="text1"/>
          <w:sz w:val="20"/>
        </w:rPr>
        <w:fldChar w:fldCharType="separate"/>
      </w:r>
      <w:r w:rsidR="0047570C">
        <w:rPr>
          <w:rFonts w:ascii="Tahoma" w:hAnsi="Tahoma" w:cs="Tahoma"/>
          <w:noProof/>
          <w:color w:val="000000" w:themeColor="text1"/>
          <w:sz w:val="20"/>
        </w:rPr>
        <w:t>4</w:t>
      </w:r>
      <w:r w:rsidR="0073051F" w:rsidRPr="00A747F6">
        <w:rPr>
          <w:rFonts w:ascii="Tahoma" w:hAnsi="Tahoma" w:cs="Tahoma"/>
          <w:color w:val="000000" w:themeColor="text1"/>
          <w:sz w:val="20"/>
        </w:rPr>
        <w:fldChar w:fldCharType="end"/>
      </w:r>
    </w:p>
    <w:p w:rsidR="003C1B9F" w:rsidRPr="00A747F6" w:rsidRDefault="003C1B9F" w:rsidP="00A747F6">
      <w:pPr>
        <w:pStyle w:val="Caption"/>
        <w:keepNext/>
        <w:spacing w:before="60" w:after="60"/>
        <w:jc w:val="center"/>
        <w:rPr>
          <w:rFonts w:ascii="Tahoma" w:hAnsi="Tahoma" w:cs="Tahoma"/>
          <w:b w:val="0"/>
          <w:color w:val="000000" w:themeColor="text1"/>
          <w:sz w:val="20"/>
        </w:rPr>
      </w:pPr>
      <w:r w:rsidRPr="00A747F6">
        <w:rPr>
          <w:rFonts w:ascii="Tahoma" w:hAnsi="Tahoma" w:cs="Tahoma"/>
          <w:b w:val="0"/>
          <w:color w:val="000000" w:themeColor="text1"/>
          <w:sz w:val="20"/>
        </w:rPr>
        <w:t>Δαπάνες για Τόκους</w:t>
      </w:r>
    </w:p>
    <w:p w:rsidR="003C1B9F" w:rsidRPr="00800A26" w:rsidRDefault="003C1B9F" w:rsidP="003C1B9F">
      <w:pPr>
        <w:spacing w:line="360" w:lineRule="auto"/>
        <w:jc w:val="both"/>
        <w:rPr>
          <w:i/>
          <w:sz w:val="18"/>
          <w:szCs w:val="18"/>
        </w:rPr>
      </w:pPr>
      <w:r w:rsidRPr="008545A9">
        <w:rPr>
          <w:noProof/>
          <w:szCs w:val="18"/>
          <w:lang w:val="en-US" w:eastAsia="en-US"/>
        </w:rPr>
        <w:drawing>
          <wp:inline distT="0" distB="0" distL="0" distR="0">
            <wp:extent cx="8863330" cy="5402297"/>
            <wp:effectExtent l="19050" t="0" r="0" b="0"/>
            <wp:docPr id="22"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cstate="print"/>
                    <a:srcRect/>
                    <a:stretch>
                      <a:fillRect/>
                    </a:stretch>
                  </pic:blipFill>
                  <pic:spPr bwMode="auto">
                    <a:xfrm>
                      <a:off x="0" y="0"/>
                      <a:ext cx="8863330" cy="5402297"/>
                    </a:xfrm>
                    <a:prstGeom prst="rect">
                      <a:avLst/>
                    </a:prstGeom>
                    <a:noFill/>
                    <a:ln w="9525">
                      <a:noFill/>
                      <a:miter lim="800000"/>
                      <a:headEnd/>
                      <a:tailEnd/>
                    </a:ln>
                  </pic:spPr>
                </pic:pic>
              </a:graphicData>
            </a:graphic>
          </wp:inline>
        </w:drawing>
      </w:r>
      <w:r w:rsidRPr="008545A9">
        <w:rPr>
          <w:rFonts w:ascii="Tahoma" w:hAnsi="Tahoma" w:cs="Tahoma"/>
          <w:b/>
          <w:sz w:val="16"/>
          <w:szCs w:val="18"/>
        </w:rPr>
        <w:t>Πηγή</w:t>
      </w:r>
      <w:r w:rsidRPr="008545A9">
        <w:rPr>
          <w:rFonts w:ascii="Tahoma" w:hAnsi="Tahoma" w:cs="Tahoma"/>
          <w:sz w:val="16"/>
          <w:szCs w:val="18"/>
        </w:rPr>
        <w:t>: ΟΔΔΗΧ, Εκτιμήσεις ΙΟΒΕ</w:t>
      </w:r>
    </w:p>
    <w:p w:rsidR="003C1B9F" w:rsidRPr="00A747F6" w:rsidRDefault="003C1B9F" w:rsidP="003C1B9F">
      <w:pPr>
        <w:pStyle w:val="Caption"/>
        <w:keepNext/>
        <w:spacing w:before="120" w:after="120"/>
        <w:jc w:val="center"/>
        <w:rPr>
          <w:rFonts w:ascii="Tahoma" w:hAnsi="Tahoma" w:cs="Tahoma"/>
          <w:color w:val="000000" w:themeColor="text1"/>
          <w:sz w:val="20"/>
        </w:rPr>
      </w:pPr>
      <w:r w:rsidRPr="00A747F6">
        <w:rPr>
          <w:rFonts w:ascii="Tahoma" w:hAnsi="Tahoma" w:cs="Tahoma"/>
          <w:color w:val="000000" w:themeColor="text1"/>
          <w:sz w:val="20"/>
        </w:rPr>
        <w:lastRenderedPageBreak/>
        <w:t>Διάγραμμα 4.</w:t>
      </w:r>
      <w:r w:rsidR="0073051F" w:rsidRPr="00A747F6">
        <w:rPr>
          <w:rFonts w:ascii="Tahoma" w:hAnsi="Tahoma" w:cs="Tahoma"/>
          <w:color w:val="000000" w:themeColor="text1"/>
          <w:sz w:val="20"/>
        </w:rPr>
        <w:fldChar w:fldCharType="begin"/>
      </w:r>
      <w:r w:rsidRPr="00A747F6">
        <w:rPr>
          <w:rFonts w:ascii="Tahoma" w:hAnsi="Tahoma" w:cs="Tahoma"/>
          <w:color w:val="000000" w:themeColor="text1"/>
          <w:sz w:val="20"/>
        </w:rPr>
        <w:instrText xml:space="preserve"> SEQ Διάγραμμα \* ARABIC </w:instrText>
      </w:r>
      <w:r w:rsidR="0073051F" w:rsidRPr="00A747F6">
        <w:rPr>
          <w:rFonts w:ascii="Tahoma" w:hAnsi="Tahoma" w:cs="Tahoma"/>
          <w:color w:val="000000" w:themeColor="text1"/>
          <w:sz w:val="20"/>
        </w:rPr>
        <w:fldChar w:fldCharType="separate"/>
      </w:r>
      <w:r w:rsidR="0047570C">
        <w:rPr>
          <w:rFonts w:ascii="Tahoma" w:hAnsi="Tahoma" w:cs="Tahoma"/>
          <w:noProof/>
          <w:color w:val="000000" w:themeColor="text1"/>
          <w:sz w:val="20"/>
        </w:rPr>
        <w:t>5</w:t>
      </w:r>
      <w:r w:rsidR="0073051F" w:rsidRPr="00A747F6">
        <w:rPr>
          <w:rFonts w:ascii="Tahoma" w:hAnsi="Tahoma" w:cs="Tahoma"/>
          <w:color w:val="000000" w:themeColor="text1"/>
          <w:sz w:val="20"/>
        </w:rPr>
        <w:fldChar w:fldCharType="end"/>
      </w:r>
    </w:p>
    <w:p w:rsidR="003C1B9F" w:rsidRPr="00A747F6" w:rsidRDefault="003C1B9F" w:rsidP="003C1B9F">
      <w:pPr>
        <w:pStyle w:val="Caption"/>
        <w:keepNext/>
        <w:spacing w:before="120" w:after="120"/>
        <w:jc w:val="center"/>
        <w:rPr>
          <w:rFonts w:ascii="Tahoma" w:hAnsi="Tahoma" w:cs="Tahoma"/>
          <w:b w:val="0"/>
          <w:color w:val="000000" w:themeColor="text1"/>
          <w:sz w:val="20"/>
        </w:rPr>
      </w:pPr>
      <w:r w:rsidRPr="00A747F6">
        <w:rPr>
          <w:rFonts w:ascii="Tahoma" w:hAnsi="Tahoma" w:cs="Tahoma"/>
          <w:b w:val="0"/>
          <w:color w:val="000000" w:themeColor="text1"/>
          <w:sz w:val="20"/>
        </w:rPr>
        <w:t>Όφελος (εξοικονόμηση πόρων) από τη μείωση των δαπανών για τους τόκους</w:t>
      </w:r>
    </w:p>
    <w:p w:rsidR="003C1B9F" w:rsidRDefault="003C1B9F" w:rsidP="003C1B9F">
      <w:pPr>
        <w:spacing w:line="360" w:lineRule="auto"/>
        <w:jc w:val="both"/>
        <w:rPr>
          <w:rFonts w:eastAsia="Calibri" w:cs="Arial"/>
        </w:rPr>
      </w:pPr>
      <w:r w:rsidRPr="00E34932">
        <w:rPr>
          <w:rFonts w:eastAsia="Calibri"/>
          <w:noProof/>
          <w:lang w:val="en-US" w:eastAsia="en-US"/>
        </w:rPr>
        <w:drawing>
          <wp:inline distT="0" distB="0" distL="0" distR="0">
            <wp:extent cx="8863330" cy="4563606"/>
            <wp:effectExtent l="19050" t="0" r="0" b="0"/>
            <wp:docPr id="2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cstate="print"/>
                    <a:srcRect/>
                    <a:stretch>
                      <a:fillRect/>
                    </a:stretch>
                  </pic:blipFill>
                  <pic:spPr bwMode="auto">
                    <a:xfrm>
                      <a:off x="0" y="0"/>
                      <a:ext cx="8863330" cy="4563606"/>
                    </a:xfrm>
                    <a:prstGeom prst="rect">
                      <a:avLst/>
                    </a:prstGeom>
                    <a:noFill/>
                    <a:ln w="9525">
                      <a:noFill/>
                      <a:miter lim="800000"/>
                      <a:headEnd/>
                      <a:tailEnd/>
                    </a:ln>
                  </pic:spPr>
                </pic:pic>
              </a:graphicData>
            </a:graphic>
          </wp:inline>
        </w:drawing>
      </w:r>
    </w:p>
    <w:p w:rsidR="003C1B9F" w:rsidRPr="008545A9" w:rsidRDefault="003C1B9F" w:rsidP="003C1B9F">
      <w:pPr>
        <w:rPr>
          <w:rFonts w:ascii="Tahoma" w:hAnsi="Tahoma" w:cs="Tahoma"/>
          <w:sz w:val="16"/>
          <w:szCs w:val="18"/>
        </w:rPr>
      </w:pPr>
      <w:r w:rsidRPr="008545A9">
        <w:rPr>
          <w:rFonts w:ascii="Tahoma" w:hAnsi="Tahoma" w:cs="Tahoma"/>
          <w:b/>
          <w:sz w:val="16"/>
          <w:szCs w:val="18"/>
        </w:rPr>
        <w:t>Πηγή</w:t>
      </w:r>
      <w:r w:rsidRPr="008545A9">
        <w:rPr>
          <w:rFonts w:ascii="Tahoma" w:hAnsi="Tahoma" w:cs="Tahoma"/>
          <w:sz w:val="16"/>
          <w:szCs w:val="18"/>
        </w:rPr>
        <w:t>: ΟΔΔΗΧ, Εκτιμήσεις ΙΟΒΕ</w:t>
      </w:r>
    </w:p>
    <w:p w:rsidR="003C1B9F" w:rsidRDefault="003C1B9F" w:rsidP="003C1B9F">
      <w:pPr>
        <w:spacing w:line="360" w:lineRule="auto"/>
        <w:jc w:val="both"/>
        <w:rPr>
          <w:rFonts w:eastAsia="Calibri" w:cs="Arial"/>
        </w:rPr>
      </w:pPr>
    </w:p>
    <w:p w:rsidR="003C1B9F" w:rsidRDefault="003C1B9F" w:rsidP="0050168E">
      <w:pPr>
        <w:pStyle w:val="ListParagraph"/>
        <w:numPr>
          <w:ilvl w:val="0"/>
          <w:numId w:val="11"/>
        </w:numPr>
        <w:spacing w:after="200" w:line="360" w:lineRule="auto"/>
        <w:ind w:left="284" w:hanging="284"/>
        <w:jc w:val="both"/>
        <w:rPr>
          <w:rFonts w:eastAsia="Calibri" w:cs="Arial"/>
        </w:rPr>
        <w:sectPr w:rsidR="003C1B9F" w:rsidSect="002421F1">
          <w:pgSz w:w="16838" w:h="11906" w:orient="landscape"/>
          <w:pgMar w:top="992" w:right="1440" w:bottom="1134" w:left="1440" w:header="709" w:footer="709" w:gutter="0"/>
          <w:cols w:space="708"/>
          <w:docGrid w:linePitch="360"/>
        </w:sectPr>
      </w:pPr>
    </w:p>
    <w:p w:rsidR="003C1B9F" w:rsidRPr="00A747F6" w:rsidRDefault="003C1B9F" w:rsidP="003C1B9F">
      <w:pPr>
        <w:pStyle w:val="Caption"/>
        <w:keepNext/>
        <w:spacing w:before="120" w:after="120"/>
        <w:jc w:val="center"/>
        <w:rPr>
          <w:rFonts w:ascii="Tahoma" w:hAnsi="Tahoma" w:cs="Tahoma"/>
          <w:color w:val="000000" w:themeColor="text1"/>
          <w:sz w:val="20"/>
        </w:rPr>
      </w:pPr>
      <w:r w:rsidRPr="00A747F6">
        <w:rPr>
          <w:rFonts w:ascii="Tahoma" w:hAnsi="Tahoma" w:cs="Tahoma"/>
          <w:color w:val="000000" w:themeColor="text1"/>
          <w:sz w:val="20"/>
        </w:rPr>
        <w:lastRenderedPageBreak/>
        <w:t>Διάγραμμα 4.</w:t>
      </w:r>
      <w:r w:rsidR="0073051F" w:rsidRPr="00A747F6">
        <w:rPr>
          <w:rFonts w:ascii="Tahoma" w:hAnsi="Tahoma" w:cs="Tahoma"/>
          <w:color w:val="000000" w:themeColor="text1"/>
          <w:sz w:val="20"/>
        </w:rPr>
        <w:fldChar w:fldCharType="begin"/>
      </w:r>
      <w:r w:rsidRPr="00A747F6">
        <w:rPr>
          <w:rFonts w:ascii="Tahoma" w:hAnsi="Tahoma" w:cs="Tahoma"/>
          <w:color w:val="000000" w:themeColor="text1"/>
          <w:sz w:val="20"/>
        </w:rPr>
        <w:instrText xml:space="preserve"> SEQ Διάγραμμα \* ARABIC </w:instrText>
      </w:r>
      <w:r w:rsidR="0073051F" w:rsidRPr="00A747F6">
        <w:rPr>
          <w:rFonts w:ascii="Tahoma" w:hAnsi="Tahoma" w:cs="Tahoma"/>
          <w:color w:val="000000" w:themeColor="text1"/>
          <w:sz w:val="20"/>
        </w:rPr>
        <w:fldChar w:fldCharType="separate"/>
      </w:r>
      <w:r w:rsidR="0047570C">
        <w:rPr>
          <w:rFonts w:ascii="Tahoma" w:hAnsi="Tahoma" w:cs="Tahoma"/>
          <w:noProof/>
          <w:color w:val="000000" w:themeColor="text1"/>
          <w:sz w:val="20"/>
        </w:rPr>
        <w:t>6</w:t>
      </w:r>
      <w:r w:rsidR="0073051F" w:rsidRPr="00A747F6">
        <w:rPr>
          <w:rFonts w:ascii="Tahoma" w:hAnsi="Tahoma" w:cs="Tahoma"/>
          <w:color w:val="000000" w:themeColor="text1"/>
          <w:sz w:val="20"/>
        </w:rPr>
        <w:fldChar w:fldCharType="end"/>
      </w:r>
    </w:p>
    <w:p w:rsidR="003C1B9F" w:rsidRPr="00A747F6" w:rsidRDefault="003C1B9F" w:rsidP="003C1B9F">
      <w:pPr>
        <w:pStyle w:val="Caption"/>
        <w:keepNext/>
        <w:spacing w:before="120" w:after="120"/>
        <w:jc w:val="center"/>
        <w:rPr>
          <w:rFonts w:ascii="Tahoma" w:hAnsi="Tahoma" w:cs="Tahoma"/>
          <w:b w:val="0"/>
          <w:color w:val="000000" w:themeColor="text1"/>
          <w:sz w:val="20"/>
        </w:rPr>
      </w:pPr>
      <w:r w:rsidRPr="00A747F6">
        <w:rPr>
          <w:rFonts w:ascii="Tahoma" w:hAnsi="Tahoma" w:cs="Tahoma"/>
          <w:b w:val="0"/>
          <w:color w:val="000000" w:themeColor="text1"/>
          <w:sz w:val="20"/>
        </w:rPr>
        <w:t>Ακαθάριστες Χρηματοδοτικές Ανάγκες</w:t>
      </w:r>
    </w:p>
    <w:p w:rsidR="003C1B9F" w:rsidRPr="008545A9" w:rsidRDefault="003C1B9F" w:rsidP="003C1B9F">
      <w:pPr>
        <w:pStyle w:val="ListParagraph"/>
        <w:spacing w:line="360" w:lineRule="auto"/>
        <w:ind w:left="284"/>
        <w:jc w:val="both"/>
        <w:rPr>
          <w:rFonts w:eastAsia="Calibri" w:cs="Arial"/>
        </w:rPr>
      </w:pPr>
      <w:r w:rsidRPr="00E34932">
        <w:rPr>
          <w:rFonts w:eastAsia="Calibri"/>
          <w:noProof/>
          <w:lang w:val="en-US" w:eastAsia="en-US"/>
        </w:rPr>
        <w:drawing>
          <wp:inline distT="0" distB="0" distL="0" distR="0">
            <wp:extent cx="6210300" cy="3400758"/>
            <wp:effectExtent l="19050" t="0" r="0" b="0"/>
            <wp:docPr id="24"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cstate="print"/>
                    <a:srcRect/>
                    <a:stretch>
                      <a:fillRect/>
                    </a:stretch>
                  </pic:blipFill>
                  <pic:spPr bwMode="auto">
                    <a:xfrm>
                      <a:off x="0" y="0"/>
                      <a:ext cx="6210300" cy="3400758"/>
                    </a:xfrm>
                    <a:prstGeom prst="rect">
                      <a:avLst/>
                    </a:prstGeom>
                    <a:noFill/>
                    <a:ln w="9525">
                      <a:noFill/>
                      <a:miter lim="800000"/>
                      <a:headEnd/>
                      <a:tailEnd/>
                    </a:ln>
                  </pic:spPr>
                </pic:pic>
              </a:graphicData>
            </a:graphic>
          </wp:inline>
        </w:drawing>
      </w:r>
    </w:p>
    <w:p w:rsidR="003C1B9F" w:rsidRPr="002951DF" w:rsidRDefault="003C1B9F" w:rsidP="003C1B9F">
      <w:pPr>
        <w:rPr>
          <w:rFonts w:ascii="Tahoma" w:hAnsi="Tahoma" w:cs="Tahoma"/>
          <w:sz w:val="16"/>
          <w:szCs w:val="18"/>
          <w:lang w:val="en-GB"/>
        </w:rPr>
      </w:pPr>
      <w:r w:rsidRPr="002951DF">
        <w:rPr>
          <w:rFonts w:ascii="Tahoma" w:hAnsi="Tahoma" w:cs="Tahoma"/>
          <w:b/>
          <w:sz w:val="16"/>
          <w:szCs w:val="18"/>
        </w:rPr>
        <w:t>Πηγή</w:t>
      </w:r>
      <w:r w:rsidRPr="002951DF">
        <w:rPr>
          <w:rFonts w:ascii="Tahoma" w:hAnsi="Tahoma" w:cs="Tahoma"/>
          <w:sz w:val="16"/>
          <w:szCs w:val="18"/>
          <w:lang w:val="en-US"/>
        </w:rPr>
        <w:t xml:space="preserve">: </w:t>
      </w:r>
      <w:r w:rsidRPr="002951DF">
        <w:rPr>
          <w:rFonts w:ascii="Tahoma" w:hAnsi="Tahoma" w:cs="Tahoma"/>
          <w:sz w:val="16"/>
          <w:szCs w:val="18"/>
          <w:lang w:val="en-GB"/>
        </w:rPr>
        <w:t>IMF, Request for Extended Arrangement under the Extended Fund Facility, Report on Greece, March 2012 / IMF Country Report: 4</w:t>
      </w:r>
      <w:r w:rsidRPr="002951DF">
        <w:rPr>
          <w:rFonts w:ascii="Tahoma" w:hAnsi="Tahoma" w:cs="Tahoma"/>
          <w:sz w:val="16"/>
          <w:szCs w:val="18"/>
          <w:vertAlign w:val="superscript"/>
          <w:lang w:val="en-GB"/>
        </w:rPr>
        <w:t>th</w:t>
      </w:r>
      <w:r w:rsidRPr="002951DF">
        <w:rPr>
          <w:rFonts w:ascii="Tahoma" w:hAnsi="Tahoma" w:cs="Tahoma"/>
          <w:sz w:val="16"/>
          <w:szCs w:val="18"/>
          <w:lang w:val="en-GB"/>
        </w:rPr>
        <w:t xml:space="preserve"> Review of Economic Adjustment Programme for Greece, July 2011</w:t>
      </w:r>
    </w:p>
    <w:p w:rsidR="003C1B9F" w:rsidRPr="003C1B9F" w:rsidRDefault="003C1B9F" w:rsidP="0050168E">
      <w:pPr>
        <w:pStyle w:val="ListParagraph"/>
        <w:numPr>
          <w:ilvl w:val="0"/>
          <w:numId w:val="11"/>
        </w:numPr>
        <w:spacing w:before="240" w:after="240" w:line="312" w:lineRule="auto"/>
        <w:ind w:left="284" w:hanging="284"/>
        <w:contextualSpacing w:val="0"/>
        <w:jc w:val="both"/>
        <w:rPr>
          <w:rFonts w:ascii="Tahoma" w:eastAsia="Calibri" w:hAnsi="Tahoma" w:cs="Tahoma"/>
          <w:sz w:val="22"/>
          <w:szCs w:val="22"/>
        </w:rPr>
      </w:pPr>
      <w:r w:rsidRPr="003C1B9F">
        <w:rPr>
          <w:rFonts w:ascii="Tahoma" w:eastAsia="Calibri" w:hAnsi="Tahoma" w:cs="Tahoma"/>
          <w:sz w:val="22"/>
          <w:szCs w:val="22"/>
        </w:rPr>
        <w:t>Μια άλλη σημαντική επίπτωση της αναδιάρθρωσης του δημοσίου χρέους είναι η μεγάλη μείωση των χρηματοδοτικών αναγκών της χώρας. Εκτιμάται ότι οι ακαθάριστες χρηματοδοτικές ανάγκες</w:t>
      </w:r>
      <w:r w:rsidRPr="003C1B9F">
        <w:rPr>
          <w:rStyle w:val="FootnoteReference"/>
          <w:rFonts w:eastAsia="Calibri" w:cs="Tahoma"/>
          <w:sz w:val="22"/>
          <w:szCs w:val="22"/>
        </w:rPr>
        <w:footnoteReference w:id="18"/>
      </w:r>
      <w:r w:rsidRPr="003C1B9F">
        <w:rPr>
          <w:rFonts w:ascii="Tahoma" w:eastAsia="Calibri" w:hAnsi="Tahoma" w:cs="Tahoma"/>
          <w:sz w:val="22"/>
          <w:szCs w:val="22"/>
        </w:rPr>
        <w:t xml:space="preserve"> για την περίοδο 2012-2020 μειώνονται κατά €92,3δισ., με τις συνολικές ανάγκες αναχρηματοδότησης του χρέους να κυμαίνονται πλέον στα €109δισ. μέχρι το 2020. Με τη δραστική αυτή μείωση των αναγκών χρηματοδότησης του δημόσιου χρέους, δίν</w:t>
      </w:r>
      <w:r w:rsidR="00A95F16">
        <w:rPr>
          <w:rFonts w:ascii="Tahoma" w:eastAsia="Calibri" w:hAnsi="Tahoma" w:cs="Tahoma"/>
          <w:sz w:val="22"/>
          <w:szCs w:val="22"/>
        </w:rPr>
        <w:t>οντ</w:t>
      </w:r>
      <w:r w:rsidRPr="003C1B9F">
        <w:rPr>
          <w:rFonts w:ascii="Tahoma" w:eastAsia="Calibri" w:hAnsi="Tahoma" w:cs="Tahoma"/>
          <w:sz w:val="22"/>
          <w:szCs w:val="22"/>
        </w:rPr>
        <w:t xml:space="preserve">αι πλέον στις ελληνικές αρχές περισσότεροι βαθμοί ελευθερίας, ώστε να σχεδιάσουν μια συγκεκριμένη στρατηγική για σταδιακή επάνοδο στις χρηματοπιστωτικές αγορές μετά το 2014 προκειμένου να προβούν σε μακροχρόνιο δανεισμό – ανάλογα και με τις συνθήκες του διεθνούς περιβάλλοντος που θα επικρατούν τότε – ώστε να αρχίσει η αποκατάσταση της εμπιστοσύνης και της αξιοπιστίας απέναντι στην επενδυτική κοινότητα. Στο πεδίο της ανάπτυξης της ελληνικής οικονομίας, για το οποίο γίνεται πλέον ευρύτερος διάλογος και καθίσταται ως προαπαιτούμενο για την έξοδο από τον φαύλο κύκλο της ύφεσης, το άνοιγμα των αγορών κεφαλαίων και η επάνοδος σε φυσιολογικές συνθήκες δανεισμού διαδραματίζουν πρωτεύοντα ρόλο για την αλλαγή του επενδυτικού κλίματος.                </w:t>
      </w:r>
    </w:p>
    <w:p w:rsidR="003C1B9F" w:rsidRPr="003C1B9F" w:rsidRDefault="003C1B9F" w:rsidP="0050168E">
      <w:pPr>
        <w:pStyle w:val="ListParagraph"/>
        <w:numPr>
          <w:ilvl w:val="0"/>
          <w:numId w:val="11"/>
        </w:numPr>
        <w:spacing w:before="240" w:after="240" w:line="312" w:lineRule="auto"/>
        <w:ind w:left="284" w:hanging="284"/>
        <w:contextualSpacing w:val="0"/>
        <w:jc w:val="both"/>
        <w:rPr>
          <w:rFonts w:ascii="Tahoma" w:eastAsia="Calibri" w:hAnsi="Tahoma" w:cs="Tahoma"/>
          <w:sz w:val="22"/>
          <w:szCs w:val="22"/>
        </w:rPr>
      </w:pPr>
      <w:r w:rsidRPr="003C1B9F">
        <w:rPr>
          <w:rFonts w:ascii="Tahoma" w:eastAsia="Calibri" w:hAnsi="Tahoma" w:cs="Tahoma"/>
          <w:sz w:val="22"/>
          <w:szCs w:val="22"/>
        </w:rPr>
        <w:t>Πέρα όμως από τη συμμετοχή του Ιδιωτικού Τομέα, ο επίσημος τομέας (</w:t>
      </w:r>
      <w:r w:rsidRPr="003C1B9F">
        <w:rPr>
          <w:rFonts w:ascii="Tahoma" w:eastAsia="Calibri" w:hAnsi="Tahoma" w:cs="Tahoma"/>
          <w:sz w:val="22"/>
          <w:szCs w:val="22"/>
          <w:lang w:val="en-GB"/>
        </w:rPr>
        <w:t>Official</w:t>
      </w:r>
      <w:r w:rsidRPr="003C1B9F">
        <w:rPr>
          <w:rFonts w:ascii="Tahoma" w:eastAsia="Calibri" w:hAnsi="Tahoma" w:cs="Tahoma"/>
          <w:sz w:val="22"/>
          <w:szCs w:val="22"/>
        </w:rPr>
        <w:t xml:space="preserve"> </w:t>
      </w:r>
      <w:r w:rsidRPr="003C1B9F">
        <w:rPr>
          <w:rFonts w:ascii="Tahoma" w:eastAsia="Calibri" w:hAnsi="Tahoma" w:cs="Tahoma"/>
          <w:sz w:val="22"/>
          <w:szCs w:val="22"/>
          <w:lang w:val="en-GB"/>
        </w:rPr>
        <w:t>Sector</w:t>
      </w:r>
      <w:r w:rsidRPr="003C1B9F">
        <w:rPr>
          <w:rFonts w:ascii="Tahoma" w:eastAsia="Calibri" w:hAnsi="Tahoma" w:cs="Tahoma"/>
          <w:sz w:val="22"/>
          <w:szCs w:val="22"/>
        </w:rPr>
        <w:t xml:space="preserve"> </w:t>
      </w:r>
      <w:r w:rsidRPr="003C1B9F">
        <w:rPr>
          <w:rFonts w:ascii="Tahoma" w:eastAsia="Calibri" w:hAnsi="Tahoma" w:cs="Tahoma"/>
          <w:sz w:val="22"/>
          <w:szCs w:val="22"/>
          <w:lang w:val="en-GB"/>
        </w:rPr>
        <w:t>Involv</w:t>
      </w:r>
      <w:r w:rsidRPr="003C1B9F">
        <w:rPr>
          <w:rFonts w:ascii="Tahoma" w:eastAsia="Calibri" w:hAnsi="Tahoma" w:cs="Tahoma"/>
          <w:sz w:val="22"/>
          <w:szCs w:val="22"/>
          <w:lang w:val="en-GB"/>
        </w:rPr>
        <w:t>e</w:t>
      </w:r>
      <w:r w:rsidRPr="003C1B9F">
        <w:rPr>
          <w:rFonts w:ascii="Tahoma" w:eastAsia="Calibri" w:hAnsi="Tahoma" w:cs="Tahoma"/>
          <w:sz w:val="22"/>
          <w:szCs w:val="22"/>
          <w:lang w:val="en-GB"/>
        </w:rPr>
        <w:t>ment</w:t>
      </w:r>
      <w:r w:rsidR="00140BB2">
        <w:rPr>
          <w:rFonts w:ascii="Tahoma" w:eastAsia="Calibri" w:hAnsi="Tahoma" w:cs="Tahoma"/>
          <w:sz w:val="22"/>
          <w:szCs w:val="22"/>
        </w:rPr>
        <w:t>, OSI)</w:t>
      </w:r>
      <w:r w:rsidRPr="003C1B9F">
        <w:rPr>
          <w:rFonts w:ascii="Tahoma" w:eastAsia="Calibri" w:hAnsi="Tahoma" w:cs="Tahoma"/>
          <w:sz w:val="22"/>
          <w:szCs w:val="22"/>
        </w:rPr>
        <w:t xml:space="preserve"> επίσης συμμετέχει στην αναδιάρθρωση του ελληνικού δημόσιου χρέους, με την Ευρωπαϊκή Κεντρική Τράπεζα (ΕΚΤ) και τις εθνικές Κεντρικές Τράπεζες να παραιτούνται από τα κέρδη τους που συνεπάγονταν η κατοχή ελληνικών ομολόγων. Η κίνηση αυτή έχει ως </w:t>
      </w:r>
      <w:r w:rsidRPr="003C1B9F">
        <w:rPr>
          <w:rFonts w:ascii="Tahoma" w:eastAsia="Calibri" w:hAnsi="Tahoma" w:cs="Tahoma"/>
          <w:sz w:val="22"/>
          <w:szCs w:val="22"/>
        </w:rPr>
        <w:lastRenderedPageBreak/>
        <w:t>αποτέλεσμα τη μείωση των χρηματοδοτικών αναγκών της χώρας κατά €1,8δισ. έως το 2020 και συμβάλλει στη μείωση του χρέους κατά €4δισ. (ή 1,8% του ΑΕΠ</w:t>
      </w:r>
      <w:r w:rsidR="00A95F16">
        <w:rPr>
          <w:rFonts w:ascii="Tahoma" w:eastAsia="Calibri" w:hAnsi="Tahoma" w:cs="Tahoma"/>
          <w:sz w:val="22"/>
          <w:szCs w:val="22"/>
        </w:rPr>
        <w:t>). Επιπλέον, οι χώρες-μέλη της Ε</w:t>
      </w:r>
      <w:r w:rsidRPr="003C1B9F">
        <w:rPr>
          <w:rFonts w:ascii="Tahoma" w:eastAsia="Calibri" w:hAnsi="Tahoma" w:cs="Tahoma"/>
          <w:sz w:val="22"/>
          <w:szCs w:val="22"/>
        </w:rPr>
        <w:t xml:space="preserve">υρωζώνης </w:t>
      </w:r>
      <w:r w:rsidR="00A95F16">
        <w:rPr>
          <w:rFonts w:ascii="Tahoma" w:eastAsia="Calibri" w:hAnsi="Tahoma" w:cs="Tahoma"/>
          <w:sz w:val="22"/>
          <w:szCs w:val="22"/>
        </w:rPr>
        <w:t xml:space="preserve">προέβησαν </w:t>
      </w:r>
      <w:r w:rsidRPr="003C1B9F">
        <w:rPr>
          <w:rFonts w:ascii="Tahoma" w:eastAsia="Calibri" w:hAnsi="Tahoma" w:cs="Tahoma"/>
          <w:sz w:val="22"/>
          <w:szCs w:val="22"/>
        </w:rPr>
        <w:t>σε πρόσθετη (την τρίτη κατά σειρά) αναδρομική μείωση των επιτοκίων στα δάνεια του πρώτου πακέτου στήριξης προς την Ελλάδα κατά 100 μονάδες βάσης. Ως εκ τούτου, το επιτόκιο στα δάνεια του πρώτου χρηματοδοτικού πακέτου προς την Ελλάδα διαμορφώνεται γύρω στο 3,5% (</w:t>
      </w:r>
      <w:r w:rsidRPr="003C1B9F">
        <w:rPr>
          <w:rFonts w:ascii="Tahoma" w:eastAsia="Calibri" w:hAnsi="Tahoma" w:cs="Tahoma"/>
          <w:sz w:val="22"/>
          <w:szCs w:val="22"/>
          <w:lang w:val="en-GB"/>
        </w:rPr>
        <w:t>Euribor</w:t>
      </w:r>
      <w:r w:rsidRPr="003C1B9F">
        <w:rPr>
          <w:rFonts w:ascii="Tahoma" w:eastAsia="Calibri" w:hAnsi="Tahoma" w:cs="Tahoma"/>
          <w:sz w:val="22"/>
          <w:szCs w:val="22"/>
        </w:rPr>
        <w:t xml:space="preserve"> + 150μ.β) (έναντι 5,5% που προβλέπονταν στην αρχική συμφωνία). Η περαιτέρω μείωση του επιτοκίου στα πρώτα δάνεια προς την Ελλάδα </w:t>
      </w:r>
      <w:r w:rsidR="00A95F16">
        <w:rPr>
          <w:rFonts w:ascii="Tahoma" w:eastAsia="Calibri" w:hAnsi="Tahoma" w:cs="Tahoma"/>
          <w:sz w:val="22"/>
          <w:szCs w:val="22"/>
        </w:rPr>
        <w:t xml:space="preserve">έχει </w:t>
      </w:r>
      <w:r w:rsidRPr="003C1B9F">
        <w:rPr>
          <w:rFonts w:ascii="Tahoma" w:eastAsia="Calibri" w:hAnsi="Tahoma" w:cs="Tahoma"/>
          <w:sz w:val="22"/>
          <w:szCs w:val="22"/>
        </w:rPr>
        <w:t xml:space="preserve">ως συνέπεια τη μείωση των χρηματοδοτικών αναγκών κατά €1,4δισ. μέχρι το 2020 και τη μείωση του χρέους κατά €6δισ. (ή 2,8% του ΑΕΠ). Επιπλέον παρέχεται στην Ελλάδα διευκόλυνση αποπληρωμής δεδουλευμένων τόκων ύψους €5,7δισ. από το </w:t>
      </w:r>
      <w:r w:rsidRPr="003C1B9F">
        <w:rPr>
          <w:rFonts w:ascii="Tahoma" w:eastAsia="Calibri" w:hAnsi="Tahoma" w:cs="Tahoma"/>
          <w:sz w:val="22"/>
          <w:szCs w:val="22"/>
          <w:lang w:val="en-GB"/>
        </w:rPr>
        <w:t>EFSF</w:t>
      </w:r>
      <w:r w:rsidRPr="003C1B9F">
        <w:rPr>
          <w:rFonts w:ascii="Tahoma" w:eastAsia="Calibri" w:hAnsi="Tahoma" w:cs="Tahoma"/>
          <w:sz w:val="22"/>
          <w:szCs w:val="22"/>
        </w:rPr>
        <w:t>, γεγονός που μειώνει τις χρηματοδοτικές ανάγκες κατά €5δισ. μέχρι το 2020 και οδηγεί στη μείωση του χρέους κατά €3,3δισ. (ή 1,5% του ΑΕΠ). Παράλληλα με τη δέσμευση των εταίρων για πιθανή πρόσθετη οικονομική βοήθεια μετά το 2015, οι πράξεις αυτές καταδεικνύουν την ισχυρή δέσμευση του επίσημου τομέα να συμβάλλει στη σταθεροποίηση της ελληνι</w:t>
      </w:r>
      <w:r w:rsidR="00A95F16">
        <w:rPr>
          <w:rFonts w:ascii="Tahoma" w:eastAsia="Calibri" w:hAnsi="Tahoma" w:cs="Tahoma"/>
          <w:sz w:val="22"/>
          <w:szCs w:val="22"/>
        </w:rPr>
        <w:t>κής οικονομίας. Επίσης, αποτελούν</w:t>
      </w:r>
      <w:r w:rsidRPr="003C1B9F">
        <w:rPr>
          <w:rFonts w:ascii="Tahoma" w:eastAsia="Calibri" w:hAnsi="Tahoma" w:cs="Tahoma"/>
          <w:sz w:val="22"/>
          <w:szCs w:val="22"/>
        </w:rPr>
        <w:t xml:space="preserve"> μια </w:t>
      </w:r>
      <w:r w:rsidR="00A95F16">
        <w:rPr>
          <w:rFonts w:ascii="Tahoma" w:eastAsia="Calibri" w:hAnsi="Tahoma" w:cs="Tahoma"/>
          <w:sz w:val="22"/>
          <w:szCs w:val="22"/>
        </w:rPr>
        <w:t xml:space="preserve">σαφή </w:t>
      </w:r>
      <w:r w:rsidRPr="003C1B9F">
        <w:rPr>
          <w:rFonts w:ascii="Tahoma" w:eastAsia="Calibri" w:hAnsi="Tahoma" w:cs="Tahoma"/>
          <w:sz w:val="22"/>
          <w:szCs w:val="22"/>
        </w:rPr>
        <w:t xml:space="preserve">ένδειξη απομάκρυνσης πλέον από προηγούμενες πολιτικές προσεγγίσεις που προέβλεπαν πολύ υψηλά επιτόκια στις απείθαρχες δημοσιονομικά χώρες, ώστε να αντιμετωπιστεί το πρόβλημα του «ηθικού κινδύνου». Στο σημείο αυτό θα πρέπει να υπογραμμιστεί ότι η αλλαγή της στάσης των ευρωπαίων εταίρων θα συναντούσε μεγάλα εμπόδια αν δεν είχε ήδη πραγματοποιηθεί μια σημαντική δημοσιονομική προσαρμογή στην Ελλάδα (μείωση του ελλείμματος κατά περίπου 6,5 ποσοστιαίες μονάδες του ΑΕΠ σε περίοδο 2 ετών, η μεγαλύτερη που έχει παρατηρηθεί στην Ευρώπη μεταπολεμικά), παρά τις σοβαρές καθυστερήσεις στο σκέλος των διαρθρωτικών αλλαγών.      </w:t>
      </w:r>
    </w:p>
    <w:p w:rsidR="003C1B9F" w:rsidRPr="003C1B9F" w:rsidRDefault="003C1B9F" w:rsidP="0050168E">
      <w:pPr>
        <w:pStyle w:val="ListParagraph"/>
        <w:numPr>
          <w:ilvl w:val="0"/>
          <w:numId w:val="11"/>
        </w:numPr>
        <w:tabs>
          <w:tab w:val="left" w:pos="284"/>
        </w:tabs>
        <w:spacing w:before="240" w:after="240" w:line="312" w:lineRule="auto"/>
        <w:ind w:left="284" w:hanging="284"/>
        <w:contextualSpacing w:val="0"/>
        <w:jc w:val="both"/>
        <w:rPr>
          <w:rFonts w:ascii="Tahoma" w:eastAsia="Calibri" w:hAnsi="Tahoma" w:cs="Tahoma"/>
          <w:sz w:val="22"/>
          <w:szCs w:val="22"/>
        </w:rPr>
      </w:pPr>
      <w:r w:rsidRPr="003C1B9F">
        <w:rPr>
          <w:rFonts w:ascii="Tahoma" w:eastAsia="Calibri" w:hAnsi="Tahoma" w:cs="Tahoma"/>
          <w:sz w:val="22"/>
          <w:szCs w:val="22"/>
        </w:rPr>
        <w:t>Η απόδοση των νέων ομολόγων της Ελληνικής Δημοκρατίας θα συνδέεται με τον ονομαστικό ρυθμό αύξησης του ΑΕΠ (</w:t>
      </w:r>
      <w:r w:rsidRPr="003C1B9F">
        <w:rPr>
          <w:rFonts w:ascii="Tahoma" w:eastAsia="Calibri" w:hAnsi="Tahoma" w:cs="Tahoma"/>
          <w:sz w:val="22"/>
          <w:szCs w:val="22"/>
          <w:lang w:val="en-US"/>
        </w:rPr>
        <w:t>GDP</w:t>
      </w:r>
      <w:r w:rsidRPr="003C1B9F">
        <w:rPr>
          <w:rFonts w:ascii="Tahoma" w:eastAsia="Calibri" w:hAnsi="Tahoma" w:cs="Tahoma"/>
          <w:sz w:val="22"/>
          <w:szCs w:val="22"/>
        </w:rPr>
        <w:t>-</w:t>
      </w:r>
      <w:r w:rsidRPr="003C1B9F">
        <w:rPr>
          <w:rFonts w:ascii="Tahoma" w:eastAsia="Calibri" w:hAnsi="Tahoma" w:cs="Tahoma"/>
          <w:sz w:val="22"/>
          <w:szCs w:val="22"/>
          <w:lang w:val="en-US"/>
        </w:rPr>
        <w:t>linked</w:t>
      </w:r>
      <w:r w:rsidRPr="003C1B9F">
        <w:rPr>
          <w:rFonts w:ascii="Tahoma" w:eastAsia="Calibri" w:hAnsi="Tahoma" w:cs="Tahoma"/>
          <w:sz w:val="22"/>
          <w:szCs w:val="22"/>
        </w:rPr>
        <w:t xml:space="preserve"> </w:t>
      </w:r>
      <w:r w:rsidRPr="003C1B9F">
        <w:rPr>
          <w:rFonts w:ascii="Tahoma" w:eastAsia="Calibri" w:hAnsi="Tahoma" w:cs="Tahoma"/>
          <w:sz w:val="22"/>
          <w:szCs w:val="22"/>
          <w:lang w:val="en-US"/>
        </w:rPr>
        <w:t>securities</w:t>
      </w:r>
      <w:r w:rsidRPr="003C1B9F">
        <w:rPr>
          <w:rFonts w:ascii="Tahoma" w:eastAsia="Calibri" w:hAnsi="Tahoma" w:cs="Tahoma"/>
          <w:sz w:val="22"/>
          <w:szCs w:val="22"/>
        </w:rPr>
        <w:t>), παρέχοντας επιπλέον απόδοση 1% ετησίως (από το 2015) στην περίπτωση που ο ονομαστικός</w:t>
      </w:r>
      <w:r w:rsidR="00A95F16">
        <w:rPr>
          <w:rFonts w:ascii="Tahoma" w:eastAsia="Calibri" w:hAnsi="Tahoma" w:cs="Tahoma"/>
          <w:sz w:val="22"/>
          <w:szCs w:val="22"/>
        </w:rPr>
        <w:t xml:space="preserve"> ρυθμός αύξησης του ΑΕΠ </w:t>
      </w:r>
      <w:r w:rsidR="00E264D6">
        <w:rPr>
          <w:rFonts w:ascii="Tahoma" w:eastAsia="Calibri" w:hAnsi="Tahoma" w:cs="Tahoma"/>
          <w:sz w:val="22"/>
          <w:szCs w:val="22"/>
        </w:rPr>
        <w:t xml:space="preserve">υπερβαίνει </w:t>
      </w:r>
      <w:r w:rsidRPr="003C1B9F">
        <w:rPr>
          <w:rFonts w:ascii="Tahoma" w:eastAsia="Calibri" w:hAnsi="Tahoma" w:cs="Tahoma"/>
          <w:sz w:val="22"/>
          <w:szCs w:val="22"/>
        </w:rPr>
        <w:t xml:space="preserve">ένα προκαθορισμένο όριο και η οικονομία καταγράφει θετικούς πραγματικούς ρυθμούς ανάπτυξης που υπερβαίνουν τους αρχικούς στόχους. Το στοιχείο αυτό προσδίδει ένα επιπλέον κίνητρο στους κατέχοντες νέα ελληνικά ομόλογα και στους επενδυτές να επιθυμούν και, υπό μια έννοια, να επιδιώξουν με όποιους μηχανισμούς και μέσα διαθέτουν, ταχύτερη ανάπτυξη για την ελληνική οικονομία.    </w:t>
      </w:r>
    </w:p>
    <w:p w:rsidR="003C1B9F" w:rsidRPr="003C1B9F" w:rsidRDefault="003C1B9F" w:rsidP="0050168E">
      <w:pPr>
        <w:pStyle w:val="ListParagraph"/>
        <w:numPr>
          <w:ilvl w:val="0"/>
          <w:numId w:val="11"/>
        </w:numPr>
        <w:spacing w:before="240" w:after="240" w:line="312" w:lineRule="auto"/>
        <w:ind w:left="284" w:hanging="284"/>
        <w:contextualSpacing w:val="0"/>
        <w:jc w:val="both"/>
        <w:rPr>
          <w:rFonts w:ascii="Tahoma" w:eastAsia="Calibri" w:hAnsi="Tahoma" w:cs="Tahoma"/>
          <w:sz w:val="22"/>
          <w:szCs w:val="22"/>
        </w:rPr>
      </w:pPr>
      <w:r w:rsidRPr="003C1B9F">
        <w:rPr>
          <w:rFonts w:ascii="Tahoma" w:eastAsia="Calibri" w:hAnsi="Tahoma" w:cs="Tahoma"/>
          <w:sz w:val="22"/>
          <w:szCs w:val="22"/>
        </w:rPr>
        <w:t>Ο Ευρωπαϊκός Μηχανισμός Χρηματοπιστωτικής Σταθερότητας (</w:t>
      </w:r>
      <w:r w:rsidRPr="003C1B9F">
        <w:rPr>
          <w:rFonts w:ascii="Tahoma" w:eastAsia="Calibri" w:hAnsi="Tahoma" w:cs="Tahoma"/>
          <w:sz w:val="22"/>
          <w:szCs w:val="22"/>
          <w:lang w:val="en-GB"/>
        </w:rPr>
        <w:t>European</w:t>
      </w:r>
      <w:r w:rsidRPr="003C1B9F">
        <w:rPr>
          <w:rFonts w:ascii="Tahoma" w:eastAsia="Calibri" w:hAnsi="Tahoma" w:cs="Tahoma"/>
          <w:sz w:val="22"/>
          <w:szCs w:val="22"/>
        </w:rPr>
        <w:t xml:space="preserve"> </w:t>
      </w:r>
      <w:r w:rsidRPr="003C1B9F">
        <w:rPr>
          <w:rFonts w:ascii="Tahoma" w:eastAsia="Calibri" w:hAnsi="Tahoma" w:cs="Tahoma"/>
          <w:sz w:val="22"/>
          <w:szCs w:val="22"/>
          <w:lang w:val="en-GB"/>
        </w:rPr>
        <w:t>Financial</w:t>
      </w:r>
      <w:r w:rsidRPr="003C1B9F">
        <w:rPr>
          <w:rFonts w:ascii="Tahoma" w:eastAsia="Calibri" w:hAnsi="Tahoma" w:cs="Tahoma"/>
          <w:sz w:val="22"/>
          <w:szCs w:val="22"/>
        </w:rPr>
        <w:t xml:space="preserve"> </w:t>
      </w:r>
      <w:r w:rsidRPr="003C1B9F">
        <w:rPr>
          <w:rFonts w:ascii="Tahoma" w:eastAsia="Calibri" w:hAnsi="Tahoma" w:cs="Tahoma"/>
          <w:sz w:val="22"/>
          <w:szCs w:val="22"/>
          <w:lang w:val="en-GB"/>
        </w:rPr>
        <w:t>Stability</w:t>
      </w:r>
      <w:r w:rsidRPr="003C1B9F">
        <w:rPr>
          <w:rFonts w:ascii="Tahoma" w:eastAsia="Calibri" w:hAnsi="Tahoma" w:cs="Tahoma"/>
          <w:sz w:val="22"/>
          <w:szCs w:val="22"/>
        </w:rPr>
        <w:t xml:space="preserve"> </w:t>
      </w:r>
      <w:r w:rsidRPr="003C1B9F">
        <w:rPr>
          <w:rFonts w:ascii="Tahoma" w:eastAsia="Calibri" w:hAnsi="Tahoma" w:cs="Tahoma"/>
          <w:sz w:val="22"/>
          <w:szCs w:val="22"/>
          <w:lang w:val="en-GB"/>
        </w:rPr>
        <w:t>Fund</w:t>
      </w:r>
      <w:r w:rsidRPr="003C1B9F">
        <w:rPr>
          <w:rFonts w:ascii="Tahoma" w:eastAsia="Calibri" w:hAnsi="Tahoma" w:cs="Tahoma"/>
          <w:sz w:val="22"/>
          <w:szCs w:val="22"/>
        </w:rPr>
        <w:t xml:space="preserve">, </w:t>
      </w:r>
      <w:r w:rsidRPr="003C1B9F">
        <w:rPr>
          <w:rFonts w:ascii="Tahoma" w:eastAsia="Calibri" w:hAnsi="Tahoma" w:cs="Tahoma"/>
          <w:sz w:val="22"/>
          <w:szCs w:val="22"/>
          <w:lang w:val="en-GB"/>
        </w:rPr>
        <w:t>EFSF</w:t>
      </w:r>
      <w:r w:rsidRPr="003C1B9F">
        <w:rPr>
          <w:rFonts w:ascii="Tahoma" w:eastAsia="Calibri" w:hAnsi="Tahoma" w:cs="Tahoma"/>
          <w:sz w:val="22"/>
          <w:szCs w:val="22"/>
        </w:rPr>
        <w:t xml:space="preserve">) θα παρεμβαίνει στη δευτερογενή αγορά ομολόγων, δημιουργώντας αντικίνητρα για κερδοσκοπία σε κρατικά ομολόγα, συμβάλλοντας στη σταθεροποίηση του κλίματος στις χρηματαγορές, στη μείωση των </w:t>
      </w:r>
      <w:r w:rsidRPr="003C1B9F">
        <w:rPr>
          <w:rFonts w:ascii="Tahoma" w:eastAsia="Calibri" w:hAnsi="Tahoma" w:cs="Tahoma"/>
          <w:sz w:val="22"/>
          <w:szCs w:val="22"/>
          <w:lang w:val="en-GB"/>
        </w:rPr>
        <w:t>spreads</w:t>
      </w:r>
      <w:r w:rsidRPr="003C1B9F">
        <w:rPr>
          <w:rFonts w:ascii="Tahoma" w:eastAsia="Calibri" w:hAnsi="Tahoma" w:cs="Tahoma"/>
          <w:sz w:val="22"/>
          <w:szCs w:val="22"/>
        </w:rPr>
        <w:t xml:space="preserve"> και, ουσιαστικά, διευκολύνοντας τη σ</w:t>
      </w:r>
      <w:r w:rsidR="00A747F6">
        <w:rPr>
          <w:rFonts w:ascii="Tahoma" w:eastAsia="Calibri" w:hAnsi="Tahoma" w:cs="Tahoma"/>
          <w:sz w:val="22"/>
          <w:szCs w:val="22"/>
        </w:rPr>
        <w:t xml:space="preserve">ταδιακή επάνοδο της χώρας στις </w:t>
      </w:r>
      <w:r w:rsidRPr="003C1B9F">
        <w:rPr>
          <w:rFonts w:ascii="Tahoma" w:eastAsia="Calibri" w:hAnsi="Tahoma" w:cs="Tahoma"/>
          <w:sz w:val="22"/>
          <w:szCs w:val="22"/>
        </w:rPr>
        <w:t xml:space="preserve">αγορές. Επίσης, το </w:t>
      </w:r>
      <w:r w:rsidRPr="003C1B9F">
        <w:rPr>
          <w:rFonts w:ascii="Tahoma" w:eastAsia="Calibri" w:hAnsi="Tahoma" w:cs="Tahoma"/>
          <w:sz w:val="22"/>
          <w:szCs w:val="22"/>
          <w:lang w:val="en-GB"/>
        </w:rPr>
        <w:t>EFSF</w:t>
      </w:r>
      <w:r w:rsidRPr="003C1B9F">
        <w:rPr>
          <w:rFonts w:ascii="Tahoma" w:eastAsia="Calibri" w:hAnsi="Tahoma" w:cs="Tahoma"/>
          <w:sz w:val="22"/>
          <w:szCs w:val="22"/>
        </w:rPr>
        <w:t xml:space="preserve"> θα παράσχει προσωρινή στήριξη ρευστότητας (έως και €35δισ.) προκειμένου να διασφαλιστεί η αποδοχή των εγγυήσεων των Ελληνικών ομολόγων από </w:t>
      </w:r>
      <w:r w:rsidRPr="003C1B9F">
        <w:rPr>
          <w:rFonts w:ascii="Tahoma" w:eastAsia="Calibri" w:hAnsi="Tahoma" w:cs="Tahoma"/>
          <w:sz w:val="22"/>
          <w:szCs w:val="22"/>
        </w:rPr>
        <w:lastRenderedPageBreak/>
        <w:t>την ΕΚΤ για τη διοχέτευση ρευστότητας στο ελληνικό τραπεζικό σύστημα, για όσο διάστημα η χώρα παραμένει στην κατηγορία «Επιλεκτική Χρεοκοπία» από τους οίκους αξιολόγησης</w:t>
      </w:r>
      <w:r w:rsidRPr="003C1B9F">
        <w:rPr>
          <w:rStyle w:val="FootnoteReference"/>
          <w:rFonts w:eastAsia="Calibri" w:cs="Tahoma"/>
          <w:sz w:val="22"/>
          <w:szCs w:val="22"/>
        </w:rPr>
        <w:footnoteReference w:id="19"/>
      </w:r>
      <w:r w:rsidRPr="003C1B9F">
        <w:rPr>
          <w:rFonts w:ascii="Tahoma" w:eastAsia="Calibri" w:hAnsi="Tahoma" w:cs="Tahoma"/>
          <w:sz w:val="22"/>
          <w:szCs w:val="22"/>
        </w:rPr>
        <w:t xml:space="preserve">.    </w:t>
      </w:r>
    </w:p>
    <w:p w:rsidR="003C1B9F" w:rsidRPr="003C1B9F" w:rsidRDefault="003C1B9F" w:rsidP="0050168E">
      <w:pPr>
        <w:pStyle w:val="ListParagraph"/>
        <w:numPr>
          <w:ilvl w:val="0"/>
          <w:numId w:val="11"/>
        </w:numPr>
        <w:spacing w:before="240" w:after="240" w:line="312" w:lineRule="auto"/>
        <w:ind w:left="284" w:hanging="284"/>
        <w:contextualSpacing w:val="0"/>
        <w:jc w:val="both"/>
        <w:rPr>
          <w:rFonts w:ascii="Tahoma" w:eastAsia="Calibri" w:hAnsi="Tahoma" w:cs="Tahoma"/>
          <w:sz w:val="22"/>
          <w:szCs w:val="22"/>
        </w:rPr>
      </w:pPr>
      <w:r w:rsidRPr="003C1B9F">
        <w:rPr>
          <w:rFonts w:ascii="Tahoma" w:eastAsia="Calibri" w:hAnsi="Tahoma" w:cs="Tahoma"/>
          <w:sz w:val="22"/>
          <w:szCs w:val="22"/>
        </w:rPr>
        <w:t xml:space="preserve">Ο μηχανισμός της Ευρωπαϊκής Επιτροπής για την παρακολούθηση της εφαρμογής του προγράμματος θα ενισχυθεί περαιτέρω, μέσω μιας μόνιμης πλέον παρουσίας στην Ελλάδα, προκειμένου να στηρίξει τη προσπάθεια της </w:t>
      </w:r>
      <w:r w:rsidRPr="003C1B9F">
        <w:rPr>
          <w:rFonts w:ascii="Tahoma" w:eastAsia="Calibri" w:hAnsi="Tahoma" w:cs="Tahoma"/>
          <w:sz w:val="22"/>
          <w:szCs w:val="22"/>
          <w:lang w:val="en-US"/>
        </w:rPr>
        <w:t>Task</w:t>
      </w:r>
      <w:r w:rsidRPr="003C1B9F">
        <w:rPr>
          <w:rFonts w:ascii="Tahoma" w:eastAsia="Calibri" w:hAnsi="Tahoma" w:cs="Tahoma"/>
          <w:sz w:val="22"/>
          <w:szCs w:val="22"/>
        </w:rPr>
        <w:t xml:space="preserve"> </w:t>
      </w:r>
      <w:r w:rsidRPr="003C1B9F">
        <w:rPr>
          <w:rFonts w:ascii="Tahoma" w:eastAsia="Calibri" w:hAnsi="Tahoma" w:cs="Tahoma"/>
          <w:sz w:val="22"/>
          <w:szCs w:val="22"/>
          <w:lang w:val="en-US"/>
        </w:rPr>
        <w:t>Force</w:t>
      </w:r>
      <w:r w:rsidRPr="003C1B9F">
        <w:rPr>
          <w:rFonts w:ascii="Tahoma" w:eastAsia="Calibri" w:hAnsi="Tahoma" w:cs="Tahoma"/>
          <w:sz w:val="22"/>
          <w:szCs w:val="22"/>
        </w:rPr>
        <w:t xml:space="preserve"> να παράσχει και να συντονίσει την τεχνική βοήθεια προς τη χώρα. Παρά το γεγονός ότι η πρωτοβουλία αυτή γίνεται δεκτή από ένα μέρος της κοινής γνώμης ως ένα στοιχείο απώλειας εθνικής κυριαρχίας, εντούτοις θα πρέπει να γίνει κατανοητό ότι οι εγγενείς αδυναμίες της δημόσιας διοίκησης να εφαρμόσει τις αποφάσεις που λαμβάνονται σε πολιτικό επίπεδο αποτελούν ένα ανυπέρβλητο εμπόδιο στη συνολική αποτελεσματικότητα του προγράμματος δημοσιονομικής προσαρμογής. Επίσης, παραγνωρίζεται το γεγονός ότι η υιοθέτηση διεθνών βέλτιστων πρακτικών στη δημόσια διοίκηση </w:t>
      </w:r>
      <w:r w:rsidR="00A95F16">
        <w:rPr>
          <w:rFonts w:ascii="Tahoma" w:eastAsia="Calibri" w:hAnsi="Tahoma" w:cs="Tahoma"/>
          <w:sz w:val="22"/>
          <w:szCs w:val="22"/>
        </w:rPr>
        <w:t xml:space="preserve">με τη βοήθεια ευρωπαίων ειδικών </w:t>
      </w:r>
      <w:r w:rsidRPr="003C1B9F">
        <w:rPr>
          <w:rFonts w:ascii="Tahoma" w:eastAsia="Calibri" w:hAnsi="Tahoma" w:cs="Tahoma"/>
          <w:sz w:val="22"/>
          <w:szCs w:val="22"/>
        </w:rPr>
        <w:t xml:space="preserve">θα ενισχύσει σημαντικά τη συνολική ανταγωνιστικότητα της οικονομίας, την αύξηση της παραγωγικότητας  του δημόσιου τομέα και τον εξορθολογισμό των δημοσίων δαπανών. Επιπλέον, αίρεται η αβεβαιότητα που απορρέει από την τριμηνιαία αξιολόγηση του προγράμματος και την εκταμίευση των δόσεων της χρηματοδότησης, που αποσταθεροποιεί την πραγματική οικονομία, εφόσον πλέον η αξιολόγηση της εφαρμογής του προγράμματος θα είναι συνεχής. </w:t>
      </w:r>
    </w:p>
    <w:p w:rsidR="003C1B9F" w:rsidRPr="003C1B9F" w:rsidRDefault="003C1B9F" w:rsidP="0050168E">
      <w:pPr>
        <w:pStyle w:val="ListParagraph"/>
        <w:numPr>
          <w:ilvl w:val="0"/>
          <w:numId w:val="11"/>
        </w:numPr>
        <w:spacing w:before="240" w:after="240" w:line="312" w:lineRule="auto"/>
        <w:ind w:left="284" w:hanging="284"/>
        <w:contextualSpacing w:val="0"/>
        <w:jc w:val="both"/>
        <w:rPr>
          <w:rFonts w:ascii="Tahoma" w:eastAsia="Calibri" w:hAnsi="Tahoma" w:cs="Tahoma"/>
          <w:sz w:val="22"/>
          <w:szCs w:val="22"/>
        </w:rPr>
      </w:pPr>
      <w:r w:rsidRPr="003C1B9F">
        <w:rPr>
          <w:rFonts w:ascii="Tahoma" w:eastAsia="Calibri" w:hAnsi="Tahoma" w:cs="Tahoma"/>
          <w:sz w:val="22"/>
          <w:szCs w:val="22"/>
        </w:rPr>
        <w:t>Οι ελληνικές αρχές έχουν δεσμευθεί να εισάγουν σχετική διάταξη στο Σύνταγμα που θα προβλέπει την κατά προτεραιότητα εξυπηρέτηση των πληρωμών του χρέους (μέσω πόρων από το νέο πακέτο χρηματοδότησης και από τον κρατικό προϋπολογισμό), με τη δημιουργία ειδικού λογαριασμού στην Τράπεζα της Ελλάδος. Παρά το γεγονός ότι η προϋπόθεση αυτή δημιουργεί περιορισμένα πλαίσια άσκησης δημοσιονομικών ελιγμών, θα πρέπει να γίνει σαφές ότι στις σύγχρονες ευρωπαϊκές δημοκρατίες, η ανταπόκριση των κρατών στις δανειακές τους υποχρεώσεις θεωρείται δεδομένη και βασικό στοιχείο αξιοπιστίας.</w:t>
      </w:r>
      <w:r w:rsidR="00A95F16">
        <w:rPr>
          <w:rFonts w:ascii="Tahoma" w:eastAsia="Calibri" w:hAnsi="Tahoma" w:cs="Tahoma"/>
          <w:sz w:val="22"/>
          <w:szCs w:val="22"/>
        </w:rPr>
        <w:t xml:space="preserve"> Ήδη κατατέθηκε τροπολογία του ΥΠΟΙΚ στη Βουλή</w:t>
      </w:r>
      <w:r w:rsidR="00E12141">
        <w:rPr>
          <w:rFonts w:ascii="Tahoma" w:eastAsia="Calibri" w:hAnsi="Tahoma" w:cs="Tahoma"/>
          <w:sz w:val="22"/>
          <w:szCs w:val="22"/>
        </w:rPr>
        <w:t xml:space="preserve">, σχετικά. </w:t>
      </w:r>
      <w:r w:rsidRPr="003C1B9F">
        <w:rPr>
          <w:rFonts w:ascii="Tahoma" w:eastAsia="Calibri" w:hAnsi="Tahoma" w:cs="Tahoma"/>
          <w:sz w:val="22"/>
          <w:szCs w:val="22"/>
        </w:rPr>
        <w:t xml:space="preserve"> </w:t>
      </w:r>
    </w:p>
    <w:p w:rsidR="003C1B9F" w:rsidRPr="003C1B9F" w:rsidRDefault="003C1B9F" w:rsidP="0050168E">
      <w:pPr>
        <w:pStyle w:val="ListParagraph"/>
        <w:numPr>
          <w:ilvl w:val="0"/>
          <w:numId w:val="11"/>
        </w:numPr>
        <w:spacing w:before="240" w:after="240" w:line="312" w:lineRule="auto"/>
        <w:ind w:left="284" w:hanging="284"/>
        <w:contextualSpacing w:val="0"/>
        <w:jc w:val="both"/>
        <w:rPr>
          <w:rFonts w:ascii="Tahoma" w:eastAsia="Calibri" w:hAnsi="Tahoma" w:cs="Tahoma"/>
          <w:sz w:val="22"/>
          <w:szCs w:val="22"/>
        </w:rPr>
      </w:pPr>
      <w:r w:rsidRPr="003C1B9F">
        <w:rPr>
          <w:rFonts w:ascii="Tahoma" w:eastAsia="Calibri" w:hAnsi="Tahoma" w:cs="Tahoma"/>
          <w:sz w:val="22"/>
          <w:szCs w:val="22"/>
        </w:rPr>
        <w:t xml:space="preserve">Μαζί με το πρόσθετο πακέτο χρηματοδότησης ύψους €130δισ. από την ΕΕ και το ΔΝΤ, το συνολικό ύψος των δανείων που θα δοθούν στην Ελλάδα την περίοδο 2010-2014 ανέρχεται στα €240δισ. (ή 70% του δημοσίου χρέους). Το ύψος του πακέτου χρηματοδότησης καταδεικνύει τη δέσμευση της διεθνούς κοινότητας να στηρίξει την Ελλάδα να ξεπεράσει την κρίση και να εισέλθει πλέον σε μια τροχιά βιώσιμης ανάπτυξης. Ουσιαστικά, η λογική των πρόσφατων ευρωπαϊκών αποφάσεων είναι ότι η διεθνής κοινότητα (ΕΕ/ΔΝΤ) αναλαμβάνει την αναχρηματοδότηση του χρέους, ενώ η Ελλάδα δεσμεύεται να συνεχίσει τη προσπάθεια δημοσιονομικής προσαρμογής, ώστε να παράγει πρωτογενή πλεονάσματα και να προωθήσει την εφαρμογή διαρθρωτικών μεταρρυθμίσεων στην οικονομία. </w:t>
      </w:r>
    </w:p>
    <w:p w:rsidR="003C1B9F" w:rsidRPr="003C1B9F" w:rsidRDefault="003C1B9F" w:rsidP="0050168E">
      <w:pPr>
        <w:pStyle w:val="ListParagraph"/>
        <w:numPr>
          <w:ilvl w:val="0"/>
          <w:numId w:val="11"/>
        </w:numPr>
        <w:spacing w:before="240" w:after="240" w:line="312" w:lineRule="auto"/>
        <w:ind w:left="284" w:hanging="284"/>
        <w:jc w:val="both"/>
        <w:rPr>
          <w:rFonts w:eastAsia="Calibri" w:cs="Arial"/>
          <w:sz w:val="22"/>
          <w:szCs w:val="22"/>
        </w:rPr>
      </w:pPr>
      <w:r w:rsidRPr="003C1B9F">
        <w:rPr>
          <w:rFonts w:ascii="Tahoma" w:eastAsia="Calibri" w:hAnsi="Tahoma" w:cs="Tahoma"/>
          <w:sz w:val="22"/>
          <w:szCs w:val="22"/>
        </w:rPr>
        <w:lastRenderedPageBreak/>
        <w:t>Θα πρέπει ωστόσο να σημειωθεί ότι ο εθελοντικός χαρακτήρας της συμμετοχής στο Πρόγραμμα Ανταλλαγής των Ομολόγων του Ελληνικού Δημοσίου δεν απέτρεψε την ενεργοποίηση των Ρητρών Συλλογικής Δράσης (</w:t>
      </w:r>
      <w:r w:rsidRPr="003C1B9F">
        <w:rPr>
          <w:rFonts w:ascii="Tahoma" w:eastAsia="Calibri" w:hAnsi="Tahoma" w:cs="Tahoma"/>
          <w:sz w:val="22"/>
          <w:szCs w:val="22"/>
          <w:lang w:val="en-GB"/>
        </w:rPr>
        <w:t>Collective</w:t>
      </w:r>
      <w:r w:rsidRPr="003C1B9F">
        <w:rPr>
          <w:rFonts w:ascii="Tahoma" w:eastAsia="Calibri" w:hAnsi="Tahoma" w:cs="Tahoma"/>
          <w:sz w:val="22"/>
          <w:szCs w:val="22"/>
        </w:rPr>
        <w:t xml:space="preserve"> </w:t>
      </w:r>
      <w:r w:rsidRPr="003C1B9F">
        <w:rPr>
          <w:rFonts w:ascii="Tahoma" w:eastAsia="Calibri" w:hAnsi="Tahoma" w:cs="Tahoma"/>
          <w:sz w:val="22"/>
          <w:szCs w:val="22"/>
          <w:lang w:val="en-GB"/>
        </w:rPr>
        <w:t>Action</w:t>
      </w:r>
      <w:r w:rsidRPr="003C1B9F">
        <w:rPr>
          <w:rFonts w:ascii="Tahoma" w:eastAsia="Calibri" w:hAnsi="Tahoma" w:cs="Tahoma"/>
          <w:sz w:val="22"/>
          <w:szCs w:val="22"/>
        </w:rPr>
        <w:t xml:space="preserve"> </w:t>
      </w:r>
      <w:r w:rsidRPr="003C1B9F">
        <w:rPr>
          <w:rFonts w:ascii="Tahoma" w:eastAsia="Calibri" w:hAnsi="Tahoma" w:cs="Tahoma"/>
          <w:sz w:val="22"/>
          <w:szCs w:val="22"/>
          <w:lang w:val="en-GB"/>
        </w:rPr>
        <w:t>Clauses</w:t>
      </w:r>
      <w:r w:rsidRPr="003C1B9F">
        <w:rPr>
          <w:rFonts w:ascii="Tahoma" w:eastAsia="Calibri" w:hAnsi="Tahoma" w:cs="Tahoma"/>
          <w:sz w:val="22"/>
          <w:szCs w:val="22"/>
        </w:rPr>
        <w:t xml:space="preserve">), ώστε να διασφαλιστεί ποσοστό συμμετοχής άνω του 95% των </w:t>
      </w:r>
      <w:r w:rsidR="00E12141">
        <w:rPr>
          <w:rFonts w:ascii="Tahoma" w:eastAsia="Calibri" w:hAnsi="Tahoma" w:cs="Tahoma"/>
          <w:sz w:val="22"/>
          <w:szCs w:val="22"/>
        </w:rPr>
        <w:t xml:space="preserve">ιδιωτών </w:t>
      </w:r>
      <w:r w:rsidRPr="003C1B9F">
        <w:rPr>
          <w:rFonts w:ascii="Tahoma" w:eastAsia="Calibri" w:hAnsi="Tahoma" w:cs="Tahoma"/>
          <w:sz w:val="22"/>
          <w:szCs w:val="22"/>
        </w:rPr>
        <w:t xml:space="preserve">κατόχων τίτλων του Ελληνικού Δημοσίου. Η ενεργοποίηση των </w:t>
      </w:r>
      <w:r w:rsidRPr="003C1B9F">
        <w:rPr>
          <w:rFonts w:ascii="Tahoma" w:eastAsia="Calibri" w:hAnsi="Tahoma" w:cs="Tahoma"/>
          <w:sz w:val="22"/>
          <w:szCs w:val="22"/>
          <w:lang w:val="en-GB"/>
        </w:rPr>
        <w:t>CACs</w:t>
      </w:r>
      <w:r w:rsidRPr="003C1B9F">
        <w:rPr>
          <w:rFonts w:ascii="Tahoma" w:eastAsia="Calibri" w:hAnsi="Tahoma" w:cs="Tahoma"/>
          <w:sz w:val="22"/>
          <w:szCs w:val="22"/>
        </w:rPr>
        <w:t>, η υποβάθμιση της πιστοληπτικής ικανότητας της χώρας στην κατηγορία ‘Επιλεκτική Χρεοκοπία’ (</w:t>
      </w:r>
      <w:r w:rsidRPr="003C1B9F">
        <w:rPr>
          <w:rFonts w:ascii="Tahoma" w:eastAsia="Calibri" w:hAnsi="Tahoma" w:cs="Tahoma"/>
          <w:sz w:val="22"/>
          <w:szCs w:val="22"/>
          <w:lang w:val="en-GB"/>
        </w:rPr>
        <w:t>Selective</w:t>
      </w:r>
      <w:r w:rsidRPr="003C1B9F">
        <w:rPr>
          <w:rFonts w:ascii="Tahoma" w:eastAsia="Calibri" w:hAnsi="Tahoma" w:cs="Tahoma"/>
          <w:sz w:val="22"/>
          <w:szCs w:val="22"/>
        </w:rPr>
        <w:t xml:space="preserve"> </w:t>
      </w:r>
      <w:r w:rsidRPr="003C1B9F">
        <w:rPr>
          <w:rFonts w:ascii="Tahoma" w:eastAsia="Calibri" w:hAnsi="Tahoma" w:cs="Tahoma"/>
          <w:sz w:val="22"/>
          <w:szCs w:val="22"/>
          <w:lang w:val="en-GB"/>
        </w:rPr>
        <w:t>Default</w:t>
      </w:r>
      <w:r w:rsidRPr="003C1B9F">
        <w:rPr>
          <w:rFonts w:ascii="Tahoma" w:eastAsia="Calibri" w:hAnsi="Tahoma" w:cs="Tahoma"/>
          <w:sz w:val="22"/>
          <w:szCs w:val="22"/>
        </w:rPr>
        <w:t>) – η οποία διαρκεί μέχρι την ολοκλήρωση του προγράμματος ανταλλαγής – και η πληρωμή των ασφαλίστρων κινδύνων (</w:t>
      </w:r>
      <w:r w:rsidRPr="003C1B9F">
        <w:rPr>
          <w:rFonts w:ascii="Tahoma" w:eastAsia="Calibri" w:hAnsi="Tahoma" w:cs="Tahoma"/>
          <w:sz w:val="22"/>
          <w:szCs w:val="22"/>
          <w:lang w:val="en-GB"/>
        </w:rPr>
        <w:t>Credit</w:t>
      </w:r>
      <w:r w:rsidRPr="003C1B9F">
        <w:rPr>
          <w:rFonts w:ascii="Tahoma" w:eastAsia="Calibri" w:hAnsi="Tahoma" w:cs="Tahoma"/>
          <w:sz w:val="22"/>
          <w:szCs w:val="22"/>
        </w:rPr>
        <w:t xml:space="preserve"> </w:t>
      </w:r>
      <w:r w:rsidRPr="003C1B9F">
        <w:rPr>
          <w:rFonts w:ascii="Tahoma" w:eastAsia="Calibri" w:hAnsi="Tahoma" w:cs="Tahoma"/>
          <w:sz w:val="22"/>
          <w:szCs w:val="22"/>
          <w:lang w:val="en-GB"/>
        </w:rPr>
        <w:t>Default</w:t>
      </w:r>
      <w:r w:rsidRPr="003C1B9F">
        <w:rPr>
          <w:rFonts w:ascii="Tahoma" w:eastAsia="Calibri" w:hAnsi="Tahoma" w:cs="Tahoma"/>
          <w:sz w:val="22"/>
          <w:szCs w:val="22"/>
        </w:rPr>
        <w:t xml:space="preserve"> </w:t>
      </w:r>
      <w:r w:rsidRPr="003C1B9F">
        <w:rPr>
          <w:rFonts w:ascii="Tahoma" w:eastAsia="Calibri" w:hAnsi="Tahoma" w:cs="Tahoma"/>
          <w:sz w:val="22"/>
          <w:szCs w:val="22"/>
          <w:lang w:val="en-GB"/>
        </w:rPr>
        <w:t>Swaps</w:t>
      </w:r>
      <w:r w:rsidRPr="003C1B9F">
        <w:rPr>
          <w:rFonts w:ascii="Tahoma" w:eastAsia="Calibri" w:hAnsi="Tahoma" w:cs="Tahoma"/>
          <w:sz w:val="22"/>
          <w:szCs w:val="22"/>
        </w:rPr>
        <w:t xml:space="preserve">) αποτελούν αναμφισβήτητα πλήγμα στην αξιοπιστία της χώρας. Παρά το περιορισμένο ύψος κεφαλαίων που πληρώθηκαν για </w:t>
      </w:r>
      <w:r w:rsidRPr="003C1B9F">
        <w:rPr>
          <w:rFonts w:ascii="Tahoma" w:eastAsia="Calibri" w:hAnsi="Tahoma" w:cs="Tahoma"/>
          <w:sz w:val="22"/>
          <w:szCs w:val="22"/>
          <w:lang w:val="en-GB"/>
        </w:rPr>
        <w:t>CDS</w:t>
      </w:r>
      <w:r w:rsidRPr="003C1B9F">
        <w:rPr>
          <w:rFonts w:ascii="Tahoma" w:eastAsia="Calibri" w:hAnsi="Tahoma" w:cs="Tahoma"/>
          <w:sz w:val="22"/>
          <w:szCs w:val="22"/>
        </w:rPr>
        <w:t xml:space="preserve"> και παρότι εν πολλοίς οι παραπάνω εξελίξεις είχαν προεξοφληθεί από τους μετέχοντες στην αγορά και την επενδυτική κοινότητα, θα πρέπει να υπογραμμιστεί ότι η χώρα θα πρέπει να καλύψει μεγαλύτερο χάσμα αξιοπιστίας για να επανέλθει σε φυσιολογικό δανεισμό από τις αγορές κεφαλαίου. Μια άμεση επίπτωση της υποβάθμισης της χώρας στην κατηγορία «Επιλεκτική Χρεοκοπία» ήταν η αναστολή αποδοχής των ελληνικών ομολόγων από την ΕΚΤ ως εγγύηση για την παροχή ρευστότητας στο τραπεζικό σύστημα. Παρά το γεγονός ότι με την ενεργοποίηση του σχεδίου ενίσχυσης των εγγυήσεων (έως €35δισ.) από το </w:t>
      </w:r>
      <w:r w:rsidRPr="003C1B9F">
        <w:rPr>
          <w:rFonts w:ascii="Tahoma" w:eastAsia="Calibri" w:hAnsi="Tahoma" w:cs="Tahoma"/>
          <w:sz w:val="22"/>
          <w:szCs w:val="22"/>
          <w:lang w:val="en-GB"/>
        </w:rPr>
        <w:t>EFSF</w:t>
      </w:r>
      <w:r w:rsidRPr="003C1B9F">
        <w:rPr>
          <w:rFonts w:ascii="Tahoma" w:eastAsia="Calibri" w:hAnsi="Tahoma" w:cs="Tahoma"/>
          <w:sz w:val="22"/>
          <w:szCs w:val="22"/>
        </w:rPr>
        <w:t xml:space="preserve"> η ΕΚΤ θα δέχεται ξανά τα ελληνικά ομόλογα, εντούτοις η ρευστότητα των Ελληνικών τραπεζών θα εξαρτάται αποκλειστικά από τη χρηματοδότηση της Τράπεζας της Ελλάδος (μέσω του </w:t>
      </w:r>
      <w:r w:rsidRPr="003C1B9F">
        <w:rPr>
          <w:rFonts w:ascii="Tahoma" w:eastAsia="Calibri" w:hAnsi="Tahoma" w:cs="Tahoma"/>
          <w:sz w:val="22"/>
          <w:szCs w:val="22"/>
          <w:lang w:val="en-GB"/>
        </w:rPr>
        <w:t>Emergency</w:t>
      </w:r>
      <w:r w:rsidRPr="003C1B9F">
        <w:rPr>
          <w:rFonts w:ascii="Tahoma" w:eastAsia="Calibri" w:hAnsi="Tahoma" w:cs="Tahoma"/>
          <w:sz w:val="22"/>
          <w:szCs w:val="22"/>
        </w:rPr>
        <w:t xml:space="preserve"> </w:t>
      </w:r>
      <w:r w:rsidRPr="003C1B9F">
        <w:rPr>
          <w:rFonts w:ascii="Tahoma" w:eastAsia="Calibri" w:hAnsi="Tahoma" w:cs="Tahoma"/>
          <w:sz w:val="22"/>
          <w:szCs w:val="22"/>
          <w:lang w:val="en-GB"/>
        </w:rPr>
        <w:t>Liquidity</w:t>
      </w:r>
      <w:r w:rsidRPr="003C1B9F">
        <w:rPr>
          <w:rFonts w:ascii="Tahoma" w:eastAsia="Calibri" w:hAnsi="Tahoma" w:cs="Tahoma"/>
          <w:sz w:val="22"/>
          <w:szCs w:val="22"/>
        </w:rPr>
        <w:t xml:space="preserve"> </w:t>
      </w:r>
      <w:r w:rsidRPr="003C1B9F">
        <w:rPr>
          <w:rFonts w:ascii="Tahoma" w:eastAsia="Calibri" w:hAnsi="Tahoma" w:cs="Tahoma"/>
          <w:sz w:val="22"/>
          <w:szCs w:val="22"/>
          <w:lang w:val="en-GB"/>
        </w:rPr>
        <w:t>Assistance</w:t>
      </w:r>
      <w:r w:rsidRPr="003C1B9F">
        <w:rPr>
          <w:rFonts w:ascii="Tahoma" w:eastAsia="Calibri" w:hAnsi="Tahoma" w:cs="Tahoma"/>
          <w:sz w:val="22"/>
          <w:szCs w:val="22"/>
        </w:rPr>
        <w:t xml:space="preserve"> (</w:t>
      </w:r>
      <w:r w:rsidRPr="003C1B9F">
        <w:rPr>
          <w:rFonts w:ascii="Tahoma" w:eastAsia="Calibri" w:hAnsi="Tahoma" w:cs="Tahoma"/>
          <w:sz w:val="22"/>
          <w:szCs w:val="22"/>
          <w:lang w:val="en-GB"/>
        </w:rPr>
        <w:t>ELA</w:t>
      </w:r>
      <w:r w:rsidR="00E12141">
        <w:rPr>
          <w:rFonts w:ascii="Tahoma" w:eastAsia="Calibri" w:hAnsi="Tahoma" w:cs="Tahoma"/>
          <w:sz w:val="22"/>
          <w:szCs w:val="22"/>
        </w:rPr>
        <w:t>))</w:t>
      </w:r>
      <w:r w:rsidRPr="003C1B9F">
        <w:rPr>
          <w:rFonts w:ascii="Tahoma" w:eastAsia="Calibri" w:hAnsi="Tahoma" w:cs="Tahoma"/>
          <w:sz w:val="22"/>
          <w:szCs w:val="22"/>
        </w:rPr>
        <w:t xml:space="preserve"> </w:t>
      </w:r>
      <w:r w:rsidR="00E12141">
        <w:rPr>
          <w:rFonts w:ascii="Tahoma" w:eastAsia="Calibri" w:hAnsi="Tahoma" w:cs="Tahoma"/>
          <w:sz w:val="22"/>
          <w:szCs w:val="22"/>
        </w:rPr>
        <w:t>σ</w:t>
      </w:r>
      <w:r w:rsidRPr="003C1B9F">
        <w:rPr>
          <w:rFonts w:ascii="Tahoma" w:eastAsia="Calibri" w:hAnsi="Tahoma" w:cs="Tahoma"/>
          <w:sz w:val="22"/>
          <w:szCs w:val="22"/>
        </w:rPr>
        <w:t>το ενδιάμεσο διάστημα. Επιπρόσθετα, η συμμετοχή ‘φυσικών προσώπων’ στο ‘κούρεμα’ των ομολόγων του ΕΔ επηρεάζει άμεσα τα εισοδήματα ιδιωτών ομολογιούχων που είχαν επιλέξει να αγοράσουν σχετικά ομολόγα, καθώς και τους ισολογισμούς εταιριών-προμηθευτών του δημοσίου (π.χ. φαρμακευτικές εταιρεί</w:t>
      </w:r>
      <w:r w:rsidR="00E12141">
        <w:rPr>
          <w:rFonts w:ascii="Tahoma" w:eastAsia="Calibri" w:hAnsi="Tahoma" w:cs="Tahoma"/>
          <w:sz w:val="22"/>
          <w:szCs w:val="22"/>
        </w:rPr>
        <w:t>ε</w:t>
      </w:r>
      <w:r w:rsidRPr="003C1B9F">
        <w:rPr>
          <w:rFonts w:ascii="Tahoma" w:eastAsia="Calibri" w:hAnsi="Tahoma" w:cs="Tahoma"/>
          <w:sz w:val="22"/>
          <w:szCs w:val="22"/>
        </w:rPr>
        <w:t xml:space="preserve">ς) καθώς τους είχαν δοθεί εγγυήσεις με ομόλογα του ΕΔ για την εξόφληση κρατικών χρεών προς αυτούς. Μια τέτοια εξέλιξη, παρότι είναι σαφώς προτιμότερη από την ολοκληρωτική αθέτηση των υποχρεώσεων του Ελληνικού κράτους, θεωρείται άδικη και γεννά σημαντικές αμφιβολίες για την </w:t>
      </w:r>
      <w:r w:rsidR="00E264D6">
        <w:rPr>
          <w:rFonts w:ascii="Tahoma" w:eastAsia="Calibri" w:hAnsi="Tahoma" w:cs="Tahoma"/>
          <w:sz w:val="22"/>
          <w:szCs w:val="22"/>
        </w:rPr>
        <w:t>αθέτηση υποχρεώσεων προς προμηθευτές του κράτους στο μέλλον</w:t>
      </w:r>
      <w:r w:rsidRPr="003C1B9F">
        <w:rPr>
          <w:rFonts w:ascii="Tahoma" w:eastAsia="Calibri" w:hAnsi="Tahoma" w:cs="Tahoma"/>
          <w:sz w:val="22"/>
          <w:szCs w:val="22"/>
        </w:rPr>
        <w:t xml:space="preserve">. Για τις δυο αυτές κατηγορίες κατόχων ομολόγων του Ελληνικού Δημοσίου θα πρέπει ενδεχομένως να βρεθούν αντισταθμιστικές λύσεις (π.χ. μέσω συμψηφισμού με μελλοντικές φορολογικές οφειλές). </w:t>
      </w:r>
    </w:p>
    <w:p w:rsidR="003C1B9F" w:rsidRPr="00E645CA" w:rsidRDefault="003C1B9F" w:rsidP="00E645CA">
      <w:pPr>
        <w:pStyle w:val="new2"/>
        <w:spacing w:before="240" w:line="312" w:lineRule="auto"/>
        <w:jc w:val="left"/>
        <w:rPr>
          <w:rFonts w:cs="Tahoma"/>
        </w:rPr>
      </w:pPr>
      <w:bookmarkStart w:id="322" w:name="_Toc320872896"/>
      <w:r w:rsidRPr="00E645CA">
        <w:rPr>
          <w:rFonts w:cs="Tahoma"/>
        </w:rPr>
        <w:t>Ανάλυση Βιωσιμότητας Δημοσίου Χρέους</w:t>
      </w:r>
      <w:bookmarkEnd w:id="322"/>
    </w:p>
    <w:p w:rsidR="003C1B9F" w:rsidRPr="003C1B9F" w:rsidRDefault="003C1B9F" w:rsidP="003C1B9F">
      <w:pPr>
        <w:spacing w:before="240" w:after="240" w:line="312" w:lineRule="auto"/>
        <w:jc w:val="both"/>
        <w:rPr>
          <w:rFonts w:ascii="Tahoma" w:eastAsia="Calibri" w:hAnsi="Tahoma" w:cs="Tahoma"/>
          <w:sz w:val="22"/>
          <w:szCs w:val="22"/>
        </w:rPr>
      </w:pPr>
      <w:r w:rsidRPr="003C1B9F">
        <w:rPr>
          <w:rFonts w:ascii="Tahoma" w:eastAsia="Calibri" w:hAnsi="Tahoma" w:cs="Tahoma"/>
          <w:sz w:val="22"/>
          <w:szCs w:val="22"/>
        </w:rPr>
        <w:t xml:space="preserve">Η βιωσιμότητα του δημοσίου χρέους θα μπορούσε να οριστεί ως η ικανότητα της κυβέρνησης να ακολουθήσει τις κατάλληλες πολιτικές ώστε να θέσει το χρέος σε μια διατηρήσιμη πτωτική πορεία. Ως εκ τούτου, η ανάλυση βιωσιμότητας αποτελείται από την επέκταση του βασικού σεναρίου στο μέλλον υπό διαφορετικές υποθέσεις, ώστε να διευκρινιστεί κατά πόσο το χρέος μειώνεται, σταθεροποιείται ή αυξάνεται. Οι κατάλληλες προϋποθέσεις για να καταστεί το δημόσιο χρέος βιώσιμο είναι: 1) η δημιουργία ικανών πρωτογενών πλεονασμάτων, και 2) η επίτευξη ονομαστικών ρυθμών μεγέθυνσης υψηλότερων από το επιτόκιο εξυπηρέτησης του χρέους. Η σημασία της ένταξης του λόγου Χρέους / ΑΕΠ σε μια διατηρήσιμη πτωτική τροχιά βασίζεται στη δημιουργία ενός σταθερού και δημοσιονομικά βιώσιμου οικονομικού περιβάλλοντος, προκειμένου η χώρα να μπορεί να καλύψει τις χρηματοδοτικές της ανάγκες μέσω της σταδιακής εξόδου στις αγορές κεφαλαίου, στην ανάκτηση της αξιοπιστίας έναντι της επενδυτικής κοινότητας και στην προσέλκυση ξένων </w:t>
      </w:r>
      <w:r w:rsidRPr="003C1B9F">
        <w:rPr>
          <w:rFonts w:ascii="Tahoma" w:eastAsia="Calibri" w:hAnsi="Tahoma" w:cs="Tahoma"/>
          <w:sz w:val="22"/>
          <w:szCs w:val="22"/>
        </w:rPr>
        <w:lastRenderedPageBreak/>
        <w:t>επενδύσεων, που θα τονώσουν  την οικονομική ανάπτυξη και θα ενισχύσουν την κοινωνική ευημερία.</w:t>
      </w:r>
    </w:p>
    <w:p w:rsidR="003C1B9F" w:rsidRPr="003C1B9F" w:rsidRDefault="003C1B9F" w:rsidP="003C1B9F">
      <w:pPr>
        <w:spacing w:before="240" w:after="240" w:line="312" w:lineRule="auto"/>
        <w:jc w:val="both"/>
        <w:rPr>
          <w:rFonts w:ascii="Tahoma" w:eastAsia="Calibri" w:hAnsi="Tahoma" w:cs="Tahoma"/>
          <w:sz w:val="22"/>
          <w:szCs w:val="22"/>
        </w:rPr>
      </w:pPr>
      <w:r w:rsidRPr="003C1B9F">
        <w:rPr>
          <w:rFonts w:ascii="Tahoma" w:eastAsia="Calibri" w:hAnsi="Tahoma" w:cs="Tahoma"/>
          <w:sz w:val="22"/>
          <w:szCs w:val="22"/>
        </w:rPr>
        <w:t>Αναλυτικότερα, οι παράγοντες που επηρεάζουν τον δείκτη Δημόσιο Χρέος / ΑΕΠ της Ελλάδας είναι οι ακόλουθοι: 1) ο ρυθμός αύξησης του ονομαστικού ΑΕΠ, 2) η δημιουργία πρωτογενών πλεονασμάτων στον κρατικό προϋπολογισμό, 3) η μείωση του μεσοσταθμικού επιτοκίου, 4) η πλήρης εφαρμογή του Προγράμματος Εθελοντικής Ανταλλαγής Ομολόγων (</w:t>
      </w:r>
      <w:r w:rsidRPr="003C1B9F">
        <w:rPr>
          <w:rFonts w:ascii="Tahoma" w:eastAsia="Calibri" w:hAnsi="Tahoma" w:cs="Tahoma"/>
          <w:sz w:val="22"/>
          <w:szCs w:val="22"/>
          <w:lang w:val="en-GB"/>
        </w:rPr>
        <w:t>PSI</w:t>
      </w:r>
      <w:r w:rsidRPr="003C1B9F">
        <w:rPr>
          <w:rFonts w:ascii="Tahoma" w:eastAsia="Calibri" w:hAnsi="Tahoma" w:cs="Tahoma"/>
          <w:sz w:val="22"/>
          <w:szCs w:val="22"/>
        </w:rPr>
        <w:t>), και 5) η προώθηση και υλοποίηση του προγράμματος ιδιωτικοποιήσεων και αξιοποίησης της δημόσιας περιουσίας, με στόχο την άντληση περίπου €50δισ. έως το 2020.</w:t>
      </w:r>
    </w:p>
    <w:p w:rsidR="003C1B9F" w:rsidRPr="003C2DCF" w:rsidRDefault="003C1B9F" w:rsidP="003C1B9F">
      <w:pPr>
        <w:pStyle w:val="Caption"/>
        <w:keepNext/>
        <w:spacing w:before="120" w:after="120"/>
        <w:jc w:val="center"/>
        <w:rPr>
          <w:rFonts w:ascii="Tahoma" w:hAnsi="Tahoma" w:cs="Tahoma"/>
          <w:color w:val="000000" w:themeColor="text1"/>
          <w:sz w:val="20"/>
        </w:rPr>
      </w:pPr>
      <w:r w:rsidRPr="003C2DCF">
        <w:rPr>
          <w:rFonts w:ascii="Tahoma" w:hAnsi="Tahoma" w:cs="Tahoma"/>
          <w:color w:val="000000" w:themeColor="text1"/>
          <w:sz w:val="20"/>
        </w:rPr>
        <w:t>Διάγραμμα 4.</w:t>
      </w:r>
      <w:r w:rsidR="0073051F" w:rsidRPr="003C2DCF">
        <w:rPr>
          <w:rFonts w:ascii="Tahoma" w:hAnsi="Tahoma" w:cs="Tahoma"/>
          <w:color w:val="000000" w:themeColor="text1"/>
          <w:sz w:val="20"/>
        </w:rPr>
        <w:fldChar w:fldCharType="begin"/>
      </w:r>
      <w:r w:rsidRPr="003C2DCF">
        <w:rPr>
          <w:rFonts w:ascii="Tahoma" w:hAnsi="Tahoma" w:cs="Tahoma"/>
          <w:color w:val="000000" w:themeColor="text1"/>
          <w:sz w:val="20"/>
        </w:rPr>
        <w:instrText xml:space="preserve"> SEQ Διάγραμμα \* ARABIC </w:instrText>
      </w:r>
      <w:r w:rsidR="0073051F" w:rsidRPr="003C2DCF">
        <w:rPr>
          <w:rFonts w:ascii="Tahoma" w:hAnsi="Tahoma" w:cs="Tahoma"/>
          <w:color w:val="000000" w:themeColor="text1"/>
          <w:sz w:val="20"/>
        </w:rPr>
        <w:fldChar w:fldCharType="separate"/>
      </w:r>
      <w:r w:rsidR="0047570C">
        <w:rPr>
          <w:rFonts w:ascii="Tahoma" w:hAnsi="Tahoma" w:cs="Tahoma"/>
          <w:noProof/>
          <w:color w:val="000000" w:themeColor="text1"/>
          <w:sz w:val="20"/>
        </w:rPr>
        <w:t>7</w:t>
      </w:r>
      <w:r w:rsidR="0073051F" w:rsidRPr="003C2DCF">
        <w:rPr>
          <w:rFonts w:ascii="Tahoma" w:hAnsi="Tahoma" w:cs="Tahoma"/>
          <w:color w:val="000000" w:themeColor="text1"/>
          <w:sz w:val="20"/>
        </w:rPr>
        <w:fldChar w:fldCharType="end"/>
      </w:r>
      <w:r w:rsidRPr="003C2DCF">
        <w:rPr>
          <w:rFonts w:ascii="Tahoma" w:hAnsi="Tahoma" w:cs="Tahoma"/>
          <w:color w:val="000000" w:themeColor="text1"/>
          <w:sz w:val="20"/>
        </w:rPr>
        <w:t xml:space="preserve"> </w:t>
      </w:r>
    </w:p>
    <w:p w:rsidR="003C1B9F" w:rsidRPr="003C2DCF" w:rsidRDefault="003C1B9F" w:rsidP="003C1B9F">
      <w:pPr>
        <w:pStyle w:val="Caption"/>
        <w:keepNext/>
        <w:spacing w:before="120" w:after="120"/>
        <w:jc w:val="center"/>
        <w:rPr>
          <w:rFonts w:ascii="Tahoma" w:hAnsi="Tahoma" w:cs="Tahoma"/>
          <w:b w:val="0"/>
          <w:color w:val="000000" w:themeColor="text1"/>
          <w:sz w:val="20"/>
        </w:rPr>
      </w:pPr>
      <w:r w:rsidRPr="003C2DCF">
        <w:rPr>
          <w:rFonts w:ascii="Tahoma" w:hAnsi="Tahoma" w:cs="Tahoma"/>
          <w:b w:val="0"/>
          <w:color w:val="000000" w:themeColor="text1"/>
          <w:sz w:val="20"/>
        </w:rPr>
        <w:t xml:space="preserve">Μακροοικονομικές Υποθέσεις Βασικού Σεναρίου </w:t>
      </w:r>
    </w:p>
    <w:p w:rsidR="003C1B9F" w:rsidRDefault="003C1B9F" w:rsidP="003C1B9F">
      <w:pPr>
        <w:spacing w:line="360" w:lineRule="auto"/>
        <w:jc w:val="center"/>
        <w:rPr>
          <w:rFonts w:eastAsia="Calibri" w:cs="Arial"/>
        </w:rPr>
      </w:pPr>
      <w:r w:rsidRPr="002951DF">
        <w:rPr>
          <w:noProof/>
          <w:lang w:val="en-US" w:eastAsia="en-US"/>
        </w:rPr>
        <w:drawing>
          <wp:inline distT="0" distB="0" distL="0" distR="0">
            <wp:extent cx="6071199" cy="3255968"/>
            <wp:effectExtent l="19050" t="0" r="5751" b="0"/>
            <wp:docPr id="101"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 cstate="print"/>
                    <a:srcRect/>
                    <a:stretch>
                      <a:fillRect/>
                    </a:stretch>
                  </pic:blipFill>
                  <pic:spPr bwMode="auto">
                    <a:xfrm>
                      <a:off x="0" y="0"/>
                      <a:ext cx="6072607" cy="3256723"/>
                    </a:xfrm>
                    <a:prstGeom prst="rect">
                      <a:avLst/>
                    </a:prstGeom>
                    <a:noFill/>
                    <a:ln w="9525">
                      <a:noFill/>
                      <a:miter lim="800000"/>
                      <a:headEnd/>
                      <a:tailEnd/>
                    </a:ln>
                  </pic:spPr>
                </pic:pic>
              </a:graphicData>
            </a:graphic>
          </wp:inline>
        </w:drawing>
      </w:r>
    </w:p>
    <w:p w:rsidR="003C2DCF" w:rsidRPr="003C2DCF" w:rsidRDefault="003C2DCF" w:rsidP="003C1B9F">
      <w:pPr>
        <w:spacing w:before="240" w:after="240" w:line="312" w:lineRule="auto"/>
        <w:jc w:val="both"/>
        <w:rPr>
          <w:rFonts w:ascii="Tahoma" w:eastAsia="Calibri" w:hAnsi="Tahoma" w:cs="Tahoma"/>
          <w:sz w:val="16"/>
          <w:szCs w:val="22"/>
        </w:rPr>
      </w:pPr>
      <w:r w:rsidRPr="003C2DCF">
        <w:rPr>
          <w:rFonts w:ascii="Tahoma" w:eastAsia="Calibri" w:hAnsi="Tahoma" w:cs="Tahoma"/>
          <w:b/>
          <w:sz w:val="16"/>
          <w:szCs w:val="22"/>
        </w:rPr>
        <w:t>Πηγή</w:t>
      </w:r>
      <w:r w:rsidRPr="003C2DCF">
        <w:rPr>
          <w:rFonts w:ascii="Tahoma" w:eastAsia="Calibri" w:hAnsi="Tahoma" w:cs="Tahoma"/>
          <w:sz w:val="16"/>
          <w:szCs w:val="22"/>
        </w:rPr>
        <w:t>: ΙΟΒΕ</w:t>
      </w:r>
    </w:p>
    <w:p w:rsidR="003C1B9F" w:rsidRPr="003C1B9F" w:rsidRDefault="003C1B9F" w:rsidP="003C1B9F">
      <w:pPr>
        <w:spacing w:before="240" w:after="240" w:line="312" w:lineRule="auto"/>
        <w:jc w:val="both"/>
        <w:rPr>
          <w:rFonts w:eastAsia="Calibri" w:cs="Arial"/>
          <w:sz w:val="22"/>
          <w:szCs w:val="22"/>
        </w:rPr>
      </w:pPr>
      <w:r w:rsidRPr="003C1B9F">
        <w:rPr>
          <w:rFonts w:ascii="Tahoma" w:eastAsia="Calibri" w:hAnsi="Tahoma" w:cs="Tahoma"/>
          <w:sz w:val="22"/>
          <w:szCs w:val="22"/>
        </w:rPr>
        <w:t xml:space="preserve">Το </w:t>
      </w:r>
      <w:r w:rsidRPr="003C1B9F">
        <w:rPr>
          <w:rFonts w:ascii="Tahoma" w:eastAsia="Calibri" w:hAnsi="Tahoma" w:cs="Tahoma"/>
          <w:b/>
          <w:color w:val="000000" w:themeColor="text1"/>
          <w:sz w:val="22"/>
          <w:szCs w:val="22"/>
        </w:rPr>
        <w:t>Βασικό Σενάριο</w:t>
      </w:r>
      <w:r w:rsidRPr="003C1B9F">
        <w:rPr>
          <w:rFonts w:ascii="Tahoma" w:eastAsia="Calibri" w:hAnsi="Tahoma" w:cs="Tahoma"/>
          <w:color w:val="000000" w:themeColor="text1"/>
          <w:sz w:val="22"/>
          <w:szCs w:val="22"/>
        </w:rPr>
        <w:t xml:space="preserve"> </w:t>
      </w:r>
      <w:r w:rsidRPr="003C1B9F">
        <w:rPr>
          <w:rFonts w:ascii="Tahoma" w:eastAsia="Calibri" w:hAnsi="Tahoma" w:cs="Tahoma"/>
          <w:sz w:val="22"/>
          <w:szCs w:val="22"/>
        </w:rPr>
        <w:t xml:space="preserve">υποθέτει την επιτυχή ολοκλήρωση του </w:t>
      </w:r>
      <w:r w:rsidRPr="003C1B9F">
        <w:rPr>
          <w:rFonts w:ascii="Tahoma" w:eastAsia="Calibri" w:hAnsi="Tahoma" w:cs="Tahoma"/>
          <w:sz w:val="22"/>
          <w:szCs w:val="22"/>
          <w:lang w:val="en-GB"/>
        </w:rPr>
        <w:t>PSI</w:t>
      </w:r>
      <w:r w:rsidRPr="003C1B9F">
        <w:rPr>
          <w:rFonts w:ascii="Tahoma" w:eastAsia="Calibri" w:hAnsi="Tahoma" w:cs="Tahoma"/>
          <w:sz w:val="22"/>
          <w:szCs w:val="22"/>
        </w:rPr>
        <w:t xml:space="preserve"> (95% συμμετοχή) και την απομείωση του χρέους κατά €107δισ., </w:t>
      </w:r>
      <w:r w:rsidR="00E12141">
        <w:rPr>
          <w:rFonts w:ascii="Tahoma" w:eastAsia="Calibri" w:hAnsi="Tahoma" w:cs="Tahoma"/>
          <w:sz w:val="22"/>
          <w:szCs w:val="22"/>
        </w:rPr>
        <w:t xml:space="preserve">διαδικασία </w:t>
      </w:r>
      <w:r w:rsidRPr="003C1B9F">
        <w:rPr>
          <w:rFonts w:ascii="Tahoma" w:eastAsia="Calibri" w:hAnsi="Tahoma" w:cs="Tahoma"/>
          <w:sz w:val="22"/>
          <w:szCs w:val="22"/>
        </w:rPr>
        <w:t xml:space="preserve">που υλοποιείται. Επιπλέον υποθέτουμε ότι η επανακεφαλαιοποίηση των τραπεζών θα ανέλθει στα €45δισ. τα οποία δεν θα επανακτηθούν αργότερα ως έσοδα αποκρατικοποιήσεων εντός της περιόδου που αναλύεται. Τα έσοδα από τις αποκρατικοποιήσεις ανέρχονται στα €50δισ. μέχρι το 2020, ενώ το μεσοσταθμικό επιτόκιο εξυπηρέτησης του δημόσιου χρέους κυμαίνεται στο 3,7% κατά μέσο όρο για την περίοδο 2012-2020. Εάν υποθέσουμε τη δημιουργία πρωτογενών πλεονασμάτων 4,5% του ΑΕΠ και ονομαστικό ρυθμό αύξησης το ΑΕΠ 3,5% κατά μέσο όρο για την περίοδο 2014-2020 (βλ. Διάγραμμα 4.7), τότε το δημόσιο χρέος μπορεί να προσεγγίσει το </w:t>
      </w:r>
      <w:r w:rsidRPr="003C1B9F">
        <w:rPr>
          <w:rFonts w:ascii="Tahoma" w:eastAsia="Calibri" w:hAnsi="Tahoma" w:cs="Tahoma"/>
          <w:b/>
          <w:color w:val="000000" w:themeColor="text1"/>
          <w:sz w:val="22"/>
          <w:szCs w:val="22"/>
        </w:rPr>
        <w:t>122,3% του ΑΕΠ</w:t>
      </w:r>
      <w:r w:rsidRPr="003C1B9F">
        <w:rPr>
          <w:rFonts w:ascii="Tahoma" w:eastAsia="Calibri" w:hAnsi="Tahoma" w:cs="Tahoma"/>
          <w:sz w:val="22"/>
          <w:szCs w:val="22"/>
        </w:rPr>
        <w:t xml:space="preserve"> το 2020. Το </w:t>
      </w:r>
      <w:r w:rsidRPr="003C1B9F">
        <w:rPr>
          <w:rFonts w:ascii="Tahoma" w:eastAsia="Calibri" w:hAnsi="Tahoma" w:cs="Tahoma"/>
          <w:b/>
          <w:color w:val="000000" w:themeColor="text1"/>
          <w:sz w:val="22"/>
          <w:szCs w:val="22"/>
        </w:rPr>
        <w:t>Βασικό Σενάριο</w:t>
      </w:r>
      <w:r w:rsidRPr="003C1B9F">
        <w:rPr>
          <w:rFonts w:ascii="Tahoma" w:eastAsia="Calibri" w:hAnsi="Tahoma" w:cs="Tahoma"/>
          <w:sz w:val="22"/>
          <w:szCs w:val="22"/>
        </w:rPr>
        <w:t xml:space="preserve"> που υιοθετούμε εμπεριέχει σημαντικούς κινδύνους, ο κυριότερος από τους οποίους είναι η υλοποίηση του φιλόδοξου προγράμματος ιδιωτικοποιήσεων και αξιοποίησης της δημόσιας περιουσίας, εξαιτίας των </w:t>
      </w:r>
      <w:r w:rsidRPr="003C1B9F">
        <w:rPr>
          <w:rFonts w:ascii="Tahoma" w:eastAsia="Calibri" w:hAnsi="Tahoma" w:cs="Tahoma"/>
          <w:sz w:val="22"/>
          <w:szCs w:val="22"/>
        </w:rPr>
        <w:lastRenderedPageBreak/>
        <w:t xml:space="preserve">απογοητευτικών επιδόσεων του παρελθόντος, ενώ </w:t>
      </w:r>
      <w:r w:rsidR="00E12141">
        <w:rPr>
          <w:rFonts w:ascii="Tahoma" w:eastAsia="Calibri" w:hAnsi="Tahoma" w:cs="Tahoma"/>
          <w:sz w:val="22"/>
          <w:szCs w:val="22"/>
        </w:rPr>
        <w:t>η συνεχιζόμενη αβεβαιότητα και</w:t>
      </w:r>
      <w:r w:rsidRPr="003C1B9F">
        <w:rPr>
          <w:rFonts w:ascii="Tahoma" w:eastAsia="Calibri" w:hAnsi="Tahoma" w:cs="Tahoma"/>
          <w:sz w:val="22"/>
          <w:szCs w:val="22"/>
        </w:rPr>
        <w:t xml:space="preserve"> αναταραχή στο παγκόσμιο χρηματοπιστωτικό περιβάλλον αναμένεται να επηρεάσουν αρνητικά την επαλήθευση των υποθέσεών μας. Επιπλέον, σημαντικό </w:t>
      </w:r>
      <w:r w:rsidR="00E12141">
        <w:rPr>
          <w:rFonts w:ascii="Tahoma" w:eastAsia="Calibri" w:hAnsi="Tahoma" w:cs="Tahoma"/>
          <w:sz w:val="22"/>
          <w:szCs w:val="22"/>
        </w:rPr>
        <w:t xml:space="preserve">ενδεχόμενο απόκλισης προκύπτει από τις χαμηλές τιμές στο ελληνικό χρηματιστήριο που δεν ευνοεί </w:t>
      </w:r>
      <w:r w:rsidRPr="003C1B9F">
        <w:rPr>
          <w:rFonts w:ascii="Tahoma" w:eastAsia="Calibri" w:hAnsi="Tahoma" w:cs="Tahoma"/>
          <w:sz w:val="22"/>
          <w:szCs w:val="22"/>
        </w:rPr>
        <w:t>τις πωλήσεις συμμετοχών του ελληνικού δημοσίου σε υψηλά επίπεδα, ώστε να ενισχυθεί η είσπραξη των εσόδων από αποκρατικοποιήσεις</w:t>
      </w:r>
      <w:r w:rsidRPr="003C1B9F">
        <w:rPr>
          <w:rFonts w:eastAsia="Calibri" w:cs="Arial"/>
          <w:sz w:val="22"/>
          <w:szCs w:val="22"/>
        </w:rPr>
        <w:t>.</w:t>
      </w:r>
    </w:p>
    <w:p w:rsidR="003C1B9F" w:rsidRPr="003C1B9F" w:rsidRDefault="003C1B9F" w:rsidP="003C1B9F">
      <w:pPr>
        <w:spacing w:before="240" w:after="240" w:line="312" w:lineRule="auto"/>
        <w:jc w:val="both"/>
        <w:rPr>
          <w:rFonts w:ascii="Tahoma" w:eastAsia="Calibri" w:hAnsi="Tahoma" w:cs="Tahoma"/>
          <w:color w:val="000000" w:themeColor="text1"/>
          <w:sz w:val="22"/>
          <w:szCs w:val="22"/>
        </w:rPr>
      </w:pPr>
      <w:r w:rsidRPr="003C1B9F">
        <w:rPr>
          <w:rFonts w:ascii="Tahoma" w:eastAsia="Calibri" w:hAnsi="Tahoma" w:cs="Tahoma"/>
          <w:sz w:val="22"/>
          <w:szCs w:val="22"/>
        </w:rPr>
        <w:t xml:space="preserve">Από την άλλη πλευρά, το </w:t>
      </w:r>
      <w:r w:rsidRPr="003C1B9F">
        <w:rPr>
          <w:rFonts w:ascii="Tahoma" w:eastAsia="Calibri" w:hAnsi="Tahoma" w:cs="Tahoma"/>
          <w:b/>
          <w:sz w:val="22"/>
          <w:szCs w:val="22"/>
        </w:rPr>
        <w:t>Σενάριο Α</w:t>
      </w:r>
      <w:r w:rsidRPr="003C1B9F">
        <w:rPr>
          <w:rFonts w:ascii="Tahoma" w:eastAsia="Calibri" w:hAnsi="Tahoma" w:cs="Tahoma"/>
          <w:sz w:val="22"/>
          <w:szCs w:val="22"/>
        </w:rPr>
        <w:t xml:space="preserve"> – που προφανώς είναι υποθετικό – δεν λαμβάνει υπόψη την υλοποίηση του </w:t>
      </w:r>
      <w:r w:rsidRPr="003C1B9F">
        <w:rPr>
          <w:rFonts w:ascii="Tahoma" w:eastAsia="Calibri" w:hAnsi="Tahoma" w:cs="Tahoma"/>
          <w:sz w:val="22"/>
          <w:szCs w:val="22"/>
          <w:lang w:val="en-GB"/>
        </w:rPr>
        <w:t>PSI</w:t>
      </w:r>
      <w:r w:rsidRPr="003C1B9F">
        <w:rPr>
          <w:rFonts w:ascii="Tahoma" w:eastAsia="Calibri" w:hAnsi="Tahoma" w:cs="Tahoma"/>
          <w:sz w:val="22"/>
          <w:szCs w:val="22"/>
        </w:rPr>
        <w:t xml:space="preserve"> και την προώθηση του προγράμματος αποκρατικοποιήσεων, ενώ το μεσοσταθμικό επιτόκιο διαμορφώνεται στο 4,4% κατά μέσο όρο την περίοδο 2012-2020. Ακόμα και με τη δημιουργία μεγάλων πρωτογενών πλεονασμάτων</w:t>
      </w:r>
      <w:r w:rsidR="00E12141">
        <w:rPr>
          <w:rFonts w:ascii="Tahoma" w:eastAsia="Calibri" w:hAnsi="Tahoma" w:cs="Tahoma"/>
          <w:sz w:val="22"/>
          <w:szCs w:val="22"/>
        </w:rPr>
        <w:t>,</w:t>
      </w:r>
      <w:r w:rsidRPr="003C1B9F">
        <w:rPr>
          <w:rFonts w:ascii="Tahoma" w:eastAsia="Calibri" w:hAnsi="Tahoma" w:cs="Tahoma"/>
          <w:sz w:val="22"/>
          <w:szCs w:val="22"/>
        </w:rPr>
        <w:t xml:space="preserve"> 4,5% του ΑΕΠ ετησίως από το 2016 και μετά και τη επίτευξη </w:t>
      </w:r>
      <w:r w:rsidRPr="003C1B9F">
        <w:rPr>
          <w:rFonts w:ascii="Tahoma" w:eastAsia="Calibri" w:hAnsi="Tahoma" w:cs="Tahoma"/>
          <w:color w:val="000000" w:themeColor="text1"/>
          <w:sz w:val="22"/>
          <w:szCs w:val="22"/>
        </w:rPr>
        <w:t xml:space="preserve">ονομαστικών ρυθμών αύξησης του ΑΕΠ 3,5% κατά μέσο όρο την περίοδο 2014-2020, το χρέος θα ανερχόταν στο </w:t>
      </w:r>
      <w:r w:rsidRPr="003C1B9F">
        <w:rPr>
          <w:rFonts w:ascii="Tahoma" w:eastAsia="Calibri" w:hAnsi="Tahoma" w:cs="Tahoma"/>
          <w:b/>
          <w:color w:val="000000" w:themeColor="text1"/>
          <w:sz w:val="22"/>
          <w:szCs w:val="22"/>
        </w:rPr>
        <w:t xml:space="preserve">207,3% του ΑΕΠ </w:t>
      </w:r>
      <w:r w:rsidRPr="003C1B9F">
        <w:rPr>
          <w:rFonts w:ascii="Tahoma" w:eastAsia="Calibri" w:hAnsi="Tahoma" w:cs="Tahoma"/>
          <w:color w:val="000000" w:themeColor="text1"/>
          <w:sz w:val="22"/>
          <w:szCs w:val="22"/>
        </w:rPr>
        <w:t>το 2020 (</w:t>
      </w:r>
      <w:r w:rsidRPr="003C1B9F">
        <w:rPr>
          <w:rFonts w:ascii="Tahoma" w:eastAsia="Calibri" w:hAnsi="Tahoma" w:cs="Tahoma"/>
          <w:i/>
          <w:color w:val="000000" w:themeColor="text1"/>
          <w:sz w:val="22"/>
          <w:szCs w:val="22"/>
          <w:u w:val="single"/>
        </w:rPr>
        <w:t xml:space="preserve">85 ποσοστιαίες μονάδες του ΑΕΠ υψηλότερο έναντι του </w:t>
      </w:r>
      <w:r w:rsidRPr="003C1B9F">
        <w:rPr>
          <w:rFonts w:ascii="Tahoma" w:eastAsia="Calibri" w:hAnsi="Tahoma" w:cs="Tahoma"/>
          <w:b/>
          <w:i/>
          <w:color w:val="000000" w:themeColor="text1"/>
          <w:sz w:val="22"/>
          <w:szCs w:val="22"/>
          <w:u w:val="single"/>
        </w:rPr>
        <w:t>Βασικού Σεναρίου</w:t>
      </w:r>
      <w:r w:rsidRPr="003C1B9F">
        <w:rPr>
          <w:rFonts w:ascii="Tahoma" w:eastAsia="Calibri" w:hAnsi="Tahoma" w:cs="Tahoma"/>
          <w:color w:val="000000" w:themeColor="text1"/>
          <w:sz w:val="22"/>
          <w:szCs w:val="22"/>
        </w:rPr>
        <w:t xml:space="preserve">), ακολουθώντας σαφώς μια μη βιώσιμη πορεία. Αυτή ήταν και η αιτία τελικά για την προώθηση της ιδέας της αναδιάρθρωσης του χρέους, παρόλο που αρχικά δεν είχε υποστηριχτεί για θεμιτούς λόγους.    </w:t>
      </w:r>
    </w:p>
    <w:p w:rsidR="003C1B9F" w:rsidRPr="003C1B9F" w:rsidRDefault="003C1B9F" w:rsidP="003C1B9F">
      <w:pPr>
        <w:spacing w:before="240" w:after="240" w:line="312" w:lineRule="auto"/>
        <w:jc w:val="both"/>
        <w:rPr>
          <w:rFonts w:ascii="Tahoma" w:eastAsia="Calibri" w:hAnsi="Tahoma" w:cs="Tahoma"/>
          <w:color w:val="000000" w:themeColor="text1"/>
          <w:sz w:val="22"/>
          <w:szCs w:val="22"/>
        </w:rPr>
      </w:pPr>
      <w:r w:rsidRPr="003C1B9F">
        <w:rPr>
          <w:rFonts w:ascii="Tahoma" w:eastAsia="Calibri" w:hAnsi="Tahoma" w:cs="Tahoma"/>
          <w:color w:val="000000" w:themeColor="text1"/>
          <w:sz w:val="22"/>
          <w:szCs w:val="22"/>
        </w:rPr>
        <w:t xml:space="preserve">Το </w:t>
      </w:r>
      <w:r w:rsidRPr="003C1B9F">
        <w:rPr>
          <w:rFonts w:ascii="Tahoma" w:eastAsia="Calibri" w:hAnsi="Tahoma" w:cs="Tahoma"/>
          <w:b/>
          <w:color w:val="000000" w:themeColor="text1"/>
          <w:sz w:val="22"/>
          <w:szCs w:val="22"/>
        </w:rPr>
        <w:t>Σενάριο Β</w:t>
      </w:r>
      <w:r w:rsidRPr="003C1B9F">
        <w:rPr>
          <w:rFonts w:ascii="Tahoma" w:eastAsia="Calibri" w:hAnsi="Tahoma" w:cs="Tahoma"/>
          <w:color w:val="000000" w:themeColor="text1"/>
          <w:sz w:val="22"/>
          <w:szCs w:val="22"/>
        </w:rPr>
        <w:t xml:space="preserve"> στηρίζεται στις ίδιες υποθέσεις του </w:t>
      </w:r>
      <w:r w:rsidRPr="003C1B9F">
        <w:rPr>
          <w:rFonts w:ascii="Tahoma" w:eastAsia="Calibri" w:hAnsi="Tahoma" w:cs="Tahoma"/>
          <w:b/>
          <w:color w:val="000000" w:themeColor="text1"/>
          <w:sz w:val="22"/>
          <w:szCs w:val="22"/>
        </w:rPr>
        <w:t>Βασικού Σεναρίου</w:t>
      </w:r>
      <w:r w:rsidRPr="003C1B9F">
        <w:rPr>
          <w:rFonts w:ascii="Tahoma" w:eastAsia="Calibri" w:hAnsi="Tahoma" w:cs="Tahoma"/>
          <w:color w:val="000000" w:themeColor="text1"/>
          <w:sz w:val="22"/>
          <w:szCs w:val="22"/>
        </w:rPr>
        <w:t xml:space="preserve">, χωρίς όμως την υλοποίηση του προγράμματος ιδιωτικοποιήσεων και αξιοποίησης της δημόσιας περιουσίας. Υπό αυτές τις συνθήκες, το χρέος αναμένεται να διαμορφωθεί στο </w:t>
      </w:r>
      <w:r w:rsidRPr="003C1B9F">
        <w:rPr>
          <w:rFonts w:ascii="Tahoma" w:eastAsia="Calibri" w:hAnsi="Tahoma" w:cs="Tahoma"/>
          <w:b/>
          <w:color w:val="000000" w:themeColor="text1"/>
          <w:sz w:val="22"/>
          <w:szCs w:val="22"/>
        </w:rPr>
        <w:t>146% του ΑΕΠ</w:t>
      </w:r>
      <w:r w:rsidRPr="003C1B9F">
        <w:rPr>
          <w:rFonts w:ascii="Tahoma" w:eastAsia="Calibri" w:hAnsi="Tahoma" w:cs="Tahoma"/>
          <w:color w:val="000000" w:themeColor="text1"/>
          <w:sz w:val="22"/>
          <w:szCs w:val="22"/>
        </w:rPr>
        <w:t xml:space="preserve"> το 2020 (</w:t>
      </w:r>
      <w:r w:rsidRPr="003C1B9F">
        <w:rPr>
          <w:rFonts w:ascii="Tahoma" w:eastAsia="Calibri" w:hAnsi="Tahoma" w:cs="Tahoma"/>
          <w:i/>
          <w:color w:val="000000" w:themeColor="text1"/>
          <w:sz w:val="22"/>
          <w:szCs w:val="22"/>
          <w:u w:val="single"/>
        </w:rPr>
        <w:t xml:space="preserve">23,7 ποσοστιαίες μονάδες του ΑΕΠ υψηλότερα έναντι του </w:t>
      </w:r>
      <w:r w:rsidRPr="003C1B9F">
        <w:rPr>
          <w:rFonts w:ascii="Tahoma" w:eastAsia="Calibri" w:hAnsi="Tahoma" w:cs="Tahoma"/>
          <w:b/>
          <w:i/>
          <w:color w:val="000000" w:themeColor="text1"/>
          <w:sz w:val="22"/>
          <w:szCs w:val="22"/>
          <w:u w:val="single"/>
        </w:rPr>
        <w:t>Βασικού Σεναρίου</w:t>
      </w:r>
      <w:r w:rsidRPr="003C1B9F">
        <w:rPr>
          <w:rFonts w:ascii="Tahoma" w:eastAsia="Calibri" w:hAnsi="Tahoma" w:cs="Tahoma"/>
          <w:color w:val="000000" w:themeColor="text1"/>
          <w:sz w:val="22"/>
          <w:szCs w:val="22"/>
        </w:rPr>
        <w:t xml:space="preserve">).  </w:t>
      </w:r>
    </w:p>
    <w:p w:rsidR="003C1B9F" w:rsidRPr="003C1B9F" w:rsidRDefault="003C1B9F" w:rsidP="000E13DF">
      <w:pPr>
        <w:spacing w:before="120" w:after="120" w:line="312" w:lineRule="auto"/>
        <w:jc w:val="both"/>
        <w:rPr>
          <w:rFonts w:ascii="Tahoma" w:eastAsia="Calibri" w:hAnsi="Tahoma" w:cs="Tahoma"/>
          <w:sz w:val="22"/>
          <w:szCs w:val="22"/>
        </w:rPr>
      </w:pPr>
      <w:r w:rsidRPr="003C1B9F">
        <w:rPr>
          <w:rFonts w:ascii="Tahoma" w:eastAsia="Calibri" w:hAnsi="Tahoma" w:cs="Tahoma"/>
          <w:sz w:val="22"/>
          <w:szCs w:val="22"/>
        </w:rPr>
        <w:t xml:space="preserve">Σε κάθε περίπτωση, θεωρούμε ότι η πορεία του δημόσιου χρέους είναι ιδιαίτερα ευαίσθητη σε 3 βασικούς προσδιοριστικούς παράγοντες: 1) το ύψος των εσόδων από αποκρατικοποιήσεις, 2) το ύψος των πρωτογενών πλεονασμάτων και 3) το μέγεθος του ονομαστικού ρυθμού ανάπτυξης. Αναλυτικότερα, για την πορεία αυτών των μεγεθών μπορούν να σημειωθούν τα εξής:  </w:t>
      </w:r>
    </w:p>
    <w:p w:rsidR="003C1B9F" w:rsidRPr="003C1B9F" w:rsidRDefault="003C1B9F" w:rsidP="000E13DF">
      <w:pPr>
        <w:pStyle w:val="ListParagraph"/>
        <w:numPr>
          <w:ilvl w:val="0"/>
          <w:numId w:val="12"/>
        </w:numPr>
        <w:spacing w:before="120" w:after="120" w:line="312" w:lineRule="auto"/>
        <w:ind w:left="714" w:hanging="357"/>
        <w:jc w:val="both"/>
        <w:rPr>
          <w:rFonts w:ascii="Tahoma" w:eastAsia="Calibri" w:hAnsi="Tahoma" w:cs="Tahoma"/>
          <w:b/>
          <w:sz w:val="22"/>
          <w:szCs w:val="22"/>
          <w:u w:val="single"/>
        </w:rPr>
      </w:pPr>
      <w:r w:rsidRPr="003C1B9F">
        <w:rPr>
          <w:rFonts w:ascii="Tahoma" w:eastAsia="Calibri" w:hAnsi="Tahoma" w:cs="Tahoma"/>
          <w:b/>
          <w:sz w:val="22"/>
          <w:szCs w:val="22"/>
          <w:u w:val="single"/>
        </w:rPr>
        <w:t>Έσοδα από Αποκρατικοποιήσεις</w:t>
      </w:r>
    </w:p>
    <w:p w:rsidR="00E12141" w:rsidRDefault="003C1B9F" w:rsidP="000E13DF">
      <w:pPr>
        <w:spacing w:before="120" w:after="120" w:line="312" w:lineRule="auto"/>
        <w:jc w:val="both"/>
        <w:rPr>
          <w:rFonts w:ascii="Tahoma" w:eastAsia="Calibri" w:hAnsi="Tahoma" w:cs="Tahoma"/>
          <w:sz w:val="22"/>
          <w:szCs w:val="22"/>
        </w:rPr>
      </w:pPr>
      <w:r w:rsidRPr="003C1B9F">
        <w:rPr>
          <w:rFonts w:ascii="Tahoma" w:eastAsia="Calibri" w:hAnsi="Tahoma" w:cs="Tahoma"/>
          <w:color w:val="000000" w:themeColor="text1"/>
          <w:sz w:val="22"/>
          <w:szCs w:val="22"/>
        </w:rPr>
        <w:t xml:space="preserve">Τα έσοδα από αποκρατικοποιήσεις αποτελούν σημαντικό στοιχείο ελάφρυνσης του χρέους. Κατά συνέπεια, διεξάγοντας μια ανάλυση ευαισθησίας για τη βιωσιμότητα του χρέους έναντι του </w:t>
      </w:r>
      <w:r w:rsidRPr="003C1B9F">
        <w:rPr>
          <w:rFonts w:ascii="Tahoma" w:eastAsia="Calibri" w:hAnsi="Tahoma" w:cs="Tahoma"/>
          <w:b/>
          <w:color w:val="000000" w:themeColor="text1"/>
          <w:sz w:val="22"/>
          <w:szCs w:val="22"/>
        </w:rPr>
        <w:t>Βασικού Σεναρίου</w:t>
      </w:r>
      <w:r w:rsidRPr="003C1B9F">
        <w:rPr>
          <w:rFonts w:ascii="Tahoma" w:eastAsia="Calibri" w:hAnsi="Tahoma" w:cs="Tahoma"/>
          <w:color w:val="000000" w:themeColor="text1"/>
          <w:sz w:val="22"/>
          <w:szCs w:val="22"/>
        </w:rPr>
        <w:t xml:space="preserve">, υποθέτουμε ένα εναλλακτικό σενάριο απόδοσης του προγράμματος ιδιωτικοποιήσεων και αξιοποίησης της δημόσιας περιουσίας. Θεωρώντας ότι τα έσοδα από αποκρατικοποιήσεις είναι </w:t>
      </w:r>
      <w:r w:rsidRPr="003C1B9F">
        <w:rPr>
          <w:rFonts w:ascii="Tahoma" w:eastAsia="Calibri" w:hAnsi="Tahoma" w:cs="Tahoma"/>
          <w:b/>
          <w:color w:val="000000" w:themeColor="text1"/>
          <w:sz w:val="22"/>
          <w:szCs w:val="22"/>
        </w:rPr>
        <w:t>1% του ΑΕΠ υψηλότερα ετησίως</w:t>
      </w:r>
      <w:r w:rsidRPr="003C1B9F">
        <w:rPr>
          <w:rFonts w:ascii="Tahoma" w:eastAsia="Calibri" w:hAnsi="Tahoma" w:cs="Tahoma"/>
          <w:color w:val="000000" w:themeColor="text1"/>
          <w:sz w:val="22"/>
          <w:szCs w:val="22"/>
        </w:rPr>
        <w:t xml:space="preserve">, τότε το σύνολο των εσόδων αυξάνεται </w:t>
      </w:r>
      <w:r w:rsidRPr="003C1B9F">
        <w:rPr>
          <w:rFonts w:ascii="Tahoma" w:eastAsia="Calibri" w:hAnsi="Tahoma" w:cs="Tahoma"/>
          <w:b/>
          <w:color w:val="000000" w:themeColor="text1"/>
          <w:sz w:val="22"/>
          <w:szCs w:val="22"/>
        </w:rPr>
        <w:t>στα €70δισ. μέχρι το 2020 (ή 32,7% του ΑΕΠ)</w:t>
      </w:r>
      <w:r w:rsidRPr="003C1B9F">
        <w:rPr>
          <w:rFonts w:ascii="Tahoma" w:eastAsia="Calibri" w:hAnsi="Tahoma" w:cs="Tahoma"/>
          <w:color w:val="000000" w:themeColor="text1"/>
          <w:sz w:val="22"/>
          <w:szCs w:val="22"/>
        </w:rPr>
        <w:t xml:space="preserve"> (έναντι </w:t>
      </w:r>
      <w:r w:rsidRPr="003C1B9F">
        <w:rPr>
          <w:rFonts w:ascii="Tahoma" w:eastAsia="Calibri" w:hAnsi="Tahoma" w:cs="Tahoma"/>
          <w:b/>
          <w:color w:val="000000" w:themeColor="text1"/>
          <w:sz w:val="22"/>
          <w:szCs w:val="22"/>
        </w:rPr>
        <w:t>€51δισ. ή 23,7% του ΑΕΠ του Βασικού Σεναρίου</w:t>
      </w:r>
      <w:r w:rsidRPr="003C1B9F">
        <w:rPr>
          <w:rFonts w:ascii="Tahoma" w:eastAsia="Calibri" w:hAnsi="Tahoma" w:cs="Tahoma"/>
          <w:color w:val="000000" w:themeColor="text1"/>
          <w:sz w:val="22"/>
          <w:szCs w:val="22"/>
        </w:rPr>
        <w:t xml:space="preserve">)και το χρέος μειώνεται στο </w:t>
      </w:r>
      <w:r w:rsidRPr="003C1B9F">
        <w:rPr>
          <w:rFonts w:ascii="Tahoma" w:eastAsia="Calibri" w:hAnsi="Tahoma" w:cs="Tahoma"/>
          <w:b/>
          <w:color w:val="000000" w:themeColor="text1"/>
          <w:sz w:val="22"/>
          <w:szCs w:val="22"/>
        </w:rPr>
        <w:t>113,3% του ΑΕΠ</w:t>
      </w:r>
      <w:r w:rsidRPr="003C1B9F">
        <w:rPr>
          <w:rFonts w:ascii="Tahoma" w:eastAsia="Calibri" w:hAnsi="Tahoma" w:cs="Tahoma"/>
          <w:color w:val="000000" w:themeColor="text1"/>
          <w:sz w:val="22"/>
          <w:szCs w:val="22"/>
        </w:rPr>
        <w:t xml:space="preserve"> (</w:t>
      </w:r>
      <w:r w:rsidRPr="003C1B9F">
        <w:rPr>
          <w:rFonts w:ascii="Tahoma" w:eastAsia="Calibri" w:hAnsi="Tahoma" w:cs="Tahoma"/>
          <w:i/>
          <w:color w:val="000000" w:themeColor="text1"/>
          <w:sz w:val="22"/>
          <w:szCs w:val="22"/>
          <w:u w:val="single"/>
        </w:rPr>
        <w:t xml:space="preserve">δηλαδή, 9 π.μ. του ΑΕΠ χαμηλότερα σε σχέση με το </w:t>
      </w:r>
      <w:r w:rsidRPr="003C1B9F">
        <w:rPr>
          <w:rFonts w:ascii="Tahoma" w:eastAsia="Calibri" w:hAnsi="Tahoma" w:cs="Tahoma"/>
          <w:b/>
          <w:i/>
          <w:color w:val="000000" w:themeColor="text1"/>
          <w:sz w:val="22"/>
          <w:szCs w:val="22"/>
          <w:u w:val="single"/>
        </w:rPr>
        <w:t>Βασικό Σενάριο</w:t>
      </w:r>
      <w:r w:rsidRPr="003C1B9F">
        <w:rPr>
          <w:rFonts w:ascii="Tahoma" w:eastAsia="Calibri" w:hAnsi="Tahoma" w:cs="Tahoma"/>
          <w:color w:val="000000" w:themeColor="text1"/>
          <w:sz w:val="22"/>
          <w:szCs w:val="22"/>
        </w:rPr>
        <w:t xml:space="preserve">). Η αύξηση των εσόδων από αποκρατικοποιήσεις δε θα πρέπει να θεωρείται ανέφικτη καθώς η βελτίωση του οικονομικού περιβάλλοντος, η </w:t>
      </w:r>
      <w:r w:rsidR="00E12141">
        <w:rPr>
          <w:rFonts w:ascii="Tahoma" w:eastAsia="Calibri" w:hAnsi="Tahoma" w:cs="Tahoma"/>
          <w:color w:val="000000" w:themeColor="text1"/>
          <w:sz w:val="22"/>
          <w:szCs w:val="22"/>
        </w:rPr>
        <w:t xml:space="preserve">σταδιακή </w:t>
      </w:r>
      <w:r w:rsidRPr="003C1B9F">
        <w:rPr>
          <w:rFonts w:ascii="Tahoma" w:eastAsia="Calibri" w:hAnsi="Tahoma" w:cs="Tahoma"/>
          <w:color w:val="000000" w:themeColor="text1"/>
          <w:sz w:val="22"/>
          <w:szCs w:val="22"/>
        </w:rPr>
        <w:t>άρση της αβεβαιότητας</w:t>
      </w:r>
      <w:r w:rsidRPr="003C1B9F">
        <w:rPr>
          <w:rFonts w:ascii="Tahoma" w:eastAsia="Calibri" w:hAnsi="Tahoma" w:cs="Tahoma"/>
          <w:sz w:val="22"/>
          <w:szCs w:val="22"/>
        </w:rPr>
        <w:t>, η βελτίωση του κλίματος στις αγορές και η άνοδος του χρηματιστηρίου, μπορούν να αποτελέσουν τους καταλύτες για μεγαλύτερες αποδόσεις και υψηλότερες τιμές πώλησης. Επίσης, θα πρέπει να ληφθεί υπόψη ότι ένα μέρος του κόστους επανακεφ</w:t>
      </w:r>
      <w:r w:rsidR="00E12141">
        <w:rPr>
          <w:rFonts w:ascii="Tahoma" w:eastAsia="Calibri" w:hAnsi="Tahoma" w:cs="Tahoma"/>
          <w:sz w:val="22"/>
          <w:szCs w:val="22"/>
        </w:rPr>
        <w:t>α</w:t>
      </w:r>
      <w:r w:rsidRPr="003C1B9F">
        <w:rPr>
          <w:rFonts w:ascii="Tahoma" w:eastAsia="Calibri" w:hAnsi="Tahoma" w:cs="Tahoma"/>
          <w:sz w:val="22"/>
          <w:szCs w:val="22"/>
        </w:rPr>
        <w:t xml:space="preserve">λαιοποίησης των τραπεζών (περίπου €16δισ.) μπορεί, και είναι θεμιτό, να επανακτηθεί και να συμβάλλει στη μείωση του δημοσίου χρέους. Επιπλέον, ο σχεδιασμός μιας μακροχρόνιας στρατηγικής αξιοποίησης του δημόσιου πλούτου θα </w:t>
      </w:r>
      <w:r w:rsidRPr="003C1B9F">
        <w:rPr>
          <w:rFonts w:ascii="Tahoma" w:eastAsia="Calibri" w:hAnsi="Tahoma" w:cs="Tahoma"/>
          <w:sz w:val="22"/>
          <w:szCs w:val="22"/>
        </w:rPr>
        <w:lastRenderedPageBreak/>
        <w:t>μπορούσε να έχει πολλαπλασιαστικά οφέλη τόσο σε επίπεδο προσέλκυσης επενδύσεων όσο και στην αύξηση της αυτόνομης κατανάλωσης, ενισχύοντας με αυτό τον τρόπο τη θετική επίπτωση στην ανάπτυξη της οικονομίας.</w:t>
      </w:r>
    </w:p>
    <w:p w:rsidR="003C1B9F" w:rsidRPr="00E12141" w:rsidRDefault="003C2DCF" w:rsidP="000E13DF">
      <w:pPr>
        <w:pStyle w:val="ListParagraph"/>
        <w:numPr>
          <w:ilvl w:val="0"/>
          <w:numId w:val="12"/>
        </w:numPr>
        <w:spacing w:before="120" w:after="120" w:line="312" w:lineRule="auto"/>
        <w:ind w:left="714" w:hanging="357"/>
        <w:jc w:val="both"/>
        <w:rPr>
          <w:rFonts w:ascii="Tahoma" w:eastAsia="Calibri" w:hAnsi="Tahoma" w:cs="Tahoma"/>
          <w:b/>
          <w:sz w:val="22"/>
          <w:szCs w:val="22"/>
          <w:u w:val="single"/>
        </w:rPr>
      </w:pPr>
      <w:r>
        <w:rPr>
          <w:rFonts w:ascii="Tahoma" w:eastAsia="Calibri" w:hAnsi="Tahoma" w:cs="Tahoma"/>
          <w:b/>
          <w:sz w:val="22"/>
          <w:szCs w:val="22"/>
          <w:u w:val="single"/>
        </w:rPr>
        <w:br w:type="column"/>
      </w:r>
      <w:r w:rsidR="003C1B9F" w:rsidRPr="00E12141">
        <w:rPr>
          <w:rFonts w:ascii="Tahoma" w:eastAsia="Calibri" w:hAnsi="Tahoma" w:cs="Tahoma"/>
          <w:b/>
          <w:sz w:val="22"/>
          <w:szCs w:val="22"/>
          <w:u w:val="single"/>
        </w:rPr>
        <w:lastRenderedPageBreak/>
        <w:t>Πρωτογενή Πλεονάσματα</w:t>
      </w:r>
    </w:p>
    <w:p w:rsidR="003C1B9F" w:rsidRPr="003C1B9F" w:rsidRDefault="003C1B9F" w:rsidP="000E13DF">
      <w:pPr>
        <w:pStyle w:val="ListParagraph"/>
        <w:spacing w:before="120" w:after="120" w:line="312" w:lineRule="auto"/>
        <w:ind w:left="0"/>
        <w:contextualSpacing w:val="0"/>
        <w:jc w:val="both"/>
        <w:rPr>
          <w:rFonts w:ascii="Tahoma" w:eastAsia="Calibri" w:hAnsi="Tahoma" w:cs="Tahoma"/>
          <w:sz w:val="22"/>
          <w:szCs w:val="22"/>
        </w:rPr>
      </w:pPr>
      <w:r w:rsidRPr="003C1B9F">
        <w:rPr>
          <w:rFonts w:ascii="Tahoma" w:eastAsia="Calibri" w:hAnsi="Tahoma" w:cs="Tahoma"/>
          <w:sz w:val="22"/>
          <w:szCs w:val="22"/>
        </w:rPr>
        <w:t xml:space="preserve">Η δημιουργία πρωτογενών πλεονασμάτων αποτελεί καθοριστικό παράγοντα για την ικανότητα της χώρας να αποπληρώσει το δημόσιο χρέος και να αποκαταστήσει την αξιοπιστία της στις διεθνείς αγορές. </w:t>
      </w:r>
      <w:r w:rsidRPr="003C1B9F">
        <w:rPr>
          <w:rFonts w:ascii="Tahoma" w:eastAsia="Calibri" w:hAnsi="Tahoma" w:cs="Tahoma"/>
          <w:color w:val="000000" w:themeColor="text1"/>
          <w:sz w:val="22"/>
          <w:szCs w:val="22"/>
        </w:rPr>
        <w:t xml:space="preserve">Σύμφωνα με το </w:t>
      </w:r>
      <w:r w:rsidRPr="003C1B9F">
        <w:rPr>
          <w:rFonts w:ascii="Tahoma" w:eastAsia="Calibri" w:hAnsi="Tahoma" w:cs="Tahoma"/>
          <w:b/>
          <w:color w:val="000000" w:themeColor="text1"/>
          <w:sz w:val="22"/>
          <w:szCs w:val="22"/>
        </w:rPr>
        <w:t>Βασικό Σενάριο</w:t>
      </w:r>
      <w:r w:rsidRPr="003C1B9F">
        <w:rPr>
          <w:rFonts w:ascii="Tahoma" w:eastAsia="Calibri" w:hAnsi="Tahoma" w:cs="Tahoma"/>
          <w:color w:val="000000" w:themeColor="text1"/>
          <w:sz w:val="22"/>
          <w:szCs w:val="22"/>
        </w:rPr>
        <w:t xml:space="preserve">, η δημιουργία πρωτογενών πλεονασμάτων στον κρατικό προϋπολογισμό προβλέπεται από το 2013 (0,9% του ΑΕΠ) και ανέρχεται στα </w:t>
      </w:r>
      <w:r w:rsidRPr="003C1B9F">
        <w:rPr>
          <w:rFonts w:ascii="Tahoma" w:eastAsia="Calibri" w:hAnsi="Tahoma" w:cs="Tahoma"/>
          <w:b/>
          <w:color w:val="000000" w:themeColor="text1"/>
          <w:sz w:val="22"/>
          <w:szCs w:val="22"/>
        </w:rPr>
        <w:t>4,5% του ΑΕΠ κατά μέσο όρο την περίοδο 2014-2020</w:t>
      </w:r>
      <w:r w:rsidRPr="003C1B9F">
        <w:rPr>
          <w:rFonts w:ascii="Tahoma" w:eastAsia="Calibri" w:hAnsi="Tahoma" w:cs="Tahoma"/>
          <w:color w:val="000000" w:themeColor="text1"/>
          <w:sz w:val="22"/>
          <w:szCs w:val="22"/>
        </w:rPr>
        <w:t xml:space="preserve">. Εάν υποθέσουμε τη δημιουργία </w:t>
      </w:r>
      <w:r w:rsidRPr="003C1B9F">
        <w:rPr>
          <w:rFonts w:ascii="Tahoma" w:eastAsia="Calibri" w:hAnsi="Tahoma" w:cs="Tahoma"/>
          <w:b/>
          <w:color w:val="000000" w:themeColor="text1"/>
          <w:sz w:val="22"/>
          <w:szCs w:val="22"/>
        </w:rPr>
        <w:t>μεγαλύτερων πρωτογενών πλεονασμάτων κατά 1% του ΑΕΠ από το 2014 και μετά</w:t>
      </w:r>
      <w:r w:rsidRPr="003C1B9F">
        <w:rPr>
          <w:rFonts w:ascii="Tahoma" w:eastAsia="Calibri" w:hAnsi="Tahoma" w:cs="Tahoma"/>
          <w:color w:val="000000" w:themeColor="text1"/>
          <w:sz w:val="22"/>
          <w:szCs w:val="22"/>
        </w:rPr>
        <w:t xml:space="preserve">, ούτως ώστε ο μέσος όρος της περιόδου να αυξηθεί στο </w:t>
      </w:r>
      <w:r w:rsidRPr="003C1B9F">
        <w:rPr>
          <w:rFonts w:ascii="Tahoma" w:eastAsia="Calibri" w:hAnsi="Tahoma" w:cs="Tahoma"/>
          <w:b/>
          <w:color w:val="000000" w:themeColor="text1"/>
          <w:sz w:val="22"/>
          <w:szCs w:val="22"/>
        </w:rPr>
        <w:t>5,5% του ΑΕΠ</w:t>
      </w:r>
      <w:r w:rsidRPr="003C1B9F">
        <w:rPr>
          <w:rFonts w:ascii="Tahoma" w:eastAsia="Calibri" w:hAnsi="Tahoma" w:cs="Tahoma"/>
          <w:color w:val="000000" w:themeColor="text1"/>
          <w:sz w:val="22"/>
          <w:szCs w:val="22"/>
        </w:rPr>
        <w:t xml:space="preserve">, τότε το χρέος προβλέπεται να διαμορφωθεί στο </w:t>
      </w:r>
      <w:r w:rsidRPr="003C1B9F">
        <w:rPr>
          <w:rFonts w:ascii="Tahoma" w:eastAsia="Calibri" w:hAnsi="Tahoma" w:cs="Tahoma"/>
          <w:b/>
          <w:color w:val="000000" w:themeColor="text1"/>
          <w:sz w:val="22"/>
          <w:szCs w:val="22"/>
        </w:rPr>
        <w:t>115,4% του ΑΕΠ το 2020</w:t>
      </w:r>
      <w:r w:rsidRPr="003C1B9F">
        <w:rPr>
          <w:rFonts w:ascii="Tahoma" w:eastAsia="Calibri" w:hAnsi="Tahoma" w:cs="Tahoma"/>
          <w:color w:val="000000" w:themeColor="text1"/>
          <w:sz w:val="22"/>
          <w:szCs w:val="22"/>
        </w:rPr>
        <w:t xml:space="preserve"> (</w:t>
      </w:r>
      <w:r w:rsidRPr="003C1B9F">
        <w:rPr>
          <w:rFonts w:ascii="Tahoma" w:eastAsia="Calibri" w:hAnsi="Tahoma" w:cs="Tahoma"/>
          <w:i/>
          <w:color w:val="000000" w:themeColor="text1"/>
          <w:sz w:val="22"/>
          <w:szCs w:val="22"/>
          <w:u w:val="single"/>
        </w:rPr>
        <w:t xml:space="preserve">δηλαδή 7 ποσοστιαίες μονάδες του ΑΕΠ χαμηλότερα, έναντι του </w:t>
      </w:r>
      <w:r w:rsidRPr="003C1B9F">
        <w:rPr>
          <w:rFonts w:ascii="Tahoma" w:eastAsia="Calibri" w:hAnsi="Tahoma" w:cs="Tahoma"/>
          <w:b/>
          <w:i/>
          <w:color w:val="000000" w:themeColor="text1"/>
          <w:sz w:val="22"/>
          <w:szCs w:val="22"/>
          <w:u w:val="single"/>
        </w:rPr>
        <w:t>Βασικού Σεναρίου</w:t>
      </w:r>
      <w:r w:rsidRPr="003C1B9F">
        <w:rPr>
          <w:rFonts w:ascii="Tahoma" w:eastAsia="Calibri" w:hAnsi="Tahoma" w:cs="Tahoma"/>
          <w:color w:val="000000" w:themeColor="text1"/>
          <w:sz w:val="22"/>
          <w:szCs w:val="22"/>
        </w:rPr>
        <w:t>). Παρά τις απογοητευτικές επιδόσεις της Ελλάδας στο πεδίο της δημοσιονομικής διαχείρισης, η διεθνής εμπειρία έχει δείξει ότι η επίτευξη υψηλών πρωτογενών πλεονασμάτων για μεγάλη χρονική περίοδο δεν είναι ανέφικτη</w:t>
      </w:r>
      <w:r w:rsidRPr="003C1B9F">
        <w:rPr>
          <w:rStyle w:val="FootnoteReference"/>
          <w:rFonts w:eastAsia="Calibri" w:cs="Tahoma"/>
          <w:color w:val="000000" w:themeColor="text1"/>
          <w:sz w:val="22"/>
          <w:szCs w:val="22"/>
        </w:rPr>
        <w:footnoteReference w:id="20"/>
      </w:r>
      <w:r w:rsidRPr="003C1B9F">
        <w:rPr>
          <w:rFonts w:ascii="Tahoma" w:eastAsia="Calibri" w:hAnsi="Tahoma" w:cs="Tahoma"/>
          <w:color w:val="000000" w:themeColor="text1"/>
          <w:sz w:val="22"/>
          <w:szCs w:val="22"/>
        </w:rPr>
        <w:t>. Καταδεικνύεται επομένως η ανάγκη για ο</w:t>
      </w:r>
      <w:r w:rsidRPr="003C1B9F">
        <w:rPr>
          <w:rFonts w:ascii="Tahoma" w:eastAsia="Calibri" w:hAnsi="Tahoma" w:cs="Tahoma"/>
          <w:sz w:val="22"/>
          <w:szCs w:val="22"/>
        </w:rPr>
        <w:t xml:space="preserve">υσιαστική μεταστροφή στη διαχείριση στη διαχείριση των δημόσιων οικονομικών, από τη δημιουργία διαρκών ελλειμμάτων στην επίτευξη πρωτογενών πλεονασμάτων μόνιμου χαρακτήρα, ώστε να ανακοπεί η ανοδική πορεία του δημόσιου χρέους, καθώς μόνο μόνιμες μεταβολές των δημοσιονομικών μεγεθών έχουν μόνιμες μεταβολές στο μακροχρόνιο επίπεδο του χρέους ισορροπίας.        </w:t>
      </w:r>
    </w:p>
    <w:p w:rsidR="003C1B9F" w:rsidRPr="003C1B9F" w:rsidRDefault="003C1B9F" w:rsidP="000E13DF">
      <w:pPr>
        <w:pStyle w:val="ListParagraph"/>
        <w:numPr>
          <w:ilvl w:val="0"/>
          <w:numId w:val="12"/>
        </w:numPr>
        <w:spacing w:before="120" w:after="120" w:line="312" w:lineRule="auto"/>
        <w:ind w:left="714" w:hanging="357"/>
        <w:contextualSpacing w:val="0"/>
        <w:jc w:val="both"/>
        <w:rPr>
          <w:rFonts w:ascii="Tahoma" w:eastAsia="Calibri" w:hAnsi="Tahoma" w:cs="Tahoma"/>
          <w:b/>
          <w:sz w:val="22"/>
          <w:szCs w:val="22"/>
          <w:u w:val="single"/>
        </w:rPr>
      </w:pPr>
      <w:r w:rsidRPr="003C1B9F">
        <w:rPr>
          <w:rFonts w:ascii="Tahoma" w:eastAsia="Calibri" w:hAnsi="Tahoma" w:cs="Tahoma"/>
          <w:b/>
          <w:sz w:val="22"/>
          <w:szCs w:val="22"/>
          <w:u w:val="single"/>
        </w:rPr>
        <w:t>Ονομαστικός Ρυθμός Αύξησης του ΑΕΠ</w:t>
      </w:r>
    </w:p>
    <w:p w:rsidR="003C1B9F" w:rsidRPr="003C1B9F" w:rsidRDefault="003C1B9F" w:rsidP="003C1B9F">
      <w:pPr>
        <w:pStyle w:val="ListParagraph"/>
        <w:spacing w:before="240" w:after="240" w:line="312" w:lineRule="auto"/>
        <w:ind w:left="0"/>
        <w:jc w:val="both"/>
        <w:rPr>
          <w:rFonts w:eastAsia="Calibri" w:cs="Arial"/>
          <w:sz w:val="22"/>
          <w:szCs w:val="22"/>
        </w:rPr>
      </w:pPr>
      <w:r w:rsidRPr="003C1B9F">
        <w:rPr>
          <w:rFonts w:ascii="Tahoma" w:eastAsia="Calibri" w:hAnsi="Tahoma" w:cs="Tahoma"/>
          <w:sz w:val="22"/>
          <w:szCs w:val="22"/>
        </w:rPr>
        <w:t xml:space="preserve">Η σημασία των θετικών ρυθμών ανάπτυξης στη βιωσιμότητα του χρέους καταδεικνύεται από την </w:t>
      </w:r>
      <w:r w:rsidRPr="003C1B9F">
        <w:rPr>
          <w:rFonts w:ascii="Tahoma" w:eastAsia="Calibri" w:hAnsi="Tahoma" w:cs="Tahoma"/>
          <w:color w:val="000000" w:themeColor="text1"/>
          <w:sz w:val="22"/>
          <w:szCs w:val="22"/>
        </w:rPr>
        <w:t xml:space="preserve">παρακάτω ανάλυση ευαισθησίας, όπου εξετάζουμε την επίπτωση του ονομαστικού ρυθμού ανάπτυξης στην πορεία του λόγου </w:t>
      </w:r>
      <w:r w:rsidR="00E12141">
        <w:rPr>
          <w:rFonts w:ascii="Tahoma" w:eastAsia="Calibri" w:hAnsi="Tahoma" w:cs="Tahoma"/>
          <w:color w:val="000000" w:themeColor="text1"/>
          <w:sz w:val="22"/>
          <w:szCs w:val="22"/>
        </w:rPr>
        <w:t xml:space="preserve">ονομαστικού </w:t>
      </w:r>
      <w:r w:rsidRPr="003C1B9F">
        <w:rPr>
          <w:rFonts w:ascii="Tahoma" w:eastAsia="Calibri" w:hAnsi="Tahoma" w:cs="Tahoma"/>
          <w:color w:val="000000" w:themeColor="text1"/>
          <w:sz w:val="22"/>
          <w:szCs w:val="22"/>
        </w:rPr>
        <w:t xml:space="preserve">χρέος / ΑΕΠ. Στο </w:t>
      </w:r>
      <w:r w:rsidRPr="003C1B9F">
        <w:rPr>
          <w:rFonts w:ascii="Tahoma" w:eastAsia="Calibri" w:hAnsi="Tahoma" w:cs="Tahoma"/>
          <w:b/>
          <w:color w:val="000000" w:themeColor="text1"/>
          <w:sz w:val="22"/>
          <w:szCs w:val="22"/>
        </w:rPr>
        <w:t>Βασικό Σενάριο</w:t>
      </w:r>
      <w:r w:rsidRPr="003C1B9F">
        <w:rPr>
          <w:rFonts w:ascii="Tahoma" w:eastAsia="Calibri" w:hAnsi="Tahoma" w:cs="Tahoma"/>
          <w:color w:val="000000" w:themeColor="text1"/>
          <w:sz w:val="22"/>
          <w:szCs w:val="22"/>
        </w:rPr>
        <w:t xml:space="preserve"> υποθέτουμε ότι ονομαστικός ρυθμός αύξησης του ΑΕΠ θα διαμορφωθεί περίπου στο </w:t>
      </w:r>
      <w:r w:rsidRPr="003C1B9F">
        <w:rPr>
          <w:rFonts w:ascii="Tahoma" w:eastAsia="Calibri" w:hAnsi="Tahoma" w:cs="Tahoma"/>
          <w:b/>
          <w:color w:val="000000" w:themeColor="text1"/>
          <w:sz w:val="22"/>
          <w:szCs w:val="22"/>
        </w:rPr>
        <w:t>3,5% κατά μέσο όρο την περίοδο 2014-2020</w:t>
      </w:r>
      <w:r w:rsidRPr="003C1B9F">
        <w:rPr>
          <w:rFonts w:ascii="Tahoma" w:eastAsia="Calibri" w:hAnsi="Tahoma" w:cs="Tahoma"/>
          <w:color w:val="000000" w:themeColor="text1"/>
          <w:sz w:val="22"/>
          <w:szCs w:val="22"/>
        </w:rPr>
        <w:t>, με τον ρυθμό ανάπτυξης να εισέρχεται σε θετικό έδαφος από το 2014 και μετά</w:t>
      </w:r>
      <w:r w:rsidRPr="003C1B9F">
        <w:rPr>
          <w:rStyle w:val="FootnoteReference"/>
          <w:rFonts w:eastAsia="Calibri" w:cs="Tahoma"/>
          <w:color w:val="000000" w:themeColor="text1"/>
          <w:sz w:val="22"/>
          <w:szCs w:val="22"/>
        </w:rPr>
        <w:footnoteReference w:id="21"/>
      </w:r>
      <w:r w:rsidRPr="003C1B9F">
        <w:rPr>
          <w:rFonts w:ascii="Tahoma" w:eastAsia="Calibri" w:hAnsi="Tahoma" w:cs="Tahoma"/>
          <w:color w:val="000000" w:themeColor="text1"/>
          <w:sz w:val="22"/>
          <w:szCs w:val="22"/>
        </w:rPr>
        <w:t xml:space="preserve">. Επίσης, η υπόθεση που κάνουμε για το επίπεδο του αποπληθωριστή του ΑΕΠ την περίοδο 2014-2020 είναι για </w:t>
      </w:r>
      <w:r w:rsidRPr="003C1B9F">
        <w:rPr>
          <w:rFonts w:ascii="Tahoma" w:eastAsia="Calibri" w:hAnsi="Tahoma" w:cs="Tahoma"/>
          <w:b/>
          <w:color w:val="000000" w:themeColor="text1"/>
          <w:sz w:val="22"/>
          <w:szCs w:val="22"/>
        </w:rPr>
        <w:t>1,5% κατά μέσο όρο</w:t>
      </w:r>
      <w:r w:rsidRPr="003C1B9F">
        <w:rPr>
          <w:rFonts w:ascii="Tahoma" w:eastAsia="Calibri" w:hAnsi="Tahoma" w:cs="Tahoma"/>
          <w:color w:val="000000" w:themeColor="text1"/>
          <w:sz w:val="22"/>
          <w:szCs w:val="22"/>
        </w:rPr>
        <w:t xml:space="preserve">, θεωρώντας ότι η εφαρμογή των διαρθρωτικών μεταρρυθμίσεων στις αγορές προϊόντων, υπηρεσιών και εργασίας θα έχουν ως αποτέλεσμα την ενίσχυση του ανταγωνισμού και την πτώση των τιμών. Παρόλα αυτά, </w:t>
      </w:r>
      <w:r w:rsidR="00E12141">
        <w:rPr>
          <w:rFonts w:ascii="Tahoma" w:eastAsia="Calibri" w:hAnsi="Tahoma" w:cs="Tahoma"/>
          <w:color w:val="000000" w:themeColor="text1"/>
          <w:sz w:val="22"/>
          <w:szCs w:val="22"/>
        </w:rPr>
        <w:t xml:space="preserve">οι υποθέσεις </w:t>
      </w:r>
      <w:r w:rsidRPr="003C1B9F">
        <w:rPr>
          <w:rFonts w:ascii="Tahoma" w:eastAsia="Calibri" w:hAnsi="Tahoma" w:cs="Tahoma"/>
          <w:color w:val="000000" w:themeColor="text1"/>
          <w:sz w:val="22"/>
          <w:szCs w:val="22"/>
        </w:rPr>
        <w:t xml:space="preserve">για τόσο χαμηλά επίπεδα πληθωρισμού καθώς και η πτώση του επιπέδου των τιμών την περίοδο 2012-2014 θα πρέπει να θεωρούνται ως αισιόδοξες εκτιμήσεις, δεδομένων των χρόνιων στρεβλώσεων της αγοράς στην Ελλάδα. Μια </w:t>
      </w:r>
      <w:r w:rsidRPr="003C1B9F">
        <w:rPr>
          <w:rFonts w:ascii="Tahoma" w:eastAsia="Calibri" w:hAnsi="Tahoma" w:cs="Tahoma"/>
          <w:b/>
          <w:color w:val="000000" w:themeColor="text1"/>
          <w:sz w:val="22"/>
          <w:szCs w:val="22"/>
        </w:rPr>
        <w:t>αύξηση του ονομαστικού ρυθμού ανάπτυξης κατά 1%, ώστε ο μέσος όρος της περιόδου 2014-2020 να διαμορφωθεί στο 4,5%</w:t>
      </w:r>
      <w:r w:rsidRPr="003C1B9F">
        <w:rPr>
          <w:rFonts w:ascii="Tahoma" w:eastAsia="Calibri" w:hAnsi="Tahoma" w:cs="Tahoma"/>
          <w:color w:val="000000" w:themeColor="text1"/>
          <w:sz w:val="22"/>
          <w:szCs w:val="22"/>
        </w:rPr>
        <w:t xml:space="preserve"> (είτε μέσω της βελτίωσης του πραγματικής ανάπτυξης, είτε μέσω ενός συγκριτικά υψηλότερου επιπέδου</w:t>
      </w:r>
      <w:r w:rsidRPr="003C1B9F">
        <w:rPr>
          <w:rFonts w:ascii="Tahoma" w:eastAsia="Calibri" w:hAnsi="Tahoma" w:cs="Tahoma"/>
          <w:sz w:val="22"/>
          <w:szCs w:val="22"/>
        </w:rPr>
        <w:t xml:space="preserve"> τιμών) θα έχει ως συνέπεια τη</w:t>
      </w:r>
      <w:r w:rsidRPr="003C1B9F">
        <w:rPr>
          <w:rFonts w:ascii="Tahoma" w:eastAsia="Calibri" w:hAnsi="Tahoma" w:cs="Tahoma"/>
          <w:color w:val="000000" w:themeColor="text1"/>
          <w:sz w:val="22"/>
          <w:szCs w:val="22"/>
        </w:rPr>
        <w:t xml:space="preserve">ν μείωση του χρέους </w:t>
      </w:r>
      <w:r w:rsidRPr="003C1B9F">
        <w:rPr>
          <w:rFonts w:ascii="Tahoma" w:eastAsia="Calibri" w:hAnsi="Tahoma" w:cs="Tahoma"/>
          <w:b/>
          <w:color w:val="000000" w:themeColor="text1"/>
          <w:sz w:val="22"/>
          <w:szCs w:val="22"/>
        </w:rPr>
        <w:t>στο 100,5% του ΑΕΠ το 2020</w:t>
      </w:r>
      <w:r w:rsidRPr="003C1B9F">
        <w:rPr>
          <w:rFonts w:ascii="Tahoma" w:eastAsia="Calibri" w:hAnsi="Tahoma" w:cs="Tahoma"/>
          <w:color w:val="000000" w:themeColor="text1"/>
          <w:sz w:val="22"/>
          <w:szCs w:val="22"/>
        </w:rPr>
        <w:t xml:space="preserve"> (</w:t>
      </w:r>
      <w:r w:rsidRPr="003C1B9F">
        <w:rPr>
          <w:rFonts w:ascii="Tahoma" w:eastAsia="Calibri" w:hAnsi="Tahoma" w:cs="Tahoma"/>
          <w:i/>
          <w:color w:val="000000" w:themeColor="text1"/>
          <w:sz w:val="22"/>
          <w:szCs w:val="22"/>
          <w:u w:val="single"/>
        </w:rPr>
        <w:t xml:space="preserve">22 ποσοστιαίες μονάδες του ΑΕΠ χαμηλότερα σε έναντι του </w:t>
      </w:r>
      <w:r w:rsidRPr="003C1B9F">
        <w:rPr>
          <w:rFonts w:ascii="Tahoma" w:eastAsia="Calibri" w:hAnsi="Tahoma" w:cs="Tahoma"/>
          <w:b/>
          <w:i/>
          <w:color w:val="000000" w:themeColor="text1"/>
          <w:sz w:val="22"/>
          <w:szCs w:val="22"/>
          <w:u w:val="single"/>
        </w:rPr>
        <w:t>Βασικού Σεναρίου</w:t>
      </w:r>
      <w:r w:rsidRPr="003C1B9F">
        <w:rPr>
          <w:rFonts w:ascii="Tahoma" w:eastAsia="Calibri" w:hAnsi="Tahoma" w:cs="Tahoma"/>
          <w:color w:val="000000" w:themeColor="text1"/>
          <w:sz w:val="22"/>
          <w:szCs w:val="22"/>
        </w:rPr>
        <w:t xml:space="preserve">). Το ερώτημα που τίθεται είναι αν η ελληνική οικονομία έχει τη δυνατότητα να επιτύχει υψηλούς ρυθμούς ανάπτυξης. Εμπειρικές μελέτες στο </w:t>
      </w:r>
      <w:r w:rsidRPr="003C1B9F">
        <w:rPr>
          <w:rFonts w:ascii="Tahoma" w:eastAsia="Calibri" w:hAnsi="Tahoma" w:cs="Tahoma"/>
          <w:color w:val="000000" w:themeColor="text1"/>
          <w:sz w:val="22"/>
          <w:szCs w:val="22"/>
        </w:rPr>
        <w:lastRenderedPageBreak/>
        <w:t xml:space="preserve">ΙΟΒΕ έχουν δείξει ότι υπάρχουν μεγάλα περιθώρια ανάπτυξης της ελληνικής οικονομίας, εάν καταφέρουμε να εστιάσουμε σε κλάδους με συγκριτικά πλεονεκτήματα. Επίσης, η προώθηση και εφαρμογή των διαρθρωτικών μεταρρυθμίσεων με την απελευθέρωση των αγορών προϊόντων / υπηρεσιών / εργασίας και τη σύγκλιση του ρυθμιστικού πλαισίου στο μέσο επίπεδο των χωρών-μελών της </w:t>
      </w:r>
      <w:r w:rsidR="00E12141">
        <w:rPr>
          <w:rFonts w:ascii="Tahoma" w:eastAsia="Calibri" w:hAnsi="Tahoma" w:cs="Tahoma"/>
          <w:color w:val="000000" w:themeColor="text1"/>
          <w:sz w:val="22"/>
          <w:szCs w:val="22"/>
        </w:rPr>
        <w:t>Ε</w:t>
      </w:r>
      <w:r w:rsidRPr="003C1B9F">
        <w:rPr>
          <w:rFonts w:ascii="Tahoma" w:eastAsia="Calibri" w:hAnsi="Tahoma" w:cs="Tahoma"/>
          <w:color w:val="000000" w:themeColor="text1"/>
          <w:sz w:val="22"/>
          <w:szCs w:val="22"/>
        </w:rPr>
        <w:t>υρωζώνης εκτιμάται ότι θα έχουν ως συνέπεια την αύξηση του ΑΕΠ κατά 17% μακροχρόνια. Επιπλέον, αργά η γρήγορα η συσσώρευση κεφαλαίων στις πλεονασματικές χώρες του Ευρωπαϊκού βορρά θα αναζητήσουν διέξοδο σε λιγότερο ‘ασφαλείς’ τοποθετήσεις, όπως οι χώρες του Ευρωπαϊκού νότου, ενισχύοντας το σκέλος των επενδύσεων. Στο πεδίο του πληθωρισμού, παρά την προοπτική αύξησης των επιτοκίων μεσο-μα</w:t>
      </w:r>
      <w:r w:rsidRPr="003C1B9F">
        <w:rPr>
          <w:rFonts w:ascii="Tahoma" w:eastAsia="Calibri" w:hAnsi="Tahoma" w:cs="Tahoma"/>
          <w:sz w:val="22"/>
          <w:szCs w:val="22"/>
        </w:rPr>
        <w:t>κροπρόθεσμα, η ανοδική τάση των τιμών του πετρελαίου και των εμπορευμάτων ενδεχομένως να εντείνουν τις πιέσεις για άνοδο των τιμών.</w:t>
      </w:r>
      <w:r w:rsidRPr="003C1B9F">
        <w:rPr>
          <w:rFonts w:eastAsia="Calibri" w:cs="Arial"/>
          <w:sz w:val="22"/>
          <w:szCs w:val="22"/>
        </w:rPr>
        <w:t xml:space="preserve">  </w:t>
      </w:r>
    </w:p>
    <w:p w:rsidR="003C1B9F" w:rsidRDefault="003C1B9F" w:rsidP="003C1B9F">
      <w:pPr>
        <w:pStyle w:val="ListParagraph"/>
        <w:spacing w:line="360" w:lineRule="auto"/>
        <w:ind w:left="0"/>
        <w:jc w:val="both"/>
        <w:rPr>
          <w:rFonts w:eastAsia="Calibri" w:cs="Arial"/>
        </w:rPr>
        <w:sectPr w:rsidR="003C1B9F" w:rsidSect="002421F1">
          <w:pgSz w:w="11906" w:h="16838"/>
          <w:pgMar w:top="1440" w:right="1134" w:bottom="1440" w:left="992" w:header="709" w:footer="709" w:gutter="0"/>
          <w:cols w:space="708"/>
          <w:docGrid w:linePitch="360"/>
        </w:sectPr>
      </w:pPr>
    </w:p>
    <w:p w:rsidR="003C1B9F" w:rsidRDefault="003C1B9F" w:rsidP="003C1B9F">
      <w:pPr>
        <w:pStyle w:val="ListParagraph"/>
        <w:spacing w:line="360" w:lineRule="auto"/>
        <w:jc w:val="both"/>
        <w:rPr>
          <w:rFonts w:eastAsia="Calibri" w:cs="Arial"/>
        </w:rPr>
      </w:pPr>
    </w:p>
    <w:p w:rsidR="003C1B9F" w:rsidRDefault="0073051F" w:rsidP="003C1B9F">
      <w:pPr>
        <w:pStyle w:val="ListParagraph"/>
        <w:spacing w:line="360" w:lineRule="auto"/>
        <w:jc w:val="both"/>
        <w:rPr>
          <w:rFonts w:eastAsia="Calibri" w:cs="Arial"/>
        </w:rPr>
        <w:sectPr w:rsidR="003C1B9F" w:rsidSect="002421F1">
          <w:pgSz w:w="16838" w:h="11906" w:orient="landscape"/>
          <w:pgMar w:top="992" w:right="1440" w:bottom="1134" w:left="1440" w:header="709" w:footer="709" w:gutter="0"/>
          <w:cols w:space="708"/>
          <w:docGrid w:linePitch="360"/>
        </w:sectPr>
      </w:pPr>
      <w:r>
        <w:rPr>
          <w:rFonts w:eastAsia="Calibri" w:cs="Arial"/>
          <w:noProof/>
          <w:lang w:val="en-US" w:eastAsia="zh-TW"/>
        </w:rPr>
        <w:pict>
          <v:shapetype id="_x0000_t202" coordsize="21600,21600" o:spt="202" path="m,l,21600r21600,l21600,xe">
            <v:stroke joinstyle="miter"/>
            <v:path gradientshapeok="t" o:connecttype="rect"/>
          </v:shapetype>
          <v:shape id="_x0000_s1027" type="#_x0000_t202" style="position:absolute;left:0;text-align:left;margin-left:-50.5pt;margin-top:.4pt;width:798.55pt;height:456.3pt;z-index:251660288;mso-width-relative:margin;mso-height-relative:margin">
            <v:textbox style="mso-next-textbox:#_x0000_s1027">
              <w:txbxContent>
                <w:p w:rsidR="00212EB2" w:rsidRPr="002951DF" w:rsidRDefault="00212EB2" w:rsidP="003C1B9F">
                  <w:pPr>
                    <w:jc w:val="center"/>
                    <w:rPr>
                      <w:rFonts w:ascii="Tahoma" w:hAnsi="Tahoma" w:cs="Tahoma"/>
                      <w:b/>
                    </w:rPr>
                  </w:pPr>
                  <w:r w:rsidRPr="002951DF">
                    <w:rPr>
                      <w:rFonts w:ascii="Tahoma" w:hAnsi="Tahoma" w:cs="Tahoma"/>
                      <w:b/>
                    </w:rPr>
                    <w:t>Χρέος / ΑΕΠ (εκτιμήσεις ΙΟΒΕ)</w:t>
                  </w:r>
                </w:p>
                <w:p w:rsidR="00212EB2" w:rsidRPr="004B4255" w:rsidRDefault="00212EB2" w:rsidP="003C1B9F">
                  <w:pPr>
                    <w:jc w:val="center"/>
                    <w:rPr>
                      <w:b/>
                    </w:rPr>
                  </w:pPr>
                  <w:r w:rsidRPr="00331072">
                    <w:rPr>
                      <w:noProof/>
                      <w:lang w:val="en-US" w:eastAsia="en-US"/>
                    </w:rPr>
                    <w:drawing>
                      <wp:inline distT="0" distB="0" distL="0" distR="0">
                        <wp:extent cx="9894498" cy="538276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srcRect/>
                                <a:stretch>
                                  <a:fillRect/>
                                </a:stretch>
                              </pic:blipFill>
                              <pic:spPr bwMode="auto">
                                <a:xfrm>
                                  <a:off x="0" y="0"/>
                                  <a:ext cx="9894746" cy="5382895"/>
                                </a:xfrm>
                                <a:prstGeom prst="rect">
                                  <a:avLst/>
                                </a:prstGeom>
                                <a:noFill/>
                                <a:ln w="9525">
                                  <a:noFill/>
                                  <a:miter lim="800000"/>
                                  <a:headEnd/>
                                  <a:tailEnd/>
                                </a:ln>
                              </pic:spPr>
                            </pic:pic>
                          </a:graphicData>
                        </a:graphic>
                      </wp:inline>
                    </w:drawing>
                  </w:r>
                </w:p>
              </w:txbxContent>
            </v:textbox>
          </v:shape>
        </w:pict>
      </w:r>
    </w:p>
    <w:p w:rsidR="003C1B9F" w:rsidRPr="00E645CA" w:rsidRDefault="003C1B9F" w:rsidP="00E645CA">
      <w:pPr>
        <w:pStyle w:val="new2"/>
        <w:spacing w:before="240" w:line="312" w:lineRule="auto"/>
        <w:jc w:val="left"/>
        <w:rPr>
          <w:rFonts w:cs="Tahoma"/>
        </w:rPr>
      </w:pPr>
      <w:bookmarkStart w:id="323" w:name="_Toc320872897"/>
      <w:r w:rsidRPr="00E645CA">
        <w:rPr>
          <w:rFonts w:cs="Tahoma"/>
        </w:rPr>
        <w:lastRenderedPageBreak/>
        <w:t>Συμπέρασμα</w:t>
      </w:r>
      <w:bookmarkEnd w:id="323"/>
    </w:p>
    <w:p w:rsidR="003C1B9F" w:rsidRDefault="003C1B9F" w:rsidP="003C1B9F">
      <w:pPr>
        <w:spacing w:before="240" w:after="240" w:line="312" w:lineRule="auto"/>
        <w:jc w:val="both"/>
        <w:rPr>
          <w:rFonts w:ascii="Tahoma" w:eastAsia="Calibri" w:hAnsi="Tahoma" w:cs="Tahoma"/>
          <w:sz w:val="22"/>
          <w:szCs w:val="22"/>
        </w:rPr>
      </w:pPr>
      <w:r w:rsidRPr="003C1B9F">
        <w:rPr>
          <w:rFonts w:ascii="Tahoma" w:eastAsia="Calibri" w:hAnsi="Tahoma" w:cs="Tahoma"/>
          <w:sz w:val="22"/>
          <w:szCs w:val="22"/>
        </w:rPr>
        <w:t xml:space="preserve">Από την παραπάνω ανάλυση γίνεται σαφές ότι υπάρχουν οφέλη που απορρέουν από το πρόγραμμα ανταλλαγής των ελληνικών ομολόγων, το οποίο σε συνδυασμό με το νέο πακέτο χρηματοδότησης από τους εταίρους και το πρόγραμμα αποκρατικοποιήσεων και αξιοποίησης της </w:t>
      </w:r>
      <w:r w:rsidR="0087040B">
        <w:rPr>
          <w:rFonts w:ascii="Tahoma" w:eastAsia="Calibri" w:hAnsi="Tahoma" w:cs="Tahoma"/>
          <w:sz w:val="22"/>
          <w:szCs w:val="22"/>
        </w:rPr>
        <w:t>ιδιωτικής περιουσίας του δημοσίου</w:t>
      </w:r>
      <w:r w:rsidRPr="003C1B9F">
        <w:rPr>
          <w:rFonts w:ascii="Tahoma" w:eastAsia="Calibri" w:hAnsi="Tahoma" w:cs="Tahoma"/>
          <w:sz w:val="22"/>
          <w:szCs w:val="22"/>
        </w:rPr>
        <w:t xml:space="preserve"> φαίνεται να δημιουργούν προϋποθέσεις βιωσιμότητας του δημόσιου χρέους. Ωστόσο οι κίνδυνοι που ελλοχεύουν για την επαλήθευση των υποθέσεων των διαφόρων σεναρίων εξακολουθούν να είναι μεγάλοι, λόγω της ευρύτερης ρευστότητας που επικρατεί στο οικονομικό περιβάλλον τόσο στην Ελλάδα όσο και στο εξωτερικό. Παρόλα αυτά θα πρέπει να σημειωθεί ότι η ερμηνεία των διαφόρων αναλύσεων για τη βιωσιμότητα του δημόσιου χρέους θα πρέπει να εστιάζεται στη δημιουργία των κατάλληλων συνθηκών μακροχρόνια ώστε ο λόγος του χρέους / ΑΕΠ να εισέλθει σε μια μόνιμη και διατηρήσιμη πτωτική πορεία, παρά στη μυωπική προσήλωση σε συγκεκριμένα ποσοστά. Η χρησιμότητα των αναλύσεων βιωσιμότητας είναι να αποδείξουν ότι η ανεύθυνη ρητορική περί πτώχευσης και εξόδου από την κοινή νομισματική ένωση μπορεί να έχει αντίλογο βασισμένο σε ρεαλιστικά επιχειρήματα και λογικές υποθέσεις. Εξάλλου, οι αναλύσεις βιωσιμότητας αποτυπώνουν τις προοπτικές εξέλιξης του δημόσιου χρέους θέτοντας μακροχρόνιους δημοσιονομικούς και αναπτυξιακούς στόχους, εγείροντας έτσι την ανάγκη για χάραξη μακροχρόνιου σχεδιασμού </w:t>
      </w:r>
      <w:r w:rsidR="007168AA">
        <w:rPr>
          <w:rFonts w:ascii="Tahoma" w:eastAsia="Calibri" w:hAnsi="Tahoma" w:cs="Tahoma"/>
          <w:sz w:val="22"/>
          <w:szCs w:val="22"/>
        </w:rPr>
        <w:t xml:space="preserve">στην άσκηση </w:t>
      </w:r>
      <w:r w:rsidRPr="003C1B9F">
        <w:rPr>
          <w:rFonts w:ascii="Tahoma" w:eastAsia="Calibri" w:hAnsi="Tahoma" w:cs="Tahoma"/>
          <w:sz w:val="22"/>
          <w:szCs w:val="22"/>
        </w:rPr>
        <w:t xml:space="preserve">οικονομικής πολιτικής. Λαμβάνοντας υπόψη και τη διεθνή εμπειρία, θα πρέπει να σημειωθεί ότι δεν έχει τόσο μεγάλη σημασία η ονομαστική μείωση του χρέους αλλά η δημιουργία προσδοκιών απόσβεσης και η ενίσχυση της ικανότητας της χώρας να μπορεί να ανταπεξέλθει στις υποχρεώσεις της. Εναπόκειται επομένως στους αρμόδιους φορείς να ασκήσουν υπεύθυνη δημοσιονομική διαχείριση, προσηλωμένη στους συμφωνηθέντες στόχους και στα προδιαγεγραμμένα χρονοδιαγράμματα, και να ακολουθήσουν αναπτυξιακές πολιτικές τα επόμενα χρόνια, ώστε να εισέλθει το χρέος σε μια πτωτική διατηρήσιμη τροχιά, βελτιώνοντας – σε αντίθεση με ότι γινόταν τα προηγούμενα χρόνια – τις προϋποθέσεις ευημερίας των επόμενων γενεών.     </w:t>
      </w:r>
    </w:p>
    <w:p w:rsidR="00CE7B15" w:rsidRDefault="00CE7B15" w:rsidP="003C1B9F">
      <w:pPr>
        <w:spacing w:before="240" w:after="240" w:line="312" w:lineRule="auto"/>
        <w:jc w:val="both"/>
        <w:rPr>
          <w:rFonts w:ascii="Tahoma" w:eastAsia="Calibri" w:hAnsi="Tahoma" w:cs="Tahoma"/>
          <w:sz w:val="22"/>
          <w:szCs w:val="22"/>
        </w:rPr>
        <w:sectPr w:rsidR="00CE7B15" w:rsidSect="00591211">
          <w:footerReference w:type="even" r:id="rId70"/>
          <w:pgSz w:w="11906" w:h="16838"/>
          <w:pgMar w:top="1391" w:right="1418" w:bottom="1418" w:left="1418" w:header="720" w:footer="720" w:gutter="0"/>
          <w:paperSrc w:first="242" w:other="242"/>
          <w:cols w:space="720"/>
          <w:rtlGutter/>
        </w:sectPr>
      </w:pPr>
    </w:p>
    <w:p w:rsidR="006F7A6B" w:rsidRPr="00474D57" w:rsidRDefault="006F7A6B" w:rsidP="0050168E">
      <w:pPr>
        <w:pStyle w:val="new3"/>
        <w:numPr>
          <w:ilvl w:val="0"/>
          <w:numId w:val="8"/>
        </w:numPr>
      </w:pPr>
      <w:bookmarkStart w:id="324" w:name="_Toc320872898"/>
      <w:r>
        <w:lastRenderedPageBreak/>
        <w:t>ΠΑΡΑΡΤΗΜΑ:</w:t>
      </w:r>
      <w:r w:rsidRPr="001B6C4A">
        <w:t xml:space="preserve"> </w:t>
      </w:r>
      <w:r>
        <w:t xml:space="preserve">ΔΙΑΡΘΡΩΤΙΚΟΙ </w:t>
      </w:r>
      <w:bookmarkEnd w:id="320"/>
      <w:r>
        <w:t>ΔΕΙΚΤΕΣ</w:t>
      </w:r>
      <w:bookmarkEnd w:id="321"/>
      <w:bookmarkEnd w:id="324"/>
    </w:p>
    <w:p w:rsidR="006F7A6B" w:rsidRPr="0037271B" w:rsidRDefault="006F7A6B" w:rsidP="006F7A6B">
      <w:pPr>
        <w:spacing w:before="240" w:after="240" w:line="312" w:lineRule="auto"/>
        <w:jc w:val="both"/>
        <w:rPr>
          <w:rFonts w:ascii="Tahoma" w:hAnsi="Tahoma" w:cs="Tahoma"/>
          <w:sz w:val="22"/>
          <w:szCs w:val="22"/>
        </w:rPr>
      </w:pPr>
      <w:r w:rsidRPr="0037271B">
        <w:rPr>
          <w:rFonts w:ascii="Tahoma" w:hAnsi="Tahoma" w:cs="Tahoma"/>
          <w:sz w:val="22"/>
          <w:szCs w:val="22"/>
        </w:rPr>
        <w:t>Το παράρτημα που ακολουθεί, χωρίζεται σε δύο μέρη, έτσι ώστε στην παρούσα έκθεση του ΙΟΒΕ να ενσωματωθεί το μοντέλο που ακολουθείται πλέον στο πλαίσιο παρακολούθησης της στρατηγικής της Λισσαβόνας:</w:t>
      </w:r>
    </w:p>
    <w:p w:rsidR="006F7A6B" w:rsidRDefault="006F7A6B" w:rsidP="006F7A6B">
      <w:pPr>
        <w:spacing w:before="240" w:after="240" w:line="312" w:lineRule="auto"/>
        <w:jc w:val="both"/>
        <w:rPr>
          <w:rFonts w:ascii="Tahoma" w:hAnsi="Tahoma" w:cs="Tahoma"/>
          <w:sz w:val="22"/>
          <w:szCs w:val="22"/>
        </w:rPr>
      </w:pPr>
      <w:r w:rsidRPr="0037271B">
        <w:rPr>
          <w:rFonts w:ascii="Tahoma" w:hAnsi="Tahoma" w:cs="Tahoma"/>
          <w:sz w:val="22"/>
          <w:szCs w:val="22"/>
        </w:rPr>
        <w:t>Α) Το α’ μέρος του παραρτήματος περιλαμβάνει τις επιδόσεις των χωρών – μελών της Ε.Ε. των 25 στους 14 διαρθρωτικούς δείκτες που συνθέτουν τη συνοπτική λίστα (</w:t>
      </w:r>
      <w:r w:rsidRPr="0037271B">
        <w:rPr>
          <w:rFonts w:ascii="Tahoma" w:hAnsi="Tahoma" w:cs="Tahoma"/>
          <w:sz w:val="22"/>
          <w:szCs w:val="22"/>
          <w:lang w:val="en-US"/>
        </w:rPr>
        <w:t>short</w:t>
      </w:r>
      <w:r w:rsidRPr="0037271B">
        <w:rPr>
          <w:rFonts w:ascii="Tahoma" w:hAnsi="Tahoma" w:cs="Tahoma"/>
          <w:sz w:val="22"/>
          <w:szCs w:val="22"/>
        </w:rPr>
        <w:t xml:space="preserve"> </w:t>
      </w:r>
      <w:r w:rsidRPr="0037271B">
        <w:rPr>
          <w:rFonts w:ascii="Tahoma" w:hAnsi="Tahoma" w:cs="Tahoma"/>
          <w:sz w:val="22"/>
          <w:szCs w:val="22"/>
          <w:lang w:val="en-US"/>
        </w:rPr>
        <w:t>list</w:t>
      </w:r>
      <w:r w:rsidRPr="0037271B">
        <w:rPr>
          <w:rFonts w:ascii="Tahoma" w:hAnsi="Tahoma" w:cs="Tahoma"/>
          <w:sz w:val="22"/>
          <w:szCs w:val="22"/>
        </w:rPr>
        <w:t xml:space="preserve">) δεικτών που χρησιμοποιούνται πλέον από την Ευρωπαϊκή Επιτροπή, για την παρακολούθηση της υλοποίησης των στόχων της Λισσαβόνας από κάθε χώρα-μέλος και την πορεία των διαρθρωτικών αλλαγών των αντίστοιχων οικονομιών. </w:t>
      </w:r>
    </w:p>
    <w:p w:rsidR="006F7A6B" w:rsidRPr="0037271B" w:rsidRDefault="006F7A6B" w:rsidP="006F7A6B">
      <w:pPr>
        <w:spacing w:before="240" w:after="240" w:line="312" w:lineRule="auto"/>
        <w:jc w:val="both"/>
        <w:rPr>
          <w:rFonts w:ascii="Tahoma" w:hAnsi="Tahoma" w:cs="Tahoma"/>
          <w:sz w:val="22"/>
          <w:szCs w:val="22"/>
        </w:rPr>
      </w:pPr>
      <w:r w:rsidRPr="0037271B">
        <w:rPr>
          <w:rFonts w:ascii="Tahoma" w:hAnsi="Tahoma" w:cs="Tahoma"/>
          <w:sz w:val="22"/>
          <w:szCs w:val="22"/>
        </w:rPr>
        <w:t>Β) Το β’ μέρος περιλαμβάνει μία επιλογή από τους υπόλοιπους δείκτες που υιοθετήθηκαν από την Ευρωπαϊκή Επιτροπή το 2000 σε μια προσπάθεια να τροφοδοτηθούν οι εθνικές κυβερνήσεις με ένα σύνολο από σαφείς διακριτούς και εύκολα μετρήσιμους δείκτες που αποτυπώνουν το βαθμό διαρθρωτικής προσαρμογής κάθε χώρας</w:t>
      </w:r>
      <w:r>
        <w:rPr>
          <w:rFonts w:ascii="Tahoma" w:hAnsi="Tahoma" w:cs="Tahoma"/>
          <w:sz w:val="22"/>
          <w:szCs w:val="22"/>
        </w:rPr>
        <w:t xml:space="preserve"> </w:t>
      </w:r>
      <w:r w:rsidRPr="0037271B">
        <w:rPr>
          <w:rFonts w:ascii="Tahoma" w:hAnsi="Tahoma" w:cs="Tahoma"/>
          <w:sz w:val="22"/>
          <w:szCs w:val="22"/>
        </w:rPr>
        <w:t>-</w:t>
      </w:r>
      <w:r>
        <w:rPr>
          <w:rFonts w:ascii="Tahoma" w:hAnsi="Tahoma" w:cs="Tahoma"/>
          <w:sz w:val="22"/>
          <w:szCs w:val="22"/>
        </w:rPr>
        <w:t xml:space="preserve"> </w:t>
      </w:r>
      <w:r w:rsidRPr="0037271B">
        <w:rPr>
          <w:rFonts w:ascii="Tahoma" w:hAnsi="Tahoma" w:cs="Tahoma"/>
          <w:sz w:val="22"/>
          <w:szCs w:val="22"/>
        </w:rPr>
        <w:t>μέλους. Οι δείκτες αυτοί αποτελούν έτσι (μαζί προφανώς με τους 14 παραπάνω δείκτες), την ευρεία λίστα (</w:t>
      </w:r>
      <w:r w:rsidRPr="0037271B">
        <w:rPr>
          <w:rFonts w:ascii="Tahoma" w:hAnsi="Tahoma" w:cs="Tahoma"/>
          <w:sz w:val="22"/>
          <w:szCs w:val="22"/>
          <w:lang w:val="en-US"/>
        </w:rPr>
        <w:t>long</w:t>
      </w:r>
      <w:r w:rsidRPr="0037271B">
        <w:rPr>
          <w:rFonts w:ascii="Tahoma" w:hAnsi="Tahoma" w:cs="Tahoma"/>
          <w:sz w:val="22"/>
          <w:szCs w:val="22"/>
        </w:rPr>
        <w:t xml:space="preserve"> </w:t>
      </w:r>
      <w:r w:rsidRPr="0037271B">
        <w:rPr>
          <w:rFonts w:ascii="Tahoma" w:hAnsi="Tahoma" w:cs="Tahoma"/>
          <w:sz w:val="22"/>
          <w:szCs w:val="22"/>
          <w:lang w:val="en-US"/>
        </w:rPr>
        <w:t>list</w:t>
      </w:r>
      <w:r w:rsidRPr="0037271B">
        <w:rPr>
          <w:rFonts w:ascii="Tahoma" w:hAnsi="Tahoma" w:cs="Tahoma"/>
          <w:sz w:val="22"/>
          <w:szCs w:val="22"/>
        </w:rPr>
        <w:t xml:space="preserve">) των δεικτών που η </w:t>
      </w:r>
      <w:r w:rsidRPr="0037271B">
        <w:rPr>
          <w:rFonts w:ascii="Tahoma" w:hAnsi="Tahoma" w:cs="Tahoma"/>
          <w:sz w:val="22"/>
          <w:szCs w:val="22"/>
          <w:lang w:val="en-US"/>
        </w:rPr>
        <w:t>Eurostat</w:t>
      </w:r>
      <w:r w:rsidRPr="0037271B">
        <w:rPr>
          <w:rFonts w:ascii="Tahoma" w:hAnsi="Tahoma" w:cs="Tahoma"/>
          <w:sz w:val="22"/>
          <w:szCs w:val="22"/>
        </w:rPr>
        <w:t xml:space="preserve"> παρακολουθεί και εναρμο</w:t>
      </w:r>
      <w:r>
        <w:rPr>
          <w:rFonts w:ascii="Tahoma" w:hAnsi="Tahoma" w:cs="Tahoma"/>
          <w:sz w:val="22"/>
          <w:szCs w:val="22"/>
        </w:rPr>
        <w:t>νίζει</w:t>
      </w:r>
      <w:r w:rsidR="00335A2D">
        <w:rPr>
          <w:rFonts w:ascii="Tahoma" w:hAnsi="Tahoma" w:cs="Tahoma"/>
          <w:sz w:val="22"/>
          <w:szCs w:val="22"/>
        </w:rPr>
        <w:t xml:space="preserve"> </w:t>
      </w:r>
      <w:r>
        <w:rPr>
          <w:rFonts w:ascii="Tahoma" w:hAnsi="Tahoma" w:cs="Tahoma"/>
          <w:sz w:val="22"/>
          <w:szCs w:val="22"/>
        </w:rPr>
        <w:t>σε συστηματική βάση για την Ε.Ε των 2</w:t>
      </w:r>
      <w:r w:rsidRPr="009B5746">
        <w:rPr>
          <w:rFonts w:ascii="Tahoma" w:hAnsi="Tahoma" w:cs="Tahoma"/>
          <w:sz w:val="22"/>
          <w:szCs w:val="22"/>
        </w:rPr>
        <w:t>7.</w:t>
      </w:r>
      <w:r w:rsidRPr="0037271B">
        <w:rPr>
          <w:rFonts w:ascii="Tahoma" w:hAnsi="Tahoma" w:cs="Tahoma"/>
          <w:sz w:val="22"/>
          <w:szCs w:val="22"/>
        </w:rPr>
        <w:t xml:space="preserve"> </w:t>
      </w:r>
    </w:p>
    <w:p w:rsidR="006F7A6B" w:rsidRPr="0037271B" w:rsidRDefault="006F7A6B" w:rsidP="006F7A6B">
      <w:pPr>
        <w:pStyle w:val="BodyText"/>
        <w:spacing w:before="240" w:after="240" w:line="312" w:lineRule="auto"/>
        <w:rPr>
          <w:rFonts w:ascii="Tahoma" w:hAnsi="Tahoma" w:cs="Tahoma"/>
          <w:sz w:val="22"/>
          <w:szCs w:val="22"/>
        </w:rPr>
      </w:pPr>
      <w:r w:rsidRPr="0037271B">
        <w:rPr>
          <w:rFonts w:ascii="Tahoma" w:hAnsi="Tahoma" w:cs="Tahoma"/>
          <w:sz w:val="22"/>
          <w:szCs w:val="22"/>
        </w:rPr>
        <w:t xml:space="preserve">Βασικός στόχος του συνόλου των διαρθρωτικών δεικτών είναι να καταγραφεί η πρόοδος, που έχει σημειωθεί σε πέντε κρίσιμους τομείς πολιτικής, οι οποίοι αφορούν στην </w:t>
      </w:r>
      <w:r w:rsidRPr="0037271B">
        <w:rPr>
          <w:rFonts w:ascii="Tahoma" w:hAnsi="Tahoma" w:cs="Tahoma"/>
          <w:b/>
          <w:sz w:val="22"/>
          <w:szCs w:val="22"/>
        </w:rPr>
        <w:t>απασχόληση,</w:t>
      </w:r>
      <w:r w:rsidRPr="0037271B">
        <w:rPr>
          <w:rFonts w:ascii="Tahoma" w:hAnsi="Tahoma" w:cs="Tahoma"/>
          <w:sz w:val="22"/>
          <w:szCs w:val="22"/>
        </w:rPr>
        <w:t xml:space="preserve"> στην </w:t>
      </w:r>
      <w:r w:rsidRPr="0037271B">
        <w:rPr>
          <w:rFonts w:ascii="Tahoma" w:hAnsi="Tahoma" w:cs="Tahoma"/>
          <w:b/>
          <w:sz w:val="22"/>
          <w:szCs w:val="22"/>
        </w:rPr>
        <w:t>καινοτομία και έρευνα</w:t>
      </w:r>
      <w:r w:rsidRPr="0037271B">
        <w:rPr>
          <w:rFonts w:ascii="Tahoma" w:hAnsi="Tahoma" w:cs="Tahoma"/>
          <w:sz w:val="22"/>
          <w:szCs w:val="22"/>
        </w:rPr>
        <w:t xml:space="preserve">, στις </w:t>
      </w:r>
      <w:r w:rsidRPr="0037271B">
        <w:rPr>
          <w:rFonts w:ascii="Tahoma" w:hAnsi="Tahoma" w:cs="Tahoma"/>
          <w:b/>
          <w:sz w:val="22"/>
          <w:szCs w:val="22"/>
        </w:rPr>
        <w:t>αλλαγές στη διάρθρωση της οικονομίας,</w:t>
      </w:r>
      <w:r w:rsidRPr="0037271B">
        <w:rPr>
          <w:rFonts w:ascii="Tahoma" w:hAnsi="Tahoma" w:cs="Tahoma"/>
          <w:sz w:val="22"/>
          <w:szCs w:val="22"/>
        </w:rPr>
        <w:t xml:space="preserve"> στην </w:t>
      </w:r>
      <w:r w:rsidRPr="0037271B">
        <w:rPr>
          <w:rFonts w:ascii="Tahoma" w:hAnsi="Tahoma" w:cs="Tahoma"/>
          <w:b/>
          <w:sz w:val="22"/>
          <w:szCs w:val="22"/>
        </w:rPr>
        <w:t xml:space="preserve">κοινωνική συνοχή </w:t>
      </w:r>
      <w:r w:rsidRPr="0037271B">
        <w:rPr>
          <w:rFonts w:ascii="Tahoma" w:hAnsi="Tahoma" w:cs="Tahoma"/>
          <w:sz w:val="22"/>
          <w:szCs w:val="22"/>
        </w:rPr>
        <w:t>και στο</w:t>
      </w:r>
      <w:r w:rsidRPr="0037271B">
        <w:rPr>
          <w:rFonts w:ascii="Tahoma" w:hAnsi="Tahoma" w:cs="Tahoma"/>
          <w:b/>
          <w:sz w:val="22"/>
          <w:szCs w:val="22"/>
        </w:rPr>
        <w:t xml:space="preserve"> περιβάλλον</w:t>
      </w:r>
      <w:r w:rsidRPr="0037271B">
        <w:rPr>
          <w:rFonts w:ascii="Tahoma" w:hAnsi="Tahoma" w:cs="Tahoma"/>
          <w:sz w:val="22"/>
          <w:szCs w:val="22"/>
        </w:rPr>
        <w:t xml:space="preserve">. Παράλληλα παρακολουθούνται επιπλέον κάποιοι </w:t>
      </w:r>
      <w:r w:rsidRPr="0037271B">
        <w:rPr>
          <w:rFonts w:ascii="Tahoma" w:hAnsi="Tahoma" w:cs="Tahoma"/>
          <w:b/>
          <w:sz w:val="22"/>
          <w:szCs w:val="22"/>
        </w:rPr>
        <w:t>βασικοί οικονομικοί δείκτες</w:t>
      </w:r>
      <w:r w:rsidRPr="0037271B">
        <w:rPr>
          <w:rFonts w:ascii="Tahoma" w:hAnsi="Tahoma" w:cs="Tahoma"/>
          <w:sz w:val="22"/>
          <w:szCs w:val="22"/>
        </w:rPr>
        <w:t xml:space="preserve">, που αποδίδουν το ευρύτερο οικονομικό περιβάλλον, εντός του οποίου λαμβάνουν χώρα οι διαρθρωτικές αλλαγές που εφαρμόζονται σε κάθε χώρα - μέλος. </w:t>
      </w:r>
    </w:p>
    <w:p w:rsidR="006F7A6B" w:rsidRDefault="006F7A6B" w:rsidP="006F7A6B">
      <w:pPr>
        <w:spacing w:before="240" w:after="240" w:line="312" w:lineRule="auto"/>
        <w:jc w:val="both"/>
        <w:rPr>
          <w:rFonts w:ascii="Tahoma" w:hAnsi="Tahoma" w:cs="Tahoma"/>
          <w:sz w:val="22"/>
          <w:szCs w:val="22"/>
        </w:rPr>
      </w:pPr>
      <w:r w:rsidRPr="0037271B">
        <w:rPr>
          <w:rFonts w:ascii="Tahoma" w:hAnsi="Tahoma" w:cs="Tahoma"/>
          <w:sz w:val="22"/>
          <w:szCs w:val="22"/>
        </w:rPr>
        <w:t xml:space="preserve">Κάθε ένας από τους δείκτες που παρουσιάζονται στη συνέχεια, αποδίδεται γραφικά για το σύνολο των 27 χωρών (όπου υπάρχουν διαθέσιμα στοιχεία), ενώ σε πινακοποιημένη μορφή δίνεται η επίδοση της Ελλάδας σε σύγκριση με τον μέσο όρο της Ε.Ε. των 27, της Ε.Ε. των 25, της Ε.Ε. των 15 και της Ευρωζώνης (τελευταία </w:t>
      </w:r>
      <w:r w:rsidRPr="00282CC7">
        <w:rPr>
          <w:rFonts w:ascii="Tahoma" w:hAnsi="Tahoma" w:cs="Tahoma"/>
          <w:sz w:val="22"/>
          <w:szCs w:val="22"/>
        </w:rPr>
        <w:t xml:space="preserve">αναθεώρηση </w:t>
      </w:r>
      <w:r w:rsidRPr="00282CC7">
        <w:rPr>
          <w:rFonts w:ascii="Tahoma" w:hAnsi="Tahoma" w:cs="Tahoma"/>
          <w:sz w:val="22"/>
          <w:szCs w:val="22"/>
          <w:lang w:val="en-US"/>
        </w:rPr>
        <w:t>Eurostat</w:t>
      </w:r>
      <w:r w:rsidRPr="00282CC7">
        <w:rPr>
          <w:rFonts w:ascii="Tahoma" w:hAnsi="Tahoma" w:cs="Tahoma"/>
          <w:sz w:val="22"/>
          <w:szCs w:val="22"/>
        </w:rPr>
        <w:t>, Αύγουστος 2007).</w:t>
      </w:r>
    </w:p>
    <w:p w:rsidR="006F7A6B" w:rsidRDefault="006F7A6B" w:rsidP="006F7A6B">
      <w:pPr>
        <w:pStyle w:val="new5"/>
        <w:pBdr>
          <w:bottom w:val="single" w:sz="12" w:space="1" w:color="auto"/>
        </w:pBdr>
        <w:jc w:val="left"/>
        <w:rPr>
          <w:rFonts w:ascii="Tahoma" w:hAnsi="Tahoma" w:cs="Tahoma"/>
          <w:smallCaps w:val="0"/>
          <w:sz w:val="28"/>
          <w:szCs w:val="28"/>
        </w:rPr>
        <w:sectPr w:rsidR="006F7A6B" w:rsidSect="00CE7B15">
          <w:type w:val="oddPage"/>
          <w:pgSz w:w="11906" w:h="16838"/>
          <w:pgMar w:top="1391" w:right="1418" w:bottom="1418" w:left="1418" w:header="720" w:footer="720" w:gutter="0"/>
          <w:paperSrc w:first="242" w:other="242"/>
          <w:cols w:space="720"/>
          <w:rtlGutter/>
        </w:sectPr>
      </w:pPr>
      <w:bookmarkStart w:id="325" w:name="_Toc169881530"/>
      <w:bookmarkStart w:id="326" w:name="_Toc170201866"/>
    </w:p>
    <w:p w:rsidR="006F7A6B" w:rsidRPr="00917582" w:rsidRDefault="006F7A6B" w:rsidP="006F7A6B">
      <w:pPr>
        <w:pStyle w:val="new5"/>
        <w:pBdr>
          <w:bottom w:val="single" w:sz="12" w:space="1" w:color="auto"/>
        </w:pBdr>
        <w:jc w:val="left"/>
        <w:rPr>
          <w:rFonts w:ascii="Tahoma" w:hAnsi="Tahoma" w:cs="Tahoma"/>
          <w:smallCaps w:val="0"/>
          <w:sz w:val="28"/>
          <w:szCs w:val="28"/>
        </w:rPr>
      </w:pPr>
      <w:r w:rsidRPr="00917582">
        <w:rPr>
          <w:rFonts w:ascii="Tahoma" w:hAnsi="Tahoma" w:cs="Tahoma"/>
          <w:smallCaps w:val="0"/>
          <w:sz w:val="28"/>
          <w:szCs w:val="28"/>
        </w:rPr>
        <w:lastRenderedPageBreak/>
        <w:t>Ονοματολογία</w:t>
      </w:r>
      <w:bookmarkEnd w:id="325"/>
      <w:bookmarkEnd w:id="326"/>
    </w:p>
    <w:p w:rsidR="006F7A6B" w:rsidRPr="00917582" w:rsidRDefault="006F7A6B" w:rsidP="006F7A6B">
      <w:pPr>
        <w:rPr>
          <w:rFonts w:ascii="Tahoma" w:hAnsi="Tahoma" w:cs="Tahoma"/>
        </w:rPr>
      </w:pPr>
    </w:p>
    <w:tbl>
      <w:tblPr>
        <w:tblW w:w="0" w:type="auto"/>
        <w:tblLayout w:type="fixed"/>
        <w:tblCellMar>
          <w:left w:w="30" w:type="dxa"/>
          <w:right w:w="30" w:type="dxa"/>
        </w:tblCellMar>
        <w:tblLook w:val="0000"/>
      </w:tblPr>
      <w:tblGrid>
        <w:gridCol w:w="1731"/>
        <w:gridCol w:w="7230"/>
      </w:tblGrid>
      <w:tr w:rsidR="006F7A6B" w:rsidRPr="000C7684" w:rsidTr="00591211">
        <w:trPr>
          <w:trHeight w:val="247"/>
        </w:trPr>
        <w:tc>
          <w:tcPr>
            <w:tcW w:w="1731" w:type="dxa"/>
          </w:tcPr>
          <w:p w:rsidR="006F7A6B" w:rsidRPr="008F2F28" w:rsidRDefault="006F7A6B" w:rsidP="00591211">
            <w:pPr>
              <w:snapToGrid w:val="0"/>
              <w:spacing w:before="60" w:after="60"/>
              <w:rPr>
                <w:rFonts w:ascii="Tahoma" w:hAnsi="Tahoma" w:cs="Tahoma"/>
                <w:b/>
                <w:sz w:val="22"/>
                <w:szCs w:val="22"/>
              </w:rPr>
            </w:pPr>
            <w:r w:rsidRPr="008F2F28">
              <w:rPr>
                <w:rFonts w:ascii="Tahoma" w:hAnsi="Tahoma" w:cs="Tahoma"/>
                <w:b/>
                <w:sz w:val="22"/>
                <w:szCs w:val="22"/>
              </w:rPr>
              <w:t>EU27</w:t>
            </w:r>
          </w:p>
        </w:tc>
        <w:tc>
          <w:tcPr>
            <w:tcW w:w="7230" w:type="dxa"/>
          </w:tcPr>
          <w:p w:rsidR="006F7A6B" w:rsidRPr="000C7684" w:rsidRDefault="006F7A6B" w:rsidP="00930031">
            <w:pPr>
              <w:snapToGrid w:val="0"/>
              <w:spacing w:before="60" w:after="60"/>
              <w:ind w:left="1869" w:hanging="1869"/>
              <w:rPr>
                <w:rFonts w:ascii="Tahoma" w:hAnsi="Tahoma" w:cs="Tahoma"/>
                <w:color w:val="000000"/>
                <w:sz w:val="22"/>
                <w:szCs w:val="22"/>
              </w:rPr>
            </w:pPr>
            <w:r w:rsidRPr="000C7684">
              <w:rPr>
                <w:rFonts w:ascii="Tahoma" w:hAnsi="Tahoma" w:cs="Tahoma"/>
                <w:color w:val="000000"/>
                <w:sz w:val="22"/>
                <w:szCs w:val="22"/>
              </w:rPr>
              <w:t>Ευρωπαϊκή Ένωση</w:t>
            </w:r>
            <w:r w:rsidRPr="00776F0D">
              <w:rPr>
                <w:rFonts w:ascii="Tahoma" w:hAnsi="Tahoma" w:cs="Tahoma"/>
                <w:color w:val="000000"/>
                <w:sz w:val="18"/>
                <w:szCs w:val="18"/>
              </w:rPr>
              <w:t xml:space="preserve"> </w:t>
            </w:r>
          </w:p>
        </w:tc>
      </w:tr>
      <w:tr w:rsidR="006F7A6B" w:rsidRPr="000C7684" w:rsidTr="00591211">
        <w:trPr>
          <w:trHeight w:val="247"/>
        </w:trPr>
        <w:tc>
          <w:tcPr>
            <w:tcW w:w="1731" w:type="dxa"/>
          </w:tcPr>
          <w:p w:rsidR="006F7A6B" w:rsidRPr="000C7684" w:rsidRDefault="006F7A6B" w:rsidP="00591211">
            <w:pPr>
              <w:pStyle w:val="Heading3"/>
              <w:keepNext w:val="0"/>
              <w:spacing w:before="60"/>
              <w:rPr>
                <w:rFonts w:ascii="Tahoma" w:hAnsi="Tahoma" w:cs="Tahoma"/>
                <w:sz w:val="22"/>
                <w:szCs w:val="22"/>
              </w:rPr>
            </w:pPr>
            <w:bookmarkStart w:id="327" w:name="_Toc169880989"/>
            <w:r w:rsidRPr="000C7684">
              <w:rPr>
                <w:rFonts w:ascii="Tahoma" w:hAnsi="Tahoma" w:cs="Tahoma"/>
                <w:sz w:val="22"/>
                <w:szCs w:val="22"/>
              </w:rPr>
              <w:t>EU25</w:t>
            </w:r>
            <w:bookmarkEnd w:id="327"/>
          </w:p>
        </w:tc>
        <w:tc>
          <w:tcPr>
            <w:tcW w:w="7230" w:type="dxa"/>
          </w:tcPr>
          <w:p w:rsidR="006F7A6B" w:rsidRPr="000C7684" w:rsidRDefault="006F7A6B" w:rsidP="00591211">
            <w:pPr>
              <w:snapToGrid w:val="0"/>
              <w:spacing w:before="60" w:after="60"/>
              <w:rPr>
                <w:rFonts w:ascii="Tahoma" w:hAnsi="Tahoma" w:cs="Tahoma"/>
                <w:color w:val="000000"/>
                <w:sz w:val="22"/>
                <w:szCs w:val="22"/>
              </w:rPr>
            </w:pPr>
            <w:r w:rsidRPr="000C7684">
              <w:rPr>
                <w:rFonts w:ascii="Tahoma" w:hAnsi="Tahoma" w:cs="Tahoma"/>
                <w:color w:val="000000"/>
                <w:sz w:val="22"/>
                <w:szCs w:val="22"/>
              </w:rPr>
              <w:t>Ευρωπαϊκή Ένωση</w:t>
            </w:r>
          </w:p>
        </w:tc>
      </w:tr>
      <w:tr w:rsidR="006F7A6B" w:rsidRPr="000C7684" w:rsidTr="00591211">
        <w:trPr>
          <w:trHeight w:val="247"/>
        </w:trPr>
        <w:tc>
          <w:tcPr>
            <w:tcW w:w="1731" w:type="dxa"/>
          </w:tcPr>
          <w:p w:rsidR="006F7A6B" w:rsidRPr="00776F0D" w:rsidRDefault="006F7A6B" w:rsidP="00591211">
            <w:pPr>
              <w:snapToGrid w:val="0"/>
              <w:spacing w:before="60" w:after="60"/>
              <w:rPr>
                <w:rFonts w:ascii="Tahoma" w:hAnsi="Tahoma" w:cs="Tahoma"/>
                <w:b/>
                <w:color w:val="000000"/>
                <w:sz w:val="22"/>
                <w:szCs w:val="22"/>
              </w:rPr>
            </w:pPr>
            <w:r>
              <w:rPr>
                <w:rFonts w:ascii="Tahoma" w:hAnsi="Tahoma" w:cs="Tahoma"/>
                <w:b/>
                <w:color w:val="000000"/>
                <w:sz w:val="22"/>
                <w:szCs w:val="22"/>
              </w:rPr>
              <w:t>EΑ</w:t>
            </w:r>
            <w:r w:rsidRPr="00776F0D">
              <w:rPr>
                <w:rFonts w:ascii="Tahoma" w:hAnsi="Tahoma" w:cs="Tahoma"/>
                <w:b/>
                <w:color w:val="000000"/>
                <w:sz w:val="22"/>
                <w:szCs w:val="22"/>
              </w:rPr>
              <w:t>13</w:t>
            </w:r>
          </w:p>
        </w:tc>
        <w:tc>
          <w:tcPr>
            <w:tcW w:w="7230" w:type="dxa"/>
          </w:tcPr>
          <w:p w:rsidR="006F7A6B" w:rsidRPr="00776F0D" w:rsidRDefault="006F7A6B" w:rsidP="00591211">
            <w:pPr>
              <w:snapToGrid w:val="0"/>
              <w:spacing w:before="60" w:after="60"/>
              <w:rPr>
                <w:rFonts w:ascii="Tahoma" w:hAnsi="Tahoma" w:cs="Tahoma"/>
                <w:color w:val="000000"/>
                <w:sz w:val="22"/>
                <w:szCs w:val="22"/>
              </w:rPr>
            </w:pPr>
            <w:r w:rsidRPr="00776F0D">
              <w:rPr>
                <w:rFonts w:ascii="Tahoma" w:hAnsi="Tahoma" w:cs="Tahoma"/>
                <w:color w:val="000000"/>
                <w:sz w:val="22"/>
                <w:szCs w:val="22"/>
              </w:rPr>
              <w:t xml:space="preserve">Ευρωζώνη </w:t>
            </w:r>
            <w:r w:rsidRPr="00776F0D">
              <w:rPr>
                <w:rFonts w:ascii="Tahoma" w:hAnsi="Tahoma" w:cs="Tahoma"/>
                <w:color w:val="000000"/>
                <w:sz w:val="18"/>
                <w:szCs w:val="18"/>
              </w:rPr>
              <w:t>(Τον Ιανουάριο 2007 εντάχθηκε στη Ευρωζώνη η Σλοβενία</w:t>
            </w:r>
            <w:r w:rsidRPr="00776F0D">
              <w:rPr>
                <w:rFonts w:ascii="Tahoma" w:hAnsi="Tahoma" w:cs="Tahoma"/>
                <w:sz w:val="18"/>
                <w:szCs w:val="18"/>
              </w:rPr>
              <w:t>)</w:t>
            </w:r>
          </w:p>
        </w:tc>
      </w:tr>
      <w:tr w:rsidR="006F7A6B" w:rsidRPr="000C7684" w:rsidTr="00591211">
        <w:trPr>
          <w:trHeight w:val="247"/>
        </w:trPr>
        <w:tc>
          <w:tcPr>
            <w:tcW w:w="1731" w:type="dxa"/>
          </w:tcPr>
          <w:p w:rsidR="006F7A6B" w:rsidRPr="000C7684" w:rsidRDefault="006F7A6B" w:rsidP="00591211">
            <w:pPr>
              <w:snapToGrid w:val="0"/>
              <w:spacing w:before="60" w:after="60"/>
              <w:rPr>
                <w:rFonts w:ascii="Tahoma" w:hAnsi="Tahoma" w:cs="Tahoma"/>
                <w:b/>
                <w:color w:val="000000"/>
                <w:sz w:val="22"/>
                <w:szCs w:val="22"/>
              </w:rPr>
            </w:pPr>
            <w:r w:rsidRPr="000C7684">
              <w:rPr>
                <w:rFonts w:ascii="Tahoma" w:hAnsi="Tahoma" w:cs="Tahoma"/>
                <w:b/>
                <w:color w:val="000000"/>
                <w:sz w:val="22"/>
                <w:szCs w:val="22"/>
              </w:rPr>
              <w:t>B</w:t>
            </w:r>
            <w:r w:rsidRPr="000C7684">
              <w:rPr>
                <w:rFonts w:ascii="Tahoma" w:hAnsi="Tahoma" w:cs="Tahoma"/>
                <w:b/>
                <w:color w:val="000000"/>
                <w:sz w:val="22"/>
                <w:szCs w:val="22"/>
                <w:lang w:val="en-US"/>
              </w:rPr>
              <w:t>E</w:t>
            </w:r>
          </w:p>
        </w:tc>
        <w:tc>
          <w:tcPr>
            <w:tcW w:w="7230" w:type="dxa"/>
          </w:tcPr>
          <w:p w:rsidR="006F7A6B" w:rsidRPr="000C7684" w:rsidRDefault="006F7A6B" w:rsidP="00591211">
            <w:pPr>
              <w:snapToGrid w:val="0"/>
              <w:spacing w:before="60" w:after="60"/>
              <w:rPr>
                <w:rFonts w:ascii="Tahoma" w:hAnsi="Tahoma" w:cs="Tahoma"/>
                <w:color w:val="000000"/>
                <w:sz w:val="22"/>
                <w:szCs w:val="22"/>
              </w:rPr>
            </w:pPr>
            <w:r w:rsidRPr="000C7684">
              <w:rPr>
                <w:rFonts w:ascii="Tahoma" w:hAnsi="Tahoma" w:cs="Tahoma"/>
                <w:color w:val="000000"/>
                <w:sz w:val="22"/>
                <w:szCs w:val="22"/>
              </w:rPr>
              <w:t>Βέλγιο</w:t>
            </w:r>
          </w:p>
        </w:tc>
      </w:tr>
      <w:tr w:rsidR="006F7A6B" w:rsidRPr="000C7684" w:rsidTr="00591211">
        <w:trPr>
          <w:trHeight w:val="247"/>
        </w:trPr>
        <w:tc>
          <w:tcPr>
            <w:tcW w:w="1731" w:type="dxa"/>
          </w:tcPr>
          <w:p w:rsidR="006F7A6B" w:rsidRPr="000C7684" w:rsidRDefault="006F7A6B" w:rsidP="00591211">
            <w:pPr>
              <w:snapToGrid w:val="0"/>
              <w:spacing w:before="60" w:after="60"/>
              <w:rPr>
                <w:rFonts w:ascii="Tahoma" w:hAnsi="Tahoma" w:cs="Tahoma"/>
                <w:b/>
                <w:color w:val="000000"/>
                <w:sz w:val="22"/>
                <w:szCs w:val="22"/>
              </w:rPr>
            </w:pPr>
            <w:r w:rsidRPr="000C7684">
              <w:rPr>
                <w:rFonts w:ascii="Tahoma" w:hAnsi="Tahoma" w:cs="Tahoma"/>
                <w:b/>
                <w:color w:val="000000"/>
                <w:sz w:val="22"/>
                <w:szCs w:val="22"/>
              </w:rPr>
              <w:t>CZ</w:t>
            </w:r>
          </w:p>
        </w:tc>
        <w:tc>
          <w:tcPr>
            <w:tcW w:w="7230" w:type="dxa"/>
          </w:tcPr>
          <w:p w:rsidR="006F7A6B" w:rsidRPr="000C7684" w:rsidRDefault="006F7A6B" w:rsidP="00591211">
            <w:pPr>
              <w:snapToGrid w:val="0"/>
              <w:spacing w:before="60" w:after="60"/>
              <w:rPr>
                <w:rFonts w:ascii="Tahoma" w:hAnsi="Tahoma" w:cs="Tahoma"/>
                <w:color w:val="000000"/>
                <w:sz w:val="22"/>
                <w:szCs w:val="22"/>
              </w:rPr>
            </w:pPr>
            <w:r w:rsidRPr="000C7684">
              <w:rPr>
                <w:rFonts w:ascii="Tahoma" w:hAnsi="Tahoma" w:cs="Tahoma"/>
                <w:color w:val="000000"/>
                <w:sz w:val="22"/>
                <w:szCs w:val="22"/>
              </w:rPr>
              <w:t>Τσεχία</w:t>
            </w:r>
          </w:p>
        </w:tc>
      </w:tr>
      <w:tr w:rsidR="006F7A6B" w:rsidRPr="000C7684" w:rsidTr="00591211">
        <w:trPr>
          <w:trHeight w:val="247"/>
        </w:trPr>
        <w:tc>
          <w:tcPr>
            <w:tcW w:w="1731" w:type="dxa"/>
          </w:tcPr>
          <w:p w:rsidR="006F7A6B" w:rsidRPr="000C7684" w:rsidRDefault="006F7A6B" w:rsidP="00591211">
            <w:pPr>
              <w:snapToGrid w:val="0"/>
              <w:spacing w:before="60" w:after="60"/>
              <w:rPr>
                <w:rFonts w:ascii="Tahoma" w:hAnsi="Tahoma" w:cs="Tahoma"/>
                <w:b/>
                <w:color w:val="000000"/>
                <w:sz w:val="22"/>
                <w:szCs w:val="22"/>
              </w:rPr>
            </w:pPr>
            <w:r w:rsidRPr="000C7684">
              <w:rPr>
                <w:rFonts w:ascii="Tahoma" w:hAnsi="Tahoma" w:cs="Tahoma"/>
                <w:b/>
                <w:color w:val="000000"/>
                <w:sz w:val="22"/>
                <w:szCs w:val="22"/>
              </w:rPr>
              <w:t>DK</w:t>
            </w:r>
          </w:p>
        </w:tc>
        <w:tc>
          <w:tcPr>
            <w:tcW w:w="7230" w:type="dxa"/>
          </w:tcPr>
          <w:p w:rsidR="006F7A6B" w:rsidRPr="000C7684" w:rsidRDefault="006F7A6B" w:rsidP="00591211">
            <w:pPr>
              <w:snapToGrid w:val="0"/>
              <w:spacing w:before="60" w:after="60"/>
              <w:rPr>
                <w:rFonts w:ascii="Tahoma" w:hAnsi="Tahoma" w:cs="Tahoma"/>
                <w:color w:val="000000"/>
                <w:sz w:val="22"/>
                <w:szCs w:val="22"/>
              </w:rPr>
            </w:pPr>
            <w:r w:rsidRPr="000C7684">
              <w:rPr>
                <w:rFonts w:ascii="Tahoma" w:hAnsi="Tahoma" w:cs="Tahoma"/>
                <w:color w:val="000000"/>
                <w:sz w:val="22"/>
                <w:szCs w:val="22"/>
              </w:rPr>
              <w:t>Δανία</w:t>
            </w:r>
          </w:p>
        </w:tc>
      </w:tr>
      <w:tr w:rsidR="006F7A6B" w:rsidRPr="000C7684" w:rsidTr="00591211">
        <w:trPr>
          <w:trHeight w:val="247"/>
        </w:trPr>
        <w:tc>
          <w:tcPr>
            <w:tcW w:w="1731" w:type="dxa"/>
          </w:tcPr>
          <w:p w:rsidR="006F7A6B" w:rsidRPr="000C7684" w:rsidRDefault="006F7A6B" w:rsidP="00591211">
            <w:pPr>
              <w:snapToGrid w:val="0"/>
              <w:spacing w:before="60" w:after="60"/>
              <w:rPr>
                <w:rFonts w:ascii="Tahoma" w:hAnsi="Tahoma" w:cs="Tahoma"/>
                <w:b/>
                <w:color w:val="000000"/>
                <w:sz w:val="22"/>
                <w:szCs w:val="22"/>
              </w:rPr>
            </w:pPr>
            <w:r w:rsidRPr="000C7684">
              <w:rPr>
                <w:rFonts w:ascii="Tahoma" w:hAnsi="Tahoma" w:cs="Tahoma"/>
                <w:b/>
                <w:color w:val="000000"/>
                <w:sz w:val="22"/>
                <w:szCs w:val="22"/>
              </w:rPr>
              <w:t>D</w:t>
            </w:r>
            <w:r w:rsidRPr="000C7684">
              <w:rPr>
                <w:rFonts w:ascii="Tahoma" w:hAnsi="Tahoma" w:cs="Tahoma"/>
                <w:b/>
                <w:color w:val="000000"/>
                <w:sz w:val="22"/>
                <w:szCs w:val="22"/>
                <w:lang w:val="en-US"/>
              </w:rPr>
              <w:t>E</w:t>
            </w:r>
          </w:p>
        </w:tc>
        <w:tc>
          <w:tcPr>
            <w:tcW w:w="7230" w:type="dxa"/>
          </w:tcPr>
          <w:p w:rsidR="006F7A6B" w:rsidRPr="000C7684" w:rsidRDefault="006F7A6B" w:rsidP="00591211">
            <w:pPr>
              <w:snapToGrid w:val="0"/>
              <w:spacing w:before="60" w:after="60"/>
              <w:rPr>
                <w:rFonts w:ascii="Tahoma" w:hAnsi="Tahoma" w:cs="Tahoma"/>
                <w:color w:val="000000"/>
                <w:sz w:val="22"/>
                <w:szCs w:val="22"/>
              </w:rPr>
            </w:pPr>
            <w:r w:rsidRPr="000C7684">
              <w:rPr>
                <w:rFonts w:ascii="Tahoma" w:hAnsi="Tahoma" w:cs="Tahoma"/>
                <w:color w:val="000000"/>
                <w:sz w:val="22"/>
                <w:szCs w:val="22"/>
              </w:rPr>
              <w:t>Γερμανία</w:t>
            </w:r>
          </w:p>
        </w:tc>
      </w:tr>
      <w:tr w:rsidR="006F7A6B" w:rsidRPr="000C7684" w:rsidTr="00591211">
        <w:trPr>
          <w:trHeight w:val="247"/>
        </w:trPr>
        <w:tc>
          <w:tcPr>
            <w:tcW w:w="1731" w:type="dxa"/>
          </w:tcPr>
          <w:p w:rsidR="006F7A6B" w:rsidRPr="000C7684" w:rsidRDefault="006F7A6B" w:rsidP="00591211">
            <w:pPr>
              <w:snapToGrid w:val="0"/>
              <w:spacing w:before="60" w:after="60"/>
              <w:rPr>
                <w:rFonts w:ascii="Tahoma" w:hAnsi="Tahoma" w:cs="Tahoma"/>
                <w:b/>
                <w:color w:val="000000"/>
                <w:sz w:val="22"/>
                <w:szCs w:val="22"/>
              </w:rPr>
            </w:pPr>
            <w:r w:rsidRPr="000C7684">
              <w:rPr>
                <w:rFonts w:ascii="Tahoma" w:hAnsi="Tahoma" w:cs="Tahoma"/>
                <w:b/>
                <w:color w:val="000000"/>
                <w:sz w:val="22"/>
                <w:szCs w:val="22"/>
              </w:rPr>
              <w:t>EE</w:t>
            </w:r>
          </w:p>
        </w:tc>
        <w:tc>
          <w:tcPr>
            <w:tcW w:w="7230" w:type="dxa"/>
          </w:tcPr>
          <w:p w:rsidR="006F7A6B" w:rsidRPr="000C7684" w:rsidRDefault="006F7A6B" w:rsidP="00591211">
            <w:pPr>
              <w:snapToGrid w:val="0"/>
              <w:spacing w:before="60" w:after="60"/>
              <w:rPr>
                <w:rFonts w:ascii="Tahoma" w:hAnsi="Tahoma" w:cs="Tahoma"/>
                <w:color w:val="000000"/>
                <w:sz w:val="22"/>
                <w:szCs w:val="22"/>
              </w:rPr>
            </w:pPr>
            <w:r w:rsidRPr="000C7684">
              <w:rPr>
                <w:rFonts w:ascii="Tahoma" w:hAnsi="Tahoma" w:cs="Tahoma"/>
                <w:color w:val="000000"/>
                <w:sz w:val="22"/>
                <w:szCs w:val="22"/>
              </w:rPr>
              <w:t>Εσθονία</w:t>
            </w:r>
          </w:p>
        </w:tc>
      </w:tr>
      <w:tr w:rsidR="006F7A6B" w:rsidRPr="000C7684" w:rsidTr="00591211">
        <w:trPr>
          <w:trHeight w:val="247"/>
        </w:trPr>
        <w:tc>
          <w:tcPr>
            <w:tcW w:w="1731" w:type="dxa"/>
          </w:tcPr>
          <w:p w:rsidR="006F7A6B" w:rsidRPr="000C7684" w:rsidRDefault="006F7A6B" w:rsidP="00591211">
            <w:pPr>
              <w:snapToGrid w:val="0"/>
              <w:spacing w:before="60" w:after="60"/>
              <w:rPr>
                <w:rFonts w:ascii="Tahoma" w:hAnsi="Tahoma" w:cs="Tahoma"/>
                <w:b/>
                <w:color w:val="000000"/>
                <w:sz w:val="22"/>
                <w:szCs w:val="22"/>
              </w:rPr>
            </w:pPr>
            <w:r w:rsidRPr="000C7684">
              <w:rPr>
                <w:rFonts w:ascii="Tahoma" w:hAnsi="Tahoma" w:cs="Tahoma"/>
                <w:b/>
                <w:color w:val="000000"/>
                <w:sz w:val="22"/>
                <w:szCs w:val="22"/>
                <w:lang w:val="en-US"/>
              </w:rPr>
              <w:t>EL</w:t>
            </w:r>
          </w:p>
        </w:tc>
        <w:tc>
          <w:tcPr>
            <w:tcW w:w="7230" w:type="dxa"/>
          </w:tcPr>
          <w:p w:rsidR="006F7A6B" w:rsidRPr="000C7684" w:rsidRDefault="006F7A6B" w:rsidP="00591211">
            <w:pPr>
              <w:snapToGrid w:val="0"/>
              <w:spacing w:before="60" w:after="60"/>
              <w:rPr>
                <w:rFonts w:ascii="Tahoma" w:hAnsi="Tahoma" w:cs="Tahoma"/>
                <w:color w:val="000000"/>
                <w:sz w:val="22"/>
                <w:szCs w:val="22"/>
              </w:rPr>
            </w:pPr>
            <w:r w:rsidRPr="000C7684">
              <w:rPr>
                <w:rFonts w:ascii="Tahoma" w:hAnsi="Tahoma" w:cs="Tahoma"/>
                <w:color w:val="000000"/>
                <w:sz w:val="22"/>
                <w:szCs w:val="22"/>
              </w:rPr>
              <w:t>Ελλάδα</w:t>
            </w:r>
          </w:p>
        </w:tc>
      </w:tr>
      <w:tr w:rsidR="006F7A6B" w:rsidRPr="000C7684" w:rsidTr="00591211">
        <w:trPr>
          <w:trHeight w:val="247"/>
        </w:trPr>
        <w:tc>
          <w:tcPr>
            <w:tcW w:w="1731" w:type="dxa"/>
          </w:tcPr>
          <w:p w:rsidR="006F7A6B" w:rsidRPr="000C7684" w:rsidRDefault="006F7A6B" w:rsidP="00591211">
            <w:pPr>
              <w:snapToGrid w:val="0"/>
              <w:spacing w:before="60" w:after="60"/>
              <w:rPr>
                <w:rFonts w:ascii="Tahoma" w:hAnsi="Tahoma" w:cs="Tahoma"/>
                <w:b/>
                <w:color w:val="000000"/>
                <w:sz w:val="22"/>
                <w:szCs w:val="22"/>
              </w:rPr>
            </w:pPr>
            <w:r w:rsidRPr="000C7684">
              <w:rPr>
                <w:rFonts w:ascii="Tahoma" w:hAnsi="Tahoma" w:cs="Tahoma"/>
                <w:b/>
                <w:color w:val="000000"/>
                <w:sz w:val="22"/>
                <w:szCs w:val="22"/>
              </w:rPr>
              <w:t>E</w:t>
            </w:r>
            <w:r w:rsidRPr="000C7684">
              <w:rPr>
                <w:rFonts w:ascii="Tahoma" w:hAnsi="Tahoma" w:cs="Tahoma"/>
                <w:b/>
                <w:color w:val="000000"/>
                <w:sz w:val="22"/>
                <w:szCs w:val="22"/>
                <w:lang w:val="en-US"/>
              </w:rPr>
              <w:t>S</w:t>
            </w:r>
          </w:p>
        </w:tc>
        <w:tc>
          <w:tcPr>
            <w:tcW w:w="7230" w:type="dxa"/>
          </w:tcPr>
          <w:p w:rsidR="006F7A6B" w:rsidRPr="000C7684" w:rsidRDefault="006F7A6B" w:rsidP="00591211">
            <w:pPr>
              <w:snapToGrid w:val="0"/>
              <w:spacing w:before="60" w:after="60"/>
              <w:rPr>
                <w:rFonts w:ascii="Tahoma" w:hAnsi="Tahoma" w:cs="Tahoma"/>
                <w:color w:val="000000"/>
                <w:sz w:val="22"/>
                <w:szCs w:val="22"/>
              </w:rPr>
            </w:pPr>
            <w:r w:rsidRPr="000C7684">
              <w:rPr>
                <w:rFonts w:ascii="Tahoma" w:hAnsi="Tahoma" w:cs="Tahoma"/>
                <w:color w:val="000000"/>
                <w:sz w:val="22"/>
                <w:szCs w:val="22"/>
              </w:rPr>
              <w:t>Ισπανία</w:t>
            </w:r>
          </w:p>
        </w:tc>
      </w:tr>
      <w:tr w:rsidR="006F7A6B" w:rsidRPr="000C7684" w:rsidTr="00591211">
        <w:trPr>
          <w:trHeight w:val="247"/>
        </w:trPr>
        <w:tc>
          <w:tcPr>
            <w:tcW w:w="1731" w:type="dxa"/>
          </w:tcPr>
          <w:p w:rsidR="006F7A6B" w:rsidRPr="000C7684" w:rsidRDefault="006F7A6B" w:rsidP="00591211">
            <w:pPr>
              <w:snapToGrid w:val="0"/>
              <w:spacing w:before="60" w:after="60"/>
              <w:rPr>
                <w:rFonts w:ascii="Tahoma" w:hAnsi="Tahoma" w:cs="Tahoma"/>
                <w:b/>
                <w:color w:val="000000"/>
                <w:sz w:val="22"/>
                <w:szCs w:val="22"/>
              </w:rPr>
            </w:pPr>
            <w:r w:rsidRPr="000C7684">
              <w:rPr>
                <w:rFonts w:ascii="Tahoma" w:hAnsi="Tahoma" w:cs="Tahoma"/>
                <w:b/>
                <w:color w:val="000000"/>
                <w:sz w:val="22"/>
                <w:szCs w:val="22"/>
              </w:rPr>
              <w:t>FR</w:t>
            </w:r>
          </w:p>
        </w:tc>
        <w:tc>
          <w:tcPr>
            <w:tcW w:w="7230" w:type="dxa"/>
          </w:tcPr>
          <w:p w:rsidR="006F7A6B" w:rsidRPr="000C7684" w:rsidRDefault="006F7A6B" w:rsidP="00591211">
            <w:pPr>
              <w:snapToGrid w:val="0"/>
              <w:spacing w:before="60" w:after="60"/>
              <w:rPr>
                <w:rFonts w:ascii="Tahoma" w:hAnsi="Tahoma" w:cs="Tahoma"/>
                <w:color w:val="000000"/>
                <w:sz w:val="22"/>
                <w:szCs w:val="22"/>
              </w:rPr>
            </w:pPr>
            <w:r w:rsidRPr="000C7684">
              <w:rPr>
                <w:rFonts w:ascii="Tahoma" w:hAnsi="Tahoma" w:cs="Tahoma"/>
                <w:color w:val="000000"/>
                <w:sz w:val="22"/>
                <w:szCs w:val="22"/>
              </w:rPr>
              <w:t>Γαλλία</w:t>
            </w:r>
          </w:p>
        </w:tc>
      </w:tr>
      <w:tr w:rsidR="006F7A6B" w:rsidRPr="000C7684" w:rsidTr="00591211">
        <w:trPr>
          <w:trHeight w:val="247"/>
        </w:trPr>
        <w:tc>
          <w:tcPr>
            <w:tcW w:w="1731" w:type="dxa"/>
          </w:tcPr>
          <w:p w:rsidR="006F7A6B" w:rsidRPr="000C7684" w:rsidRDefault="006F7A6B" w:rsidP="00591211">
            <w:pPr>
              <w:snapToGrid w:val="0"/>
              <w:spacing w:before="60" w:after="60"/>
              <w:rPr>
                <w:rFonts w:ascii="Tahoma" w:hAnsi="Tahoma" w:cs="Tahoma"/>
                <w:b/>
                <w:color w:val="000000"/>
                <w:sz w:val="22"/>
                <w:szCs w:val="22"/>
                <w:lang w:val="en-US"/>
              </w:rPr>
            </w:pPr>
            <w:r w:rsidRPr="000C7684">
              <w:rPr>
                <w:rFonts w:ascii="Tahoma" w:hAnsi="Tahoma" w:cs="Tahoma"/>
                <w:b/>
                <w:color w:val="000000"/>
                <w:sz w:val="22"/>
                <w:szCs w:val="22"/>
              </w:rPr>
              <w:t>I</w:t>
            </w:r>
            <w:r w:rsidRPr="000C7684">
              <w:rPr>
                <w:rFonts w:ascii="Tahoma" w:hAnsi="Tahoma" w:cs="Tahoma"/>
                <w:b/>
                <w:color w:val="000000"/>
                <w:sz w:val="22"/>
                <w:szCs w:val="22"/>
                <w:lang w:val="en-US"/>
              </w:rPr>
              <w:t>E</w:t>
            </w:r>
          </w:p>
        </w:tc>
        <w:tc>
          <w:tcPr>
            <w:tcW w:w="7230" w:type="dxa"/>
          </w:tcPr>
          <w:p w:rsidR="006F7A6B" w:rsidRPr="000C7684" w:rsidRDefault="006F7A6B" w:rsidP="00591211">
            <w:pPr>
              <w:snapToGrid w:val="0"/>
              <w:spacing w:before="60" w:after="60"/>
              <w:rPr>
                <w:rFonts w:ascii="Tahoma" w:hAnsi="Tahoma" w:cs="Tahoma"/>
                <w:color w:val="000000"/>
                <w:sz w:val="22"/>
                <w:szCs w:val="22"/>
              </w:rPr>
            </w:pPr>
            <w:r w:rsidRPr="000C7684">
              <w:rPr>
                <w:rFonts w:ascii="Tahoma" w:hAnsi="Tahoma" w:cs="Tahoma"/>
                <w:color w:val="000000"/>
                <w:sz w:val="22"/>
                <w:szCs w:val="22"/>
              </w:rPr>
              <w:t>Ιρλανδία</w:t>
            </w:r>
          </w:p>
        </w:tc>
      </w:tr>
      <w:tr w:rsidR="006F7A6B" w:rsidRPr="000C7684" w:rsidTr="00591211">
        <w:trPr>
          <w:trHeight w:val="247"/>
        </w:trPr>
        <w:tc>
          <w:tcPr>
            <w:tcW w:w="1731" w:type="dxa"/>
          </w:tcPr>
          <w:p w:rsidR="006F7A6B" w:rsidRPr="000C7684" w:rsidRDefault="006F7A6B" w:rsidP="00591211">
            <w:pPr>
              <w:snapToGrid w:val="0"/>
              <w:spacing w:before="60" w:after="60"/>
              <w:rPr>
                <w:rFonts w:ascii="Tahoma" w:hAnsi="Tahoma" w:cs="Tahoma"/>
                <w:b/>
                <w:color w:val="000000"/>
                <w:sz w:val="22"/>
                <w:szCs w:val="22"/>
                <w:lang w:val="en-US"/>
              </w:rPr>
            </w:pPr>
            <w:r w:rsidRPr="000C7684">
              <w:rPr>
                <w:rFonts w:ascii="Tahoma" w:hAnsi="Tahoma" w:cs="Tahoma"/>
                <w:b/>
                <w:color w:val="000000"/>
                <w:sz w:val="22"/>
                <w:szCs w:val="22"/>
              </w:rPr>
              <w:t>I</w:t>
            </w:r>
            <w:r w:rsidRPr="000C7684">
              <w:rPr>
                <w:rFonts w:ascii="Tahoma" w:hAnsi="Tahoma" w:cs="Tahoma"/>
                <w:b/>
                <w:color w:val="000000"/>
                <w:sz w:val="22"/>
                <w:szCs w:val="22"/>
                <w:lang w:val="en-US"/>
              </w:rPr>
              <w:t>T</w:t>
            </w:r>
          </w:p>
        </w:tc>
        <w:tc>
          <w:tcPr>
            <w:tcW w:w="7230" w:type="dxa"/>
          </w:tcPr>
          <w:p w:rsidR="006F7A6B" w:rsidRPr="000C7684" w:rsidRDefault="006F7A6B" w:rsidP="00591211">
            <w:pPr>
              <w:snapToGrid w:val="0"/>
              <w:spacing w:before="60" w:after="60"/>
              <w:rPr>
                <w:rFonts w:ascii="Tahoma" w:hAnsi="Tahoma" w:cs="Tahoma"/>
                <w:color w:val="000000"/>
                <w:sz w:val="22"/>
                <w:szCs w:val="22"/>
              </w:rPr>
            </w:pPr>
            <w:r w:rsidRPr="000C7684">
              <w:rPr>
                <w:rFonts w:ascii="Tahoma" w:hAnsi="Tahoma" w:cs="Tahoma"/>
                <w:color w:val="000000"/>
                <w:sz w:val="22"/>
                <w:szCs w:val="22"/>
              </w:rPr>
              <w:t>Ιταλία</w:t>
            </w:r>
          </w:p>
        </w:tc>
      </w:tr>
      <w:tr w:rsidR="006F7A6B" w:rsidRPr="000C7684" w:rsidTr="00591211">
        <w:trPr>
          <w:trHeight w:val="247"/>
        </w:trPr>
        <w:tc>
          <w:tcPr>
            <w:tcW w:w="1731" w:type="dxa"/>
          </w:tcPr>
          <w:p w:rsidR="006F7A6B" w:rsidRPr="000C7684" w:rsidRDefault="006F7A6B" w:rsidP="00591211">
            <w:pPr>
              <w:snapToGrid w:val="0"/>
              <w:spacing w:before="60" w:after="60"/>
              <w:rPr>
                <w:rFonts w:ascii="Tahoma" w:hAnsi="Tahoma" w:cs="Tahoma"/>
                <w:b/>
                <w:color w:val="000000"/>
                <w:sz w:val="22"/>
                <w:szCs w:val="22"/>
              </w:rPr>
            </w:pPr>
            <w:r w:rsidRPr="000C7684">
              <w:rPr>
                <w:rFonts w:ascii="Tahoma" w:hAnsi="Tahoma" w:cs="Tahoma"/>
                <w:b/>
                <w:color w:val="000000"/>
                <w:sz w:val="22"/>
                <w:szCs w:val="22"/>
              </w:rPr>
              <w:t>CY</w:t>
            </w:r>
          </w:p>
        </w:tc>
        <w:tc>
          <w:tcPr>
            <w:tcW w:w="7230" w:type="dxa"/>
          </w:tcPr>
          <w:p w:rsidR="006F7A6B" w:rsidRPr="000C7684" w:rsidRDefault="006F7A6B" w:rsidP="00591211">
            <w:pPr>
              <w:snapToGrid w:val="0"/>
              <w:spacing w:before="60" w:after="60"/>
              <w:rPr>
                <w:rFonts w:ascii="Tahoma" w:hAnsi="Tahoma" w:cs="Tahoma"/>
                <w:color w:val="000000"/>
                <w:sz w:val="22"/>
                <w:szCs w:val="22"/>
              </w:rPr>
            </w:pPr>
            <w:r w:rsidRPr="000C7684">
              <w:rPr>
                <w:rFonts w:ascii="Tahoma" w:hAnsi="Tahoma" w:cs="Tahoma"/>
                <w:color w:val="000000"/>
                <w:sz w:val="22"/>
                <w:szCs w:val="22"/>
              </w:rPr>
              <w:t>Κύπρος</w:t>
            </w:r>
          </w:p>
        </w:tc>
      </w:tr>
      <w:tr w:rsidR="006F7A6B" w:rsidRPr="000C7684" w:rsidTr="00591211">
        <w:trPr>
          <w:trHeight w:val="247"/>
        </w:trPr>
        <w:tc>
          <w:tcPr>
            <w:tcW w:w="1731" w:type="dxa"/>
          </w:tcPr>
          <w:p w:rsidR="006F7A6B" w:rsidRPr="000C7684" w:rsidRDefault="006F7A6B" w:rsidP="00591211">
            <w:pPr>
              <w:snapToGrid w:val="0"/>
              <w:spacing w:before="60" w:after="60"/>
              <w:rPr>
                <w:rFonts w:ascii="Tahoma" w:hAnsi="Tahoma" w:cs="Tahoma"/>
                <w:b/>
                <w:color w:val="000000"/>
                <w:sz w:val="22"/>
                <w:szCs w:val="22"/>
              </w:rPr>
            </w:pPr>
            <w:r w:rsidRPr="000C7684">
              <w:rPr>
                <w:rFonts w:ascii="Tahoma" w:hAnsi="Tahoma" w:cs="Tahoma"/>
                <w:b/>
                <w:color w:val="000000"/>
                <w:sz w:val="22"/>
                <w:szCs w:val="22"/>
              </w:rPr>
              <w:t>LV</w:t>
            </w:r>
          </w:p>
        </w:tc>
        <w:tc>
          <w:tcPr>
            <w:tcW w:w="7230" w:type="dxa"/>
          </w:tcPr>
          <w:p w:rsidR="006F7A6B" w:rsidRPr="000C7684" w:rsidRDefault="006F7A6B" w:rsidP="00591211">
            <w:pPr>
              <w:snapToGrid w:val="0"/>
              <w:spacing w:before="60" w:after="60"/>
              <w:rPr>
                <w:rFonts w:ascii="Tahoma" w:hAnsi="Tahoma" w:cs="Tahoma"/>
                <w:color w:val="000000"/>
                <w:sz w:val="22"/>
                <w:szCs w:val="22"/>
              </w:rPr>
            </w:pPr>
            <w:r w:rsidRPr="000C7684">
              <w:rPr>
                <w:rFonts w:ascii="Tahoma" w:hAnsi="Tahoma" w:cs="Tahoma"/>
                <w:color w:val="000000"/>
                <w:sz w:val="22"/>
                <w:szCs w:val="22"/>
              </w:rPr>
              <w:t>Λετονία</w:t>
            </w:r>
          </w:p>
        </w:tc>
      </w:tr>
      <w:tr w:rsidR="006F7A6B" w:rsidRPr="000C7684" w:rsidTr="00591211">
        <w:trPr>
          <w:trHeight w:val="247"/>
        </w:trPr>
        <w:tc>
          <w:tcPr>
            <w:tcW w:w="1731" w:type="dxa"/>
          </w:tcPr>
          <w:p w:rsidR="006F7A6B" w:rsidRPr="000C7684" w:rsidRDefault="006F7A6B" w:rsidP="00591211">
            <w:pPr>
              <w:snapToGrid w:val="0"/>
              <w:spacing w:before="60" w:after="60"/>
              <w:rPr>
                <w:rFonts w:ascii="Tahoma" w:hAnsi="Tahoma" w:cs="Tahoma"/>
                <w:b/>
                <w:color w:val="000000"/>
                <w:sz w:val="22"/>
                <w:szCs w:val="22"/>
              </w:rPr>
            </w:pPr>
            <w:r w:rsidRPr="000C7684">
              <w:rPr>
                <w:rFonts w:ascii="Tahoma" w:hAnsi="Tahoma" w:cs="Tahoma"/>
                <w:b/>
                <w:color w:val="000000"/>
                <w:sz w:val="22"/>
                <w:szCs w:val="22"/>
              </w:rPr>
              <w:t>LT</w:t>
            </w:r>
          </w:p>
        </w:tc>
        <w:tc>
          <w:tcPr>
            <w:tcW w:w="7230" w:type="dxa"/>
          </w:tcPr>
          <w:p w:rsidR="006F7A6B" w:rsidRPr="000C7684" w:rsidRDefault="006F7A6B" w:rsidP="00591211">
            <w:pPr>
              <w:snapToGrid w:val="0"/>
              <w:spacing w:before="60" w:after="60"/>
              <w:rPr>
                <w:rFonts w:ascii="Tahoma" w:hAnsi="Tahoma" w:cs="Tahoma"/>
                <w:color w:val="000000"/>
                <w:sz w:val="22"/>
                <w:szCs w:val="22"/>
              </w:rPr>
            </w:pPr>
            <w:r w:rsidRPr="000C7684">
              <w:rPr>
                <w:rFonts w:ascii="Tahoma" w:hAnsi="Tahoma" w:cs="Tahoma"/>
                <w:color w:val="000000"/>
                <w:sz w:val="22"/>
                <w:szCs w:val="22"/>
              </w:rPr>
              <w:t>Λιθουανία</w:t>
            </w:r>
          </w:p>
        </w:tc>
      </w:tr>
      <w:tr w:rsidR="006F7A6B" w:rsidRPr="000C7684" w:rsidTr="00591211">
        <w:trPr>
          <w:trHeight w:val="247"/>
        </w:trPr>
        <w:tc>
          <w:tcPr>
            <w:tcW w:w="1731" w:type="dxa"/>
          </w:tcPr>
          <w:p w:rsidR="006F7A6B" w:rsidRPr="000C7684" w:rsidRDefault="006F7A6B" w:rsidP="00591211">
            <w:pPr>
              <w:snapToGrid w:val="0"/>
              <w:spacing w:before="60" w:after="60"/>
              <w:rPr>
                <w:rFonts w:ascii="Tahoma" w:hAnsi="Tahoma" w:cs="Tahoma"/>
                <w:b/>
                <w:color w:val="000000"/>
                <w:sz w:val="22"/>
                <w:szCs w:val="22"/>
                <w:lang w:val="en-US"/>
              </w:rPr>
            </w:pPr>
            <w:r w:rsidRPr="000C7684">
              <w:rPr>
                <w:rFonts w:ascii="Tahoma" w:hAnsi="Tahoma" w:cs="Tahoma"/>
                <w:b/>
                <w:color w:val="000000"/>
                <w:sz w:val="22"/>
                <w:szCs w:val="22"/>
              </w:rPr>
              <w:t>L</w:t>
            </w:r>
            <w:r w:rsidRPr="000C7684">
              <w:rPr>
                <w:rFonts w:ascii="Tahoma" w:hAnsi="Tahoma" w:cs="Tahoma"/>
                <w:b/>
                <w:color w:val="000000"/>
                <w:sz w:val="22"/>
                <w:szCs w:val="22"/>
                <w:lang w:val="en-US"/>
              </w:rPr>
              <w:t>U</w:t>
            </w:r>
          </w:p>
        </w:tc>
        <w:tc>
          <w:tcPr>
            <w:tcW w:w="7230" w:type="dxa"/>
          </w:tcPr>
          <w:p w:rsidR="006F7A6B" w:rsidRPr="000C7684" w:rsidRDefault="006F7A6B" w:rsidP="00591211">
            <w:pPr>
              <w:snapToGrid w:val="0"/>
              <w:spacing w:before="60" w:after="60"/>
              <w:rPr>
                <w:rFonts w:ascii="Tahoma" w:hAnsi="Tahoma" w:cs="Tahoma"/>
                <w:color w:val="000000"/>
                <w:sz w:val="22"/>
                <w:szCs w:val="22"/>
              </w:rPr>
            </w:pPr>
            <w:r w:rsidRPr="000C7684">
              <w:rPr>
                <w:rFonts w:ascii="Tahoma" w:hAnsi="Tahoma" w:cs="Tahoma"/>
                <w:color w:val="000000"/>
                <w:sz w:val="22"/>
                <w:szCs w:val="22"/>
              </w:rPr>
              <w:t>Λουξεμβούργο</w:t>
            </w:r>
          </w:p>
        </w:tc>
      </w:tr>
      <w:tr w:rsidR="006F7A6B" w:rsidRPr="000C7684" w:rsidTr="00591211">
        <w:trPr>
          <w:trHeight w:val="247"/>
        </w:trPr>
        <w:tc>
          <w:tcPr>
            <w:tcW w:w="1731" w:type="dxa"/>
          </w:tcPr>
          <w:p w:rsidR="006F7A6B" w:rsidRPr="000C7684" w:rsidRDefault="006F7A6B" w:rsidP="00591211">
            <w:pPr>
              <w:snapToGrid w:val="0"/>
              <w:spacing w:before="60" w:after="60"/>
              <w:rPr>
                <w:rFonts w:ascii="Tahoma" w:hAnsi="Tahoma" w:cs="Tahoma"/>
                <w:b/>
                <w:color w:val="000000"/>
                <w:sz w:val="22"/>
                <w:szCs w:val="22"/>
              </w:rPr>
            </w:pPr>
            <w:r w:rsidRPr="000C7684">
              <w:rPr>
                <w:rFonts w:ascii="Tahoma" w:hAnsi="Tahoma" w:cs="Tahoma"/>
                <w:b/>
                <w:color w:val="000000"/>
                <w:sz w:val="22"/>
                <w:szCs w:val="22"/>
              </w:rPr>
              <w:t>HU</w:t>
            </w:r>
          </w:p>
        </w:tc>
        <w:tc>
          <w:tcPr>
            <w:tcW w:w="7230" w:type="dxa"/>
          </w:tcPr>
          <w:p w:rsidR="006F7A6B" w:rsidRPr="000C7684" w:rsidRDefault="006F7A6B" w:rsidP="00591211">
            <w:pPr>
              <w:snapToGrid w:val="0"/>
              <w:spacing w:before="60" w:after="60"/>
              <w:rPr>
                <w:rFonts w:ascii="Tahoma" w:hAnsi="Tahoma" w:cs="Tahoma"/>
                <w:color w:val="000000"/>
                <w:sz w:val="22"/>
                <w:szCs w:val="22"/>
              </w:rPr>
            </w:pPr>
            <w:r w:rsidRPr="000C7684">
              <w:rPr>
                <w:rFonts w:ascii="Tahoma" w:hAnsi="Tahoma" w:cs="Tahoma"/>
                <w:color w:val="000000"/>
                <w:sz w:val="22"/>
                <w:szCs w:val="22"/>
              </w:rPr>
              <w:t>Ουγγαρία</w:t>
            </w:r>
          </w:p>
        </w:tc>
      </w:tr>
      <w:tr w:rsidR="006F7A6B" w:rsidRPr="000C7684" w:rsidTr="00591211">
        <w:trPr>
          <w:trHeight w:val="247"/>
        </w:trPr>
        <w:tc>
          <w:tcPr>
            <w:tcW w:w="1731" w:type="dxa"/>
          </w:tcPr>
          <w:p w:rsidR="006F7A6B" w:rsidRPr="000C7684" w:rsidRDefault="006F7A6B" w:rsidP="00591211">
            <w:pPr>
              <w:snapToGrid w:val="0"/>
              <w:spacing w:before="60" w:after="60"/>
              <w:rPr>
                <w:rFonts w:ascii="Tahoma" w:hAnsi="Tahoma" w:cs="Tahoma"/>
                <w:b/>
                <w:color w:val="000000"/>
                <w:sz w:val="22"/>
                <w:szCs w:val="22"/>
              </w:rPr>
            </w:pPr>
            <w:r w:rsidRPr="000C7684">
              <w:rPr>
                <w:rFonts w:ascii="Tahoma" w:hAnsi="Tahoma" w:cs="Tahoma"/>
                <w:b/>
                <w:color w:val="000000"/>
                <w:sz w:val="22"/>
                <w:szCs w:val="22"/>
              </w:rPr>
              <w:t>MT</w:t>
            </w:r>
          </w:p>
        </w:tc>
        <w:tc>
          <w:tcPr>
            <w:tcW w:w="7230" w:type="dxa"/>
          </w:tcPr>
          <w:p w:rsidR="006F7A6B" w:rsidRPr="000C7684" w:rsidRDefault="006F7A6B" w:rsidP="00591211">
            <w:pPr>
              <w:snapToGrid w:val="0"/>
              <w:spacing w:before="60" w:after="60"/>
              <w:rPr>
                <w:rFonts w:ascii="Tahoma" w:hAnsi="Tahoma" w:cs="Tahoma"/>
                <w:color w:val="000000"/>
                <w:sz w:val="22"/>
                <w:szCs w:val="22"/>
              </w:rPr>
            </w:pPr>
            <w:r w:rsidRPr="000C7684">
              <w:rPr>
                <w:rFonts w:ascii="Tahoma" w:hAnsi="Tahoma" w:cs="Tahoma"/>
                <w:color w:val="000000"/>
                <w:sz w:val="22"/>
                <w:szCs w:val="22"/>
              </w:rPr>
              <w:t>Μάλτα</w:t>
            </w:r>
          </w:p>
        </w:tc>
      </w:tr>
      <w:tr w:rsidR="006F7A6B" w:rsidRPr="000C7684" w:rsidTr="00591211">
        <w:trPr>
          <w:trHeight w:val="247"/>
        </w:trPr>
        <w:tc>
          <w:tcPr>
            <w:tcW w:w="1731" w:type="dxa"/>
          </w:tcPr>
          <w:p w:rsidR="006F7A6B" w:rsidRPr="000C7684" w:rsidRDefault="006F7A6B" w:rsidP="00591211">
            <w:pPr>
              <w:snapToGrid w:val="0"/>
              <w:spacing w:before="60" w:after="60"/>
              <w:rPr>
                <w:rFonts w:ascii="Tahoma" w:hAnsi="Tahoma" w:cs="Tahoma"/>
                <w:b/>
                <w:color w:val="000000"/>
                <w:sz w:val="22"/>
                <w:szCs w:val="22"/>
              </w:rPr>
            </w:pPr>
            <w:r w:rsidRPr="000C7684">
              <w:rPr>
                <w:rFonts w:ascii="Tahoma" w:hAnsi="Tahoma" w:cs="Tahoma"/>
                <w:b/>
                <w:color w:val="000000"/>
                <w:sz w:val="22"/>
                <w:szCs w:val="22"/>
              </w:rPr>
              <w:t>NL</w:t>
            </w:r>
          </w:p>
        </w:tc>
        <w:tc>
          <w:tcPr>
            <w:tcW w:w="7230" w:type="dxa"/>
          </w:tcPr>
          <w:p w:rsidR="006F7A6B" w:rsidRPr="000C7684" w:rsidRDefault="006F7A6B" w:rsidP="00591211">
            <w:pPr>
              <w:snapToGrid w:val="0"/>
              <w:spacing w:before="60" w:after="60"/>
              <w:rPr>
                <w:rFonts w:ascii="Tahoma" w:hAnsi="Tahoma" w:cs="Tahoma"/>
                <w:color w:val="000000"/>
                <w:sz w:val="22"/>
                <w:szCs w:val="22"/>
              </w:rPr>
            </w:pPr>
            <w:r w:rsidRPr="000C7684">
              <w:rPr>
                <w:rFonts w:ascii="Tahoma" w:hAnsi="Tahoma" w:cs="Tahoma"/>
                <w:color w:val="000000"/>
                <w:sz w:val="22"/>
                <w:szCs w:val="22"/>
              </w:rPr>
              <w:t>Ολλανδία</w:t>
            </w:r>
          </w:p>
        </w:tc>
      </w:tr>
      <w:tr w:rsidR="006F7A6B" w:rsidRPr="000C7684" w:rsidTr="00591211">
        <w:trPr>
          <w:trHeight w:val="247"/>
        </w:trPr>
        <w:tc>
          <w:tcPr>
            <w:tcW w:w="1731" w:type="dxa"/>
          </w:tcPr>
          <w:p w:rsidR="006F7A6B" w:rsidRPr="000C7684" w:rsidRDefault="006F7A6B" w:rsidP="00591211">
            <w:pPr>
              <w:snapToGrid w:val="0"/>
              <w:spacing w:before="60" w:after="60"/>
              <w:rPr>
                <w:rFonts w:ascii="Tahoma" w:hAnsi="Tahoma" w:cs="Tahoma"/>
                <w:b/>
                <w:color w:val="000000"/>
                <w:sz w:val="22"/>
                <w:szCs w:val="22"/>
                <w:lang w:val="en-US"/>
              </w:rPr>
            </w:pPr>
            <w:r w:rsidRPr="000C7684">
              <w:rPr>
                <w:rFonts w:ascii="Tahoma" w:hAnsi="Tahoma" w:cs="Tahoma"/>
                <w:b/>
                <w:color w:val="000000"/>
                <w:sz w:val="22"/>
                <w:szCs w:val="22"/>
              </w:rPr>
              <w:t>A</w:t>
            </w:r>
            <w:r w:rsidRPr="000C7684">
              <w:rPr>
                <w:rFonts w:ascii="Tahoma" w:hAnsi="Tahoma" w:cs="Tahoma"/>
                <w:b/>
                <w:color w:val="000000"/>
                <w:sz w:val="22"/>
                <w:szCs w:val="22"/>
                <w:lang w:val="en-US"/>
              </w:rPr>
              <w:t>T</w:t>
            </w:r>
          </w:p>
        </w:tc>
        <w:tc>
          <w:tcPr>
            <w:tcW w:w="7230" w:type="dxa"/>
          </w:tcPr>
          <w:p w:rsidR="006F7A6B" w:rsidRPr="000C7684" w:rsidRDefault="006F7A6B" w:rsidP="00591211">
            <w:pPr>
              <w:snapToGrid w:val="0"/>
              <w:spacing w:before="60" w:after="60"/>
              <w:rPr>
                <w:rFonts w:ascii="Tahoma" w:hAnsi="Tahoma" w:cs="Tahoma"/>
                <w:color w:val="000000"/>
                <w:sz w:val="22"/>
                <w:szCs w:val="22"/>
              </w:rPr>
            </w:pPr>
            <w:r w:rsidRPr="000C7684">
              <w:rPr>
                <w:rFonts w:ascii="Tahoma" w:hAnsi="Tahoma" w:cs="Tahoma"/>
                <w:color w:val="000000"/>
                <w:sz w:val="22"/>
                <w:szCs w:val="22"/>
              </w:rPr>
              <w:t>Αυστρία</w:t>
            </w:r>
          </w:p>
        </w:tc>
      </w:tr>
      <w:tr w:rsidR="006F7A6B" w:rsidRPr="000C7684" w:rsidTr="00591211">
        <w:trPr>
          <w:trHeight w:val="247"/>
        </w:trPr>
        <w:tc>
          <w:tcPr>
            <w:tcW w:w="1731" w:type="dxa"/>
          </w:tcPr>
          <w:p w:rsidR="006F7A6B" w:rsidRPr="000C7684" w:rsidRDefault="006F7A6B" w:rsidP="00591211">
            <w:pPr>
              <w:snapToGrid w:val="0"/>
              <w:spacing w:before="60" w:after="60"/>
              <w:rPr>
                <w:rFonts w:ascii="Tahoma" w:hAnsi="Tahoma" w:cs="Tahoma"/>
                <w:b/>
                <w:color w:val="000000"/>
                <w:sz w:val="22"/>
                <w:szCs w:val="22"/>
              </w:rPr>
            </w:pPr>
            <w:r w:rsidRPr="000C7684">
              <w:rPr>
                <w:rFonts w:ascii="Tahoma" w:hAnsi="Tahoma" w:cs="Tahoma"/>
                <w:b/>
                <w:color w:val="000000"/>
                <w:sz w:val="22"/>
                <w:szCs w:val="22"/>
              </w:rPr>
              <w:t>PL</w:t>
            </w:r>
          </w:p>
        </w:tc>
        <w:tc>
          <w:tcPr>
            <w:tcW w:w="7230" w:type="dxa"/>
          </w:tcPr>
          <w:p w:rsidR="006F7A6B" w:rsidRPr="000C7684" w:rsidRDefault="006F7A6B" w:rsidP="00591211">
            <w:pPr>
              <w:snapToGrid w:val="0"/>
              <w:spacing w:before="60" w:after="60"/>
              <w:rPr>
                <w:rFonts w:ascii="Tahoma" w:hAnsi="Tahoma" w:cs="Tahoma"/>
                <w:color w:val="000000"/>
                <w:sz w:val="22"/>
                <w:szCs w:val="22"/>
              </w:rPr>
            </w:pPr>
            <w:r w:rsidRPr="000C7684">
              <w:rPr>
                <w:rFonts w:ascii="Tahoma" w:hAnsi="Tahoma" w:cs="Tahoma"/>
                <w:color w:val="000000"/>
                <w:sz w:val="22"/>
                <w:szCs w:val="22"/>
              </w:rPr>
              <w:t>Πολωνία</w:t>
            </w:r>
          </w:p>
        </w:tc>
      </w:tr>
      <w:tr w:rsidR="006F7A6B" w:rsidRPr="000C7684" w:rsidTr="00591211">
        <w:trPr>
          <w:trHeight w:val="247"/>
        </w:trPr>
        <w:tc>
          <w:tcPr>
            <w:tcW w:w="1731" w:type="dxa"/>
          </w:tcPr>
          <w:p w:rsidR="006F7A6B" w:rsidRPr="000C7684" w:rsidRDefault="006F7A6B" w:rsidP="00591211">
            <w:pPr>
              <w:snapToGrid w:val="0"/>
              <w:spacing w:before="60" w:after="60"/>
              <w:rPr>
                <w:rFonts w:ascii="Tahoma" w:hAnsi="Tahoma" w:cs="Tahoma"/>
                <w:b/>
                <w:color w:val="000000"/>
                <w:sz w:val="22"/>
                <w:szCs w:val="22"/>
                <w:lang w:val="en-US"/>
              </w:rPr>
            </w:pPr>
            <w:r w:rsidRPr="000C7684">
              <w:rPr>
                <w:rFonts w:ascii="Tahoma" w:hAnsi="Tahoma" w:cs="Tahoma"/>
                <w:b/>
                <w:color w:val="000000"/>
                <w:sz w:val="22"/>
                <w:szCs w:val="22"/>
              </w:rPr>
              <w:t>P</w:t>
            </w:r>
            <w:r w:rsidRPr="000C7684">
              <w:rPr>
                <w:rFonts w:ascii="Tahoma" w:hAnsi="Tahoma" w:cs="Tahoma"/>
                <w:b/>
                <w:color w:val="000000"/>
                <w:sz w:val="22"/>
                <w:szCs w:val="22"/>
                <w:lang w:val="en-US"/>
              </w:rPr>
              <w:t>T</w:t>
            </w:r>
          </w:p>
        </w:tc>
        <w:tc>
          <w:tcPr>
            <w:tcW w:w="7230" w:type="dxa"/>
          </w:tcPr>
          <w:p w:rsidR="006F7A6B" w:rsidRPr="000C7684" w:rsidRDefault="006F7A6B" w:rsidP="00591211">
            <w:pPr>
              <w:snapToGrid w:val="0"/>
              <w:spacing w:before="60" w:after="60"/>
              <w:rPr>
                <w:rFonts w:ascii="Tahoma" w:hAnsi="Tahoma" w:cs="Tahoma"/>
                <w:color w:val="000000"/>
                <w:sz w:val="22"/>
                <w:szCs w:val="22"/>
              </w:rPr>
            </w:pPr>
            <w:r w:rsidRPr="000C7684">
              <w:rPr>
                <w:rFonts w:ascii="Tahoma" w:hAnsi="Tahoma" w:cs="Tahoma"/>
                <w:color w:val="000000"/>
                <w:sz w:val="22"/>
                <w:szCs w:val="22"/>
              </w:rPr>
              <w:t>Πορτογαλία</w:t>
            </w:r>
          </w:p>
        </w:tc>
      </w:tr>
      <w:tr w:rsidR="006F7A6B" w:rsidRPr="000C7684" w:rsidTr="00591211">
        <w:trPr>
          <w:trHeight w:val="247"/>
        </w:trPr>
        <w:tc>
          <w:tcPr>
            <w:tcW w:w="1731" w:type="dxa"/>
          </w:tcPr>
          <w:p w:rsidR="006F7A6B" w:rsidRPr="000C7684" w:rsidRDefault="006F7A6B" w:rsidP="00591211">
            <w:pPr>
              <w:snapToGrid w:val="0"/>
              <w:spacing w:before="60" w:after="60"/>
              <w:rPr>
                <w:rFonts w:ascii="Tahoma" w:hAnsi="Tahoma" w:cs="Tahoma"/>
                <w:b/>
                <w:color w:val="000000"/>
                <w:sz w:val="22"/>
                <w:szCs w:val="22"/>
                <w:lang w:val="en-US"/>
              </w:rPr>
            </w:pPr>
            <w:r w:rsidRPr="000C7684">
              <w:rPr>
                <w:rFonts w:ascii="Tahoma" w:hAnsi="Tahoma" w:cs="Tahoma"/>
                <w:b/>
                <w:color w:val="000000"/>
                <w:sz w:val="22"/>
                <w:szCs w:val="22"/>
              </w:rPr>
              <w:t>S</w:t>
            </w:r>
            <w:r w:rsidRPr="000C7684">
              <w:rPr>
                <w:rFonts w:ascii="Tahoma" w:hAnsi="Tahoma" w:cs="Tahoma"/>
                <w:b/>
                <w:color w:val="000000"/>
                <w:sz w:val="22"/>
                <w:szCs w:val="22"/>
                <w:lang w:val="en-US"/>
              </w:rPr>
              <w:t>I</w:t>
            </w:r>
          </w:p>
        </w:tc>
        <w:tc>
          <w:tcPr>
            <w:tcW w:w="7230" w:type="dxa"/>
          </w:tcPr>
          <w:p w:rsidR="006F7A6B" w:rsidRPr="000C7684" w:rsidRDefault="006F7A6B" w:rsidP="00591211">
            <w:pPr>
              <w:snapToGrid w:val="0"/>
              <w:spacing w:before="60" w:after="60"/>
              <w:rPr>
                <w:rFonts w:ascii="Tahoma" w:hAnsi="Tahoma" w:cs="Tahoma"/>
                <w:color w:val="000000"/>
                <w:sz w:val="22"/>
                <w:szCs w:val="22"/>
              </w:rPr>
            </w:pPr>
            <w:r w:rsidRPr="000C7684">
              <w:rPr>
                <w:rFonts w:ascii="Tahoma" w:hAnsi="Tahoma" w:cs="Tahoma"/>
                <w:color w:val="000000"/>
                <w:sz w:val="22"/>
                <w:szCs w:val="22"/>
              </w:rPr>
              <w:t>Σλοβενία</w:t>
            </w:r>
          </w:p>
        </w:tc>
      </w:tr>
      <w:tr w:rsidR="006F7A6B" w:rsidRPr="000C7684" w:rsidTr="00591211">
        <w:trPr>
          <w:trHeight w:val="247"/>
        </w:trPr>
        <w:tc>
          <w:tcPr>
            <w:tcW w:w="1731" w:type="dxa"/>
          </w:tcPr>
          <w:p w:rsidR="006F7A6B" w:rsidRPr="000C7684" w:rsidRDefault="006F7A6B" w:rsidP="00591211">
            <w:pPr>
              <w:snapToGrid w:val="0"/>
              <w:spacing w:before="60" w:after="60"/>
              <w:rPr>
                <w:rFonts w:ascii="Tahoma" w:hAnsi="Tahoma" w:cs="Tahoma"/>
                <w:b/>
                <w:color w:val="000000"/>
                <w:sz w:val="22"/>
                <w:szCs w:val="22"/>
              </w:rPr>
            </w:pPr>
            <w:r w:rsidRPr="000C7684">
              <w:rPr>
                <w:rFonts w:ascii="Tahoma" w:hAnsi="Tahoma" w:cs="Tahoma"/>
                <w:b/>
                <w:color w:val="000000"/>
                <w:sz w:val="22"/>
                <w:szCs w:val="22"/>
              </w:rPr>
              <w:t>SK</w:t>
            </w:r>
          </w:p>
        </w:tc>
        <w:tc>
          <w:tcPr>
            <w:tcW w:w="7230" w:type="dxa"/>
          </w:tcPr>
          <w:p w:rsidR="006F7A6B" w:rsidRPr="000C7684" w:rsidRDefault="006F7A6B" w:rsidP="00591211">
            <w:pPr>
              <w:snapToGrid w:val="0"/>
              <w:spacing w:before="60" w:after="60"/>
              <w:rPr>
                <w:rFonts w:ascii="Tahoma" w:hAnsi="Tahoma" w:cs="Tahoma"/>
                <w:color w:val="000000"/>
                <w:sz w:val="22"/>
                <w:szCs w:val="22"/>
              </w:rPr>
            </w:pPr>
            <w:r w:rsidRPr="000C7684">
              <w:rPr>
                <w:rFonts w:ascii="Tahoma" w:hAnsi="Tahoma" w:cs="Tahoma"/>
                <w:color w:val="000000"/>
                <w:sz w:val="22"/>
                <w:szCs w:val="22"/>
              </w:rPr>
              <w:t>Σλοβακία</w:t>
            </w:r>
          </w:p>
        </w:tc>
      </w:tr>
      <w:tr w:rsidR="006F7A6B" w:rsidRPr="000C7684" w:rsidTr="00591211">
        <w:trPr>
          <w:trHeight w:val="247"/>
        </w:trPr>
        <w:tc>
          <w:tcPr>
            <w:tcW w:w="1731" w:type="dxa"/>
          </w:tcPr>
          <w:p w:rsidR="006F7A6B" w:rsidRPr="000C7684" w:rsidRDefault="006F7A6B" w:rsidP="00591211">
            <w:pPr>
              <w:snapToGrid w:val="0"/>
              <w:spacing w:before="60" w:after="60"/>
              <w:rPr>
                <w:rFonts w:ascii="Tahoma" w:hAnsi="Tahoma" w:cs="Tahoma"/>
                <w:b/>
                <w:color w:val="000000"/>
                <w:sz w:val="22"/>
                <w:szCs w:val="22"/>
                <w:lang w:val="en-US"/>
              </w:rPr>
            </w:pPr>
            <w:r w:rsidRPr="000C7684">
              <w:rPr>
                <w:rFonts w:ascii="Tahoma" w:hAnsi="Tahoma" w:cs="Tahoma"/>
                <w:b/>
                <w:color w:val="000000"/>
                <w:sz w:val="22"/>
                <w:szCs w:val="22"/>
              </w:rPr>
              <w:t>FI</w:t>
            </w:r>
          </w:p>
        </w:tc>
        <w:tc>
          <w:tcPr>
            <w:tcW w:w="7230" w:type="dxa"/>
          </w:tcPr>
          <w:p w:rsidR="006F7A6B" w:rsidRPr="000C7684" w:rsidRDefault="006F7A6B" w:rsidP="00591211">
            <w:pPr>
              <w:snapToGrid w:val="0"/>
              <w:spacing w:before="60" w:after="60"/>
              <w:rPr>
                <w:rFonts w:ascii="Tahoma" w:hAnsi="Tahoma" w:cs="Tahoma"/>
                <w:color w:val="000000"/>
                <w:sz w:val="22"/>
                <w:szCs w:val="22"/>
              </w:rPr>
            </w:pPr>
            <w:r w:rsidRPr="000C7684">
              <w:rPr>
                <w:rFonts w:ascii="Tahoma" w:hAnsi="Tahoma" w:cs="Tahoma"/>
                <w:color w:val="000000"/>
                <w:sz w:val="22"/>
                <w:szCs w:val="22"/>
              </w:rPr>
              <w:t>Φινλανδία</w:t>
            </w:r>
          </w:p>
        </w:tc>
      </w:tr>
      <w:tr w:rsidR="006F7A6B" w:rsidRPr="000C7684" w:rsidTr="00591211">
        <w:trPr>
          <w:trHeight w:val="247"/>
        </w:trPr>
        <w:tc>
          <w:tcPr>
            <w:tcW w:w="1731" w:type="dxa"/>
          </w:tcPr>
          <w:p w:rsidR="006F7A6B" w:rsidRPr="000C7684" w:rsidRDefault="006F7A6B" w:rsidP="00591211">
            <w:pPr>
              <w:snapToGrid w:val="0"/>
              <w:spacing w:before="60" w:after="60"/>
              <w:rPr>
                <w:rFonts w:ascii="Tahoma" w:hAnsi="Tahoma" w:cs="Tahoma"/>
                <w:b/>
                <w:color w:val="000000"/>
                <w:sz w:val="22"/>
                <w:szCs w:val="22"/>
                <w:lang w:val="en-US"/>
              </w:rPr>
            </w:pPr>
            <w:r w:rsidRPr="000C7684">
              <w:rPr>
                <w:rFonts w:ascii="Tahoma" w:hAnsi="Tahoma" w:cs="Tahoma"/>
                <w:b/>
                <w:color w:val="000000"/>
                <w:sz w:val="22"/>
                <w:szCs w:val="22"/>
              </w:rPr>
              <w:t>S</w:t>
            </w:r>
            <w:r w:rsidRPr="000C7684">
              <w:rPr>
                <w:rFonts w:ascii="Tahoma" w:hAnsi="Tahoma" w:cs="Tahoma"/>
                <w:b/>
                <w:color w:val="000000"/>
                <w:sz w:val="22"/>
                <w:szCs w:val="22"/>
                <w:lang w:val="en-US"/>
              </w:rPr>
              <w:t>E</w:t>
            </w:r>
          </w:p>
        </w:tc>
        <w:tc>
          <w:tcPr>
            <w:tcW w:w="7230" w:type="dxa"/>
          </w:tcPr>
          <w:p w:rsidR="006F7A6B" w:rsidRPr="000C7684" w:rsidRDefault="006F7A6B" w:rsidP="00591211">
            <w:pPr>
              <w:snapToGrid w:val="0"/>
              <w:spacing w:before="60" w:after="60"/>
              <w:rPr>
                <w:rFonts w:ascii="Tahoma" w:hAnsi="Tahoma" w:cs="Tahoma"/>
                <w:color w:val="000000"/>
                <w:sz w:val="22"/>
                <w:szCs w:val="22"/>
              </w:rPr>
            </w:pPr>
            <w:r w:rsidRPr="000C7684">
              <w:rPr>
                <w:rFonts w:ascii="Tahoma" w:hAnsi="Tahoma" w:cs="Tahoma"/>
                <w:color w:val="000000"/>
                <w:sz w:val="22"/>
                <w:szCs w:val="22"/>
              </w:rPr>
              <w:t>Σουηδία</w:t>
            </w:r>
          </w:p>
        </w:tc>
      </w:tr>
      <w:tr w:rsidR="006F7A6B" w:rsidRPr="000C7684" w:rsidTr="00591211">
        <w:trPr>
          <w:trHeight w:val="247"/>
        </w:trPr>
        <w:tc>
          <w:tcPr>
            <w:tcW w:w="1731" w:type="dxa"/>
          </w:tcPr>
          <w:p w:rsidR="006F7A6B" w:rsidRPr="000C7684" w:rsidRDefault="006F7A6B" w:rsidP="00591211">
            <w:pPr>
              <w:snapToGrid w:val="0"/>
              <w:spacing w:before="60" w:after="60"/>
              <w:rPr>
                <w:rFonts w:ascii="Tahoma" w:hAnsi="Tahoma" w:cs="Tahoma"/>
                <w:b/>
                <w:color w:val="000000"/>
                <w:sz w:val="22"/>
                <w:szCs w:val="22"/>
              </w:rPr>
            </w:pPr>
            <w:r w:rsidRPr="000C7684">
              <w:rPr>
                <w:rFonts w:ascii="Tahoma" w:hAnsi="Tahoma" w:cs="Tahoma"/>
                <w:b/>
                <w:color w:val="000000"/>
                <w:sz w:val="22"/>
                <w:szCs w:val="22"/>
              </w:rPr>
              <w:t>UK</w:t>
            </w:r>
          </w:p>
        </w:tc>
        <w:tc>
          <w:tcPr>
            <w:tcW w:w="7230" w:type="dxa"/>
          </w:tcPr>
          <w:p w:rsidR="006F7A6B" w:rsidRPr="000C7684" w:rsidRDefault="006F7A6B" w:rsidP="00591211">
            <w:pPr>
              <w:snapToGrid w:val="0"/>
              <w:spacing w:before="60" w:after="60"/>
              <w:rPr>
                <w:rFonts w:ascii="Tahoma" w:hAnsi="Tahoma" w:cs="Tahoma"/>
                <w:color w:val="000000"/>
                <w:sz w:val="22"/>
                <w:szCs w:val="22"/>
              </w:rPr>
            </w:pPr>
            <w:r w:rsidRPr="000C7684">
              <w:rPr>
                <w:rFonts w:ascii="Tahoma" w:hAnsi="Tahoma" w:cs="Tahoma"/>
                <w:color w:val="000000"/>
                <w:sz w:val="22"/>
                <w:szCs w:val="22"/>
              </w:rPr>
              <w:t>Μ. Βρετανία</w:t>
            </w:r>
          </w:p>
        </w:tc>
      </w:tr>
    </w:tbl>
    <w:p w:rsidR="006F7A6B" w:rsidRDefault="006F7A6B" w:rsidP="006F7A6B">
      <w:pPr>
        <w:rPr>
          <w:lang w:val="en-US"/>
        </w:rPr>
      </w:pPr>
    </w:p>
    <w:p w:rsidR="006F7A6B" w:rsidRDefault="006F7A6B">
      <w:pPr>
        <w:spacing w:after="200" w:line="276" w:lineRule="auto"/>
        <w:rPr>
          <w:lang w:val="en-US"/>
        </w:rPr>
      </w:pPr>
      <w:r>
        <w:rPr>
          <w:lang w:val="en-US"/>
        </w:rPr>
        <w:br w:type="page"/>
      </w:r>
    </w:p>
    <w:p w:rsidR="006F7A6B" w:rsidRDefault="006F7A6B" w:rsidP="006F7A6B">
      <w:pPr>
        <w:pStyle w:val="new5"/>
      </w:pPr>
      <w:bookmarkStart w:id="328" w:name="_Toc169881531"/>
      <w:bookmarkStart w:id="329" w:name="_Toc170201867"/>
    </w:p>
    <w:p w:rsidR="006F7A6B" w:rsidRDefault="006F7A6B" w:rsidP="006F7A6B">
      <w:pPr>
        <w:pStyle w:val="new5"/>
      </w:pPr>
    </w:p>
    <w:p w:rsidR="006F7A6B" w:rsidRDefault="006F7A6B" w:rsidP="006F7A6B">
      <w:pPr>
        <w:pStyle w:val="new5"/>
      </w:pPr>
    </w:p>
    <w:p w:rsidR="006F7A6B" w:rsidRDefault="006F7A6B" w:rsidP="006F7A6B">
      <w:pPr>
        <w:pStyle w:val="new5"/>
      </w:pPr>
    </w:p>
    <w:p w:rsidR="006F7A6B" w:rsidRDefault="006F7A6B" w:rsidP="006F7A6B">
      <w:pPr>
        <w:pStyle w:val="new5"/>
      </w:pPr>
    </w:p>
    <w:p w:rsidR="006F7A6B" w:rsidRDefault="006F7A6B" w:rsidP="006F7A6B">
      <w:pPr>
        <w:pStyle w:val="new5"/>
      </w:pPr>
    </w:p>
    <w:p w:rsidR="006F7A6B" w:rsidRDefault="006F7A6B" w:rsidP="006F7A6B">
      <w:pPr>
        <w:pStyle w:val="new5"/>
      </w:pPr>
    </w:p>
    <w:p w:rsidR="006F7A6B" w:rsidRDefault="006F7A6B" w:rsidP="006F7A6B">
      <w:pPr>
        <w:pStyle w:val="new5"/>
      </w:pPr>
    </w:p>
    <w:p w:rsidR="006F7A6B" w:rsidRDefault="006F7A6B" w:rsidP="006F7A6B">
      <w:pPr>
        <w:pStyle w:val="new5"/>
      </w:pPr>
    </w:p>
    <w:p w:rsidR="006F7A6B" w:rsidRPr="00294913" w:rsidRDefault="006F7A6B" w:rsidP="006F7A6B">
      <w:pPr>
        <w:pStyle w:val="new5"/>
      </w:pPr>
      <w:r w:rsidRPr="00294913">
        <w:t>ΜΕΡΟΣ Α</w:t>
      </w:r>
      <w:bookmarkEnd w:id="328"/>
      <w:bookmarkEnd w:id="329"/>
    </w:p>
    <w:p w:rsidR="006F7A6B" w:rsidRPr="00C27EEB" w:rsidRDefault="006F7A6B" w:rsidP="006F7A6B">
      <w:pPr>
        <w:pStyle w:val="new5"/>
        <w:rPr>
          <w:sz w:val="32"/>
          <w:szCs w:val="32"/>
        </w:rPr>
      </w:pPr>
      <w:bookmarkStart w:id="330" w:name="_Toc128313554"/>
      <w:bookmarkStart w:id="331" w:name="_Toc128312420"/>
      <w:bookmarkStart w:id="332" w:name="_Toc150308570"/>
      <w:bookmarkStart w:id="333" w:name="_Toc169881532"/>
      <w:bookmarkStart w:id="334" w:name="_Toc170201868"/>
      <w:r w:rsidRPr="00C27EEB">
        <w:rPr>
          <w:sz w:val="32"/>
          <w:szCs w:val="32"/>
        </w:rPr>
        <w:t>(συνοπτική λίστα διαρθρωτικών δεικτών)</w:t>
      </w:r>
      <w:bookmarkEnd w:id="330"/>
      <w:bookmarkEnd w:id="331"/>
      <w:bookmarkEnd w:id="332"/>
      <w:bookmarkEnd w:id="333"/>
      <w:bookmarkEnd w:id="334"/>
    </w:p>
    <w:p w:rsidR="006F7A6B" w:rsidRDefault="006F7A6B" w:rsidP="006F7A6B">
      <w:pPr>
        <w:jc w:val="center"/>
      </w:pPr>
      <w:bookmarkStart w:id="335" w:name="_Toc26115021"/>
      <w:bookmarkStart w:id="336" w:name="_Toc70767258"/>
      <w:bookmarkStart w:id="337" w:name="_Toc70767259"/>
      <w:bookmarkStart w:id="338" w:name="_Toc26115022"/>
      <w:bookmarkStart w:id="339" w:name="_Toc7353367"/>
      <w:bookmarkStart w:id="340" w:name="_Toc535767000"/>
      <w:bookmarkStart w:id="341" w:name="_Toc535676767"/>
      <w:bookmarkStart w:id="342" w:name="_Toc150308571"/>
      <w:bookmarkEnd w:id="335"/>
      <w:bookmarkEnd w:id="336"/>
    </w:p>
    <w:p w:rsidR="006F7A6B" w:rsidRDefault="006F7A6B" w:rsidP="006F7A6B">
      <w:pPr>
        <w:pStyle w:val="new6"/>
        <w:sectPr w:rsidR="006F7A6B" w:rsidSect="00591211">
          <w:headerReference w:type="default" r:id="rId71"/>
          <w:footerReference w:type="default" r:id="rId72"/>
          <w:pgSz w:w="11906" w:h="16838"/>
          <w:pgMar w:top="1701" w:right="1418" w:bottom="1418" w:left="1418" w:header="720" w:footer="720" w:gutter="0"/>
          <w:paperSrc w:first="242" w:other="242"/>
          <w:cols w:space="720"/>
        </w:sectPr>
      </w:pPr>
    </w:p>
    <w:p w:rsidR="00652F81" w:rsidRPr="00294913" w:rsidRDefault="00652F81" w:rsidP="00652F81">
      <w:pPr>
        <w:pStyle w:val="new6"/>
      </w:pPr>
      <w:bookmarkStart w:id="343" w:name="_Toc169881533"/>
      <w:bookmarkStart w:id="344" w:name="_Toc170201869"/>
      <w:bookmarkEnd w:id="337"/>
      <w:bookmarkEnd w:id="338"/>
      <w:bookmarkEnd w:id="339"/>
      <w:bookmarkEnd w:id="340"/>
      <w:bookmarkEnd w:id="341"/>
      <w:bookmarkEnd w:id="342"/>
      <w:r w:rsidRPr="00294913">
        <w:lastRenderedPageBreak/>
        <w:t>I-Α.</w:t>
      </w:r>
      <w:r w:rsidRPr="00294913">
        <w:tab/>
        <w:t>Βασικοί Οικονομικοί Δείκτες</w:t>
      </w:r>
      <w:bookmarkEnd w:id="343"/>
      <w:bookmarkEnd w:id="344"/>
    </w:p>
    <w:p w:rsidR="00652F81" w:rsidRPr="00CA63DE" w:rsidRDefault="00652F81" w:rsidP="00652F81"/>
    <w:p w:rsidR="00652F81" w:rsidRPr="00CA63DE" w:rsidRDefault="00652F81" w:rsidP="00652F81"/>
    <w:p w:rsidR="00652F81" w:rsidRDefault="00652F81" w:rsidP="00652F81">
      <w:pPr>
        <w:pStyle w:val="new12"/>
      </w:pPr>
      <w:bookmarkStart w:id="345" w:name="_Toc169881534"/>
      <w:bookmarkStart w:id="346" w:name="_Toc170201870"/>
      <w:r>
        <w:t>Ι-1α.</w:t>
      </w:r>
      <w:r>
        <w:tab/>
        <w:t>Κατά Κεφαλήν ΑΕΠ</w:t>
      </w:r>
      <w:bookmarkEnd w:id="345"/>
      <w:bookmarkEnd w:id="346"/>
      <w:r>
        <w:t xml:space="preserve"> </w:t>
      </w:r>
      <w:bookmarkStart w:id="347" w:name="_Toc70767260"/>
      <w:bookmarkStart w:id="348" w:name="_Toc26115023"/>
      <w:bookmarkStart w:id="349" w:name="_Toc12420291"/>
      <w:bookmarkStart w:id="350" w:name="_Toc535676768"/>
      <w:bookmarkStart w:id="351" w:name="_Toc532276266"/>
      <w:bookmarkStart w:id="352" w:name="_Toc520703679"/>
      <w:bookmarkStart w:id="353" w:name="_Toc150308573"/>
    </w:p>
    <w:p w:rsidR="00652F81" w:rsidRPr="001220A8" w:rsidRDefault="00652F81" w:rsidP="00652F81">
      <w:pPr>
        <w:pStyle w:val="new1210pt"/>
        <w:ind w:left="0"/>
      </w:pPr>
      <w:bookmarkStart w:id="354" w:name="_Toc170201871"/>
      <w:r w:rsidRPr="001220A8">
        <w:t xml:space="preserve">(μονάδες  αγοραστικής δύναμης, </w:t>
      </w:r>
      <w:r w:rsidRPr="008C7D07">
        <w:rPr>
          <w:lang w:val="en-US"/>
        </w:rPr>
        <w:t>PPS</w:t>
      </w:r>
      <w:r w:rsidRPr="008C7D07">
        <w:t xml:space="preserve">, </w:t>
      </w:r>
      <w:r w:rsidRPr="008C7D07">
        <w:rPr>
          <w:lang w:val="en-US"/>
        </w:rPr>
        <w:t>EE</w:t>
      </w:r>
      <w:r w:rsidRPr="008C7D07">
        <w:t>-27=100)</w:t>
      </w:r>
      <w:bookmarkEnd w:id="347"/>
      <w:bookmarkEnd w:id="348"/>
      <w:bookmarkEnd w:id="349"/>
      <w:bookmarkEnd w:id="350"/>
      <w:bookmarkEnd w:id="351"/>
      <w:bookmarkEnd w:id="352"/>
      <w:bookmarkEnd w:id="353"/>
      <w:bookmarkEnd w:id="354"/>
    </w:p>
    <w:p w:rsidR="00652F81" w:rsidRPr="00C27EEB" w:rsidRDefault="00652F81" w:rsidP="00652F81"/>
    <w:p w:rsidR="00652F81" w:rsidRDefault="00652F81" w:rsidP="00652F81"/>
    <w:p w:rsidR="00652F81" w:rsidRDefault="00652F81" w:rsidP="00652F81">
      <w:pPr>
        <w:spacing w:line="288" w:lineRule="auto"/>
        <w:jc w:val="both"/>
        <w:rPr>
          <w:rFonts w:ascii="Tahoma" w:hAnsi="Tahoma" w:cs="Tahoma"/>
        </w:rPr>
      </w:pPr>
      <w:r w:rsidRPr="00BC0843">
        <w:rPr>
          <w:rFonts w:ascii="Tahoma" w:hAnsi="Tahoma" w:cs="Tahoma"/>
        </w:rPr>
        <w:t>Οι μονάδες αγοραστικής δύναμης (</w:t>
      </w:r>
      <w:r w:rsidRPr="00BC0843">
        <w:rPr>
          <w:rFonts w:ascii="Tahoma" w:hAnsi="Tahoma" w:cs="Tahoma"/>
          <w:lang w:val="en-US"/>
        </w:rPr>
        <w:t>Purchasing</w:t>
      </w:r>
      <w:r w:rsidRPr="00BC0843">
        <w:rPr>
          <w:rFonts w:ascii="Tahoma" w:hAnsi="Tahoma" w:cs="Tahoma"/>
        </w:rPr>
        <w:t xml:space="preserve"> </w:t>
      </w:r>
      <w:r w:rsidRPr="00BC0843">
        <w:rPr>
          <w:rFonts w:ascii="Tahoma" w:hAnsi="Tahoma" w:cs="Tahoma"/>
          <w:lang w:val="en-US"/>
        </w:rPr>
        <w:t>Power</w:t>
      </w:r>
      <w:r w:rsidRPr="00BC0843">
        <w:rPr>
          <w:rFonts w:ascii="Tahoma" w:hAnsi="Tahoma" w:cs="Tahoma"/>
        </w:rPr>
        <w:t xml:space="preserve"> </w:t>
      </w:r>
      <w:r w:rsidRPr="00BC0843">
        <w:rPr>
          <w:rFonts w:ascii="Tahoma" w:hAnsi="Tahoma" w:cs="Tahoma"/>
          <w:lang w:val="en-US"/>
        </w:rPr>
        <w:t>Standards</w:t>
      </w:r>
      <w:r w:rsidRPr="00BC0843">
        <w:rPr>
          <w:rFonts w:ascii="Tahoma" w:hAnsi="Tahoma" w:cs="Tahoma"/>
        </w:rPr>
        <w:t xml:space="preserve">, </w:t>
      </w:r>
      <w:r w:rsidRPr="00BC0843">
        <w:rPr>
          <w:rFonts w:ascii="Tahoma" w:hAnsi="Tahoma" w:cs="Tahoma"/>
          <w:lang w:val="en-US"/>
        </w:rPr>
        <w:t>PPS</w:t>
      </w:r>
      <w:r w:rsidRPr="00BC0843">
        <w:rPr>
          <w:rFonts w:ascii="Tahoma" w:hAnsi="Tahoma" w:cs="Tahoma"/>
        </w:rPr>
        <w:t>) είναι δείκτες της μέσης αναλογίας των τιμών μεταξύ διαφορετικών χωρών. Η χρήση τους κάνει εφικτή την σύγκρισή του όγκου του κατά κεφαλήν ΑΕΠ μεταξύ των χωρών.</w:t>
      </w:r>
    </w:p>
    <w:p w:rsidR="00652F81" w:rsidRPr="00BC0843" w:rsidRDefault="00652F81" w:rsidP="00652F81"/>
    <w:p w:rsidR="00652F81" w:rsidRPr="009810AD" w:rsidRDefault="00652F81" w:rsidP="00652F81">
      <w:pPr>
        <w:rPr>
          <w:lang w:val="en-US"/>
        </w:rPr>
      </w:pPr>
      <w:r>
        <w:rPr>
          <w:noProof/>
          <w:lang w:val="en-US" w:eastAsia="en-US"/>
        </w:rPr>
        <w:drawing>
          <wp:inline distT="0" distB="0" distL="0" distR="0">
            <wp:extent cx="5629275" cy="2847975"/>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cstate="print"/>
                    <a:srcRect/>
                    <a:stretch>
                      <a:fillRect/>
                    </a:stretch>
                  </pic:blipFill>
                  <pic:spPr bwMode="auto">
                    <a:xfrm>
                      <a:off x="0" y="0"/>
                      <a:ext cx="5629275" cy="2847975"/>
                    </a:xfrm>
                    <a:prstGeom prst="rect">
                      <a:avLst/>
                    </a:prstGeom>
                    <a:noFill/>
                    <a:ln w="9525">
                      <a:noFill/>
                      <a:miter lim="800000"/>
                      <a:headEnd/>
                      <a:tailEnd/>
                    </a:ln>
                  </pic:spPr>
                </pic:pic>
              </a:graphicData>
            </a:graphic>
          </wp:inline>
        </w:drawing>
      </w:r>
    </w:p>
    <w:p w:rsidR="00652F81" w:rsidRPr="00AE2425" w:rsidRDefault="00652F81" w:rsidP="00652F81"/>
    <w:tbl>
      <w:tblPr>
        <w:tblW w:w="9600" w:type="dxa"/>
        <w:tblLook w:val="01E0"/>
      </w:tblPr>
      <w:tblGrid>
        <w:gridCol w:w="960"/>
        <w:gridCol w:w="960"/>
        <w:gridCol w:w="960"/>
        <w:gridCol w:w="960"/>
        <w:gridCol w:w="960"/>
        <w:gridCol w:w="960"/>
        <w:gridCol w:w="960"/>
        <w:gridCol w:w="960"/>
        <w:gridCol w:w="960"/>
        <w:gridCol w:w="960"/>
      </w:tblGrid>
      <w:tr w:rsidR="00652F81" w:rsidRPr="00EC350D" w:rsidTr="00652F81">
        <w:trPr>
          <w:trHeight w:val="255"/>
        </w:trPr>
        <w:tc>
          <w:tcPr>
            <w:tcW w:w="960" w:type="dxa"/>
            <w:tcBorders>
              <w:top w:val="single" w:sz="12" w:space="0" w:color="auto"/>
              <w:bottom w:val="single" w:sz="12" w:space="0" w:color="auto"/>
            </w:tcBorders>
            <w:noWrap/>
            <w:vAlign w:val="bottom"/>
          </w:tcPr>
          <w:p w:rsidR="00652F81" w:rsidRPr="00EC350D" w:rsidRDefault="00652F81" w:rsidP="00652F81">
            <w:pPr>
              <w:rPr>
                <w:rFonts w:ascii="Tahoma" w:hAnsi="Tahoma" w:cs="Tahoma"/>
                <w:b/>
                <w:bCs/>
              </w:rPr>
            </w:pPr>
          </w:p>
        </w:tc>
        <w:tc>
          <w:tcPr>
            <w:tcW w:w="960" w:type="dxa"/>
            <w:tcBorders>
              <w:top w:val="single" w:sz="12" w:space="0" w:color="auto"/>
              <w:bottom w:val="single" w:sz="12" w:space="0" w:color="auto"/>
            </w:tcBorders>
            <w:noWrap/>
            <w:vAlign w:val="bottom"/>
          </w:tcPr>
          <w:p w:rsidR="00652F81" w:rsidRPr="007010FC"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2</w:t>
            </w:r>
          </w:p>
        </w:tc>
        <w:tc>
          <w:tcPr>
            <w:tcW w:w="960" w:type="dxa"/>
            <w:tcBorders>
              <w:top w:val="single" w:sz="12" w:space="0" w:color="auto"/>
              <w:bottom w:val="single" w:sz="12" w:space="0" w:color="auto"/>
            </w:tcBorders>
            <w:noWrap/>
            <w:vAlign w:val="bottom"/>
          </w:tcPr>
          <w:p w:rsidR="00652F81" w:rsidRPr="007010FC"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3</w:t>
            </w:r>
          </w:p>
        </w:tc>
        <w:tc>
          <w:tcPr>
            <w:tcW w:w="960" w:type="dxa"/>
            <w:tcBorders>
              <w:top w:val="single" w:sz="12" w:space="0" w:color="auto"/>
              <w:bottom w:val="single" w:sz="12" w:space="0" w:color="auto"/>
            </w:tcBorders>
            <w:noWrap/>
            <w:vAlign w:val="bottom"/>
          </w:tcPr>
          <w:p w:rsidR="00652F81" w:rsidRPr="007010FC"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4</w:t>
            </w:r>
          </w:p>
        </w:tc>
        <w:tc>
          <w:tcPr>
            <w:tcW w:w="960" w:type="dxa"/>
            <w:tcBorders>
              <w:top w:val="single" w:sz="12" w:space="0" w:color="auto"/>
              <w:bottom w:val="single" w:sz="12" w:space="0" w:color="auto"/>
            </w:tcBorders>
            <w:noWrap/>
            <w:vAlign w:val="bottom"/>
          </w:tcPr>
          <w:p w:rsidR="00652F81" w:rsidRPr="007010FC"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5</w:t>
            </w:r>
          </w:p>
        </w:tc>
        <w:tc>
          <w:tcPr>
            <w:tcW w:w="960" w:type="dxa"/>
            <w:tcBorders>
              <w:top w:val="single" w:sz="12" w:space="0" w:color="auto"/>
              <w:bottom w:val="single" w:sz="12" w:space="0" w:color="auto"/>
            </w:tcBorders>
            <w:noWrap/>
            <w:vAlign w:val="bottom"/>
          </w:tcPr>
          <w:p w:rsidR="00652F81" w:rsidRPr="007010FC"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6</w:t>
            </w:r>
          </w:p>
        </w:tc>
        <w:tc>
          <w:tcPr>
            <w:tcW w:w="960" w:type="dxa"/>
            <w:tcBorders>
              <w:top w:val="single" w:sz="12" w:space="0" w:color="auto"/>
              <w:bottom w:val="single" w:sz="12" w:space="0" w:color="auto"/>
            </w:tcBorders>
            <w:noWrap/>
            <w:vAlign w:val="bottom"/>
          </w:tcPr>
          <w:p w:rsidR="00652F81" w:rsidRPr="007010FC"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7</w:t>
            </w:r>
          </w:p>
        </w:tc>
        <w:tc>
          <w:tcPr>
            <w:tcW w:w="960" w:type="dxa"/>
            <w:tcBorders>
              <w:top w:val="single" w:sz="12" w:space="0" w:color="auto"/>
              <w:bottom w:val="single" w:sz="12" w:space="0" w:color="auto"/>
            </w:tcBorders>
            <w:noWrap/>
            <w:vAlign w:val="bottom"/>
          </w:tcPr>
          <w:p w:rsidR="00652F81" w:rsidRPr="007010FC"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8</w:t>
            </w:r>
          </w:p>
        </w:tc>
        <w:tc>
          <w:tcPr>
            <w:tcW w:w="960" w:type="dxa"/>
            <w:tcBorders>
              <w:top w:val="single" w:sz="12" w:space="0" w:color="auto"/>
              <w:bottom w:val="single" w:sz="12" w:space="0" w:color="auto"/>
            </w:tcBorders>
            <w:noWrap/>
            <w:vAlign w:val="bottom"/>
          </w:tcPr>
          <w:p w:rsidR="00652F81" w:rsidRPr="007010FC"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9</w:t>
            </w:r>
          </w:p>
        </w:tc>
        <w:tc>
          <w:tcPr>
            <w:tcW w:w="960" w:type="dxa"/>
            <w:tcBorders>
              <w:top w:val="single" w:sz="12" w:space="0" w:color="auto"/>
              <w:bottom w:val="single" w:sz="12" w:space="0" w:color="auto"/>
            </w:tcBorders>
            <w:noWrap/>
            <w:vAlign w:val="bottom"/>
          </w:tcPr>
          <w:p w:rsidR="00652F81" w:rsidRPr="00031504" w:rsidRDefault="00652F81" w:rsidP="00652F81">
            <w:pPr>
              <w:jc w:val="center"/>
              <w:rPr>
                <w:rFonts w:ascii="Tahoma" w:hAnsi="Tahoma" w:cs="Tahoma"/>
                <w:b/>
                <w:bCs/>
              </w:rPr>
            </w:pPr>
            <w:r>
              <w:rPr>
                <w:rFonts w:ascii="Tahoma" w:hAnsi="Tahoma" w:cs="Tahoma"/>
                <w:b/>
                <w:bCs/>
              </w:rPr>
              <w:t>2010</w:t>
            </w:r>
          </w:p>
        </w:tc>
      </w:tr>
      <w:tr w:rsidR="00652F81" w:rsidRPr="00EC350D" w:rsidTr="00652F81">
        <w:trPr>
          <w:trHeight w:val="285"/>
        </w:trPr>
        <w:tc>
          <w:tcPr>
            <w:tcW w:w="960" w:type="dxa"/>
            <w:tcBorders>
              <w:top w:val="single" w:sz="12" w:space="0" w:color="auto"/>
              <w:bottom w:val="dotted" w:sz="4" w:space="0" w:color="auto"/>
            </w:tcBorders>
            <w:noWrap/>
            <w:vAlign w:val="bottom"/>
          </w:tcPr>
          <w:p w:rsidR="00652F81" w:rsidRPr="00EC350D" w:rsidRDefault="00652F81" w:rsidP="00652F81">
            <w:pPr>
              <w:rPr>
                <w:rFonts w:ascii="Tahoma" w:hAnsi="Tahoma" w:cs="Tahoma"/>
                <w:b/>
                <w:bCs/>
              </w:rPr>
            </w:pPr>
            <w:r w:rsidRPr="00EC350D">
              <w:rPr>
                <w:rFonts w:ascii="Tahoma" w:hAnsi="Tahoma" w:cs="Tahoma"/>
                <w:b/>
                <w:bCs/>
              </w:rPr>
              <w:t>EU27</w:t>
            </w:r>
          </w:p>
        </w:tc>
        <w:tc>
          <w:tcPr>
            <w:tcW w:w="960" w:type="dxa"/>
            <w:tcBorders>
              <w:top w:val="single" w:sz="12"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100</w:t>
            </w:r>
          </w:p>
        </w:tc>
        <w:tc>
          <w:tcPr>
            <w:tcW w:w="960" w:type="dxa"/>
            <w:tcBorders>
              <w:top w:val="single" w:sz="12"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100</w:t>
            </w:r>
          </w:p>
        </w:tc>
        <w:tc>
          <w:tcPr>
            <w:tcW w:w="960" w:type="dxa"/>
            <w:tcBorders>
              <w:top w:val="single" w:sz="12"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100</w:t>
            </w:r>
          </w:p>
        </w:tc>
        <w:tc>
          <w:tcPr>
            <w:tcW w:w="960" w:type="dxa"/>
            <w:tcBorders>
              <w:top w:val="single" w:sz="12"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100</w:t>
            </w:r>
          </w:p>
        </w:tc>
        <w:tc>
          <w:tcPr>
            <w:tcW w:w="960" w:type="dxa"/>
            <w:tcBorders>
              <w:top w:val="single" w:sz="12"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100</w:t>
            </w:r>
          </w:p>
        </w:tc>
        <w:tc>
          <w:tcPr>
            <w:tcW w:w="960" w:type="dxa"/>
            <w:tcBorders>
              <w:top w:val="single" w:sz="12"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100</w:t>
            </w:r>
          </w:p>
        </w:tc>
        <w:tc>
          <w:tcPr>
            <w:tcW w:w="960" w:type="dxa"/>
            <w:tcBorders>
              <w:top w:val="single" w:sz="12"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100</w:t>
            </w:r>
          </w:p>
        </w:tc>
        <w:tc>
          <w:tcPr>
            <w:tcW w:w="960" w:type="dxa"/>
            <w:tcBorders>
              <w:top w:val="single" w:sz="12"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100</w:t>
            </w:r>
          </w:p>
        </w:tc>
        <w:tc>
          <w:tcPr>
            <w:tcW w:w="960" w:type="dxa"/>
            <w:tcBorders>
              <w:top w:val="single" w:sz="12"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100</w:t>
            </w:r>
          </w:p>
        </w:tc>
      </w:tr>
      <w:tr w:rsidR="00652F81" w:rsidRPr="00EC350D" w:rsidTr="00652F81">
        <w:trPr>
          <w:trHeight w:val="255"/>
        </w:trPr>
        <w:tc>
          <w:tcPr>
            <w:tcW w:w="960" w:type="dxa"/>
            <w:tcBorders>
              <w:top w:val="dotted" w:sz="4" w:space="0" w:color="auto"/>
              <w:bottom w:val="dotted" w:sz="4" w:space="0" w:color="auto"/>
            </w:tcBorders>
            <w:noWrap/>
            <w:vAlign w:val="bottom"/>
          </w:tcPr>
          <w:p w:rsidR="00652F81" w:rsidRPr="00EC350D" w:rsidRDefault="00652F81" w:rsidP="00652F81">
            <w:pPr>
              <w:rPr>
                <w:rFonts w:ascii="Tahoma" w:hAnsi="Tahoma" w:cs="Tahoma"/>
                <w:b/>
                <w:bCs/>
              </w:rPr>
            </w:pPr>
            <w:r w:rsidRPr="00EC350D">
              <w:rPr>
                <w:rFonts w:ascii="Tahoma" w:hAnsi="Tahoma" w:cs="Tahoma"/>
                <w:b/>
                <w:bCs/>
              </w:rPr>
              <w:t>EU25</w:t>
            </w:r>
          </w:p>
        </w:tc>
        <w:tc>
          <w:tcPr>
            <w:tcW w:w="960" w:type="dxa"/>
            <w:tcBorders>
              <w:top w:val="dotted" w:sz="4"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105</w:t>
            </w:r>
          </w:p>
        </w:tc>
        <w:tc>
          <w:tcPr>
            <w:tcW w:w="960" w:type="dxa"/>
            <w:tcBorders>
              <w:top w:val="dotted" w:sz="4"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104</w:t>
            </w:r>
          </w:p>
        </w:tc>
        <w:tc>
          <w:tcPr>
            <w:tcW w:w="960" w:type="dxa"/>
            <w:tcBorders>
              <w:top w:val="dotted" w:sz="4"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104</w:t>
            </w:r>
          </w:p>
        </w:tc>
        <w:tc>
          <w:tcPr>
            <w:tcW w:w="960" w:type="dxa"/>
            <w:tcBorders>
              <w:top w:val="dotted" w:sz="4"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104</w:t>
            </w:r>
          </w:p>
        </w:tc>
        <w:tc>
          <w:tcPr>
            <w:tcW w:w="960" w:type="dxa"/>
            <w:tcBorders>
              <w:top w:val="dotted" w:sz="4"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104</w:t>
            </w:r>
          </w:p>
        </w:tc>
        <w:tc>
          <w:tcPr>
            <w:tcW w:w="960" w:type="dxa"/>
            <w:tcBorders>
              <w:top w:val="dotted" w:sz="4"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104</w:t>
            </w:r>
          </w:p>
        </w:tc>
        <w:tc>
          <w:tcPr>
            <w:tcW w:w="960" w:type="dxa"/>
            <w:tcBorders>
              <w:top w:val="dotted" w:sz="4"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103</w:t>
            </w:r>
          </w:p>
        </w:tc>
        <w:tc>
          <w:tcPr>
            <w:tcW w:w="960" w:type="dxa"/>
            <w:tcBorders>
              <w:top w:val="dotted" w:sz="4"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103</w:t>
            </w:r>
          </w:p>
        </w:tc>
        <w:tc>
          <w:tcPr>
            <w:tcW w:w="960" w:type="dxa"/>
            <w:tcBorders>
              <w:top w:val="dotted" w:sz="4"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103</w:t>
            </w:r>
          </w:p>
        </w:tc>
      </w:tr>
      <w:tr w:rsidR="00652F81" w:rsidRPr="00EC350D" w:rsidTr="00652F81">
        <w:trPr>
          <w:trHeight w:val="255"/>
        </w:trPr>
        <w:tc>
          <w:tcPr>
            <w:tcW w:w="960" w:type="dxa"/>
            <w:tcBorders>
              <w:top w:val="dotted" w:sz="4" w:space="0" w:color="auto"/>
              <w:bottom w:val="dotted" w:sz="4" w:space="0" w:color="auto"/>
            </w:tcBorders>
            <w:noWrap/>
            <w:vAlign w:val="bottom"/>
          </w:tcPr>
          <w:p w:rsidR="00652F81" w:rsidRPr="00EC350D" w:rsidRDefault="00652F81" w:rsidP="00652F81">
            <w:pPr>
              <w:rPr>
                <w:rFonts w:ascii="Tahoma" w:hAnsi="Tahoma" w:cs="Tahoma"/>
                <w:b/>
                <w:bCs/>
              </w:rPr>
            </w:pPr>
            <w:r w:rsidRPr="00EC350D">
              <w:rPr>
                <w:rFonts w:ascii="Tahoma" w:hAnsi="Tahoma" w:cs="Tahoma"/>
                <w:b/>
                <w:bCs/>
              </w:rPr>
              <w:t>EU15</w:t>
            </w:r>
          </w:p>
        </w:tc>
        <w:tc>
          <w:tcPr>
            <w:tcW w:w="960" w:type="dxa"/>
            <w:tcBorders>
              <w:top w:val="dotted" w:sz="4"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114</w:t>
            </w:r>
          </w:p>
        </w:tc>
        <w:tc>
          <w:tcPr>
            <w:tcW w:w="960" w:type="dxa"/>
            <w:tcBorders>
              <w:top w:val="dotted" w:sz="4"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114</w:t>
            </w:r>
          </w:p>
        </w:tc>
        <w:tc>
          <w:tcPr>
            <w:tcW w:w="960" w:type="dxa"/>
            <w:tcBorders>
              <w:top w:val="dotted" w:sz="4"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113</w:t>
            </w:r>
          </w:p>
        </w:tc>
        <w:tc>
          <w:tcPr>
            <w:tcW w:w="960" w:type="dxa"/>
            <w:tcBorders>
              <w:top w:val="dotted" w:sz="4"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113</w:t>
            </w:r>
          </w:p>
        </w:tc>
        <w:tc>
          <w:tcPr>
            <w:tcW w:w="960" w:type="dxa"/>
            <w:tcBorders>
              <w:top w:val="dotted" w:sz="4"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112</w:t>
            </w:r>
          </w:p>
        </w:tc>
        <w:tc>
          <w:tcPr>
            <w:tcW w:w="960" w:type="dxa"/>
            <w:tcBorders>
              <w:top w:val="dotted" w:sz="4"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112</w:t>
            </w:r>
          </w:p>
        </w:tc>
        <w:tc>
          <w:tcPr>
            <w:tcW w:w="960" w:type="dxa"/>
            <w:tcBorders>
              <w:top w:val="dotted" w:sz="4"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111</w:t>
            </w:r>
          </w:p>
        </w:tc>
        <w:tc>
          <w:tcPr>
            <w:tcW w:w="960" w:type="dxa"/>
            <w:tcBorders>
              <w:top w:val="dotted" w:sz="4"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110</w:t>
            </w:r>
          </w:p>
        </w:tc>
        <w:tc>
          <w:tcPr>
            <w:tcW w:w="960" w:type="dxa"/>
            <w:tcBorders>
              <w:top w:val="dotted" w:sz="4"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110</w:t>
            </w:r>
          </w:p>
        </w:tc>
      </w:tr>
      <w:tr w:rsidR="00652F81" w:rsidRPr="00EC350D" w:rsidTr="00652F81">
        <w:trPr>
          <w:trHeight w:val="255"/>
        </w:trPr>
        <w:tc>
          <w:tcPr>
            <w:tcW w:w="960" w:type="dxa"/>
            <w:tcBorders>
              <w:top w:val="dotted" w:sz="4" w:space="0" w:color="auto"/>
              <w:bottom w:val="dotted" w:sz="4" w:space="0" w:color="auto"/>
            </w:tcBorders>
            <w:noWrap/>
            <w:vAlign w:val="bottom"/>
          </w:tcPr>
          <w:p w:rsidR="00652F81" w:rsidRPr="00320194" w:rsidRDefault="00652F81" w:rsidP="00652F81">
            <w:pPr>
              <w:rPr>
                <w:rFonts w:ascii="Tahoma" w:hAnsi="Tahoma" w:cs="Tahoma"/>
                <w:b/>
                <w:bCs/>
              </w:rPr>
            </w:pPr>
            <w:r w:rsidRPr="00EC350D">
              <w:rPr>
                <w:rFonts w:ascii="Tahoma" w:hAnsi="Tahoma" w:cs="Tahoma"/>
                <w:b/>
                <w:bCs/>
              </w:rPr>
              <w:t>EA1</w:t>
            </w:r>
            <w:r>
              <w:rPr>
                <w:rFonts w:ascii="Tahoma" w:hAnsi="Tahoma" w:cs="Tahoma"/>
                <w:b/>
                <w:bCs/>
              </w:rPr>
              <w:t>7</w:t>
            </w:r>
          </w:p>
        </w:tc>
        <w:tc>
          <w:tcPr>
            <w:tcW w:w="960" w:type="dxa"/>
            <w:tcBorders>
              <w:top w:val="dotted" w:sz="4"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111</w:t>
            </w:r>
          </w:p>
        </w:tc>
        <w:tc>
          <w:tcPr>
            <w:tcW w:w="960" w:type="dxa"/>
            <w:tcBorders>
              <w:top w:val="dotted" w:sz="4"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110</w:t>
            </w:r>
          </w:p>
        </w:tc>
        <w:tc>
          <w:tcPr>
            <w:tcW w:w="960" w:type="dxa"/>
            <w:tcBorders>
              <w:top w:val="dotted" w:sz="4"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109</w:t>
            </w:r>
          </w:p>
        </w:tc>
        <w:tc>
          <w:tcPr>
            <w:tcW w:w="960" w:type="dxa"/>
            <w:tcBorders>
              <w:top w:val="dotted" w:sz="4"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109</w:t>
            </w:r>
          </w:p>
        </w:tc>
        <w:tc>
          <w:tcPr>
            <w:tcW w:w="960" w:type="dxa"/>
            <w:tcBorders>
              <w:top w:val="dotted" w:sz="4"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109</w:t>
            </w:r>
          </w:p>
        </w:tc>
        <w:tc>
          <w:tcPr>
            <w:tcW w:w="960" w:type="dxa"/>
            <w:tcBorders>
              <w:top w:val="dotted" w:sz="4"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109</w:t>
            </w:r>
          </w:p>
        </w:tc>
        <w:tc>
          <w:tcPr>
            <w:tcW w:w="960" w:type="dxa"/>
            <w:tcBorders>
              <w:top w:val="dotted" w:sz="4"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108</w:t>
            </w:r>
          </w:p>
        </w:tc>
        <w:tc>
          <w:tcPr>
            <w:tcW w:w="960" w:type="dxa"/>
            <w:tcBorders>
              <w:top w:val="dotted" w:sz="4"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109</w:t>
            </w:r>
          </w:p>
        </w:tc>
        <w:tc>
          <w:tcPr>
            <w:tcW w:w="960" w:type="dxa"/>
            <w:tcBorders>
              <w:top w:val="dotted" w:sz="4" w:space="0" w:color="auto"/>
              <w:bottom w:val="dotted" w:sz="4"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108</w:t>
            </w:r>
          </w:p>
        </w:tc>
      </w:tr>
      <w:tr w:rsidR="00652F81" w:rsidRPr="00EC350D" w:rsidTr="00652F81">
        <w:trPr>
          <w:trHeight w:val="158"/>
        </w:trPr>
        <w:tc>
          <w:tcPr>
            <w:tcW w:w="960" w:type="dxa"/>
            <w:tcBorders>
              <w:top w:val="dotted" w:sz="4" w:space="0" w:color="auto"/>
              <w:bottom w:val="single" w:sz="8" w:space="0" w:color="auto"/>
            </w:tcBorders>
            <w:noWrap/>
            <w:vAlign w:val="bottom"/>
          </w:tcPr>
          <w:p w:rsidR="00652F81" w:rsidRPr="00EC350D" w:rsidRDefault="00652F81" w:rsidP="00652F81">
            <w:pPr>
              <w:rPr>
                <w:rFonts w:ascii="Tahoma" w:hAnsi="Tahoma" w:cs="Tahoma"/>
                <w:b/>
                <w:bCs/>
              </w:rPr>
            </w:pPr>
            <w:r w:rsidRPr="00EC350D">
              <w:rPr>
                <w:rFonts w:ascii="Tahoma" w:hAnsi="Tahoma" w:cs="Tahoma"/>
                <w:b/>
                <w:bCs/>
              </w:rPr>
              <w:t>EL</w:t>
            </w:r>
          </w:p>
        </w:tc>
        <w:tc>
          <w:tcPr>
            <w:tcW w:w="960" w:type="dxa"/>
            <w:tcBorders>
              <w:top w:val="dotted" w:sz="4" w:space="0" w:color="auto"/>
              <w:bottom w:val="single" w:sz="8"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90</w:t>
            </w:r>
          </w:p>
        </w:tc>
        <w:tc>
          <w:tcPr>
            <w:tcW w:w="960" w:type="dxa"/>
            <w:tcBorders>
              <w:top w:val="dotted" w:sz="4" w:space="0" w:color="auto"/>
              <w:bottom w:val="single" w:sz="8"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93</w:t>
            </w:r>
          </w:p>
        </w:tc>
        <w:tc>
          <w:tcPr>
            <w:tcW w:w="960" w:type="dxa"/>
            <w:tcBorders>
              <w:top w:val="dotted" w:sz="4" w:space="0" w:color="auto"/>
              <w:bottom w:val="single" w:sz="8"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94</w:t>
            </w:r>
          </w:p>
        </w:tc>
        <w:tc>
          <w:tcPr>
            <w:tcW w:w="960" w:type="dxa"/>
            <w:tcBorders>
              <w:top w:val="dotted" w:sz="4" w:space="0" w:color="auto"/>
              <w:bottom w:val="single" w:sz="8"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91</w:t>
            </w:r>
          </w:p>
        </w:tc>
        <w:tc>
          <w:tcPr>
            <w:tcW w:w="960" w:type="dxa"/>
            <w:tcBorders>
              <w:top w:val="dotted" w:sz="4" w:space="0" w:color="auto"/>
              <w:bottom w:val="single" w:sz="8"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93</w:t>
            </w:r>
          </w:p>
        </w:tc>
        <w:tc>
          <w:tcPr>
            <w:tcW w:w="960" w:type="dxa"/>
            <w:tcBorders>
              <w:top w:val="dotted" w:sz="4" w:space="0" w:color="auto"/>
              <w:bottom w:val="single" w:sz="8"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92</w:t>
            </w:r>
          </w:p>
        </w:tc>
        <w:tc>
          <w:tcPr>
            <w:tcW w:w="960" w:type="dxa"/>
            <w:tcBorders>
              <w:top w:val="dotted" w:sz="4" w:space="0" w:color="auto"/>
              <w:bottom w:val="single" w:sz="8"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94</w:t>
            </w:r>
          </w:p>
        </w:tc>
        <w:tc>
          <w:tcPr>
            <w:tcW w:w="960" w:type="dxa"/>
            <w:tcBorders>
              <w:top w:val="dotted" w:sz="4" w:space="0" w:color="auto"/>
              <w:bottom w:val="single" w:sz="8"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94</w:t>
            </w:r>
          </w:p>
        </w:tc>
        <w:tc>
          <w:tcPr>
            <w:tcW w:w="960" w:type="dxa"/>
            <w:tcBorders>
              <w:top w:val="dotted" w:sz="4" w:space="0" w:color="auto"/>
              <w:bottom w:val="single" w:sz="8" w:space="0" w:color="auto"/>
            </w:tcBorders>
            <w:noWrap/>
            <w:vAlign w:val="bottom"/>
          </w:tcPr>
          <w:p w:rsidR="00652F81" w:rsidRPr="009810AD" w:rsidRDefault="00652F81" w:rsidP="00652F81">
            <w:pPr>
              <w:jc w:val="right"/>
              <w:rPr>
                <w:rFonts w:ascii="Tahoma" w:hAnsi="Tahoma" w:cs="Tahoma"/>
              </w:rPr>
            </w:pPr>
            <w:r w:rsidRPr="009810AD">
              <w:rPr>
                <w:rFonts w:ascii="Tahoma" w:hAnsi="Tahoma" w:cs="Tahoma"/>
              </w:rPr>
              <w:t>89</w:t>
            </w:r>
          </w:p>
        </w:tc>
      </w:tr>
    </w:tbl>
    <w:p w:rsidR="00652F81" w:rsidRPr="008D0397" w:rsidRDefault="00652F81" w:rsidP="00652F81">
      <w:pPr>
        <w:pStyle w:val="1"/>
        <w:rPr>
          <w:rFonts w:ascii="Tahoma" w:hAnsi="Tahoma" w:cs="Tahoma"/>
          <w:sz w:val="18"/>
          <w:szCs w:val="18"/>
        </w:rPr>
      </w:pPr>
      <w:r w:rsidRPr="00954CD1">
        <w:rPr>
          <w:rFonts w:ascii="Tahoma" w:hAnsi="Tahoma" w:cs="Tahoma"/>
          <w:sz w:val="18"/>
          <w:szCs w:val="18"/>
        </w:rPr>
        <w:t>Πηγή:</w:t>
      </w:r>
      <w:r w:rsidRPr="008D0397">
        <w:rPr>
          <w:rFonts w:ascii="Tahoma" w:hAnsi="Tahoma" w:cs="Tahoma"/>
          <w:b w:val="0"/>
          <w:sz w:val="18"/>
          <w:szCs w:val="18"/>
        </w:rPr>
        <w:t xml:space="preserve"> </w:t>
      </w:r>
      <w:r w:rsidRPr="008D0397">
        <w:rPr>
          <w:rFonts w:ascii="Tahoma" w:hAnsi="Tahoma" w:cs="Tahoma"/>
          <w:b w:val="0"/>
          <w:sz w:val="18"/>
          <w:szCs w:val="18"/>
          <w:lang w:val="en-US"/>
        </w:rPr>
        <w:t>Eurostat</w:t>
      </w:r>
    </w:p>
    <w:p w:rsidR="00652F81" w:rsidRPr="00AE2425" w:rsidRDefault="00652F81" w:rsidP="00652F81"/>
    <w:p w:rsidR="00652F81" w:rsidRPr="00AE2425" w:rsidRDefault="00652F81" w:rsidP="00652F81"/>
    <w:p w:rsidR="00652F81" w:rsidRPr="00AE2425" w:rsidRDefault="00652F81" w:rsidP="00652F81"/>
    <w:p w:rsidR="00652F81" w:rsidRDefault="00652F81" w:rsidP="00652F81">
      <w:pPr>
        <w:pStyle w:val="new12"/>
        <w:sectPr w:rsidR="00652F81" w:rsidSect="00652F81">
          <w:headerReference w:type="default" r:id="rId74"/>
          <w:type w:val="oddPage"/>
          <w:pgSz w:w="11906" w:h="16838"/>
          <w:pgMar w:top="1701" w:right="1418" w:bottom="1418" w:left="1418" w:header="720" w:footer="720" w:gutter="0"/>
          <w:paperSrc w:first="242" w:other="242"/>
          <w:cols w:space="720"/>
        </w:sectPr>
      </w:pPr>
      <w:bookmarkStart w:id="355" w:name="_Toc70767263"/>
      <w:bookmarkStart w:id="356" w:name="_Toc26115026"/>
      <w:bookmarkStart w:id="357" w:name="_Toc7353371"/>
      <w:bookmarkStart w:id="358" w:name="_Toc535676771"/>
      <w:bookmarkStart w:id="359" w:name="_Toc532276269"/>
      <w:bookmarkStart w:id="360" w:name="_Toc520703684"/>
      <w:bookmarkStart w:id="361" w:name="_Toc150308575"/>
    </w:p>
    <w:p w:rsidR="00652F81" w:rsidRPr="00BC0843" w:rsidRDefault="00652F81" w:rsidP="00652F81">
      <w:pPr>
        <w:pStyle w:val="new12"/>
      </w:pPr>
      <w:bookmarkStart w:id="362" w:name="_Toc169881535"/>
      <w:bookmarkStart w:id="363" w:name="_Toc170201872"/>
      <w:r w:rsidRPr="00BC0843">
        <w:lastRenderedPageBreak/>
        <w:t>Ι-2α.</w:t>
      </w:r>
      <w:r w:rsidRPr="00BC0843">
        <w:tab/>
        <w:t>Παραγωγικότητα</w:t>
      </w:r>
      <w:bookmarkEnd w:id="355"/>
      <w:bookmarkEnd w:id="356"/>
      <w:bookmarkEnd w:id="357"/>
      <w:bookmarkEnd w:id="358"/>
      <w:bookmarkEnd w:id="359"/>
      <w:bookmarkEnd w:id="360"/>
      <w:r>
        <w:t xml:space="preserve"> Εργασίας ανά Α</w:t>
      </w:r>
      <w:r w:rsidRPr="00BC0843">
        <w:t xml:space="preserve">πασχολούμενο </w:t>
      </w:r>
      <w:r>
        <w:t>Ά</w:t>
      </w:r>
      <w:r w:rsidRPr="00BC0843">
        <w:t>τομο</w:t>
      </w:r>
      <w:bookmarkEnd w:id="361"/>
      <w:bookmarkEnd w:id="362"/>
      <w:bookmarkEnd w:id="363"/>
    </w:p>
    <w:p w:rsidR="00652F81" w:rsidRPr="00294913" w:rsidRDefault="00652F81" w:rsidP="00652F81">
      <w:pPr>
        <w:pStyle w:val="new1210pt"/>
      </w:pPr>
      <w:bookmarkStart w:id="364" w:name="_Toc70767264"/>
      <w:bookmarkStart w:id="365" w:name="_Toc26115027"/>
      <w:bookmarkStart w:id="366" w:name="_Toc12420295"/>
      <w:bookmarkStart w:id="367" w:name="_Toc535767005"/>
      <w:bookmarkStart w:id="368" w:name="_Toc535676772"/>
      <w:bookmarkStart w:id="369" w:name="_Toc532276270"/>
      <w:bookmarkStart w:id="370" w:name="_Toc520703685"/>
      <w:bookmarkStart w:id="371" w:name="_Toc150308576"/>
      <w:bookmarkStart w:id="372" w:name="_Toc170201873"/>
      <w:r w:rsidRPr="00294913">
        <w:t xml:space="preserve">(ΑΕΠ σε μονάδες  αγοραστικής </w:t>
      </w:r>
      <w:r w:rsidRPr="008C7D07">
        <w:t>δύναμης,(EE-27=100) PPS</w:t>
      </w:r>
      <w:r w:rsidRPr="00294913">
        <w:t>,/ αριθμό εργαζομένων)</w:t>
      </w:r>
      <w:bookmarkEnd w:id="364"/>
      <w:bookmarkEnd w:id="365"/>
      <w:bookmarkEnd w:id="366"/>
      <w:bookmarkEnd w:id="367"/>
      <w:bookmarkEnd w:id="368"/>
      <w:bookmarkEnd w:id="369"/>
      <w:bookmarkEnd w:id="370"/>
      <w:bookmarkEnd w:id="371"/>
      <w:bookmarkEnd w:id="372"/>
    </w:p>
    <w:p w:rsidR="00652F81" w:rsidRPr="00C27EEB" w:rsidRDefault="00652F81" w:rsidP="00652F81"/>
    <w:p w:rsidR="00652F81" w:rsidRPr="003A709D" w:rsidRDefault="00652F81" w:rsidP="00652F81">
      <w:pPr>
        <w:spacing w:line="288" w:lineRule="auto"/>
        <w:jc w:val="both"/>
        <w:rPr>
          <w:rFonts w:ascii="Tahoma" w:hAnsi="Tahoma" w:cs="Tahoma"/>
        </w:rPr>
      </w:pPr>
      <w:r w:rsidRPr="003A709D">
        <w:rPr>
          <w:rFonts w:ascii="Tahoma" w:hAnsi="Tahoma" w:cs="Tahoma"/>
        </w:rPr>
        <w:t>Ο αριθμός των εργαζομένων περιλαμβάνει τους απασχολούμενους και τους αυτό-απασχολούμενους. Περιλαμβάνονται οι μισθωτοί, οι δημόσιοι υπάλληλοι, οι στρατιωτικοί και οι ιδιοκτήτες επιχειρήσεων. Οι εποχικά απασχολούμενοι και αυτοί που απουσιάζουν από την εργασία τους λόγω ασθένειας, διακοπών, απεργίας και παρακολούθησης εκπαιδευτικών προγραμμάτων κατά τη διάρκεια της έρευνας περιλαμβάνονται στους απασχολούμενους. Ο καθορισμός αυτός είναι σύμφωνος με το Διεθνή Οργανισμό Εργασίας (</w:t>
      </w:r>
      <w:r w:rsidRPr="003A709D">
        <w:rPr>
          <w:rFonts w:ascii="Tahoma" w:hAnsi="Tahoma" w:cs="Tahoma"/>
          <w:lang w:val="en-US"/>
        </w:rPr>
        <w:t>International</w:t>
      </w:r>
      <w:r w:rsidRPr="003A709D">
        <w:rPr>
          <w:rFonts w:ascii="Tahoma" w:hAnsi="Tahoma" w:cs="Tahoma"/>
        </w:rPr>
        <w:t xml:space="preserve"> </w:t>
      </w:r>
      <w:r w:rsidRPr="003A709D">
        <w:rPr>
          <w:rFonts w:ascii="Tahoma" w:hAnsi="Tahoma" w:cs="Tahoma"/>
          <w:lang w:val="en-US"/>
        </w:rPr>
        <w:t>Labor</w:t>
      </w:r>
      <w:r w:rsidRPr="003A709D">
        <w:rPr>
          <w:rFonts w:ascii="Tahoma" w:hAnsi="Tahoma" w:cs="Tahoma"/>
        </w:rPr>
        <w:t xml:space="preserve"> </w:t>
      </w:r>
      <w:r w:rsidRPr="003A709D">
        <w:rPr>
          <w:rFonts w:ascii="Tahoma" w:hAnsi="Tahoma" w:cs="Tahoma"/>
          <w:lang w:val="en-US"/>
        </w:rPr>
        <w:t>Organization</w:t>
      </w:r>
      <w:r w:rsidRPr="003A709D">
        <w:rPr>
          <w:rFonts w:ascii="Tahoma" w:hAnsi="Tahoma" w:cs="Tahoma"/>
        </w:rPr>
        <w:t xml:space="preserve">, </w:t>
      </w:r>
      <w:r w:rsidRPr="003A709D">
        <w:rPr>
          <w:rFonts w:ascii="Tahoma" w:hAnsi="Tahoma" w:cs="Tahoma"/>
          <w:lang w:val="en-US"/>
        </w:rPr>
        <w:t>ILO</w:t>
      </w:r>
      <w:r w:rsidRPr="003A709D">
        <w:rPr>
          <w:rFonts w:ascii="Tahoma" w:hAnsi="Tahoma" w:cs="Tahoma"/>
        </w:rPr>
        <w:t xml:space="preserve">) </w:t>
      </w:r>
    </w:p>
    <w:p w:rsidR="00652F81" w:rsidRPr="00C27EEB" w:rsidRDefault="00652F81" w:rsidP="00652F81"/>
    <w:p w:rsidR="00652F81" w:rsidRPr="00255D88" w:rsidRDefault="00652F81" w:rsidP="00652F81">
      <w:r>
        <w:rPr>
          <w:noProof/>
          <w:lang w:val="en-US" w:eastAsia="en-US"/>
        </w:rPr>
        <w:drawing>
          <wp:inline distT="0" distB="0" distL="0" distR="0">
            <wp:extent cx="5686425" cy="3305175"/>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print"/>
                    <a:srcRect/>
                    <a:stretch>
                      <a:fillRect/>
                    </a:stretch>
                  </pic:blipFill>
                  <pic:spPr bwMode="auto">
                    <a:xfrm>
                      <a:off x="0" y="0"/>
                      <a:ext cx="5686425" cy="3305175"/>
                    </a:xfrm>
                    <a:prstGeom prst="rect">
                      <a:avLst/>
                    </a:prstGeom>
                    <a:noFill/>
                    <a:ln w="9525">
                      <a:noFill/>
                      <a:miter lim="800000"/>
                      <a:headEnd/>
                      <a:tailEnd/>
                    </a:ln>
                  </pic:spPr>
                </pic:pic>
              </a:graphicData>
            </a:graphic>
          </wp:inline>
        </w:drawing>
      </w:r>
    </w:p>
    <w:p w:rsidR="00652F81" w:rsidRDefault="00652F81" w:rsidP="00652F81">
      <w:pPr>
        <w:rPr>
          <w:lang w:val="en-US"/>
        </w:rPr>
      </w:pPr>
    </w:p>
    <w:tbl>
      <w:tblPr>
        <w:tblW w:w="9600" w:type="dxa"/>
        <w:tblBorders>
          <w:top w:val="single" w:sz="12" w:space="0" w:color="auto"/>
          <w:bottom w:val="single" w:sz="12" w:space="0" w:color="auto"/>
          <w:insideH w:val="dotted" w:sz="4" w:space="0" w:color="auto"/>
        </w:tblBorders>
        <w:tblLook w:val="00E0"/>
      </w:tblPr>
      <w:tblGrid>
        <w:gridCol w:w="960"/>
        <w:gridCol w:w="960"/>
        <w:gridCol w:w="960"/>
        <w:gridCol w:w="960"/>
        <w:gridCol w:w="960"/>
        <w:gridCol w:w="960"/>
        <w:gridCol w:w="960"/>
        <w:gridCol w:w="960"/>
        <w:gridCol w:w="960"/>
        <w:gridCol w:w="960"/>
      </w:tblGrid>
      <w:tr w:rsidR="00652F81" w:rsidRPr="00BB0DB8" w:rsidTr="00652F81">
        <w:trPr>
          <w:trHeight w:val="255"/>
        </w:trPr>
        <w:tc>
          <w:tcPr>
            <w:tcW w:w="960" w:type="dxa"/>
            <w:tcBorders>
              <w:top w:val="single" w:sz="12" w:space="0" w:color="auto"/>
              <w:bottom w:val="single" w:sz="8" w:space="0" w:color="auto"/>
            </w:tcBorders>
            <w:noWrap/>
            <w:vAlign w:val="bottom"/>
          </w:tcPr>
          <w:p w:rsidR="00652F81" w:rsidRPr="00BB0DB8" w:rsidRDefault="00652F81" w:rsidP="00652F81">
            <w:pPr>
              <w:rPr>
                <w:rFonts w:ascii="Tahoma" w:hAnsi="Tahoma" w:cs="Tahoma"/>
                <w:b/>
                <w:bCs/>
              </w:rPr>
            </w:pPr>
          </w:p>
        </w:tc>
        <w:tc>
          <w:tcPr>
            <w:tcW w:w="960" w:type="dxa"/>
            <w:tcBorders>
              <w:top w:val="single" w:sz="12" w:space="0" w:color="auto"/>
              <w:bottom w:val="single" w:sz="8" w:space="0" w:color="auto"/>
            </w:tcBorders>
            <w:noWrap/>
            <w:vAlign w:val="bottom"/>
          </w:tcPr>
          <w:p w:rsidR="00652F81" w:rsidRPr="00235D27"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2</w:t>
            </w:r>
          </w:p>
        </w:tc>
        <w:tc>
          <w:tcPr>
            <w:tcW w:w="960" w:type="dxa"/>
            <w:tcBorders>
              <w:top w:val="single" w:sz="12" w:space="0" w:color="auto"/>
              <w:bottom w:val="single" w:sz="8" w:space="0" w:color="auto"/>
            </w:tcBorders>
            <w:noWrap/>
            <w:vAlign w:val="bottom"/>
          </w:tcPr>
          <w:p w:rsidR="00652F81" w:rsidRPr="00235D27"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3</w:t>
            </w:r>
          </w:p>
        </w:tc>
        <w:tc>
          <w:tcPr>
            <w:tcW w:w="960" w:type="dxa"/>
            <w:tcBorders>
              <w:top w:val="single" w:sz="12" w:space="0" w:color="auto"/>
              <w:bottom w:val="single" w:sz="8" w:space="0" w:color="auto"/>
            </w:tcBorders>
            <w:noWrap/>
            <w:vAlign w:val="bottom"/>
          </w:tcPr>
          <w:p w:rsidR="00652F81" w:rsidRPr="00235D27"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4</w:t>
            </w:r>
          </w:p>
        </w:tc>
        <w:tc>
          <w:tcPr>
            <w:tcW w:w="960" w:type="dxa"/>
            <w:tcBorders>
              <w:top w:val="single" w:sz="12" w:space="0" w:color="auto"/>
              <w:bottom w:val="single" w:sz="8" w:space="0" w:color="auto"/>
            </w:tcBorders>
            <w:noWrap/>
            <w:vAlign w:val="bottom"/>
          </w:tcPr>
          <w:p w:rsidR="00652F81" w:rsidRPr="00235D27"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5</w:t>
            </w:r>
          </w:p>
        </w:tc>
        <w:tc>
          <w:tcPr>
            <w:tcW w:w="960" w:type="dxa"/>
            <w:tcBorders>
              <w:top w:val="single" w:sz="12" w:space="0" w:color="auto"/>
              <w:bottom w:val="single" w:sz="8" w:space="0" w:color="auto"/>
            </w:tcBorders>
            <w:noWrap/>
            <w:vAlign w:val="bottom"/>
          </w:tcPr>
          <w:p w:rsidR="00652F81" w:rsidRPr="00235D27"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6</w:t>
            </w:r>
          </w:p>
        </w:tc>
        <w:tc>
          <w:tcPr>
            <w:tcW w:w="960" w:type="dxa"/>
            <w:tcBorders>
              <w:top w:val="single" w:sz="12" w:space="0" w:color="auto"/>
              <w:bottom w:val="single" w:sz="8" w:space="0" w:color="auto"/>
            </w:tcBorders>
            <w:noWrap/>
            <w:vAlign w:val="bottom"/>
          </w:tcPr>
          <w:p w:rsidR="00652F81" w:rsidRPr="00235D27"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7</w:t>
            </w:r>
          </w:p>
        </w:tc>
        <w:tc>
          <w:tcPr>
            <w:tcW w:w="960" w:type="dxa"/>
            <w:tcBorders>
              <w:top w:val="single" w:sz="12" w:space="0" w:color="auto"/>
              <w:bottom w:val="single" w:sz="8" w:space="0" w:color="auto"/>
            </w:tcBorders>
            <w:noWrap/>
            <w:vAlign w:val="bottom"/>
          </w:tcPr>
          <w:p w:rsidR="00652F81" w:rsidRPr="00235D27"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8</w:t>
            </w:r>
          </w:p>
        </w:tc>
        <w:tc>
          <w:tcPr>
            <w:tcW w:w="960" w:type="dxa"/>
            <w:tcBorders>
              <w:top w:val="single" w:sz="12" w:space="0" w:color="auto"/>
              <w:bottom w:val="single" w:sz="8" w:space="0" w:color="auto"/>
            </w:tcBorders>
            <w:noWrap/>
            <w:vAlign w:val="bottom"/>
          </w:tcPr>
          <w:p w:rsidR="00652F81" w:rsidRPr="00235D27"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9</w:t>
            </w:r>
          </w:p>
        </w:tc>
        <w:tc>
          <w:tcPr>
            <w:tcW w:w="960" w:type="dxa"/>
            <w:tcBorders>
              <w:top w:val="single" w:sz="12" w:space="0" w:color="auto"/>
              <w:bottom w:val="single" w:sz="8" w:space="0" w:color="auto"/>
            </w:tcBorders>
            <w:noWrap/>
            <w:vAlign w:val="bottom"/>
          </w:tcPr>
          <w:p w:rsidR="00652F81" w:rsidRPr="00204AE7" w:rsidRDefault="00652F81" w:rsidP="00652F81">
            <w:pPr>
              <w:jc w:val="center"/>
              <w:rPr>
                <w:rFonts w:ascii="Tahoma" w:hAnsi="Tahoma" w:cs="Tahoma"/>
                <w:b/>
                <w:bCs/>
              </w:rPr>
            </w:pPr>
            <w:r>
              <w:rPr>
                <w:rFonts w:ascii="Tahoma" w:hAnsi="Tahoma" w:cs="Tahoma"/>
                <w:b/>
                <w:bCs/>
              </w:rPr>
              <w:t>2010</w:t>
            </w:r>
          </w:p>
        </w:tc>
      </w:tr>
      <w:tr w:rsidR="00652F81" w:rsidRPr="00BB0DB8" w:rsidTr="00652F81">
        <w:trPr>
          <w:trHeight w:val="255"/>
        </w:trPr>
        <w:tc>
          <w:tcPr>
            <w:tcW w:w="960" w:type="dxa"/>
            <w:tcBorders>
              <w:top w:val="single" w:sz="8" w:space="0" w:color="auto"/>
            </w:tcBorders>
            <w:noWrap/>
            <w:vAlign w:val="bottom"/>
          </w:tcPr>
          <w:p w:rsidR="00652F81" w:rsidRPr="00BB0DB8" w:rsidRDefault="00652F81" w:rsidP="00652F81">
            <w:pPr>
              <w:rPr>
                <w:rFonts w:ascii="Tahoma" w:hAnsi="Tahoma" w:cs="Tahoma"/>
                <w:b/>
                <w:bCs/>
              </w:rPr>
            </w:pPr>
            <w:r w:rsidRPr="00BB0DB8">
              <w:rPr>
                <w:rFonts w:ascii="Tahoma" w:hAnsi="Tahoma" w:cs="Tahoma"/>
                <w:b/>
                <w:bCs/>
              </w:rPr>
              <w:t>EU27</w:t>
            </w:r>
          </w:p>
        </w:tc>
        <w:tc>
          <w:tcPr>
            <w:tcW w:w="960" w:type="dxa"/>
            <w:tcBorders>
              <w:top w:val="single" w:sz="8" w:space="0" w:color="auto"/>
            </w:tcBorders>
            <w:noWrap/>
            <w:vAlign w:val="bottom"/>
          </w:tcPr>
          <w:p w:rsidR="00652F81" w:rsidRPr="00204AE7" w:rsidRDefault="00652F81" w:rsidP="00652F81">
            <w:pPr>
              <w:jc w:val="right"/>
              <w:rPr>
                <w:rFonts w:ascii="Tahoma" w:hAnsi="Tahoma" w:cs="Tahoma"/>
              </w:rPr>
            </w:pPr>
            <w:r w:rsidRPr="00204AE7">
              <w:rPr>
                <w:rFonts w:ascii="Tahoma" w:hAnsi="Tahoma" w:cs="Tahoma"/>
              </w:rPr>
              <w:t>100</w:t>
            </w:r>
          </w:p>
        </w:tc>
        <w:tc>
          <w:tcPr>
            <w:tcW w:w="960" w:type="dxa"/>
            <w:tcBorders>
              <w:top w:val="single" w:sz="8" w:space="0" w:color="auto"/>
            </w:tcBorders>
            <w:noWrap/>
            <w:vAlign w:val="bottom"/>
          </w:tcPr>
          <w:p w:rsidR="00652F81" w:rsidRPr="00204AE7" w:rsidRDefault="00652F81" w:rsidP="00652F81">
            <w:pPr>
              <w:jc w:val="right"/>
              <w:rPr>
                <w:rFonts w:ascii="Tahoma" w:hAnsi="Tahoma" w:cs="Tahoma"/>
              </w:rPr>
            </w:pPr>
            <w:r w:rsidRPr="00204AE7">
              <w:rPr>
                <w:rFonts w:ascii="Tahoma" w:hAnsi="Tahoma" w:cs="Tahoma"/>
              </w:rPr>
              <w:t>100</w:t>
            </w:r>
          </w:p>
        </w:tc>
        <w:tc>
          <w:tcPr>
            <w:tcW w:w="960" w:type="dxa"/>
            <w:tcBorders>
              <w:top w:val="single" w:sz="8" w:space="0" w:color="auto"/>
            </w:tcBorders>
            <w:noWrap/>
            <w:vAlign w:val="bottom"/>
          </w:tcPr>
          <w:p w:rsidR="00652F81" w:rsidRPr="00204AE7" w:rsidRDefault="00652F81" w:rsidP="00652F81">
            <w:pPr>
              <w:jc w:val="right"/>
              <w:rPr>
                <w:rFonts w:ascii="Tahoma" w:hAnsi="Tahoma" w:cs="Tahoma"/>
              </w:rPr>
            </w:pPr>
            <w:r w:rsidRPr="00204AE7">
              <w:rPr>
                <w:rFonts w:ascii="Tahoma" w:hAnsi="Tahoma" w:cs="Tahoma"/>
              </w:rPr>
              <w:t>100</w:t>
            </w:r>
          </w:p>
        </w:tc>
        <w:tc>
          <w:tcPr>
            <w:tcW w:w="960" w:type="dxa"/>
            <w:tcBorders>
              <w:top w:val="single" w:sz="8" w:space="0" w:color="auto"/>
            </w:tcBorders>
            <w:noWrap/>
            <w:vAlign w:val="bottom"/>
          </w:tcPr>
          <w:p w:rsidR="00652F81" w:rsidRPr="00204AE7" w:rsidRDefault="00652F81" w:rsidP="00652F81">
            <w:pPr>
              <w:jc w:val="right"/>
              <w:rPr>
                <w:rFonts w:ascii="Tahoma" w:hAnsi="Tahoma" w:cs="Tahoma"/>
              </w:rPr>
            </w:pPr>
            <w:r w:rsidRPr="00204AE7">
              <w:rPr>
                <w:rFonts w:ascii="Tahoma" w:hAnsi="Tahoma" w:cs="Tahoma"/>
              </w:rPr>
              <w:t>100</w:t>
            </w:r>
          </w:p>
        </w:tc>
        <w:tc>
          <w:tcPr>
            <w:tcW w:w="960" w:type="dxa"/>
            <w:tcBorders>
              <w:top w:val="single" w:sz="8" w:space="0" w:color="auto"/>
            </w:tcBorders>
            <w:noWrap/>
            <w:vAlign w:val="bottom"/>
          </w:tcPr>
          <w:p w:rsidR="00652F81" w:rsidRPr="00204AE7" w:rsidRDefault="00652F81" w:rsidP="00652F81">
            <w:pPr>
              <w:jc w:val="right"/>
              <w:rPr>
                <w:rFonts w:ascii="Tahoma" w:hAnsi="Tahoma" w:cs="Tahoma"/>
              </w:rPr>
            </w:pPr>
            <w:r w:rsidRPr="00204AE7">
              <w:rPr>
                <w:rFonts w:ascii="Tahoma" w:hAnsi="Tahoma" w:cs="Tahoma"/>
              </w:rPr>
              <w:t>100</w:t>
            </w:r>
          </w:p>
        </w:tc>
        <w:tc>
          <w:tcPr>
            <w:tcW w:w="960" w:type="dxa"/>
            <w:tcBorders>
              <w:top w:val="single" w:sz="8" w:space="0" w:color="auto"/>
            </w:tcBorders>
            <w:noWrap/>
            <w:vAlign w:val="bottom"/>
          </w:tcPr>
          <w:p w:rsidR="00652F81" w:rsidRPr="00204AE7" w:rsidRDefault="00652F81" w:rsidP="00652F81">
            <w:pPr>
              <w:jc w:val="right"/>
              <w:rPr>
                <w:rFonts w:ascii="Tahoma" w:hAnsi="Tahoma" w:cs="Tahoma"/>
              </w:rPr>
            </w:pPr>
            <w:r w:rsidRPr="00204AE7">
              <w:rPr>
                <w:rFonts w:ascii="Tahoma" w:hAnsi="Tahoma" w:cs="Tahoma"/>
              </w:rPr>
              <w:t>100</w:t>
            </w:r>
          </w:p>
        </w:tc>
        <w:tc>
          <w:tcPr>
            <w:tcW w:w="960" w:type="dxa"/>
            <w:tcBorders>
              <w:top w:val="single" w:sz="8" w:space="0" w:color="auto"/>
            </w:tcBorders>
            <w:noWrap/>
            <w:vAlign w:val="bottom"/>
          </w:tcPr>
          <w:p w:rsidR="00652F81" w:rsidRPr="00204AE7" w:rsidRDefault="00652F81" w:rsidP="00652F81">
            <w:pPr>
              <w:jc w:val="right"/>
              <w:rPr>
                <w:rFonts w:ascii="Tahoma" w:hAnsi="Tahoma" w:cs="Tahoma"/>
              </w:rPr>
            </w:pPr>
            <w:r w:rsidRPr="00204AE7">
              <w:rPr>
                <w:rFonts w:ascii="Tahoma" w:hAnsi="Tahoma" w:cs="Tahoma"/>
              </w:rPr>
              <w:t>100</w:t>
            </w:r>
          </w:p>
        </w:tc>
        <w:tc>
          <w:tcPr>
            <w:tcW w:w="960" w:type="dxa"/>
            <w:tcBorders>
              <w:top w:val="single" w:sz="8" w:space="0" w:color="auto"/>
            </w:tcBorders>
            <w:noWrap/>
            <w:vAlign w:val="bottom"/>
          </w:tcPr>
          <w:p w:rsidR="00652F81" w:rsidRPr="00204AE7" w:rsidRDefault="00652F81" w:rsidP="00652F81">
            <w:pPr>
              <w:jc w:val="right"/>
              <w:rPr>
                <w:rFonts w:ascii="Tahoma" w:hAnsi="Tahoma" w:cs="Tahoma"/>
              </w:rPr>
            </w:pPr>
            <w:r w:rsidRPr="00204AE7">
              <w:rPr>
                <w:rFonts w:ascii="Tahoma" w:hAnsi="Tahoma" w:cs="Tahoma"/>
              </w:rPr>
              <w:t>100</w:t>
            </w:r>
          </w:p>
        </w:tc>
        <w:tc>
          <w:tcPr>
            <w:tcW w:w="960" w:type="dxa"/>
            <w:tcBorders>
              <w:top w:val="single" w:sz="8" w:space="0" w:color="auto"/>
            </w:tcBorders>
            <w:noWrap/>
            <w:vAlign w:val="bottom"/>
          </w:tcPr>
          <w:p w:rsidR="00652F81" w:rsidRPr="00204AE7" w:rsidRDefault="00652F81" w:rsidP="00652F81">
            <w:pPr>
              <w:jc w:val="right"/>
              <w:rPr>
                <w:rFonts w:ascii="Tahoma" w:hAnsi="Tahoma" w:cs="Tahoma"/>
              </w:rPr>
            </w:pPr>
            <w:r w:rsidRPr="00204AE7">
              <w:rPr>
                <w:rFonts w:ascii="Tahoma" w:hAnsi="Tahoma" w:cs="Tahoma"/>
              </w:rPr>
              <w:t>100</w:t>
            </w:r>
          </w:p>
        </w:tc>
      </w:tr>
      <w:tr w:rsidR="00652F81" w:rsidRPr="00BB0DB8" w:rsidTr="00652F81">
        <w:trPr>
          <w:trHeight w:val="255"/>
        </w:trPr>
        <w:tc>
          <w:tcPr>
            <w:tcW w:w="960" w:type="dxa"/>
            <w:noWrap/>
            <w:vAlign w:val="bottom"/>
          </w:tcPr>
          <w:p w:rsidR="00652F81" w:rsidRPr="00BB0DB8" w:rsidRDefault="00652F81" w:rsidP="00652F81">
            <w:pPr>
              <w:rPr>
                <w:rFonts w:ascii="Tahoma" w:hAnsi="Tahoma" w:cs="Tahoma"/>
                <w:b/>
                <w:bCs/>
              </w:rPr>
            </w:pPr>
            <w:r w:rsidRPr="00BB0DB8">
              <w:rPr>
                <w:rFonts w:ascii="Tahoma" w:hAnsi="Tahoma" w:cs="Tahoma"/>
                <w:b/>
                <w:bCs/>
              </w:rPr>
              <w:t>EU25</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104,4</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104,3</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104,1</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104</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103,8</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103,6</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103,3</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103,3</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103,2</w:t>
            </w:r>
          </w:p>
        </w:tc>
      </w:tr>
      <w:tr w:rsidR="00652F81" w:rsidRPr="00BB0DB8" w:rsidTr="00652F81">
        <w:trPr>
          <w:trHeight w:val="255"/>
        </w:trPr>
        <w:tc>
          <w:tcPr>
            <w:tcW w:w="960" w:type="dxa"/>
            <w:noWrap/>
            <w:vAlign w:val="bottom"/>
          </w:tcPr>
          <w:p w:rsidR="00652F81" w:rsidRPr="00BB0DB8" w:rsidRDefault="00652F81" w:rsidP="00652F81">
            <w:pPr>
              <w:rPr>
                <w:rFonts w:ascii="Tahoma" w:hAnsi="Tahoma" w:cs="Tahoma"/>
                <w:b/>
                <w:bCs/>
              </w:rPr>
            </w:pPr>
            <w:r w:rsidRPr="00BB0DB8">
              <w:rPr>
                <w:rFonts w:ascii="Tahoma" w:hAnsi="Tahoma" w:cs="Tahoma"/>
                <w:b/>
                <w:bCs/>
              </w:rPr>
              <w:t>EU15</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111,9</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111,4</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110,9</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110,6</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110,5</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110,1</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109,7</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109,4</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109,2</w:t>
            </w:r>
          </w:p>
        </w:tc>
      </w:tr>
      <w:tr w:rsidR="00652F81" w:rsidRPr="00BB0DB8" w:rsidTr="00652F81">
        <w:trPr>
          <w:trHeight w:val="255"/>
        </w:trPr>
        <w:tc>
          <w:tcPr>
            <w:tcW w:w="960" w:type="dxa"/>
            <w:noWrap/>
            <w:vAlign w:val="bottom"/>
          </w:tcPr>
          <w:p w:rsidR="00652F81" w:rsidRPr="00707E9F" w:rsidRDefault="00652F81" w:rsidP="00652F81">
            <w:pPr>
              <w:rPr>
                <w:rFonts w:ascii="Tahoma" w:hAnsi="Tahoma" w:cs="Tahoma"/>
                <w:b/>
                <w:bCs/>
              </w:rPr>
            </w:pPr>
            <w:r w:rsidRPr="00BB0DB8">
              <w:rPr>
                <w:rFonts w:ascii="Tahoma" w:hAnsi="Tahoma" w:cs="Tahoma"/>
                <w:b/>
                <w:bCs/>
              </w:rPr>
              <w:t>EA1</w:t>
            </w:r>
            <w:r>
              <w:rPr>
                <w:rFonts w:ascii="Tahoma" w:hAnsi="Tahoma" w:cs="Tahoma"/>
                <w:b/>
                <w:bCs/>
              </w:rPr>
              <w:t>7</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110,6</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110</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109</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109,2</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109</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109,1</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108,9</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109,1</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108,6</w:t>
            </w:r>
          </w:p>
        </w:tc>
      </w:tr>
      <w:tr w:rsidR="00652F81" w:rsidRPr="00BB0DB8" w:rsidTr="00652F81">
        <w:trPr>
          <w:trHeight w:val="255"/>
        </w:trPr>
        <w:tc>
          <w:tcPr>
            <w:tcW w:w="960" w:type="dxa"/>
            <w:noWrap/>
            <w:vAlign w:val="bottom"/>
          </w:tcPr>
          <w:p w:rsidR="00652F81" w:rsidRPr="00BB0DB8" w:rsidRDefault="00652F81" w:rsidP="00652F81">
            <w:pPr>
              <w:rPr>
                <w:rFonts w:ascii="Tahoma" w:hAnsi="Tahoma" w:cs="Tahoma"/>
                <w:b/>
                <w:bCs/>
              </w:rPr>
            </w:pPr>
            <w:r w:rsidRPr="00BB0DB8">
              <w:rPr>
                <w:rFonts w:ascii="Tahoma" w:hAnsi="Tahoma" w:cs="Tahoma"/>
                <w:b/>
                <w:bCs/>
              </w:rPr>
              <w:t>EL</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100</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101,8</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101,1</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98,8</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99,2</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97,7</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100,4</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99,4</w:t>
            </w:r>
          </w:p>
        </w:tc>
        <w:tc>
          <w:tcPr>
            <w:tcW w:w="960" w:type="dxa"/>
            <w:noWrap/>
            <w:vAlign w:val="bottom"/>
          </w:tcPr>
          <w:p w:rsidR="00652F81" w:rsidRPr="00204AE7" w:rsidRDefault="00652F81" w:rsidP="00652F81">
            <w:pPr>
              <w:jc w:val="right"/>
              <w:rPr>
                <w:rFonts w:ascii="Tahoma" w:hAnsi="Tahoma" w:cs="Tahoma"/>
              </w:rPr>
            </w:pPr>
            <w:r w:rsidRPr="00204AE7">
              <w:rPr>
                <w:rFonts w:ascii="Tahoma" w:hAnsi="Tahoma" w:cs="Tahoma"/>
              </w:rPr>
              <w:t>95,7</w:t>
            </w:r>
          </w:p>
        </w:tc>
      </w:tr>
    </w:tbl>
    <w:p w:rsidR="00652F81" w:rsidRPr="00074F2B" w:rsidRDefault="00652F81" w:rsidP="00652F81">
      <w:pPr>
        <w:rPr>
          <w:rFonts w:ascii="Tahoma" w:hAnsi="Tahoma" w:cs="Tahoma"/>
          <w:sz w:val="16"/>
          <w:szCs w:val="16"/>
        </w:rPr>
      </w:pPr>
      <w:r w:rsidRPr="00204AE7">
        <w:rPr>
          <w:rFonts w:ascii="Tahoma" w:hAnsi="Tahoma" w:cs="Tahoma"/>
          <w:sz w:val="16"/>
          <w:szCs w:val="16"/>
        </w:rPr>
        <w:t>(</w:t>
      </w:r>
      <w:r w:rsidRPr="00074F2B">
        <w:rPr>
          <w:rFonts w:ascii="Tahoma" w:hAnsi="Tahoma" w:cs="Tahoma"/>
          <w:sz w:val="16"/>
          <w:szCs w:val="16"/>
          <w:lang w:val="en-US"/>
        </w:rPr>
        <w:t>p</w:t>
      </w:r>
      <w:r w:rsidRPr="00204AE7">
        <w:rPr>
          <w:rFonts w:ascii="Tahoma" w:hAnsi="Tahoma" w:cs="Tahoma"/>
          <w:sz w:val="16"/>
          <w:szCs w:val="16"/>
        </w:rPr>
        <w:t xml:space="preserve">): </w:t>
      </w:r>
      <w:r w:rsidRPr="00074F2B">
        <w:rPr>
          <w:rFonts w:ascii="Tahoma" w:hAnsi="Tahoma" w:cs="Tahoma"/>
          <w:sz w:val="16"/>
          <w:szCs w:val="16"/>
        </w:rPr>
        <w:t>προσωρινά στοιχεία</w:t>
      </w:r>
    </w:p>
    <w:p w:rsidR="00652F81" w:rsidRPr="003C55C4" w:rsidRDefault="00652F81" w:rsidP="00652F81">
      <w:pPr>
        <w:rPr>
          <w:rFonts w:ascii="Tahoma" w:hAnsi="Tahoma" w:cs="Tahoma"/>
          <w:sz w:val="18"/>
          <w:szCs w:val="18"/>
        </w:rPr>
      </w:pPr>
      <w:r w:rsidRPr="00954CD1">
        <w:rPr>
          <w:rFonts w:ascii="Tahoma" w:hAnsi="Tahoma" w:cs="Tahoma"/>
          <w:b/>
          <w:sz w:val="18"/>
          <w:szCs w:val="18"/>
        </w:rPr>
        <w:t>Πηγή:</w:t>
      </w:r>
      <w:r w:rsidRPr="003C55C4">
        <w:rPr>
          <w:rFonts w:ascii="Tahoma" w:hAnsi="Tahoma" w:cs="Tahoma"/>
          <w:sz w:val="18"/>
          <w:szCs w:val="18"/>
        </w:rPr>
        <w:t xml:space="preserve"> </w:t>
      </w:r>
      <w:r w:rsidRPr="003C55C4">
        <w:rPr>
          <w:rFonts w:ascii="Tahoma" w:hAnsi="Tahoma" w:cs="Tahoma"/>
          <w:sz w:val="18"/>
          <w:szCs w:val="18"/>
          <w:lang w:val="en-US"/>
        </w:rPr>
        <w:t>Eurostat</w:t>
      </w:r>
    </w:p>
    <w:p w:rsidR="00652F81" w:rsidRPr="00294913" w:rsidRDefault="00652F81" w:rsidP="00652F81">
      <w:pPr>
        <w:rPr>
          <w:rFonts w:ascii="Tahoma" w:hAnsi="Tahoma" w:cs="Tahoma"/>
        </w:rPr>
      </w:pPr>
    </w:p>
    <w:p w:rsidR="00652F81" w:rsidRPr="00294913" w:rsidRDefault="00652F81" w:rsidP="00652F81">
      <w:pPr>
        <w:rPr>
          <w:rFonts w:ascii="Tahoma" w:hAnsi="Tahoma" w:cs="Tahoma"/>
          <w:b/>
          <w:smallCaps/>
          <w:sz w:val="24"/>
        </w:rPr>
        <w:sectPr w:rsidR="00652F81" w:rsidRPr="00294913" w:rsidSect="00652F81">
          <w:headerReference w:type="even" r:id="rId76"/>
          <w:footerReference w:type="default" r:id="rId77"/>
          <w:pgSz w:w="11906" w:h="16838"/>
          <w:pgMar w:top="1701" w:right="1418" w:bottom="1418" w:left="1418" w:header="720" w:footer="720" w:gutter="0"/>
          <w:paperSrc w:first="242" w:other="242"/>
          <w:cols w:space="720"/>
        </w:sectPr>
      </w:pPr>
    </w:p>
    <w:p w:rsidR="00652F81" w:rsidRPr="00B425B4" w:rsidRDefault="00652F81" w:rsidP="00652F81">
      <w:pPr>
        <w:pStyle w:val="new6"/>
      </w:pPr>
      <w:bookmarkStart w:id="373" w:name="_Toc514054397"/>
      <w:bookmarkStart w:id="374" w:name="_Toc150308578"/>
      <w:bookmarkStart w:id="375" w:name="_Toc169881536"/>
      <w:bookmarkStart w:id="376" w:name="_Toc170201874"/>
      <w:bookmarkStart w:id="377" w:name="_Toc70767276"/>
      <w:bookmarkStart w:id="378" w:name="_Toc26115039"/>
      <w:bookmarkStart w:id="379" w:name="_Toc7353388"/>
      <w:bookmarkStart w:id="380" w:name="_Toc535676788"/>
      <w:bookmarkStart w:id="381" w:name="_Toc532276279"/>
      <w:bookmarkEnd w:id="373"/>
      <w:r w:rsidRPr="00B425B4">
        <w:lastRenderedPageBreak/>
        <w:t>ΙΙ-Α.</w:t>
      </w:r>
      <w:r w:rsidRPr="00B425B4">
        <w:tab/>
        <w:t>Απασχόληση</w:t>
      </w:r>
      <w:bookmarkEnd w:id="374"/>
      <w:bookmarkEnd w:id="375"/>
      <w:bookmarkEnd w:id="376"/>
    </w:p>
    <w:p w:rsidR="00652F81" w:rsidRPr="00294913" w:rsidRDefault="00652F81" w:rsidP="00652F81"/>
    <w:p w:rsidR="00652F81" w:rsidRDefault="00652F81" w:rsidP="00652F81">
      <w:pPr>
        <w:pStyle w:val="new12"/>
        <w:rPr>
          <w:b w:val="0"/>
          <w:sz w:val="20"/>
          <w:szCs w:val="20"/>
        </w:rPr>
      </w:pPr>
      <w:bookmarkStart w:id="382" w:name="_Toc150308579"/>
      <w:bookmarkStart w:id="383" w:name="_Toc169881537"/>
      <w:bookmarkStart w:id="384" w:name="_Toc170201875"/>
      <w:r w:rsidRPr="00384D9C">
        <w:t>ΙΙ-1α.</w:t>
      </w:r>
      <w:r w:rsidRPr="00384D9C">
        <w:tab/>
        <w:t>Ποσοστό Απασχόλησης</w:t>
      </w:r>
      <w:bookmarkStart w:id="385" w:name="_Toc70767277"/>
      <w:bookmarkStart w:id="386" w:name="_Toc26115040"/>
      <w:bookmarkStart w:id="387" w:name="_Toc12420308"/>
      <w:bookmarkStart w:id="388" w:name="_Toc535767022"/>
      <w:bookmarkStart w:id="389" w:name="_Toc535676789"/>
      <w:bookmarkStart w:id="390" w:name="_Toc532276280"/>
      <w:bookmarkStart w:id="391" w:name="_Toc523032899"/>
      <w:bookmarkStart w:id="392" w:name="_Toc150308580"/>
      <w:bookmarkStart w:id="393" w:name="_Toc170201876"/>
      <w:bookmarkEnd w:id="377"/>
      <w:bookmarkEnd w:id="378"/>
      <w:bookmarkEnd w:id="379"/>
      <w:bookmarkEnd w:id="380"/>
      <w:bookmarkEnd w:id="381"/>
      <w:bookmarkEnd w:id="382"/>
      <w:bookmarkEnd w:id="383"/>
      <w:bookmarkEnd w:id="384"/>
      <w:r>
        <w:t xml:space="preserve"> </w:t>
      </w:r>
      <w:r w:rsidRPr="00EE64FD">
        <w:rPr>
          <w:b w:val="0"/>
          <w:sz w:val="20"/>
          <w:szCs w:val="20"/>
        </w:rPr>
        <w:t>(% απασχολούμενων ατόμων ηλικίας 15-64 ετών στο σύνολο του αντίστοιχου πληθυ</w:t>
      </w:r>
      <w:r>
        <w:rPr>
          <w:b w:val="0"/>
          <w:sz w:val="20"/>
          <w:szCs w:val="20"/>
        </w:rPr>
        <w:t>σμού</w:t>
      </w:r>
      <w:r w:rsidRPr="00EE64FD">
        <w:rPr>
          <w:b w:val="0"/>
          <w:sz w:val="20"/>
          <w:szCs w:val="20"/>
        </w:rPr>
        <w:t>)</w:t>
      </w:r>
      <w:bookmarkEnd w:id="385"/>
      <w:bookmarkEnd w:id="386"/>
      <w:bookmarkEnd w:id="387"/>
      <w:bookmarkEnd w:id="388"/>
      <w:bookmarkEnd w:id="389"/>
      <w:bookmarkEnd w:id="390"/>
      <w:bookmarkEnd w:id="391"/>
      <w:bookmarkEnd w:id="392"/>
      <w:bookmarkEnd w:id="393"/>
      <w:r w:rsidRPr="00547AF8">
        <w:rPr>
          <w:b w:val="0"/>
          <w:sz w:val="20"/>
          <w:szCs w:val="20"/>
        </w:rPr>
        <w:t xml:space="preserve"> </w:t>
      </w:r>
    </w:p>
    <w:p w:rsidR="00652F81" w:rsidRPr="00EE64FD" w:rsidRDefault="00652F81" w:rsidP="00652F81">
      <w:pPr>
        <w:pStyle w:val="new12"/>
        <w:rPr>
          <w:b w:val="0"/>
          <w:sz w:val="20"/>
          <w:szCs w:val="20"/>
        </w:rPr>
      </w:pPr>
    </w:p>
    <w:p w:rsidR="00652F81" w:rsidRPr="006E47A4" w:rsidRDefault="00652F81" w:rsidP="00652F81">
      <w:pPr>
        <w:jc w:val="both"/>
        <w:rPr>
          <w:rFonts w:ascii="Tahoma" w:hAnsi="Tahoma" w:cs="Tahoma"/>
        </w:rPr>
      </w:pPr>
      <w:r w:rsidRPr="003A709D">
        <w:rPr>
          <w:rFonts w:ascii="Tahoma" w:hAnsi="Tahoma" w:cs="Tahoma"/>
        </w:rPr>
        <w:t xml:space="preserve">Τα εργατικό δυναμικό αποτελείται από άτομα τα οποία κατά την περίοδο διεξαγωγής της έρευνας εργάζονταν κάνοντας οποιαδήποτε εργασία επί πληρωμή για τουλάχιστον μια ώρα ή έχουν εργασία αλλά απουσίαζαν από αυτή κατά την περίοδο διεξαγωγής της έρευνας. Η έρευνα αναφέρεται σε άτομα άνω των 15 ετών. Άτομα τα οποία κατοικούν σε συλλογικές κατοικίες (εστίες, θεραπευτήρια, εκκλησιαστικά ιδρύματα, εργατικές εστίες, ξενώνες κ.τ.λ) καθώς και άτομα που εκπληρώνουν υποχρεωτική στρατιωτική θητεία δεν περιλαμβάνονται στην έρευνα. </w:t>
      </w:r>
      <w:bookmarkStart w:id="394" w:name="_Toc150308581"/>
      <w:bookmarkStart w:id="395" w:name="_Toc523032905"/>
      <w:bookmarkStart w:id="396" w:name="_Toc532276286"/>
      <w:bookmarkStart w:id="397" w:name="_Toc535676792"/>
      <w:bookmarkStart w:id="398" w:name="_Toc26115041"/>
      <w:bookmarkStart w:id="399" w:name="_Toc70767278"/>
    </w:p>
    <w:p w:rsidR="00652F81" w:rsidRPr="00920D1D" w:rsidRDefault="00652F81" w:rsidP="00652F81">
      <w:pPr>
        <w:tabs>
          <w:tab w:val="left" w:pos="993"/>
        </w:tabs>
      </w:pPr>
    </w:p>
    <w:p w:rsidR="00652F81" w:rsidRPr="00547AF8" w:rsidRDefault="00652F81" w:rsidP="00652F81">
      <w:pPr>
        <w:tabs>
          <w:tab w:val="left" w:pos="993"/>
        </w:tabs>
        <w:jc w:val="center"/>
      </w:pPr>
      <w:r>
        <w:rPr>
          <w:noProof/>
          <w:lang w:val="en-US" w:eastAsia="en-US"/>
        </w:rPr>
        <w:drawing>
          <wp:inline distT="0" distB="0" distL="0" distR="0">
            <wp:extent cx="5572125" cy="3267075"/>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cstate="print"/>
                    <a:srcRect/>
                    <a:stretch>
                      <a:fillRect/>
                    </a:stretch>
                  </pic:blipFill>
                  <pic:spPr bwMode="auto">
                    <a:xfrm>
                      <a:off x="0" y="0"/>
                      <a:ext cx="5572125" cy="3267075"/>
                    </a:xfrm>
                    <a:prstGeom prst="rect">
                      <a:avLst/>
                    </a:prstGeom>
                    <a:noFill/>
                    <a:ln w="9525">
                      <a:noFill/>
                      <a:miter lim="800000"/>
                      <a:headEnd/>
                      <a:tailEnd/>
                    </a:ln>
                  </pic:spPr>
                </pic:pic>
              </a:graphicData>
            </a:graphic>
          </wp:inline>
        </w:drawing>
      </w:r>
    </w:p>
    <w:tbl>
      <w:tblPr>
        <w:tblW w:w="8640" w:type="dxa"/>
        <w:jc w:val="center"/>
        <w:tblBorders>
          <w:top w:val="single" w:sz="12" w:space="0" w:color="auto"/>
          <w:bottom w:val="single" w:sz="12" w:space="0" w:color="auto"/>
          <w:insideH w:val="dotted" w:sz="4" w:space="0" w:color="auto"/>
        </w:tblBorders>
        <w:tblLook w:val="00E0"/>
      </w:tblPr>
      <w:tblGrid>
        <w:gridCol w:w="960"/>
        <w:gridCol w:w="960"/>
        <w:gridCol w:w="960"/>
        <w:gridCol w:w="960"/>
        <w:gridCol w:w="960"/>
        <w:gridCol w:w="960"/>
        <w:gridCol w:w="960"/>
        <w:gridCol w:w="960"/>
        <w:gridCol w:w="960"/>
      </w:tblGrid>
      <w:tr w:rsidR="00652F81" w:rsidRPr="00545F7F" w:rsidTr="00652F81">
        <w:trPr>
          <w:trHeight w:val="255"/>
          <w:jc w:val="center"/>
        </w:trPr>
        <w:tc>
          <w:tcPr>
            <w:tcW w:w="960" w:type="dxa"/>
            <w:tcBorders>
              <w:top w:val="single" w:sz="12" w:space="0" w:color="auto"/>
              <w:bottom w:val="single" w:sz="8" w:space="0" w:color="auto"/>
            </w:tcBorders>
            <w:noWrap/>
            <w:vAlign w:val="bottom"/>
          </w:tcPr>
          <w:p w:rsidR="00652F81" w:rsidRPr="00545F7F" w:rsidRDefault="00652F81" w:rsidP="00652F81">
            <w:pPr>
              <w:rPr>
                <w:rFonts w:ascii="Tahoma" w:hAnsi="Tahoma" w:cs="Tahoma"/>
                <w:b/>
                <w:bCs/>
              </w:rPr>
            </w:pPr>
          </w:p>
        </w:tc>
        <w:tc>
          <w:tcPr>
            <w:tcW w:w="960" w:type="dxa"/>
            <w:tcBorders>
              <w:top w:val="single" w:sz="12" w:space="0" w:color="auto"/>
              <w:bottom w:val="single" w:sz="8" w:space="0" w:color="auto"/>
            </w:tcBorders>
            <w:noWrap/>
            <w:vAlign w:val="bottom"/>
          </w:tcPr>
          <w:p w:rsidR="00652F81" w:rsidRPr="00C2157B"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3</w:t>
            </w:r>
          </w:p>
        </w:tc>
        <w:tc>
          <w:tcPr>
            <w:tcW w:w="960" w:type="dxa"/>
            <w:tcBorders>
              <w:top w:val="single" w:sz="12" w:space="0" w:color="auto"/>
              <w:bottom w:val="single" w:sz="8" w:space="0" w:color="auto"/>
            </w:tcBorders>
            <w:noWrap/>
            <w:vAlign w:val="bottom"/>
          </w:tcPr>
          <w:p w:rsidR="00652F81" w:rsidRPr="00C2157B" w:rsidRDefault="00652F81" w:rsidP="00652F81">
            <w:pPr>
              <w:jc w:val="center"/>
              <w:rPr>
                <w:rFonts w:ascii="Tahoma" w:hAnsi="Tahoma" w:cs="Tahoma"/>
                <w:b/>
                <w:bCs/>
                <w:lang w:val="en-US"/>
              </w:rPr>
            </w:pPr>
            <w:r>
              <w:rPr>
                <w:rFonts w:ascii="Tahoma" w:hAnsi="Tahoma" w:cs="Tahoma"/>
                <w:b/>
                <w:bCs/>
                <w:lang w:val="en-US"/>
              </w:rPr>
              <w:t>2004</w:t>
            </w:r>
          </w:p>
        </w:tc>
        <w:tc>
          <w:tcPr>
            <w:tcW w:w="960" w:type="dxa"/>
            <w:tcBorders>
              <w:top w:val="single" w:sz="12" w:space="0" w:color="auto"/>
              <w:bottom w:val="single" w:sz="8" w:space="0" w:color="auto"/>
            </w:tcBorders>
            <w:noWrap/>
            <w:vAlign w:val="bottom"/>
          </w:tcPr>
          <w:p w:rsidR="00652F81" w:rsidRPr="00C2157B" w:rsidRDefault="00652F81" w:rsidP="00652F81">
            <w:pPr>
              <w:jc w:val="center"/>
              <w:rPr>
                <w:rFonts w:ascii="Tahoma" w:hAnsi="Tahoma" w:cs="Tahoma"/>
                <w:b/>
                <w:bCs/>
                <w:lang w:val="en-US"/>
              </w:rPr>
            </w:pPr>
            <w:r>
              <w:rPr>
                <w:rFonts w:ascii="Tahoma" w:hAnsi="Tahoma" w:cs="Tahoma"/>
                <w:b/>
                <w:bCs/>
                <w:lang w:val="en-US"/>
              </w:rPr>
              <w:t>2005</w:t>
            </w:r>
          </w:p>
        </w:tc>
        <w:tc>
          <w:tcPr>
            <w:tcW w:w="960" w:type="dxa"/>
            <w:tcBorders>
              <w:top w:val="single" w:sz="12" w:space="0" w:color="auto"/>
              <w:bottom w:val="single" w:sz="8" w:space="0" w:color="auto"/>
            </w:tcBorders>
            <w:noWrap/>
            <w:vAlign w:val="bottom"/>
          </w:tcPr>
          <w:p w:rsidR="00652F81" w:rsidRPr="00C2157B" w:rsidRDefault="00652F81" w:rsidP="00652F81">
            <w:pPr>
              <w:jc w:val="center"/>
              <w:rPr>
                <w:rFonts w:ascii="Tahoma" w:hAnsi="Tahoma" w:cs="Tahoma"/>
                <w:b/>
                <w:bCs/>
                <w:lang w:val="en-US"/>
              </w:rPr>
            </w:pPr>
            <w:r>
              <w:rPr>
                <w:rFonts w:ascii="Tahoma" w:hAnsi="Tahoma" w:cs="Tahoma"/>
                <w:b/>
                <w:bCs/>
                <w:lang w:val="en-US"/>
              </w:rPr>
              <w:t>2006</w:t>
            </w:r>
          </w:p>
        </w:tc>
        <w:tc>
          <w:tcPr>
            <w:tcW w:w="960" w:type="dxa"/>
            <w:tcBorders>
              <w:top w:val="single" w:sz="12" w:space="0" w:color="auto"/>
              <w:bottom w:val="single" w:sz="8" w:space="0" w:color="auto"/>
            </w:tcBorders>
            <w:noWrap/>
            <w:vAlign w:val="bottom"/>
          </w:tcPr>
          <w:p w:rsidR="00652F81" w:rsidRPr="00C2157B" w:rsidRDefault="00652F81" w:rsidP="00652F81">
            <w:pPr>
              <w:jc w:val="center"/>
              <w:rPr>
                <w:rFonts w:ascii="Tahoma" w:hAnsi="Tahoma" w:cs="Tahoma"/>
                <w:b/>
                <w:bCs/>
                <w:lang w:val="en-US"/>
              </w:rPr>
            </w:pPr>
            <w:r>
              <w:rPr>
                <w:rFonts w:ascii="Tahoma" w:hAnsi="Tahoma" w:cs="Tahoma"/>
                <w:b/>
                <w:bCs/>
                <w:lang w:val="en-US"/>
              </w:rPr>
              <w:t>2007</w:t>
            </w:r>
          </w:p>
        </w:tc>
        <w:tc>
          <w:tcPr>
            <w:tcW w:w="960" w:type="dxa"/>
            <w:tcBorders>
              <w:top w:val="single" w:sz="12" w:space="0" w:color="auto"/>
              <w:bottom w:val="single" w:sz="8" w:space="0" w:color="auto"/>
            </w:tcBorders>
            <w:noWrap/>
            <w:vAlign w:val="bottom"/>
          </w:tcPr>
          <w:p w:rsidR="00652F81" w:rsidRPr="00C2157B" w:rsidRDefault="00652F81" w:rsidP="00652F81">
            <w:pPr>
              <w:jc w:val="center"/>
              <w:rPr>
                <w:rFonts w:ascii="Tahoma" w:hAnsi="Tahoma" w:cs="Tahoma"/>
                <w:b/>
                <w:bCs/>
                <w:lang w:val="en-US"/>
              </w:rPr>
            </w:pPr>
            <w:r>
              <w:rPr>
                <w:rFonts w:ascii="Tahoma" w:hAnsi="Tahoma" w:cs="Tahoma"/>
                <w:b/>
                <w:bCs/>
                <w:lang w:val="en-US"/>
              </w:rPr>
              <w:t>2008</w:t>
            </w:r>
          </w:p>
        </w:tc>
        <w:tc>
          <w:tcPr>
            <w:tcW w:w="960" w:type="dxa"/>
            <w:tcBorders>
              <w:top w:val="single" w:sz="12" w:space="0" w:color="auto"/>
              <w:bottom w:val="single" w:sz="8" w:space="0" w:color="auto"/>
            </w:tcBorders>
            <w:noWrap/>
            <w:vAlign w:val="bottom"/>
          </w:tcPr>
          <w:p w:rsidR="00652F81" w:rsidRPr="00C2157B" w:rsidRDefault="00652F81" w:rsidP="00652F81">
            <w:pPr>
              <w:jc w:val="center"/>
              <w:rPr>
                <w:rFonts w:ascii="Tahoma" w:hAnsi="Tahoma" w:cs="Tahoma"/>
                <w:b/>
                <w:bCs/>
                <w:lang w:val="en-US"/>
              </w:rPr>
            </w:pPr>
            <w:r>
              <w:rPr>
                <w:rFonts w:ascii="Tahoma" w:hAnsi="Tahoma" w:cs="Tahoma"/>
                <w:b/>
                <w:bCs/>
                <w:lang w:val="en-US"/>
              </w:rPr>
              <w:t>2009</w:t>
            </w:r>
          </w:p>
        </w:tc>
        <w:tc>
          <w:tcPr>
            <w:tcW w:w="960" w:type="dxa"/>
            <w:tcBorders>
              <w:top w:val="single" w:sz="12" w:space="0" w:color="auto"/>
              <w:bottom w:val="single" w:sz="8" w:space="0" w:color="auto"/>
            </w:tcBorders>
            <w:noWrap/>
            <w:vAlign w:val="bottom"/>
          </w:tcPr>
          <w:p w:rsidR="00652F81" w:rsidRPr="00C2157B" w:rsidRDefault="00652F81" w:rsidP="00652F81">
            <w:pPr>
              <w:jc w:val="center"/>
              <w:rPr>
                <w:rFonts w:ascii="Tahoma" w:hAnsi="Tahoma" w:cs="Tahoma"/>
                <w:b/>
                <w:bCs/>
                <w:lang w:val="en-US"/>
              </w:rPr>
            </w:pPr>
            <w:r>
              <w:rPr>
                <w:rFonts w:ascii="Tahoma" w:hAnsi="Tahoma" w:cs="Tahoma"/>
                <w:b/>
                <w:bCs/>
                <w:lang w:val="en-US"/>
              </w:rPr>
              <w:t>2010</w:t>
            </w:r>
          </w:p>
        </w:tc>
      </w:tr>
      <w:tr w:rsidR="00652F81" w:rsidRPr="00545F7F" w:rsidTr="00652F81">
        <w:trPr>
          <w:trHeight w:val="227"/>
          <w:jc w:val="center"/>
        </w:trPr>
        <w:tc>
          <w:tcPr>
            <w:tcW w:w="960" w:type="dxa"/>
            <w:tcBorders>
              <w:top w:val="single" w:sz="8" w:space="0" w:color="auto"/>
            </w:tcBorders>
            <w:noWrap/>
            <w:vAlign w:val="bottom"/>
          </w:tcPr>
          <w:p w:rsidR="00652F81" w:rsidRPr="00545F7F" w:rsidRDefault="00652F81" w:rsidP="00652F81">
            <w:pPr>
              <w:rPr>
                <w:rFonts w:ascii="Tahoma" w:hAnsi="Tahoma" w:cs="Tahoma"/>
                <w:b/>
                <w:bCs/>
              </w:rPr>
            </w:pPr>
            <w:r w:rsidRPr="00545F7F">
              <w:rPr>
                <w:rFonts w:ascii="Tahoma" w:hAnsi="Tahoma" w:cs="Tahoma"/>
                <w:b/>
                <w:bCs/>
              </w:rPr>
              <w:t>EU27</w:t>
            </w:r>
          </w:p>
        </w:tc>
        <w:tc>
          <w:tcPr>
            <w:tcW w:w="960" w:type="dxa"/>
            <w:tcBorders>
              <w:top w:val="single" w:sz="8"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62,7</w:t>
            </w:r>
          </w:p>
        </w:tc>
        <w:tc>
          <w:tcPr>
            <w:tcW w:w="960" w:type="dxa"/>
            <w:tcBorders>
              <w:top w:val="single" w:sz="8"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62,8</w:t>
            </w:r>
          </w:p>
        </w:tc>
        <w:tc>
          <w:tcPr>
            <w:tcW w:w="960" w:type="dxa"/>
            <w:tcBorders>
              <w:top w:val="single" w:sz="8"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63,5</w:t>
            </w:r>
          </w:p>
        </w:tc>
        <w:tc>
          <w:tcPr>
            <w:tcW w:w="960" w:type="dxa"/>
            <w:tcBorders>
              <w:top w:val="single" w:sz="8"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64,5</w:t>
            </w:r>
          </w:p>
        </w:tc>
        <w:tc>
          <w:tcPr>
            <w:tcW w:w="960" w:type="dxa"/>
            <w:tcBorders>
              <w:top w:val="single" w:sz="8"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65,4</w:t>
            </w:r>
          </w:p>
        </w:tc>
        <w:tc>
          <w:tcPr>
            <w:tcW w:w="960" w:type="dxa"/>
            <w:tcBorders>
              <w:top w:val="single" w:sz="8"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65,9</w:t>
            </w:r>
          </w:p>
        </w:tc>
        <w:tc>
          <w:tcPr>
            <w:tcW w:w="960" w:type="dxa"/>
            <w:tcBorders>
              <w:top w:val="single" w:sz="8"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64,6</w:t>
            </w:r>
          </w:p>
        </w:tc>
        <w:tc>
          <w:tcPr>
            <w:tcW w:w="960" w:type="dxa"/>
            <w:tcBorders>
              <w:top w:val="single" w:sz="8"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64,2</w:t>
            </w:r>
          </w:p>
        </w:tc>
      </w:tr>
      <w:tr w:rsidR="00652F81" w:rsidRPr="00545F7F" w:rsidTr="00652F81">
        <w:trPr>
          <w:trHeight w:val="227"/>
          <w:jc w:val="center"/>
        </w:trPr>
        <w:tc>
          <w:tcPr>
            <w:tcW w:w="960" w:type="dxa"/>
            <w:noWrap/>
            <w:vAlign w:val="bottom"/>
          </w:tcPr>
          <w:p w:rsidR="00652F81" w:rsidRPr="00545F7F" w:rsidRDefault="00652F81" w:rsidP="00652F81">
            <w:pPr>
              <w:rPr>
                <w:rFonts w:ascii="Tahoma" w:hAnsi="Tahoma" w:cs="Tahoma"/>
                <w:b/>
                <w:bCs/>
              </w:rPr>
            </w:pPr>
            <w:r w:rsidRPr="00545F7F">
              <w:rPr>
                <w:rFonts w:ascii="Tahoma" w:hAnsi="Tahoma" w:cs="Tahoma"/>
                <w:b/>
                <w:bCs/>
              </w:rPr>
              <w:t>EU25</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63,0</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63,1</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64,0</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64,8</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65,8</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66,3</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65,0</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64,5</w:t>
            </w:r>
          </w:p>
        </w:tc>
      </w:tr>
      <w:tr w:rsidR="00652F81" w:rsidRPr="00545F7F" w:rsidTr="00652F81">
        <w:trPr>
          <w:trHeight w:val="227"/>
          <w:jc w:val="center"/>
        </w:trPr>
        <w:tc>
          <w:tcPr>
            <w:tcW w:w="960" w:type="dxa"/>
            <w:noWrap/>
            <w:vAlign w:val="bottom"/>
          </w:tcPr>
          <w:p w:rsidR="00652F81" w:rsidRPr="00545F7F" w:rsidRDefault="00652F81" w:rsidP="00652F81">
            <w:pPr>
              <w:rPr>
                <w:rFonts w:ascii="Tahoma" w:hAnsi="Tahoma" w:cs="Tahoma"/>
                <w:b/>
                <w:bCs/>
              </w:rPr>
            </w:pPr>
            <w:r w:rsidRPr="00545F7F">
              <w:rPr>
                <w:rFonts w:ascii="Tahoma" w:hAnsi="Tahoma" w:cs="Tahoma"/>
                <w:b/>
                <w:bCs/>
              </w:rPr>
              <w:t>EU15</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64,4</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64,6</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65,4</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66,2</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66,9</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67,3</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65,9</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65,4</w:t>
            </w:r>
          </w:p>
        </w:tc>
      </w:tr>
      <w:tr w:rsidR="00652F81" w:rsidRPr="00545F7F" w:rsidTr="00652F81">
        <w:trPr>
          <w:trHeight w:val="227"/>
          <w:jc w:val="center"/>
        </w:trPr>
        <w:tc>
          <w:tcPr>
            <w:tcW w:w="960" w:type="dxa"/>
            <w:noWrap/>
            <w:vAlign w:val="bottom"/>
          </w:tcPr>
          <w:p w:rsidR="00652F81" w:rsidRPr="00D122C0" w:rsidRDefault="00652F81" w:rsidP="00652F81">
            <w:pPr>
              <w:rPr>
                <w:rFonts w:ascii="Tahoma" w:hAnsi="Tahoma" w:cs="Tahoma"/>
                <w:b/>
                <w:bCs/>
                <w:lang w:val="en-US"/>
              </w:rPr>
            </w:pPr>
            <w:r w:rsidRPr="00545F7F">
              <w:rPr>
                <w:rFonts w:ascii="Tahoma" w:hAnsi="Tahoma" w:cs="Tahoma"/>
                <w:b/>
                <w:bCs/>
              </w:rPr>
              <w:t>EA1</w:t>
            </w:r>
            <w:r>
              <w:rPr>
                <w:rFonts w:ascii="Tahoma" w:hAnsi="Tahoma" w:cs="Tahoma"/>
                <w:b/>
                <w:bCs/>
                <w:lang w:val="en-US"/>
              </w:rPr>
              <w:t>7</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62,6</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62,8</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63,7</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64,7</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65,6</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66,0</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64,7</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64,2</w:t>
            </w:r>
          </w:p>
        </w:tc>
      </w:tr>
      <w:tr w:rsidR="00652F81" w:rsidRPr="00545F7F" w:rsidTr="00652F81">
        <w:trPr>
          <w:trHeight w:val="227"/>
          <w:jc w:val="center"/>
        </w:trPr>
        <w:tc>
          <w:tcPr>
            <w:tcW w:w="960" w:type="dxa"/>
            <w:tcBorders>
              <w:bottom w:val="single" w:sz="12" w:space="0" w:color="auto"/>
            </w:tcBorders>
            <w:noWrap/>
            <w:vAlign w:val="bottom"/>
          </w:tcPr>
          <w:p w:rsidR="00652F81" w:rsidRPr="00545F7F" w:rsidRDefault="00652F81" w:rsidP="00652F81">
            <w:pPr>
              <w:rPr>
                <w:rFonts w:ascii="Tahoma" w:hAnsi="Tahoma" w:cs="Tahoma"/>
                <w:b/>
                <w:bCs/>
              </w:rPr>
            </w:pPr>
            <w:r w:rsidRPr="00545F7F">
              <w:rPr>
                <w:rFonts w:ascii="Tahoma" w:hAnsi="Tahoma" w:cs="Tahoma"/>
                <w:b/>
                <w:bCs/>
              </w:rPr>
              <w:t>EL</w:t>
            </w:r>
          </w:p>
        </w:tc>
        <w:tc>
          <w:tcPr>
            <w:tcW w:w="960" w:type="dxa"/>
            <w:tcBorders>
              <w:bottom w:val="single" w:sz="12"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58,9</w:t>
            </w:r>
          </w:p>
        </w:tc>
        <w:tc>
          <w:tcPr>
            <w:tcW w:w="960" w:type="dxa"/>
            <w:tcBorders>
              <w:bottom w:val="single" w:sz="12"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59,6</w:t>
            </w:r>
          </w:p>
        </w:tc>
        <w:tc>
          <w:tcPr>
            <w:tcW w:w="960" w:type="dxa"/>
            <w:tcBorders>
              <w:bottom w:val="single" w:sz="12"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60,1</w:t>
            </w:r>
          </w:p>
        </w:tc>
        <w:tc>
          <w:tcPr>
            <w:tcW w:w="960" w:type="dxa"/>
            <w:tcBorders>
              <w:bottom w:val="single" w:sz="12"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61,0</w:t>
            </w:r>
          </w:p>
        </w:tc>
        <w:tc>
          <w:tcPr>
            <w:tcW w:w="960" w:type="dxa"/>
            <w:tcBorders>
              <w:bottom w:val="single" w:sz="12"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61,4</w:t>
            </w:r>
          </w:p>
        </w:tc>
        <w:tc>
          <w:tcPr>
            <w:tcW w:w="960" w:type="dxa"/>
            <w:tcBorders>
              <w:bottom w:val="single" w:sz="12"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61,9</w:t>
            </w:r>
          </w:p>
        </w:tc>
        <w:tc>
          <w:tcPr>
            <w:tcW w:w="960" w:type="dxa"/>
            <w:tcBorders>
              <w:bottom w:val="single" w:sz="12"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61,2</w:t>
            </w:r>
          </w:p>
        </w:tc>
        <w:tc>
          <w:tcPr>
            <w:tcW w:w="960" w:type="dxa"/>
            <w:tcBorders>
              <w:bottom w:val="single" w:sz="12"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59,6</w:t>
            </w:r>
          </w:p>
        </w:tc>
      </w:tr>
      <w:tr w:rsidR="00652F81" w:rsidRPr="00545F7F" w:rsidTr="00652F81">
        <w:trPr>
          <w:trHeight w:hRule="exact" w:val="227"/>
          <w:jc w:val="center"/>
        </w:trPr>
        <w:tc>
          <w:tcPr>
            <w:tcW w:w="8640" w:type="dxa"/>
            <w:gridSpan w:val="9"/>
            <w:tcBorders>
              <w:top w:val="single" w:sz="12" w:space="0" w:color="auto"/>
              <w:bottom w:val="single" w:sz="8" w:space="0" w:color="auto"/>
            </w:tcBorders>
            <w:noWrap/>
          </w:tcPr>
          <w:p w:rsidR="00652F81" w:rsidRPr="00545F7F" w:rsidRDefault="00652F81" w:rsidP="00652F81">
            <w:pPr>
              <w:rPr>
                <w:rFonts w:ascii="Tahoma" w:hAnsi="Tahoma" w:cs="Tahoma"/>
                <w:b/>
                <w:sz w:val="18"/>
                <w:szCs w:val="18"/>
              </w:rPr>
            </w:pPr>
            <w:r w:rsidRPr="00545F7F">
              <w:rPr>
                <w:rFonts w:ascii="Tahoma" w:hAnsi="Tahoma" w:cs="Tahoma"/>
                <w:b/>
                <w:sz w:val="18"/>
                <w:szCs w:val="18"/>
              </w:rPr>
              <w:t>Άντρες</w:t>
            </w:r>
          </w:p>
        </w:tc>
      </w:tr>
      <w:tr w:rsidR="00652F81" w:rsidRPr="00545F7F" w:rsidTr="00652F81">
        <w:trPr>
          <w:trHeight w:val="227"/>
          <w:jc w:val="center"/>
        </w:trPr>
        <w:tc>
          <w:tcPr>
            <w:tcW w:w="960" w:type="dxa"/>
            <w:tcBorders>
              <w:top w:val="single" w:sz="8" w:space="0" w:color="auto"/>
            </w:tcBorders>
            <w:noWrap/>
            <w:vAlign w:val="bottom"/>
          </w:tcPr>
          <w:p w:rsidR="00652F81" w:rsidRPr="00545F7F" w:rsidRDefault="00652F81" w:rsidP="00652F81">
            <w:pPr>
              <w:rPr>
                <w:rFonts w:ascii="Tahoma" w:hAnsi="Tahoma" w:cs="Tahoma"/>
                <w:b/>
                <w:bCs/>
              </w:rPr>
            </w:pPr>
            <w:r w:rsidRPr="00545F7F">
              <w:rPr>
                <w:rFonts w:ascii="Tahoma" w:hAnsi="Tahoma" w:cs="Tahoma"/>
                <w:b/>
                <w:bCs/>
              </w:rPr>
              <w:t>EU27</w:t>
            </w:r>
          </w:p>
        </w:tc>
        <w:tc>
          <w:tcPr>
            <w:tcW w:w="960" w:type="dxa"/>
            <w:tcBorders>
              <w:top w:val="single" w:sz="8"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70,3</w:t>
            </w:r>
          </w:p>
        </w:tc>
        <w:tc>
          <w:tcPr>
            <w:tcW w:w="960" w:type="dxa"/>
            <w:tcBorders>
              <w:top w:val="single" w:sz="8"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70,2</w:t>
            </w:r>
          </w:p>
        </w:tc>
        <w:tc>
          <w:tcPr>
            <w:tcW w:w="960" w:type="dxa"/>
            <w:tcBorders>
              <w:top w:val="single" w:sz="8"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70,8</w:t>
            </w:r>
          </w:p>
        </w:tc>
        <w:tc>
          <w:tcPr>
            <w:tcW w:w="960" w:type="dxa"/>
            <w:tcBorders>
              <w:top w:val="single" w:sz="8"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71,6</w:t>
            </w:r>
          </w:p>
        </w:tc>
        <w:tc>
          <w:tcPr>
            <w:tcW w:w="960" w:type="dxa"/>
            <w:tcBorders>
              <w:top w:val="single" w:sz="8"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72,5</w:t>
            </w:r>
          </w:p>
        </w:tc>
        <w:tc>
          <w:tcPr>
            <w:tcW w:w="960" w:type="dxa"/>
            <w:tcBorders>
              <w:top w:val="single" w:sz="8"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72,8</w:t>
            </w:r>
          </w:p>
        </w:tc>
        <w:tc>
          <w:tcPr>
            <w:tcW w:w="960" w:type="dxa"/>
            <w:tcBorders>
              <w:top w:val="single" w:sz="8"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70,7</w:t>
            </w:r>
          </w:p>
        </w:tc>
        <w:tc>
          <w:tcPr>
            <w:tcW w:w="960" w:type="dxa"/>
            <w:tcBorders>
              <w:top w:val="single" w:sz="8"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70,1</w:t>
            </w:r>
          </w:p>
        </w:tc>
      </w:tr>
      <w:tr w:rsidR="00652F81" w:rsidRPr="00545F7F" w:rsidTr="00652F81">
        <w:trPr>
          <w:trHeight w:val="227"/>
          <w:jc w:val="center"/>
        </w:trPr>
        <w:tc>
          <w:tcPr>
            <w:tcW w:w="960" w:type="dxa"/>
            <w:noWrap/>
            <w:vAlign w:val="bottom"/>
          </w:tcPr>
          <w:p w:rsidR="00652F81" w:rsidRPr="00545F7F" w:rsidRDefault="00652F81" w:rsidP="00652F81">
            <w:pPr>
              <w:rPr>
                <w:rFonts w:ascii="Tahoma" w:hAnsi="Tahoma" w:cs="Tahoma"/>
                <w:b/>
                <w:bCs/>
              </w:rPr>
            </w:pPr>
            <w:r w:rsidRPr="00545F7F">
              <w:rPr>
                <w:rFonts w:ascii="Tahoma" w:hAnsi="Tahoma" w:cs="Tahoma"/>
                <w:b/>
                <w:bCs/>
              </w:rPr>
              <w:t>EU25</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70,9</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70,7</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71,4</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72,1</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73,0</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73,2</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71,1</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70,4</w:t>
            </w:r>
          </w:p>
        </w:tc>
      </w:tr>
      <w:tr w:rsidR="00652F81" w:rsidRPr="00545F7F" w:rsidTr="00652F81">
        <w:trPr>
          <w:trHeight w:val="227"/>
          <w:jc w:val="center"/>
        </w:trPr>
        <w:tc>
          <w:tcPr>
            <w:tcW w:w="960" w:type="dxa"/>
            <w:noWrap/>
            <w:vAlign w:val="bottom"/>
          </w:tcPr>
          <w:p w:rsidR="00652F81" w:rsidRPr="00545F7F" w:rsidRDefault="00652F81" w:rsidP="00652F81">
            <w:pPr>
              <w:rPr>
                <w:rFonts w:ascii="Tahoma" w:hAnsi="Tahoma" w:cs="Tahoma"/>
                <w:b/>
                <w:bCs/>
              </w:rPr>
            </w:pPr>
            <w:r w:rsidRPr="00545F7F">
              <w:rPr>
                <w:rFonts w:ascii="Tahoma" w:hAnsi="Tahoma" w:cs="Tahoma"/>
                <w:b/>
                <w:bCs/>
              </w:rPr>
              <w:t>EU15</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72,7</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72,5</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73,0</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73,6</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74,2</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74,2</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71,9</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71,4</w:t>
            </w:r>
          </w:p>
        </w:tc>
      </w:tr>
      <w:tr w:rsidR="00652F81" w:rsidRPr="00545F7F" w:rsidTr="00652F81">
        <w:trPr>
          <w:trHeight w:val="227"/>
          <w:jc w:val="center"/>
        </w:trPr>
        <w:tc>
          <w:tcPr>
            <w:tcW w:w="960" w:type="dxa"/>
            <w:noWrap/>
            <w:vAlign w:val="bottom"/>
          </w:tcPr>
          <w:p w:rsidR="00652F81" w:rsidRPr="00545F7F" w:rsidRDefault="00652F81" w:rsidP="00652F81">
            <w:pPr>
              <w:rPr>
                <w:rFonts w:ascii="Tahoma" w:hAnsi="Tahoma" w:cs="Tahoma"/>
                <w:b/>
                <w:bCs/>
                <w:lang w:val="en-US"/>
              </w:rPr>
            </w:pPr>
            <w:r w:rsidRPr="00545F7F">
              <w:rPr>
                <w:rFonts w:ascii="Tahoma" w:hAnsi="Tahoma" w:cs="Tahoma"/>
                <w:b/>
                <w:bCs/>
              </w:rPr>
              <w:t>EA1</w:t>
            </w:r>
            <w:r>
              <w:rPr>
                <w:rFonts w:ascii="Tahoma" w:hAnsi="Tahoma" w:cs="Tahoma"/>
                <w:b/>
                <w:bCs/>
                <w:lang w:val="en-US"/>
              </w:rPr>
              <w:t>7</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71,4</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71,2</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71,8</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72,6</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73,3</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73,3</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71,1</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70,4</w:t>
            </w:r>
          </w:p>
        </w:tc>
      </w:tr>
      <w:tr w:rsidR="00652F81" w:rsidRPr="00545F7F" w:rsidTr="00652F81">
        <w:trPr>
          <w:trHeight w:val="227"/>
          <w:jc w:val="center"/>
        </w:trPr>
        <w:tc>
          <w:tcPr>
            <w:tcW w:w="960" w:type="dxa"/>
            <w:tcBorders>
              <w:bottom w:val="single" w:sz="12" w:space="0" w:color="auto"/>
            </w:tcBorders>
            <w:noWrap/>
            <w:vAlign w:val="bottom"/>
          </w:tcPr>
          <w:p w:rsidR="00652F81" w:rsidRPr="00545F7F" w:rsidRDefault="00652F81" w:rsidP="00652F81">
            <w:pPr>
              <w:rPr>
                <w:rFonts w:ascii="Tahoma" w:hAnsi="Tahoma" w:cs="Tahoma"/>
                <w:b/>
                <w:bCs/>
              </w:rPr>
            </w:pPr>
            <w:r w:rsidRPr="00545F7F">
              <w:rPr>
                <w:rFonts w:ascii="Tahoma" w:hAnsi="Tahoma" w:cs="Tahoma"/>
                <w:b/>
                <w:bCs/>
              </w:rPr>
              <w:t>EL</w:t>
            </w:r>
          </w:p>
        </w:tc>
        <w:tc>
          <w:tcPr>
            <w:tcW w:w="960" w:type="dxa"/>
            <w:tcBorders>
              <w:bottom w:val="single" w:sz="12"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73,5</w:t>
            </w:r>
          </w:p>
        </w:tc>
        <w:tc>
          <w:tcPr>
            <w:tcW w:w="960" w:type="dxa"/>
            <w:tcBorders>
              <w:bottom w:val="single" w:sz="12"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74,0</w:t>
            </w:r>
          </w:p>
        </w:tc>
        <w:tc>
          <w:tcPr>
            <w:tcW w:w="960" w:type="dxa"/>
            <w:tcBorders>
              <w:bottom w:val="single" w:sz="12"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74,2</w:t>
            </w:r>
          </w:p>
        </w:tc>
        <w:tc>
          <w:tcPr>
            <w:tcW w:w="960" w:type="dxa"/>
            <w:tcBorders>
              <w:bottom w:val="single" w:sz="12"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74,6</w:t>
            </w:r>
          </w:p>
        </w:tc>
        <w:tc>
          <w:tcPr>
            <w:tcW w:w="960" w:type="dxa"/>
            <w:tcBorders>
              <w:bottom w:val="single" w:sz="12"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74,9</w:t>
            </w:r>
          </w:p>
        </w:tc>
        <w:tc>
          <w:tcPr>
            <w:tcW w:w="960" w:type="dxa"/>
            <w:tcBorders>
              <w:bottom w:val="single" w:sz="12"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75,0</w:t>
            </w:r>
          </w:p>
        </w:tc>
        <w:tc>
          <w:tcPr>
            <w:tcW w:w="960" w:type="dxa"/>
            <w:tcBorders>
              <w:bottom w:val="single" w:sz="12"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73,5</w:t>
            </w:r>
          </w:p>
        </w:tc>
        <w:tc>
          <w:tcPr>
            <w:tcW w:w="960" w:type="dxa"/>
            <w:tcBorders>
              <w:bottom w:val="single" w:sz="12"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70,9</w:t>
            </w:r>
          </w:p>
        </w:tc>
      </w:tr>
      <w:tr w:rsidR="00652F81" w:rsidRPr="00545F7F" w:rsidTr="00652F81">
        <w:trPr>
          <w:trHeight w:hRule="exact" w:val="227"/>
          <w:jc w:val="center"/>
        </w:trPr>
        <w:tc>
          <w:tcPr>
            <w:tcW w:w="8640" w:type="dxa"/>
            <w:gridSpan w:val="9"/>
            <w:tcBorders>
              <w:top w:val="single" w:sz="12" w:space="0" w:color="auto"/>
              <w:bottom w:val="single" w:sz="8" w:space="0" w:color="auto"/>
            </w:tcBorders>
            <w:noWrap/>
          </w:tcPr>
          <w:p w:rsidR="00652F81" w:rsidRPr="00545F7F" w:rsidRDefault="00652F81" w:rsidP="00652F81">
            <w:pPr>
              <w:rPr>
                <w:rFonts w:ascii="Tahoma" w:hAnsi="Tahoma" w:cs="Tahoma"/>
                <w:b/>
                <w:sz w:val="18"/>
                <w:szCs w:val="18"/>
              </w:rPr>
            </w:pPr>
            <w:r w:rsidRPr="00545F7F">
              <w:rPr>
                <w:rFonts w:ascii="Tahoma" w:hAnsi="Tahoma" w:cs="Tahoma"/>
                <w:b/>
                <w:sz w:val="18"/>
                <w:szCs w:val="18"/>
              </w:rPr>
              <w:t>Γυναίκες</w:t>
            </w:r>
          </w:p>
        </w:tc>
      </w:tr>
      <w:tr w:rsidR="00652F81" w:rsidRPr="00545F7F" w:rsidTr="00652F81">
        <w:trPr>
          <w:trHeight w:val="227"/>
          <w:jc w:val="center"/>
        </w:trPr>
        <w:tc>
          <w:tcPr>
            <w:tcW w:w="960" w:type="dxa"/>
            <w:tcBorders>
              <w:top w:val="single" w:sz="8" w:space="0" w:color="auto"/>
            </w:tcBorders>
            <w:noWrap/>
            <w:vAlign w:val="bottom"/>
          </w:tcPr>
          <w:p w:rsidR="00652F81" w:rsidRPr="00545F7F" w:rsidRDefault="00652F81" w:rsidP="00652F81">
            <w:pPr>
              <w:rPr>
                <w:rFonts w:ascii="Tahoma" w:hAnsi="Tahoma" w:cs="Tahoma"/>
                <w:b/>
                <w:bCs/>
              </w:rPr>
            </w:pPr>
            <w:r w:rsidRPr="00545F7F">
              <w:rPr>
                <w:rFonts w:ascii="Tahoma" w:hAnsi="Tahoma" w:cs="Tahoma"/>
                <w:b/>
                <w:bCs/>
              </w:rPr>
              <w:t>EU27</w:t>
            </w:r>
          </w:p>
        </w:tc>
        <w:tc>
          <w:tcPr>
            <w:tcW w:w="960" w:type="dxa"/>
            <w:tcBorders>
              <w:top w:val="single" w:sz="8"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55,0</w:t>
            </w:r>
          </w:p>
        </w:tc>
        <w:tc>
          <w:tcPr>
            <w:tcW w:w="960" w:type="dxa"/>
            <w:tcBorders>
              <w:top w:val="single" w:sz="8"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55,4</w:t>
            </w:r>
          </w:p>
        </w:tc>
        <w:tc>
          <w:tcPr>
            <w:tcW w:w="960" w:type="dxa"/>
            <w:tcBorders>
              <w:top w:val="single" w:sz="8"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56,3</w:t>
            </w:r>
          </w:p>
        </w:tc>
        <w:tc>
          <w:tcPr>
            <w:tcW w:w="960" w:type="dxa"/>
            <w:tcBorders>
              <w:top w:val="single" w:sz="8"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57,3</w:t>
            </w:r>
          </w:p>
        </w:tc>
        <w:tc>
          <w:tcPr>
            <w:tcW w:w="960" w:type="dxa"/>
            <w:tcBorders>
              <w:top w:val="single" w:sz="8"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58,3</w:t>
            </w:r>
          </w:p>
        </w:tc>
        <w:tc>
          <w:tcPr>
            <w:tcW w:w="960" w:type="dxa"/>
            <w:tcBorders>
              <w:top w:val="single" w:sz="8"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59,1</w:t>
            </w:r>
          </w:p>
        </w:tc>
        <w:tc>
          <w:tcPr>
            <w:tcW w:w="960" w:type="dxa"/>
            <w:tcBorders>
              <w:top w:val="single" w:sz="8"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58,6</w:t>
            </w:r>
          </w:p>
        </w:tc>
        <w:tc>
          <w:tcPr>
            <w:tcW w:w="960" w:type="dxa"/>
            <w:tcBorders>
              <w:top w:val="single" w:sz="8" w:space="0" w:color="auto"/>
            </w:tcBorders>
            <w:noWrap/>
            <w:vAlign w:val="bottom"/>
          </w:tcPr>
          <w:p w:rsidR="00652F81" w:rsidRPr="00394974" w:rsidRDefault="00652F81" w:rsidP="00652F81">
            <w:pPr>
              <w:jc w:val="right"/>
              <w:rPr>
                <w:rFonts w:ascii="Tahoma" w:hAnsi="Tahoma" w:cs="Tahoma"/>
              </w:rPr>
            </w:pPr>
            <w:r w:rsidRPr="00394974">
              <w:rPr>
                <w:rFonts w:ascii="Tahoma" w:hAnsi="Tahoma" w:cs="Tahoma"/>
              </w:rPr>
              <w:t>58,2</w:t>
            </w:r>
          </w:p>
        </w:tc>
      </w:tr>
      <w:tr w:rsidR="00652F81" w:rsidRPr="00545F7F" w:rsidTr="00652F81">
        <w:trPr>
          <w:trHeight w:val="227"/>
          <w:jc w:val="center"/>
        </w:trPr>
        <w:tc>
          <w:tcPr>
            <w:tcW w:w="960" w:type="dxa"/>
            <w:noWrap/>
            <w:vAlign w:val="bottom"/>
          </w:tcPr>
          <w:p w:rsidR="00652F81" w:rsidRPr="00545F7F" w:rsidRDefault="00652F81" w:rsidP="00652F81">
            <w:pPr>
              <w:rPr>
                <w:rFonts w:ascii="Tahoma" w:hAnsi="Tahoma" w:cs="Tahoma"/>
                <w:b/>
                <w:bCs/>
              </w:rPr>
            </w:pPr>
            <w:r w:rsidRPr="00545F7F">
              <w:rPr>
                <w:rFonts w:ascii="Tahoma" w:hAnsi="Tahoma" w:cs="Tahoma"/>
                <w:b/>
                <w:bCs/>
              </w:rPr>
              <w:t>EU25</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55,2</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55,6</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56,6</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57,6</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58,6</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59,4</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58,9</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58,6</w:t>
            </w:r>
          </w:p>
        </w:tc>
      </w:tr>
      <w:tr w:rsidR="00652F81" w:rsidRPr="00545F7F" w:rsidTr="00652F81">
        <w:trPr>
          <w:trHeight w:val="227"/>
          <w:jc w:val="center"/>
        </w:trPr>
        <w:tc>
          <w:tcPr>
            <w:tcW w:w="960" w:type="dxa"/>
            <w:noWrap/>
            <w:vAlign w:val="bottom"/>
          </w:tcPr>
          <w:p w:rsidR="00652F81" w:rsidRPr="00545F7F" w:rsidRDefault="00652F81" w:rsidP="00652F81">
            <w:pPr>
              <w:rPr>
                <w:rFonts w:ascii="Tahoma" w:hAnsi="Tahoma" w:cs="Tahoma"/>
                <w:b/>
                <w:bCs/>
                <w:lang w:val="en-US"/>
              </w:rPr>
            </w:pPr>
            <w:r w:rsidRPr="00545F7F">
              <w:rPr>
                <w:rFonts w:ascii="Tahoma" w:hAnsi="Tahoma" w:cs="Tahoma"/>
                <w:b/>
                <w:bCs/>
              </w:rPr>
              <w:t>EU1</w:t>
            </w:r>
            <w:r w:rsidRPr="00545F7F">
              <w:rPr>
                <w:rFonts w:ascii="Tahoma" w:hAnsi="Tahoma" w:cs="Tahoma"/>
                <w:b/>
                <w:bCs/>
                <w:lang w:val="en-US"/>
              </w:rPr>
              <w:t>6</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56,2</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56,7</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57,8</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58,7</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59,6</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60,4</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59,9</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59,5</w:t>
            </w:r>
          </w:p>
        </w:tc>
      </w:tr>
      <w:tr w:rsidR="00652F81" w:rsidRPr="00545F7F" w:rsidTr="00652F81">
        <w:trPr>
          <w:trHeight w:val="227"/>
          <w:jc w:val="center"/>
        </w:trPr>
        <w:tc>
          <w:tcPr>
            <w:tcW w:w="960" w:type="dxa"/>
            <w:noWrap/>
            <w:vAlign w:val="bottom"/>
          </w:tcPr>
          <w:p w:rsidR="00652F81" w:rsidRPr="00D122C0" w:rsidRDefault="00652F81" w:rsidP="00652F81">
            <w:pPr>
              <w:rPr>
                <w:rFonts w:ascii="Tahoma" w:hAnsi="Tahoma" w:cs="Tahoma"/>
                <w:b/>
                <w:bCs/>
                <w:lang w:val="en-US"/>
              </w:rPr>
            </w:pPr>
            <w:r>
              <w:rPr>
                <w:rFonts w:ascii="Tahoma" w:hAnsi="Tahoma" w:cs="Tahoma"/>
                <w:b/>
                <w:bCs/>
              </w:rPr>
              <w:t>EA1</w:t>
            </w:r>
            <w:r>
              <w:rPr>
                <w:rFonts w:ascii="Tahoma" w:hAnsi="Tahoma" w:cs="Tahoma"/>
                <w:b/>
                <w:bCs/>
                <w:lang w:val="en-US"/>
              </w:rPr>
              <w:t>7</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53,8</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54,3</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55,6</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56,8</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57,9</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58,7</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58,3</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57,9</w:t>
            </w:r>
          </w:p>
        </w:tc>
      </w:tr>
      <w:tr w:rsidR="00652F81" w:rsidRPr="00545F7F" w:rsidTr="00652F81">
        <w:trPr>
          <w:trHeight w:val="227"/>
          <w:jc w:val="center"/>
        </w:trPr>
        <w:tc>
          <w:tcPr>
            <w:tcW w:w="960" w:type="dxa"/>
            <w:noWrap/>
            <w:vAlign w:val="bottom"/>
          </w:tcPr>
          <w:p w:rsidR="00652F81" w:rsidRPr="00545F7F" w:rsidRDefault="00652F81" w:rsidP="00652F81">
            <w:pPr>
              <w:rPr>
                <w:rFonts w:ascii="Tahoma" w:hAnsi="Tahoma" w:cs="Tahoma"/>
                <w:b/>
                <w:bCs/>
              </w:rPr>
            </w:pPr>
            <w:r w:rsidRPr="00545F7F">
              <w:rPr>
                <w:rFonts w:ascii="Tahoma" w:hAnsi="Tahoma" w:cs="Tahoma"/>
                <w:b/>
                <w:bCs/>
              </w:rPr>
              <w:t>EL</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44,5</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45,5</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46,1</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47,4</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47,9</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48,7</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48,9</w:t>
            </w:r>
          </w:p>
        </w:tc>
        <w:tc>
          <w:tcPr>
            <w:tcW w:w="960" w:type="dxa"/>
            <w:noWrap/>
            <w:vAlign w:val="bottom"/>
          </w:tcPr>
          <w:p w:rsidR="00652F81" w:rsidRPr="00394974" w:rsidRDefault="00652F81" w:rsidP="00652F81">
            <w:pPr>
              <w:jc w:val="right"/>
              <w:rPr>
                <w:rFonts w:ascii="Tahoma" w:hAnsi="Tahoma" w:cs="Tahoma"/>
              </w:rPr>
            </w:pPr>
            <w:r w:rsidRPr="00394974">
              <w:rPr>
                <w:rFonts w:ascii="Tahoma" w:hAnsi="Tahoma" w:cs="Tahoma"/>
              </w:rPr>
              <w:t>48,1</w:t>
            </w:r>
          </w:p>
        </w:tc>
      </w:tr>
    </w:tbl>
    <w:p w:rsidR="00652F81" w:rsidRPr="003C55C4" w:rsidRDefault="00652F81" w:rsidP="00652F81">
      <w:pPr>
        <w:ind w:left="180"/>
        <w:rPr>
          <w:rFonts w:ascii="Tahoma" w:hAnsi="Tahoma" w:cs="Tahoma"/>
          <w:sz w:val="18"/>
          <w:szCs w:val="18"/>
        </w:rPr>
      </w:pPr>
      <w:r>
        <w:rPr>
          <w:rFonts w:ascii="Tahoma" w:hAnsi="Tahoma" w:cs="Tahoma"/>
          <w:b/>
          <w:sz w:val="18"/>
          <w:szCs w:val="18"/>
          <w:lang w:val="en-US"/>
        </w:rPr>
        <w:t xml:space="preserve"> </w:t>
      </w:r>
      <w:r w:rsidRPr="00954CD1">
        <w:rPr>
          <w:rFonts w:ascii="Tahoma" w:hAnsi="Tahoma" w:cs="Tahoma"/>
          <w:b/>
          <w:sz w:val="18"/>
          <w:szCs w:val="18"/>
        </w:rPr>
        <w:t>Πηγή:</w:t>
      </w:r>
      <w:r w:rsidRPr="003C55C4">
        <w:rPr>
          <w:rFonts w:ascii="Tahoma" w:hAnsi="Tahoma" w:cs="Tahoma"/>
          <w:sz w:val="18"/>
          <w:szCs w:val="18"/>
        </w:rPr>
        <w:t xml:space="preserve"> </w:t>
      </w:r>
      <w:r w:rsidRPr="003C55C4">
        <w:rPr>
          <w:rFonts w:ascii="Tahoma" w:hAnsi="Tahoma" w:cs="Tahoma"/>
          <w:sz w:val="18"/>
          <w:szCs w:val="18"/>
          <w:lang w:val="en-US"/>
        </w:rPr>
        <w:t>Eurostat</w:t>
      </w:r>
    </w:p>
    <w:p w:rsidR="00652F81" w:rsidRPr="00B72539" w:rsidRDefault="00652F81" w:rsidP="00652F81">
      <w:pPr>
        <w:tabs>
          <w:tab w:val="left" w:pos="993"/>
        </w:tabs>
        <w:rPr>
          <w:rFonts w:ascii="Tahoma" w:hAnsi="Tahoma" w:cs="Tahoma"/>
          <w:sz w:val="18"/>
          <w:szCs w:val="18"/>
        </w:rPr>
        <w:sectPr w:rsidR="00652F81" w:rsidRPr="00B72539" w:rsidSect="00652F81">
          <w:footerReference w:type="default" r:id="rId79"/>
          <w:pgSz w:w="11906" w:h="16838"/>
          <w:pgMar w:top="1701" w:right="1418" w:bottom="1418" w:left="1418" w:header="720" w:footer="720" w:gutter="0"/>
          <w:cols w:space="720"/>
        </w:sectPr>
      </w:pPr>
    </w:p>
    <w:p w:rsidR="00652F81" w:rsidRPr="00294913" w:rsidRDefault="00652F81" w:rsidP="00652F81">
      <w:pPr>
        <w:pStyle w:val="new12"/>
      </w:pPr>
      <w:bookmarkStart w:id="400" w:name="_Toc169881538"/>
      <w:bookmarkStart w:id="401" w:name="_Toc170201877"/>
      <w:r>
        <w:lastRenderedPageBreak/>
        <w:t>ΙΙ-2α.</w:t>
      </w:r>
      <w:r>
        <w:tab/>
        <w:t xml:space="preserve">Ποσοστό Απασχόλησης </w:t>
      </w:r>
      <w:bookmarkEnd w:id="394"/>
      <w:r>
        <w:t>Ατόμων Ηλικίας 55-6</w:t>
      </w:r>
      <w:r w:rsidRPr="00294913">
        <w:t>4 ετών</w:t>
      </w:r>
      <w:bookmarkEnd w:id="400"/>
      <w:bookmarkEnd w:id="401"/>
    </w:p>
    <w:p w:rsidR="00652F81" w:rsidRPr="00C27EEB" w:rsidRDefault="00652F81" w:rsidP="00652F81">
      <w:pPr>
        <w:pStyle w:val="new1210pt"/>
      </w:pPr>
      <w:bookmarkStart w:id="402" w:name="_Toc150308582"/>
      <w:bookmarkStart w:id="403" w:name="_Toc170201878"/>
      <w:r w:rsidRPr="00294913">
        <w:t>(% απασχολούμενων ατόμων ηλικίας 55-64 ετών στο σύνολο του αντίστοιχου πληθυσμού)</w:t>
      </w:r>
      <w:bookmarkEnd w:id="402"/>
      <w:bookmarkEnd w:id="403"/>
      <w:r w:rsidRPr="001D3D72">
        <w:t xml:space="preserve"> </w:t>
      </w:r>
    </w:p>
    <w:p w:rsidR="00652F81" w:rsidRPr="001D3D72" w:rsidRDefault="00652F81" w:rsidP="00652F81">
      <w:r>
        <w:rPr>
          <w:noProof/>
          <w:lang w:val="en-US" w:eastAsia="en-US"/>
        </w:rPr>
        <w:drawing>
          <wp:inline distT="0" distB="0" distL="0" distR="0">
            <wp:extent cx="5715000" cy="3267075"/>
            <wp:effectExtent l="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cstate="print"/>
                    <a:srcRect/>
                    <a:stretch>
                      <a:fillRect/>
                    </a:stretch>
                  </pic:blipFill>
                  <pic:spPr bwMode="auto">
                    <a:xfrm>
                      <a:off x="0" y="0"/>
                      <a:ext cx="5715000" cy="3267075"/>
                    </a:xfrm>
                    <a:prstGeom prst="rect">
                      <a:avLst/>
                    </a:prstGeom>
                    <a:noFill/>
                    <a:ln w="9525">
                      <a:noFill/>
                      <a:miter lim="800000"/>
                      <a:headEnd/>
                      <a:tailEnd/>
                    </a:ln>
                  </pic:spPr>
                </pic:pic>
              </a:graphicData>
            </a:graphic>
          </wp:inline>
        </w:drawing>
      </w:r>
    </w:p>
    <w:p w:rsidR="00652F81" w:rsidRPr="005B598F" w:rsidRDefault="00652F81" w:rsidP="00652F81">
      <w:pPr>
        <w:rPr>
          <w:lang w:val="en-US"/>
        </w:rPr>
      </w:pPr>
    </w:p>
    <w:bookmarkEnd w:id="395"/>
    <w:bookmarkEnd w:id="396"/>
    <w:bookmarkEnd w:id="397"/>
    <w:bookmarkEnd w:id="398"/>
    <w:bookmarkEnd w:id="399"/>
    <w:tbl>
      <w:tblPr>
        <w:tblW w:w="9600" w:type="dxa"/>
        <w:tblBorders>
          <w:top w:val="single" w:sz="12" w:space="0" w:color="auto"/>
          <w:bottom w:val="single" w:sz="12" w:space="0" w:color="auto"/>
          <w:insideH w:val="dotted" w:sz="4" w:space="0" w:color="auto"/>
        </w:tblBorders>
        <w:tblLook w:val="00E0"/>
      </w:tblPr>
      <w:tblGrid>
        <w:gridCol w:w="960"/>
        <w:gridCol w:w="960"/>
        <w:gridCol w:w="960"/>
        <w:gridCol w:w="960"/>
        <w:gridCol w:w="960"/>
        <w:gridCol w:w="960"/>
        <w:gridCol w:w="960"/>
        <w:gridCol w:w="960"/>
        <w:gridCol w:w="960"/>
        <w:gridCol w:w="960"/>
      </w:tblGrid>
      <w:tr w:rsidR="00652F81" w:rsidRPr="00FB3069" w:rsidTr="00652F81">
        <w:trPr>
          <w:trHeight w:val="255"/>
        </w:trPr>
        <w:tc>
          <w:tcPr>
            <w:tcW w:w="960" w:type="dxa"/>
            <w:tcBorders>
              <w:top w:val="single" w:sz="12" w:space="0" w:color="auto"/>
              <w:bottom w:val="single" w:sz="8" w:space="0" w:color="auto"/>
            </w:tcBorders>
            <w:noWrap/>
            <w:vAlign w:val="bottom"/>
          </w:tcPr>
          <w:p w:rsidR="00652F81" w:rsidRPr="00FB3069" w:rsidRDefault="00652F81" w:rsidP="00652F81">
            <w:pPr>
              <w:rPr>
                <w:rFonts w:ascii="Tahoma" w:hAnsi="Tahoma" w:cs="Tahoma"/>
                <w:b/>
                <w:bCs/>
              </w:rPr>
            </w:pPr>
          </w:p>
        </w:tc>
        <w:tc>
          <w:tcPr>
            <w:tcW w:w="960" w:type="dxa"/>
            <w:tcBorders>
              <w:top w:val="single" w:sz="12" w:space="0" w:color="auto"/>
              <w:bottom w:val="single" w:sz="8" w:space="0" w:color="auto"/>
            </w:tcBorders>
            <w:noWrap/>
            <w:vAlign w:val="bottom"/>
          </w:tcPr>
          <w:p w:rsidR="00652F81" w:rsidRPr="00CE3CC0"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2</w:t>
            </w:r>
          </w:p>
        </w:tc>
        <w:tc>
          <w:tcPr>
            <w:tcW w:w="960" w:type="dxa"/>
            <w:tcBorders>
              <w:top w:val="single" w:sz="12" w:space="0" w:color="auto"/>
              <w:bottom w:val="single" w:sz="8" w:space="0" w:color="auto"/>
            </w:tcBorders>
            <w:noWrap/>
            <w:vAlign w:val="bottom"/>
          </w:tcPr>
          <w:p w:rsidR="00652F81" w:rsidRPr="00CE3CC0"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3</w:t>
            </w:r>
          </w:p>
        </w:tc>
        <w:tc>
          <w:tcPr>
            <w:tcW w:w="960" w:type="dxa"/>
            <w:tcBorders>
              <w:top w:val="single" w:sz="12" w:space="0" w:color="auto"/>
              <w:bottom w:val="single" w:sz="8" w:space="0" w:color="auto"/>
            </w:tcBorders>
            <w:noWrap/>
            <w:vAlign w:val="bottom"/>
          </w:tcPr>
          <w:p w:rsidR="00652F81" w:rsidRPr="00CE3CC0"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4</w:t>
            </w:r>
          </w:p>
        </w:tc>
        <w:tc>
          <w:tcPr>
            <w:tcW w:w="960" w:type="dxa"/>
            <w:tcBorders>
              <w:top w:val="single" w:sz="12" w:space="0" w:color="auto"/>
              <w:bottom w:val="single" w:sz="8" w:space="0" w:color="auto"/>
            </w:tcBorders>
            <w:noWrap/>
            <w:vAlign w:val="bottom"/>
          </w:tcPr>
          <w:p w:rsidR="00652F81" w:rsidRPr="00CE3CC0"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5</w:t>
            </w:r>
          </w:p>
        </w:tc>
        <w:tc>
          <w:tcPr>
            <w:tcW w:w="960" w:type="dxa"/>
            <w:tcBorders>
              <w:top w:val="single" w:sz="12" w:space="0" w:color="auto"/>
              <w:bottom w:val="single" w:sz="8" w:space="0" w:color="auto"/>
            </w:tcBorders>
            <w:noWrap/>
            <w:vAlign w:val="bottom"/>
          </w:tcPr>
          <w:p w:rsidR="00652F81" w:rsidRPr="00CE3CC0"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6</w:t>
            </w:r>
          </w:p>
        </w:tc>
        <w:tc>
          <w:tcPr>
            <w:tcW w:w="960" w:type="dxa"/>
            <w:tcBorders>
              <w:top w:val="single" w:sz="12" w:space="0" w:color="auto"/>
              <w:bottom w:val="single" w:sz="8" w:space="0" w:color="auto"/>
            </w:tcBorders>
            <w:noWrap/>
            <w:vAlign w:val="bottom"/>
          </w:tcPr>
          <w:p w:rsidR="00652F81" w:rsidRPr="00CE3CC0"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7</w:t>
            </w:r>
          </w:p>
        </w:tc>
        <w:tc>
          <w:tcPr>
            <w:tcW w:w="960" w:type="dxa"/>
            <w:tcBorders>
              <w:top w:val="single" w:sz="12" w:space="0" w:color="auto"/>
              <w:bottom w:val="single" w:sz="8" w:space="0" w:color="auto"/>
            </w:tcBorders>
            <w:noWrap/>
            <w:vAlign w:val="bottom"/>
          </w:tcPr>
          <w:p w:rsidR="00652F81" w:rsidRPr="00CE3CC0"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8</w:t>
            </w:r>
          </w:p>
        </w:tc>
        <w:tc>
          <w:tcPr>
            <w:tcW w:w="960" w:type="dxa"/>
            <w:tcBorders>
              <w:top w:val="single" w:sz="12" w:space="0" w:color="auto"/>
              <w:bottom w:val="single" w:sz="8" w:space="0" w:color="auto"/>
            </w:tcBorders>
            <w:noWrap/>
            <w:vAlign w:val="bottom"/>
          </w:tcPr>
          <w:p w:rsidR="00652F81" w:rsidRPr="00CE3CC0"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9</w:t>
            </w:r>
          </w:p>
        </w:tc>
        <w:tc>
          <w:tcPr>
            <w:tcW w:w="960" w:type="dxa"/>
            <w:tcBorders>
              <w:top w:val="single" w:sz="12" w:space="0" w:color="auto"/>
              <w:bottom w:val="single" w:sz="8" w:space="0" w:color="auto"/>
            </w:tcBorders>
            <w:noWrap/>
            <w:vAlign w:val="bottom"/>
          </w:tcPr>
          <w:p w:rsidR="00652F81" w:rsidRPr="00CE3CC0" w:rsidRDefault="00652F81" w:rsidP="00652F81">
            <w:pPr>
              <w:jc w:val="center"/>
              <w:rPr>
                <w:rFonts w:ascii="Tahoma" w:hAnsi="Tahoma" w:cs="Tahoma"/>
                <w:b/>
                <w:bCs/>
                <w:lang w:val="en-US"/>
              </w:rPr>
            </w:pPr>
            <w:r>
              <w:rPr>
                <w:rFonts w:ascii="Tahoma" w:hAnsi="Tahoma" w:cs="Tahoma"/>
                <w:b/>
                <w:bCs/>
                <w:lang w:val="en-US"/>
              </w:rPr>
              <w:t>2010</w:t>
            </w:r>
          </w:p>
        </w:tc>
      </w:tr>
      <w:tr w:rsidR="00652F81" w:rsidRPr="00FB3069" w:rsidTr="00652F81">
        <w:trPr>
          <w:trHeight w:val="255"/>
        </w:trPr>
        <w:tc>
          <w:tcPr>
            <w:tcW w:w="960" w:type="dxa"/>
            <w:tcBorders>
              <w:top w:val="single" w:sz="8" w:space="0" w:color="auto"/>
            </w:tcBorders>
            <w:noWrap/>
            <w:vAlign w:val="bottom"/>
          </w:tcPr>
          <w:p w:rsidR="00652F81" w:rsidRPr="00FB3069" w:rsidRDefault="00652F81" w:rsidP="00652F81">
            <w:pPr>
              <w:rPr>
                <w:rFonts w:ascii="Tahoma" w:hAnsi="Tahoma" w:cs="Tahoma"/>
                <w:b/>
                <w:bCs/>
              </w:rPr>
            </w:pPr>
            <w:r w:rsidRPr="00FB3069">
              <w:rPr>
                <w:rFonts w:ascii="Tahoma" w:hAnsi="Tahoma" w:cs="Tahoma"/>
                <w:b/>
                <w:bCs/>
              </w:rPr>
              <w:t>EU27</w:t>
            </w:r>
          </w:p>
        </w:tc>
        <w:tc>
          <w:tcPr>
            <w:tcW w:w="960" w:type="dxa"/>
            <w:tcBorders>
              <w:top w:val="single" w:sz="8"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38,2</w:t>
            </w:r>
          </w:p>
        </w:tc>
        <w:tc>
          <w:tcPr>
            <w:tcW w:w="960" w:type="dxa"/>
            <w:tcBorders>
              <w:top w:val="single" w:sz="8"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39,9</w:t>
            </w:r>
          </w:p>
        </w:tc>
        <w:tc>
          <w:tcPr>
            <w:tcW w:w="960" w:type="dxa"/>
            <w:tcBorders>
              <w:top w:val="single" w:sz="8"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40,5</w:t>
            </w:r>
          </w:p>
        </w:tc>
        <w:tc>
          <w:tcPr>
            <w:tcW w:w="960" w:type="dxa"/>
            <w:tcBorders>
              <w:top w:val="single" w:sz="8"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42,3</w:t>
            </w:r>
          </w:p>
        </w:tc>
        <w:tc>
          <w:tcPr>
            <w:tcW w:w="960" w:type="dxa"/>
            <w:tcBorders>
              <w:top w:val="single" w:sz="8"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43,5</w:t>
            </w:r>
          </w:p>
        </w:tc>
        <w:tc>
          <w:tcPr>
            <w:tcW w:w="960" w:type="dxa"/>
            <w:tcBorders>
              <w:top w:val="single" w:sz="8"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44,6</w:t>
            </w:r>
          </w:p>
        </w:tc>
        <w:tc>
          <w:tcPr>
            <w:tcW w:w="960" w:type="dxa"/>
            <w:tcBorders>
              <w:top w:val="single" w:sz="8"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45,6</w:t>
            </w:r>
          </w:p>
        </w:tc>
        <w:tc>
          <w:tcPr>
            <w:tcW w:w="960" w:type="dxa"/>
            <w:tcBorders>
              <w:top w:val="single" w:sz="8"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46,0</w:t>
            </w:r>
          </w:p>
        </w:tc>
        <w:tc>
          <w:tcPr>
            <w:tcW w:w="960" w:type="dxa"/>
            <w:tcBorders>
              <w:top w:val="single" w:sz="8"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46,3</w:t>
            </w:r>
          </w:p>
        </w:tc>
      </w:tr>
      <w:tr w:rsidR="00652F81" w:rsidRPr="00FB3069" w:rsidTr="00652F81">
        <w:trPr>
          <w:trHeight w:val="255"/>
        </w:trPr>
        <w:tc>
          <w:tcPr>
            <w:tcW w:w="960" w:type="dxa"/>
            <w:noWrap/>
            <w:vAlign w:val="bottom"/>
          </w:tcPr>
          <w:p w:rsidR="00652F81" w:rsidRPr="00FB3069" w:rsidRDefault="00652F81" w:rsidP="00652F81">
            <w:pPr>
              <w:rPr>
                <w:rFonts w:ascii="Tahoma" w:hAnsi="Tahoma" w:cs="Tahoma"/>
                <w:b/>
                <w:bCs/>
              </w:rPr>
            </w:pPr>
            <w:r w:rsidRPr="00FB3069">
              <w:rPr>
                <w:rFonts w:ascii="Tahoma" w:hAnsi="Tahoma" w:cs="Tahoma"/>
                <w:b/>
                <w:bCs/>
              </w:rPr>
              <w:t>EU25</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38,4</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40,1</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40,8</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42,6</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43,6</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44,8</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45,7</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46,2</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46,6</w:t>
            </w:r>
          </w:p>
        </w:tc>
      </w:tr>
      <w:tr w:rsidR="00652F81" w:rsidRPr="00FB3069" w:rsidTr="00652F81">
        <w:trPr>
          <w:trHeight w:val="255"/>
        </w:trPr>
        <w:tc>
          <w:tcPr>
            <w:tcW w:w="960" w:type="dxa"/>
            <w:noWrap/>
            <w:vAlign w:val="bottom"/>
          </w:tcPr>
          <w:p w:rsidR="00652F81" w:rsidRPr="00FB3069" w:rsidRDefault="00652F81" w:rsidP="00652F81">
            <w:pPr>
              <w:rPr>
                <w:rFonts w:ascii="Tahoma" w:hAnsi="Tahoma" w:cs="Tahoma"/>
                <w:b/>
                <w:bCs/>
              </w:rPr>
            </w:pPr>
            <w:r w:rsidRPr="00FB3069">
              <w:rPr>
                <w:rFonts w:ascii="Tahoma" w:hAnsi="Tahoma" w:cs="Tahoma"/>
                <w:b/>
                <w:bCs/>
              </w:rPr>
              <w:t>EU15</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39,8</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41,5</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42,3</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44,2</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45,3</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46,5</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47,4</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47,9</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48,4</w:t>
            </w:r>
          </w:p>
        </w:tc>
      </w:tr>
      <w:tr w:rsidR="00652F81" w:rsidRPr="00FB3069" w:rsidTr="00652F81">
        <w:trPr>
          <w:trHeight w:val="255"/>
        </w:trPr>
        <w:tc>
          <w:tcPr>
            <w:tcW w:w="960" w:type="dxa"/>
            <w:noWrap/>
            <w:vAlign w:val="bottom"/>
          </w:tcPr>
          <w:p w:rsidR="00652F81" w:rsidRPr="003C19AD" w:rsidRDefault="00652F81" w:rsidP="00652F81">
            <w:pPr>
              <w:rPr>
                <w:rFonts w:ascii="Tahoma" w:hAnsi="Tahoma" w:cs="Tahoma"/>
                <w:b/>
                <w:bCs/>
                <w:lang w:val="en-US"/>
              </w:rPr>
            </w:pPr>
            <w:r>
              <w:rPr>
                <w:rFonts w:ascii="Tahoma" w:hAnsi="Tahoma" w:cs="Tahoma"/>
                <w:b/>
                <w:bCs/>
              </w:rPr>
              <w:t>EA1</w:t>
            </w:r>
            <w:r>
              <w:rPr>
                <w:rFonts w:ascii="Tahoma" w:hAnsi="Tahoma" w:cs="Tahoma"/>
                <w:b/>
                <w:bCs/>
                <w:lang w:val="en-US"/>
              </w:rPr>
              <w:t>7</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35,9</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37,4</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38,2</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40,4</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41,7</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43,2</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44,3</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45,1</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45,8</w:t>
            </w:r>
          </w:p>
        </w:tc>
      </w:tr>
      <w:tr w:rsidR="00652F81" w:rsidRPr="00FB3069" w:rsidTr="00652F81">
        <w:trPr>
          <w:trHeight w:val="255"/>
        </w:trPr>
        <w:tc>
          <w:tcPr>
            <w:tcW w:w="960" w:type="dxa"/>
            <w:tcBorders>
              <w:bottom w:val="single" w:sz="12" w:space="0" w:color="auto"/>
            </w:tcBorders>
            <w:noWrap/>
            <w:vAlign w:val="bottom"/>
          </w:tcPr>
          <w:p w:rsidR="00652F81" w:rsidRPr="00FB3069" w:rsidRDefault="00652F81" w:rsidP="00652F81">
            <w:pPr>
              <w:rPr>
                <w:rFonts w:ascii="Tahoma" w:hAnsi="Tahoma" w:cs="Tahoma"/>
                <w:b/>
                <w:bCs/>
              </w:rPr>
            </w:pPr>
            <w:r w:rsidRPr="00FB3069">
              <w:rPr>
                <w:rFonts w:ascii="Tahoma" w:hAnsi="Tahoma" w:cs="Tahoma"/>
                <w:b/>
                <w:bCs/>
              </w:rPr>
              <w:t>EL</w:t>
            </w:r>
          </w:p>
        </w:tc>
        <w:tc>
          <w:tcPr>
            <w:tcW w:w="960" w:type="dxa"/>
            <w:tcBorders>
              <w:bottom w:val="single" w:sz="12"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38,9</w:t>
            </w:r>
          </w:p>
        </w:tc>
        <w:tc>
          <w:tcPr>
            <w:tcW w:w="960" w:type="dxa"/>
            <w:tcBorders>
              <w:bottom w:val="single" w:sz="12"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41,0</w:t>
            </w:r>
          </w:p>
        </w:tc>
        <w:tc>
          <w:tcPr>
            <w:tcW w:w="960" w:type="dxa"/>
            <w:tcBorders>
              <w:bottom w:val="single" w:sz="12"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39,4</w:t>
            </w:r>
          </w:p>
        </w:tc>
        <w:tc>
          <w:tcPr>
            <w:tcW w:w="960" w:type="dxa"/>
            <w:tcBorders>
              <w:bottom w:val="single" w:sz="12"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41,6</w:t>
            </w:r>
          </w:p>
        </w:tc>
        <w:tc>
          <w:tcPr>
            <w:tcW w:w="960" w:type="dxa"/>
            <w:tcBorders>
              <w:bottom w:val="single" w:sz="12"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42,3</w:t>
            </w:r>
          </w:p>
        </w:tc>
        <w:tc>
          <w:tcPr>
            <w:tcW w:w="960" w:type="dxa"/>
            <w:tcBorders>
              <w:bottom w:val="single" w:sz="12"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42,4</w:t>
            </w:r>
          </w:p>
        </w:tc>
        <w:tc>
          <w:tcPr>
            <w:tcW w:w="960" w:type="dxa"/>
            <w:tcBorders>
              <w:bottom w:val="single" w:sz="12"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42,8</w:t>
            </w:r>
          </w:p>
        </w:tc>
        <w:tc>
          <w:tcPr>
            <w:tcW w:w="960" w:type="dxa"/>
            <w:tcBorders>
              <w:bottom w:val="single" w:sz="12"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42,2</w:t>
            </w:r>
          </w:p>
        </w:tc>
        <w:tc>
          <w:tcPr>
            <w:tcW w:w="960" w:type="dxa"/>
            <w:tcBorders>
              <w:bottom w:val="single" w:sz="12"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42,3</w:t>
            </w:r>
          </w:p>
        </w:tc>
      </w:tr>
      <w:tr w:rsidR="00652F81" w:rsidRPr="00FB3069" w:rsidTr="00652F81">
        <w:trPr>
          <w:trHeight w:val="127"/>
        </w:trPr>
        <w:tc>
          <w:tcPr>
            <w:tcW w:w="9600" w:type="dxa"/>
            <w:gridSpan w:val="10"/>
            <w:tcBorders>
              <w:top w:val="single" w:sz="12" w:space="0" w:color="auto"/>
              <w:bottom w:val="single" w:sz="8" w:space="0" w:color="auto"/>
            </w:tcBorders>
            <w:noWrap/>
          </w:tcPr>
          <w:p w:rsidR="00652F81" w:rsidRPr="00545F7F" w:rsidRDefault="00652F81" w:rsidP="00652F81">
            <w:pPr>
              <w:rPr>
                <w:rFonts w:ascii="Tahoma" w:hAnsi="Tahoma" w:cs="Tahoma"/>
                <w:b/>
                <w:sz w:val="18"/>
                <w:szCs w:val="18"/>
              </w:rPr>
            </w:pPr>
            <w:r w:rsidRPr="00545F7F">
              <w:rPr>
                <w:rFonts w:ascii="Tahoma" w:hAnsi="Tahoma" w:cs="Tahoma"/>
                <w:b/>
                <w:sz w:val="18"/>
                <w:szCs w:val="18"/>
              </w:rPr>
              <w:t>Άντρες</w:t>
            </w:r>
          </w:p>
        </w:tc>
      </w:tr>
      <w:tr w:rsidR="00652F81" w:rsidRPr="00FB3069" w:rsidTr="00652F81">
        <w:trPr>
          <w:trHeight w:val="255"/>
        </w:trPr>
        <w:tc>
          <w:tcPr>
            <w:tcW w:w="960" w:type="dxa"/>
            <w:tcBorders>
              <w:top w:val="single" w:sz="8" w:space="0" w:color="auto"/>
            </w:tcBorders>
            <w:noWrap/>
            <w:vAlign w:val="bottom"/>
          </w:tcPr>
          <w:p w:rsidR="00652F81" w:rsidRPr="00FB3069" w:rsidRDefault="00652F81" w:rsidP="00652F81">
            <w:pPr>
              <w:rPr>
                <w:rFonts w:ascii="Tahoma" w:hAnsi="Tahoma" w:cs="Tahoma"/>
                <w:b/>
                <w:bCs/>
              </w:rPr>
            </w:pPr>
            <w:r w:rsidRPr="00FB3069">
              <w:rPr>
                <w:rFonts w:ascii="Tahoma" w:hAnsi="Tahoma" w:cs="Tahoma"/>
                <w:b/>
                <w:bCs/>
              </w:rPr>
              <w:t>EU27</w:t>
            </w:r>
          </w:p>
        </w:tc>
        <w:tc>
          <w:tcPr>
            <w:tcW w:w="960" w:type="dxa"/>
            <w:tcBorders>
              <w:top w:val="single" w:sz="8"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48,2</w:t>
            </w:r>
          </w:p>
        </w:tc>
        <w:tc>
          <w:tcPr>
            <w:tcW w:w="960" w:type="dxa"/>
            <w:tcBorders>
              <w:top w:val="single" w:sz="8"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49,7</w:t>
            </w:r>
          </w:p>
        </w:tc>
        <w:tc>
          <w:tcPr>
            <w:tcW w:w="960" w:type="dxa"/>
            <w:tcBorders>
              <w:top w:val="single" w:sz="8"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50,1</w:t>
            </w:r>
          </w:p>
        </w:tc>
        <w:tc>
          <w:tcPr>
            <w:tcW w:w="960" w:type="dxa"/>
            <w:tcBorders>
              <w:top w:val="single" w:sz="8"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51,6</w:t>
            </w:r>
          </w:p>
        </w:tc>
        <w:tc>
          <w:tcPr>
            <w:tcW w:w="960" w:type="dxa"/>
            <w:tcBorders>
              <w:top w:val="single" w:sz="8"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52,7</w:t>
            </w:r>
          </w:p>
        </w:tc>
        <w:tc>
          <w:tcPr>
            <w:tcW w:w="960" w:type="dxa"/>
            <w:tcBorders>
              <w:top w:val="single" w:sz="8"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53,9</w:t>
            </w:r>
          </w:p>
        </w:tc>
        <w:tc>
          <w:tcPr>
            <w:tcW w:w="960" w:type="dxa"/>
            <w:tcBorders>
              <w:top w:val="single" w:sz="8"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55,0</w:t>
            </w:r>
          </w:p>
        </w:tc>
        <w:tc>
          <w:tcPr>
            <w:tcW w:w="960" w:type="dxa"/>
            <w:tcBorders>
              <w:top w:val="single" w:sz="8"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54,8</w:t>
            </w:r>
          </w:p>
        </w:tc>
        <w:tc>
          <w:tcPr>
            <w:tcW w:w="960" w:type="dxa"/>
            <w:tcBorders>
              <w:top w:val="single" w:sz="8"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54,6</w:t>
            </w:r>
          </w:p>
        </w:tc>
      </w:tr>
      <w:tr w:rsidR="00652F81" w:rsidRPr="00FB3069" w:rsidTr="00652F81">
        <w:trPr>
          <w:trHeight w:val="255"/>
        </w:trPr>
        <w:tc>
          <w:tcPr>
            <w:tcW w:w="960" w:type="dxa"/>
            <w:noWrap/>
            <w:vAlign w:val="bottom"/>
          </w:tcPr>
          <w:p w:rsidR="00652F81" w:rsidRPr="00FB3069" w:rsidRDefault="00652F81" w:rsidP="00652F81">
            <w:pPr>
              <w:rPr>
                <w:rFonts w:ascii="Tahoma" w:hAnsi="Tahoma" w:cs="Tahoma"/>
                <w:b/>
                <w:bCs/>
              </w:rPr>
            </w:pPr>
            <w:r w:rsidRPr="00FB3069">
              <w:rPr>
                <w:rFonts w:ascii="Tahoma" w:hAnsi="Tahoma" w:cs="Tahoma"/>
                <w:b/>
                <w:bCs/>
              </w:rPr>
              <w:t>EU25</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48,6</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50,1</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50,6</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51,9</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52,8</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54,1</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55,0</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54,9</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54,8</w:t>
            </w:r>
          </w:p>
        </w:tc>
      </w:tr>
      <w:tr w:rsidR="00652F81" w:rsidRPr="00FB3069" w:rsidTr="00652F81">
        <w:trPr>
          <w:trHeight w:val="255"/>
        </w:trPr>
        <w:tc>
          <w:tcPr>
            <w:tcW w:w="960" w:type="dxa"/>
            <w:noWrap/>
            <w:vAlign w:val="bottom"/>
          </w:tcPr>
          <w:p w:rsidR="00652F81" w:rsidRPr="00FB3069" w:rsidRDefault="00652F81" w:rsidP="00652F81">
            <w:pPr>
              <w:rPr>
                <w:rFonts w:ascii="Tahoma" w:hAnsi="Tahoma" w:cs="Tahoma"/>
                <w:b/>
                <w:bCs/>
              </w:rPr>
            </w:pPr>
            <w:r w:rsidRPr="00FB3069">
              <w:rPr>
                <w:rFonts w:ascii="Tahoma" w:hAnsi="Tahoma" w:cs="Tahoma"/>
                <w:b/>
                <w:bCs/>
              </w:rPr>
              <w:t>EU15</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49,8</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51,4</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52,0</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53,2</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54,1</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55,3</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56,2</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56,1</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56,2</w:t>
            </w:r>
          </w:p>
        </w:tc>
      </w:tr>
      <w:tr w:rsidR="00652F81" w:rsidRPr="00FB3069" w:rsidTr="00652F81">
        <w:trPr>
          <w:trHeight w:val="255"/>
        </w:trPr>
        <w:tc>
          <w:tcPr>
            <w:tcW w:w="960" w:type="dxa"/>
            <w:noWrap/>
            <w:vAlign w:val="bottom"/>
          </w:tcPr>
          <w:p w:rsidR="00652F81" w:rsidRPr="003C19AD" w:rsidRDefault="00652F81" w:rsidP="00652F81">
            <w:pPr>
              <w:rPr>
                <w:rFonts w:ascii="Tahoma" w:hAnsi="Tahoma" w:cs="Tahoma"/>
                <w:b/>
                <w:bCs/>
                <w:lang w:val="en-US"/>
              </w:rPr>
            </w:pPr>
            <w:r>
              <w:rPr>
                <w:rFonts w:ascii="Tahoma" w:hAnsi="Tahoma" w:cs="Tahoma"/>
                <w:b/>
                <w:bCs/>
              </w:rPr>
              <w:t>EA1</w:t>
            </w:r>
            <w:r>
              <w:rPr>
                <w:rFonts w:ascii="Tahoma" w:hAnsi="Tahoma" w:cs="Tahoma"/>
                <w:b/>
                <w:bCs/>
                <w:lang w:val="en-US"/>
              </w:rPr>
              <w:t>7</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46,4</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47,7</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48,4</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49,8</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50,9</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52,4</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53,3</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53,5</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53,8</w:t>
            </w:r>
          </w:p>
        </w:tc>
      </w:tr>
      <w:tr w:rsidR="00652F81" w:rsidRPr="00FB3069" w:rsidTr="00652F81">
        <w:trPr>
          <w:trHeight w:val="255"/>
        </w:trPr>
        <w:tc>
          <w:tcPr>
            <w:tcW w:w="960" w:type="dxa"/>
            <w:tcBorders>
              <w:bottom w:val="single" w:sz="12" w:space="0" w:color="auto"/>
            </w:tcBorders>
            <w:noWrap/>
            <w:vAlign w:val="bottom"/>
          </w:tcPr>
          <w:p w:rsidR="00652F81" w:rsidRPr="00FB3069" w:rsidRDefault="00652F81" w:rsidP="00652F81">
            <w:pPr>
              <w:rPr>
                <w:rFonts w:ascii="Tahoma" w:hAnsi="Tahoma" w:cs="Tahoma"/>
                <w:b/>
                <w:bCs/>
              </w:rPr>
            </w:pPr>
            <w:r w:rsidRPr="00FB3069">
              <w:rPr>
                <w:rFonts w:ascii="Tahoma" w:hAnsi="Tahoma" w:cs="Tahoma"/>
                <w:b/>
                <w:bCs/>
              </w:rPr>
              <w:t>EL</w:t>
            </w:r>
          </w:p>
        </w:tc>
        <w:tc>
          <w:tcPr>
            <w:tcW w:w="960" w:type="dxa"/>
            <w:tcBorders>
              <w:bottom w:val="single" w:sz="12"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55,3</w:t>
            </w:r>
          </w:p>
        </w:tc>
        <w:tc>
          <w:tcPr>
            <w:tcW w:w="960" w:type="dxa"/>
            <w:tcBorders>
              <w:bottom w:val="single" w:sz="12"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58,3</w:t>
            </w:r>
          </w:p>
        </w:tc>
        <w:tc>
          <w:tcPr>
            <w:tcW w:w="960" w:type="dxa"/>
            <w:tcBorders>
              <w:bottom w:val="single" w:sz="12"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56,4</w:t>
            </w:r>
          </w:p>
        </w:tc>
        <w:tc>
          <w:tcPr>
            <w:tcW w:w="960" w:type="dxa"/>
            <w:tcBorders>
              <w:bottom w:val="single" w:sz="12"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58,8</w:t>
            </w:r>
          </w:p>
        </w:tc>
        <w:tc>
          <w:tcPr>
            <w:tcW w:w="960" w:type="dxa"/>
            <w:tcBorders>
              <w:bottom w:val="single" w:sz="12"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59,2</w:t>
            </w:r>
          </w:p>
        </w:tc>
        <w:tc>
          <w:tcPr>
            <w:tcW w:w="960" w:type="dxa"/>
            <w:tcBorders>
              <w:bottom w:val="single" w:sz="12"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59,1</w:t>
            </w:r>
          </w:p>
        </w:tc>
        <w:tc>
          <w:tcPr>
            <w:tcW w:w="960" w:type="dxa"/>
            <w:tcBorders>
              <w:bottom w:val="single" w:sz="12"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59,1</w:t>
            </w:r>
          </w:p>
        </w:tc>
        <w:tc>
          <w:tcPr>
            <w:tcW w:w="960" w:type="dxa"/>
            <w:tcBorders>
              <w:bottom w:val="single" w:sz="12"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57,7</w:t>
            </w:r>
          </w:p>
        </w:tc>
        <w:tc>
          <w:tcPr>
            <w:tcW w:w="960" w:type="dxa"/>
            <w:tcBorders>
              <w:bottom w:val="single" w:sz="12"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56,5</w:t>
            </w:r>
          </w:p>
        </w:tc>
      </w:tr>
      <w:tr w:rsidR="00652F81" w:rsidRPr="00FB3069" w:rsidTr="00652F81">
        <w:trPr>
          <w:trHeight w:val="255"/>
        </w:trPr>
        <w:tc>
          <w:tcPr>
            <w:tcW w:w="9600" w:type="dxa"/>
            <w:gridSpan w:val="10"/>
            <w:tcBorders>
              <w:top w:val="single" w:sz="12" w:space="0" w:color="auto"/>
              <w:bottom w:val="single" w:sz="8" w:space="0" w:color="auto"/>
            </w:tcBorders>
            <w:noWrap/>
          </w:tcPr>
          <w:p w:rsidR="00652F81" w:rsidRPr="00545F7F" w:rsidRDefault="00652F81" w:rsidP="00652F81">
            <w:pPr>
              <w:rPr>
                <w:rFonts w:ascii="Tahoma" w:hAnsi="Tahoma" w:cs="Tahoma"/>
                <w:b/>
                <w:sz w:val="18"/>
                <w:szCs w:val="18"/>
              </w:rPr>
            </w:pPr>
            <w:r w:rsidRPr="00545F7F">
              <w:rPr>
                <w:rFonts w:ascii="Tahoma" w:hAnsi="Tahoma" w:cs="Tahoma"/>
                <w:b/>
                <w:sz w:val="18"/>
                <w:szCs w:val="18"/>
              </w:rPr>
              <w:t>Γυναίκες</w:t>
            </w:r>
          </w:p>
        </w:tc>
      </w:tr>
      <w:tr w:rsidR="00652F81" w:rsidRPr="00FB3069" w:rsidTr="00652F81">
        <w:trPr>
          <w:trHeight w:val="255"/>
        </w:trPr>
        <w:tc>
          <w:tcPr>
            <w:tcW w:w="960" w:type="dxa"/>
            <w:tcBorders>
              <w:top w:val="single" w:sz="8" w:space="0" w:color="auto"/>
            </w:tcBorders>
            <w:noWrap/>
            <w:vAlign w:val="bottom"/>
          </w:tcPr>
          <w:p w:rsidR="00652F81" w:rsidRPr="00FB3069" w:rsidRDefault="00652F81" w:rsidP="00652F81">
            <w:pPr>
              <w:rPr>
                <w:rFonts w:ascii="Tahoma" w:hAnsi="Tahoma" w:cs="Tahoma"/>
                <w:b/>
                <w:bCs/>
              </w:rPr>
            </w:pPr>
            <w:r w:rsidRPr="00FB3069">
              <w:rPr>
                <w:rFonts w:ascii="Tahoma" w:hAnsi="Tahoma" w:cs="Tahoma"/>
                <w:b/>
                <w:bCs/>
              </w:rPr>
              <w:t>EU27</w:t>
            </w:r>
          </w:p>
        </w:tc>
        <w:tc>
          <w:tcPr>
            <w:tcW w:w="960" w:type="dxa"/>
            <w:tcBorders>
              <w:top w:val="single" w:sz="8"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28,9</w:t>
            </w:r>
          </w:p>
        </w:tc>
        <w:tc>
          <w:tcPr>
            <w:tcW w:w="960" w:type="dxa"/>
            <w:tcBorders>
              <w:top w:val="single" w:sz="8"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30,6</w:t>
            </w:r>
          </w:p>
        </w:tc>
        <w:tc>
          <w:tcPr>
            <w:tcW w:w="960" w:type="dxa"/>
            <w:tcBorders>
              <w:top w:val="single" w:sz="8"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31,4</w:t>
            </w:r>
          </w:p>
        </w:tc>
        <w:tc>
          <w:tcPr>
            <w:tcW w:w="960" w:type="dxa"/>
            <w:tcBorders>
              <w:top w:val="single" w:sz="8"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33,6</w:t>
            </w:r>
          </w:p>
        </w:tc>
        <w:tc>
          <w:tcPr>
            <w:tcW w:w="960" w:type="dxa"/>
            <w:tcBorders>
              <w:top w:val="single" w:sz="8"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34,9</w:t>
            </w:r>
          </w:p>
        </w:tc>
        <w:tc>
          <w:tcPr>
            <w:tcW w:w="960" w:type="dxa"/>
            <w:tcBorders>
              <w:top w:val="single" w:sz="8"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35,9</w:t>
            </w:r>
          </w:p>
        </w:tc>
        <w:tc>
          <w:tcPr>
            <w:tcW w:w="960" w:type="dxa"/>
            <w:tcBorders>
              <w:top w:val="single" w:sz="8"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36,8</w:t>
            </w:r>
          </w:p>
        </w:tc>
        <w:tc>
          <w:tcPr>
            <w:tcW w:w="960" w:type="dxa"/>
            <w:tcBorders>
              <w:top w:val="single" w:sz="8"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37,8</w:t>
            </w:r>
          </w:p>
        </w:tc>
        <w:tc>
          <w:tcPr>
            <w:tcW w:w="960" w:type="dxa"/>
            <w:tcBorders>
              <w:top w:val="single" w:sz="8" w:space="0" w:color="auto"/>
            </w:tcBorders>
            <w:noWrap/>
            <w:vAlign w:val="bottom"/>
          </w:tcPr>
          <w:p w:rsidR="00652F81" w:rsidRPr="00C70615" w:rsidRDefault="00652F81" w:rsidP="00652F81">
            <w:pPr>
              <w:jc w:val="right"/>
              <w:rPr>
                <w:rFonts w:ascii="Tahoma" w:hAnsi="Tahoma" w:cs="Tahoma"/>
              </w:rPr>
            </w:pPr>
            <w:r w:rsidRPr="00C70615">
              <w:rPr>
                <w:rFonts w:ascii="Tahoma" w:hAnsi="Tahoma" w:cs="Tahoma"/>
              </w:rPr>
              <w:t>38,6</w:t>
            </w:r>
          </w:p>
        </w:tc>
      </w:tr>
      <w:tr w:rsidR="00652F81" w:rsidRPr="00FB3069" w:rsidTr="00652F81">
        <w:trPr>
          <w:trHeight w:val="255"/>
        </w:trPr>
        <w:tc>
          <w:tcPr>
            <w:tcW w:w="960" w:type="dxa"/>
            <w:noWrap/>
            <w:vAlign w:val="bottom"/>
          </w:tcPr>
          <w:p w:rsidR="00652F81" w:rsidRPr="00FB3069" w:rsidRDefault="00652F81" w:rsidP="00652F81">
            <w:pPr>
              <w:rPr>
                <w:rFonts w:ascii="Tahoma" w:hAnsi="Tahoma" w:cs="Tahoma"/>
                <w:b/>
                <w:bCs/>
              </w:rPr>
            </w:pPr>
            <w:r w:rsidRPr="00FB3069">
              <w:rPr>
                <w:rFonts w:ascii="Tahoma" w:hAnsi="Tahoma" w:cs="Tahoma"/>
                <w:b/>
                <w:bCs/>
              </w:rPr>
              <w:t>EU25</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28,8</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30,6</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31,5</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33,8</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35,0</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36,1</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36,9</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37,9</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38,9</w:t>
            </w:r>
          </w:p>
        </w:tc>
      </w:tr>
      <w:tr w:rsidR="00652F81" w:rsidRPr="00FB3069" w:rsidTr="00652F81">
        <w:trPr>
          <w:trHeight w:val="255"/>
        </w:trPr>
        <w:tc>
          <w:tcPr>
            <w:tcW w:w="960" w:type="dxa"/>
            <w:noWrap/>
            <w:vAlign w:val="bottom"/>
          </w:tcPr>
          <w:p w:rsidR="00652F81" w:rsidRPr="00FB3069" w:rsidRDefault="00652F81" w:rsidP="00652F81">
            <w:pPr>
              <w:rPr>
                <w:rFonts w:ascii="Tahoma" w:hAnsi="Tahoma" w:cs="Tahoma"/>
                <w:b/>
                <w:bCs/>
              </w:rPr>
            </w:pPr>
            <w:r w:rsidRPr="00FB3069">
              <w:rPr>
                <w:rFonts w:ascii="Tahoma" w:hAnsi="Tahoma" w:cs="Tahoma"/>
                <w:b/>
                <w:bCs/>
              </w:rPr>
              <w:t>EU15</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30,2</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32,0</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32,9</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35,5</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36,8</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38,1</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39,0</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40,1</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40,9</w:t>
            </w:r>
          </w:p>
        </w:tc>
      </w:tr>
      <w:tr w:rsidR="00652F81" w:rsidRPr="00FB3069" w:rsidTr="00652F81">
        <w:trPr>
          <w:trHeight w:val="255"/>
        </w:trPr>
        <w:tc>
          <w:tcPr>
            <w:tcW w:w="960" w:type="dxa"/>
            <w:noWrap/>
            <w:vAlign w:val="bottom"/>
          </w:tcPr>
          <w:p w:rsidR="00652F81" w:rsidRPr="003C19AD" w:rsidRDefault="00652F81" w:rsidP="00652F81">
            <w:pPr>
              <w:rPr>
                <w:rFonts w:ascii="Tahoma" w:hAnsi="Tahoma" w:cs="Tahoma"/>
                <w:b/>
                <w:bCs/>
                <w:lang w:val="en-US"/>
              </w:rPr>
            </w:pPr>
            <w:r>
              <w:rPr>
                <w:rFonts w:ascii="Tahoma" w:hAnsi="Tahoma" w:cs="Tahoma"/>
                <w:b/>
                <w:bCs/>
              </w:rPr>
              <w:t>EA1</w:t>
            </w:r>
            <w:r>
              <w:rPr>
                <w:rFonts w:ascii="Tahoma" w:hAnsi="Tahoma" w:cs="Tahoma"/>
                <w:b/>
                <w:bCs/>
                <w:lang w:val="en-US"/>
              </w:rPr>
              <w:t>7</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25,8</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27,6</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28,4</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31,4</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32,9</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34,5</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35,7</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37,1</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38,1</w:t>
            </w:r>
          </w:p>
        </w:tc>
      </w:tr>
      <w:tr w:rsidR="00652F81" w:rsidRPr="00FB3069" w:rsidTr="00652F81">
        <w:trPr>
          <w:trHeight w:val="255"/>
        </w:trPr>
        <w:tc>
          <w:tcPr>
            <w:tcW w:w="960" w:type="dxa"/>
            <w:noWrap/>
            <w:vAlign w:val="bottom"/>
          </w:tcPr>
          <w:p w:rsidR="00652F81" w:rsidRPr="00FB3069" w:rsidRDefault="00652F81" w:rsidP="00652F81">
            <w:pPr>
              <w:rPr>
                <w:rFonts w:ascii="Tahoma" w:hAnsi="Tahoma" w:cs="Tahoma"/>
                <w:b/>
                <w:bCs/>
              </w:rPr>
            </w:pPr>
            <w:r w:rsidRPr="00FB3069">
              <w:rPr>
                <w:rFonts w:ascii="Tahoma" w:hAnsi="Tahoma" w:cs="Tahoma"/>
                <w:b/>
                <w:bCs/>
              </w:rPr>
              <w:t>EL</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24,2</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25,3</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24,0</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25,8</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26,6</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26,9</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27,5</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27,7</w:t>
            </w:r>
          </w:p>
        </w:tc>
        <w:tc>
          <w:tcPr>
            <w:tcW w:w="960" w:type="dxa"/>
            <w:noWrap/>
            <w:vAlign w:val="bottom"/>
          </w:tcPr>
          <w:p w:rsidR="00652F81" w:rsidRPr="00C70615" w:rsidRDefault="00652F81" w:rsidP="00652F81">
            <w:pPr>
              <w:jc w:val="right"/>
              <w:rPr>
                <w:rFonts w:ascii="Tahoma" w:hAnsi="Tahoma" w:cs="Tahoma"/>
              </w:rPr>
            </w:pPr>
            <w:r w:rsidRPr="00C70615">
              <w:rPr>
                <w:rFonts w:ascii="Tahoma" w:hAnsi="Tahoma" w:cs="Tahoma"/>
              </w:rPr>
              <w:t>28,9</w:t>
            </w:r>
          </w:p>
        </w:tc>
      </w:tr>
    </w:tbl>
    <w:p w:rsidR="00652F81" w:rsidRPr="007D3DD0" w:rsidRDefault="00652F81" w:rsidP="00652F81">
      <w:pPr>
        <w:rPr>
          <w:rFonts w:ascii="Tahoma" w:hAnsi="Tahoma" w:cs="Tahoma"/>
          <w:sz w:val="18"/>
          <w:szCs w:val="18"/>
        </w:rPr>
      </w:pPr>
      <w:bookmarkStart w:id="404" w:name="_Toc70767288"/>
      <w:bookmarkStart w:id="405" w:name="_Toc26115051"/>
      <w:bookmarkStart w:id="406" w:name="_Toc535676796"/>
      <w:bookmarkStart w:id="407" w:name="_Toc514567148"/>
      <w:bookmarkStart w:id="408" w:name="_Toc150308584"/>
      <w:r w:rsidRPr="00954CD1">
        <w:rPr>
          <w:rFonts w:ascii="Tahoma" w:hAnsi="Tahoma" w:cs="Tahoma"/>
          <w:b/>
          <w:sz w:val="18"/>
          <w:szCs w:val="18"/>
        </w:rPr>
        <w:t>Πηγή:</w:t>
      </w:r>
      <w:r w:rsidRPr="007D3DD0">
        <w:rPr>
          <w:rFonts w:ascii="Tahoma" w:hAnsi="Tahoma" w:cs="Tahoma"/>
          <w:sz w:val="18"/>
          <w:szCs w:val="18"/>
        </w:rPr>
        <w:t xml:space="preserve"> </w:t>
      </w:r>
      <w:r w:rsidRPr="007D3DD0">
        <w:rPr>
          <w:rFonts w:ascii="Tahoma" w:hAnsi="Tahoma" w:cs="Tahoma"/>
          <w:sz w:val="18"/>
          <w:szCs w:val="18"/>
          <w:lang w:val="en-US"/>
        </w:rPr>
        <w:t>Eurostat</w:t>
      </w:r>
    </w:p>
    <w:p w:rsidR="00652F81" w:rsidRPr="00FB3069" w:rsidRDefault="00652F81" w:rsidP="00652F81">
      <w:pPr>
        <w:tabs>
          <w:tab w:val="left" w:pos="993"/>
        </w:tabs>
        <w:rPr>
          <w:rFonts w:ascii="Tahoma" w:hAnsi="Tahoma" w:cs="Tahoma"/>
          <w:sz w:val="18"/>
          <w:szCs w:val="18"/>
        </w:rPr>
        <w:sectPr w:rsidR="00652F81" w:rsidRPr="00FB3069" w:rsidSect="00652F81">
          <w:footerReference w:type="default" r:id="rId81"/>
          <w:pgSz w:w="11906" w:h="16838"/>
          <w:pgMar w:top="1701" w:right="1418" w:bottom="1418" w:left="1418" w:header="720" w:footer="720" w:gutter="0"/>
          <w:cols w:space="720"/>
        </w:sectPr>
      </w:pPr>
    </w:p>
    <w:p w:rsidR="00652F81" w:rsidRPr="00294913" w:rsidRDefault="00652F81" w:rsidP="00652F81">
      <w:pPr>
        <w:pStyle w:val="new6"/>
      </w:pPr>
      <w:bookmarkStart w:id="409" w:name="_Toc169881539"/>
      <w:bookmarkStart w:id="410" w:name="_Toc170201879"/>
      <w:r w:rsidRPr="00294913">
        <w:lastRenderedPageBreak/>
        <w:t>ΙΙΙ-Α</w:t>
      </w:r>
      <w:r>
        <w:t>,</w:t>
      </w:r>
      <w:r w:rsidRPr="00294913">
        <w:tab/>
        <w:t>Καινοτομία και Έρευνα</w:t>
      </w:r>
      <w:bookmarkEnd w:id="404"/>
      <w:bookmarkEnd w:id="405"/>
      <w:bookmarkEnd w:id="406"/>
      <w:bookmarkEnd w:id="407"/>
      <w:bookmarkEnd w:id="408"/>
      <w:bookmarkEnd w:id="409"/>
      <w:bookmarkEnd w:id="410"/>
    </w:p>
    <w:p w:rsidR="00652F81" w:rsidRPr="00294913" w:rsidRDefault="00652F81" w:rsidP="00652F81"/>
    <w:p w:rsidR="00652F81" w:rsidRPr="00294913" w:rsidRDefault="00652F81" w:rsidP="00652F81"/>
    <w:p w:rsidR="00652F81" w:rsidRPr="00294913" w:rsidRDefault="00652F81" w:rsidP="00652F81">
      <w:pPr>
        <w:pStyle w:val="new12"/>
        <w:ind w:right="-110"/>
      </w:pPr>
      <w:bookmarkStart w:id="411" w:name="_Toc150308585"/>
      <w:bookmarkStart w:id="412" w:name="_Toc169881540"/>
      <w:bookmarkStart w:id="413" w:name="_Toc170201880"/>
      <w:r w:rsidRPr="00294913">
        <w:t>ΙΙΙ-1α</w:t>
      </w:r>
      <w:r>
        <w:t>,</w:t>
      </w:r>
      <w:r w:rsidRPr="00294913">
        <w:tab/>
        <w:t>Ακαθάριστη Εγχώρια Δαπάνη σε Έρευνα και Ανάπτυξη (</w:t>
      </w:r>
      <w:r w:rsidRPr="00294913">
        <w:rPr>
          <w:lang w:val="en-US"/>
        </w:rPr>
        <w:t>R</w:t>
      </w:r>
      <w:r w:rsidRPr="00294913">
        <w:t>&amp;</w:t>
      </w:r>
      <w:r w:rsidRPr="00294913">
        <w:rPr>
          <w:lang w:val="en-US"/>
        </w:rPr>
        <w:t>D</w:t>
      </w:r>
      <w:r w:rsidRPr="00294913">
        <w:t>)</w:t>
      </w:r>
      <w:bookmarkEnd w:id="411"/>
      <w:bookmarkEnd w:id="412"/>
      <w:bookmarkEnd w:id="413"/>
    </w:p>
    <w:p w:rsidR="00652F81" w:rsidRPr="00294913" w:rsidRDefault="00652F81" w:rsidP="00652F81">
      <w:pPr>
        <w:pStyle w:val="new1210pt"/>
      </w:pPr>
      <w:bookmarkStart w:id="414" w:name="_Toc150308586"/>
      <w:bookmarkStart w:id="415" w:name="_Toc170201881"/>
      <w:r w:rsidRPr="00294913">
        <w:t>(% του ΑΕΠ)</w:t>
      </w:r>
      <w:bookmarkEnd w:id="414"/>
      <w:bookmarkEnd w:id="415"/>
    </w:p>
    <w:p w:rsidR="00652F81" w:rsidRDefault="00652F81" w:rsidP="00652F81">
      <w:pPr>
        <w:rPr>
          <w:lang w:val="en-US"/>
        </w:rPr>
      </w:pPr>
      <w:bookmarkStart w:id="416" w:name="_Toc137368828"/>
    </w:p>
    <w:p w:rsidR="00652F81" w:rsidRPr="00F27ADC" w:rsidRDefault="00652F81" w:rsidP="00652F81">
      <w:r w:rsidRPr="00294913">
        <w:t xml:space="preserve"> </w:t>
      </w:r>
      <w:r>
        <w:rPr>
          <w:noProof/>
          <w:lang w:val="en-US" w:eastAsia="en-US"/>
        </w:rPr>
        <w:drawing>
          <wp:inline distT="0" distB="0" distL="0" distR="0">
            <wp:extent cx="5362575" cy="3276600"/>
            <wp:effectExtent l="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cstate="print"/>
                    <a:srcRect/>
                    <a:stretch>
                      <a:fillRect/>
                    </a:stretch>
                  </pic:blipFill>
                  <pic:spPr bwMode="auto">
                    <a:xfrm>
                      <a:off x="0" y="0"/>
                      <a:ext cx="5362575" cy="3276600"/>
                    </a:xfrm>
                    <a:prstGeom prst="rect">
                      <a:avLst/>
                    </a:prstGeom>
                    <a:noFill/>
                    <a:ln w="9525">
                      <a:noFill/>
                      <a:miter lim="800000"/>
                      <a:headEnd/>
                      <a:tailEnd/>
                    </a:ln>
                  </pic:spPr>
                </pic:pic>
              </a:graphicData>
            </a:graphic>
          </wp:inline>
        </w:drawing>
      </w:r>
    </w:p>
    <w:p w:rsidR="00652F81" w:rsidRDefault="00652F81" w:rsidP="00652F81">
      <w:bookmarkStart w:id="417" w:name="_Toc150308589"/>
    </w:p>
    <w:p w:rsidR="00652F81" w:rsidRPr="00AE2425" w:rsidRDefault="00652F81" w:rsidP="00652F81">
      <w:pPr>
        <w:rPr>
          <w:lang w:val="en-US"/>
        </w:rPr>
      </w:pPr>
    </w:p>
    <w:tbl>
      <w:tblPr>
        <w:tblW w:w="9600" w:type="dxa"/>
        <w:tblBorders>
          <w:top w:val="single" w:sz="12" w:space="0" w:color="auto"/>
          <w:bottom w:val="single" w:sz="12" w:space="0" w:color="auto"/>
          <w:insideH w:val="dotted" w:sz="4" w:space="0" w:color="auto"/>
        </w:tblBorders>
        <w:tblLook w:val="00E0"/>
      </w:tblPr>
      <w:tblGrid>
        <w:gridCol w:w="960"/>
        <w:gridCol w:w="960"/>
        <w:gridCol w:w="960"/>
        <w:gridCol w:w="960"/>
        <w:gridCol w:w="960"/>
        <w:gridCol w:w="960"/>
        <w:gridCol w:w="960"/>
        <w:gridCol w:w="960"/>
        <w:gridCol w:w="960"/>
        <w:gridCol w:w="960"/>
      </w:tblGrid>
      <w:tr w:rsidR="00652F81" w:rsidRPr="00515DAC" w:rsidTr="00652F81">
        <w:trPr>
          <w:trHeight w:val="255"/>
        </w:trPr>
        <w:tc>
          <w:tcPr>
            <w:tcW w:w="960" w:type="dxa"/>
            <w:tcBorders>
              <w:top w:val="single" w:sz="12" w:space="0" w:color="auto"/>
              <w:bottom w:val="single" w:sz="8" w:space="0" w:color="auto"/>
            </w:tcBorders>
            <w:noWrap/>
          </w:tcPr>
          <w:p w:rsidR="00652F81" w:rsidRPr="002846F5" w:rsidRDefault="00652F81" w:rsidP="00652F81">
            <w:pPr>
              <w:jc w:val="center"/>
              <w:rPr>
                <w:rFonts w:ascii="Tahoma" w:hAnsi="Tahoma" w:cs="Tahoma"/>
              </w:rPr>
            </w:pPr>
          </w:p>
        </w:tc>
        <w:tc>
          <w:tcPr>
            <w:tcW w:w="960" w:type="dxa"/>
            <w:tcBorders>
              <w:top w:val="single" w:sz="12" w:space="0" w:color="auto"/>
              <w:bottom w:val="single" w:sz="8" w:space="0" w:color="auto"/>
            </w:tcBorders>
            <w:noWrap/>
            <w:vAlign w:val="bottom"/>
          </w:tcPr>
          <w:p w:rsidR="00652F81" w:rsidRPr="002846F5" w:rsidRDefault="00652F81" w:rsidP="00652F81">
            <w:pPr>
              <w:jc w:val="center"/>
              <w:rPr>
                <w:rFonts w:ascii="Tahoma" w:hAnsi="Tahoma" w:cs="Tahoma"/>
                <w:b/>
                <w:bCs/>
              </w:rPr>
            </w:pPr>
            <w:r>
              <w:rPr>
                <w:rFonts w:ascii="Tahoma" w:hAnsi="Tahoma" w:cs="Tahoma"/>
                <w:b/>
                <w:bCs/>
              </w:rPr>
              <w:t>2002</w:t>
            </w:r>
          </w:p>
        </w:tc>
        <w:tc>
          <w:tcPr>
            <w:tcW w:w="960" w:type="dxa"/>
            <w:tcBorders>
              <w:top w:val="single" w:sz="12" w:space="0" w:color="auto"/>
              <w:bottom w:val="single" w:sz="8" w:space="0" w:color="auto"/>
            </w:tcBorders>
            <w:noWrap/>
            <w:vAlign w:val="bottom"/>
          </w:tcPr>
          <w:p w:rsidR="00652F81" w:rsidRPr="002846F5" w:rsidRDefault="00652F81" w:rsidP="00652F81">
            <w:pPr>
              <w:jc w:val="center"/>
              <w:rPr>
                <w:rFonts w:ascii="Tahoma" w:hAnsi="Tahoma" w:cs="Tahoma"/>
                <w:b/>
                <w:bCs/>
              </w:rPr>
            </w:pPr>
            <w:r>
              <w:rPr>
                <w:rFonts w:ascii="Tahoma" w:hAnsi="Tahoma" w:cs="Tahoma"/>
                <w:b/>
                <w:bCs/>
              </w:rPr>
              <w:t>2003</w:t>
            </w:r>
          </w:p>
        </w:tc>
        <w:tc>
          <w:tcPr>
            <w:tcW w:w="960" w:type="dxa"/>
            <w:tcBorders>
              <w:top w:val="single" w:sz="12" w:space="0" w:color="auto"/>
              <w:bottom w:val="single" w:sz="8" w:space="0" w:color="auto"/>
            </w:tcBorders>
            <w:noWrap/>
            <w:vAlign w:val="bottom"/>
          </w:tcPr>
          <w:p w:rsidR="00652F81" w:rsidRPr="002846F5" w:rsidRDefault="00652F81" w:rsidP="00652F81">
            <w:pPr>
              <w:jc w:val="center"/>
              <w:rPr>
                <w:rFonts w:ascii="Tahoma" w:hAnsi="Tahoma" w:cs="Tahoma"/>
                <w:b/>
                <w:bCs/>
              </w:rPr>
            </w:pPr>
            <w:r>
              <w:rPr>
                <w:rFonts w:ascii="Tahoma" w:hAnsi="Tahoma" w:cs="Tahoma"/>
                <w:b/>
                <w:bCs/>
              </w:rPr>
              <w:t>2004</w:t>
            </w:r>
          </w:p>
        </w:tc>
        <w:tc>
          <w:tcPr>
            <w:tcW w:w="960" w:type="dxa"/>
            <w:tcBorders>
              <w:top w:val="single" w:sz="12" w:space="0" w:color="auto"/>
              <w:bottom w:val="single" w:sz="8" w:space="0" w:color="auto"/>
            </w:tcBorders>
            <w:noWrap/>
            <w:vAlign w:val="bottom"/>
          </w:tcPr>
          <w:p w:rsidR="00652F81" w:rsidRPr="002846F5" w:rsidRDefault="00652F81" w:rsidP="00652F81">
            <w:pPr>
              <w:jc w:val="center"/>
              <w:rPr>
                <w:rFonts w:ascii="Tahoma" w:hAnsi="Tahoma" w:cs="Tahoma"/>
                <w:b/>
                <w:bCs/>
              </w:rPr>
            </w:pPr>
            <w:r w:rsidRPr="002846F5">
              <w:rPr>
                <w:rFonts w:ascii="Tahoma" w:hAnsi="Tahoma" w:cs="Tahoma"/>
                <w:b/>
                <w:bCs/>
              </w:rPr>
              <w:t>20</w:t>
            </w:r>
            <w:r>
              <w:rPr>
                <w:rFonts w:ascii="Tahoma" w:hAnsi="Tahoma" w:cs="Tahoma"/>
                <w:b/>
                <w:bCs/>
              </w:rPr>
              <w:t>05</w:t>
            </w:r>
          </w:p>
        </w:tc>
        <w:tc>
          <w:tcPr>
            <w:tcW w:w="960" w:type="dxa"/>
            <w:tcBorders>
              <w:top w:val="single" w:sz="12" w:space="0" w:color="auto"/>
              <w:bottom w:val="single" w:sz="8" w:space="0" w:color="auto"/>
            </w:tcBorders>
            <w:noWrap/>
            <w:vAlign w:val="bottom"/>
          </w:tcPr>
          <w:p w:rsidR="00652F81" w:rsidRPr="002846F5" w:rsidRDefault="00652F81" w:rsidP="00652F81">
            <w:pPr>
              <w:jc w:val="center"/>
              <w:rPr>
                <w:rFonts w:ascii="Tahoma" w:hAnsi="Tahoma" w:cs="Tahoma"/>
                <w:b/>
                <w:bCs/>
              </w:rPr>
            </w:pPr>
            <w:r>
              <w:rPr>
                <w:rFonts w:ascii="Tahoma" w:hAnsi="Tahoma" w:cs="Tahoma"/>
                <w:b/>
                <w:bCs/>
              </w:rPr>
              <w:t>2006</w:t>
            </w:r>
          </w:p>
        </w:tc>
        <w:tc>
          <w:tcPr>
            <w:tcW w:w="960" w:type="dxa"/>
            <w:tcBorders>
              <w:top w:val="single" w:sz="12" w:space="0" w:color="auto"/>
              <w:bottom w:val="single" w:sz="8" w:space="0" w:color="auto"/>
            </w:tcBorders>
            <w:noWrap/>
            <w:vAlign w:val="bottom"/>
          </w:tcPr>
          <w:p w:rsidR="00652F81" w:rsidRPr="002846F5" w:rsidRDefault="00652F81" w:rsidP="00652F81">
            <w:pPr>
              <w:jc w:val="center"/>
              <w:rPr>
                <w:rFonts w:ascii="Tahoma" w:hAnsi="Tahoma" w:cs="Tahoma"/>
                <w:b/>
                <w:bCs/>
              </w:rPr>
            </w:pPr>
            <w:r>
              <w:rPr>
                <w:rFonts w:ascii="Tahoma" w:hAnsi="Tahoma" w:cs="Tahoma"/>
                <w:b/>
                <w:bCs/>
              </w:rPr>
              <w:t>2007</w:t>
            </w:r>
          </w:p>
        </w:tc>
        <w:tc>
          <w:tcPr>
            <w:tcW w:w="960" w:type="dxa"/>
            <w:tcBorders>
              <w:top w:val="single" w:sz="12" w:space="0" w:color="auto"/>
              <w:bottom w:val="single" w:sz="8" w:space="0" w:color="auto"/>
            </w:tcBorders>
            <w:noWrap/>
            <w:vAlign w:val="bottom"/>
          </w:tcPr>
          <w:p w:rsidR="00652F81" w:rsidRPr="00F27ADC" w:rsidRDefault="00652F81" w:rsidP="00652F81">
            <w:pPr>
              <w:jc w:val="center"/>
              <w:rPr>
                <w:rFonts w:ascii="Tahoma" w:hAnsi="Tahoma" w:cs="Tahoma"/>
                <w:b/>
                <w:bCs/>
              </w:rPr>
            </w:pPr>
            <w:r w:rsidRPr="002846F5">
              <w:rPr>
                <w:rFonts w:ascii="Tahoma" w:hAnsi="Tahoma" w:cs="Tahoma"/>
                <w:b/>
                <w:bCs/>
              </w:rPr>
              <w:t>200</w:t>
            </w:r>
            <w:r>
              <w:rPr>
                <w:rFonts w:ascii="Tahoma" w:hAnsi="Tahoma" w:cs="Tahoma"/>
                <w:b/>
                <w:bCs/>
              </w:rPr>
              <w:t>8</w:t>
            </w:r>
          </w:p>
        </w:tc>
        <w:tc>
          <w:tcPr>
            <w:tcW w:w="960" w:type="dxa"/>
            <w:tcBorders>
              <w:top w:val="single" w:sz="12" w:space="0" w:color="auto"/>
              <w:bottom w:val="single" w:sz="8" w:space="0" w:color="auto"/>
            </w:tcBorders>
            <w:noWrap/>
            <w:vAlign w:val="bottom"/>
          </w:tcPr>
          <w:p w:rsidR="00652F81" w:rsidRPr="00F27ADC" w:rsidRDefault="00652F81" w:rsidP="00652F81">
            <w:pPr>
              <w:jc w:val="center"/>
              <w:rPr>
                <w:rFonts w:ascii="Tahoma" w:hAnsi="Tahoma" w:cs="Tahoma"/>
                <w:b/>
                <w:bCs/>
              </w:rPr>
            </w:pPr>
            <w:r>
              <w:rPr>
                <w:rFonts w:ascii="Tahoma" w:hAnsi="Tahoma" w:cs="Tahoma"/>
                <w:b/>
                <w:bCs/>
                <w:lang w:val="en-US"/>
              </w:rPr>
              <w:t>200</w:t>
            </w:r>
            <w:r>
              <w:rPr>
                <w:rFonts w:ascii="Tahoma" w:hAnsi="Tahoma" w:cs="Tahoma"/>
                <w:b/>
                <w:bCs/>
              </w:rPr>
              <w:t>9</w:t>
            </w:r>
          </w:p>
        </w:tc>
        <w:tc>
          <w:tcPr>
            <w:tcW w:w="960" w:type="dxa"/>
            <w:tcBorders>
              <w:top w:val="single" w:sz="12" w:space="0" w:color="auto"/>
              <w:bottom w:val="single" w:sz="8" w:space="0" w:color="auto"/>
            </w:tcBorders>
            <w:noWrap/>
            <w:vAlign w:val="bottom"/>
          </w:tcPr>
          <w:p w:rsidR="00652F81" w:rsidRPr="00F27ADC" w:rsidRDefault="00652F81" w:rsidP="00652F81">
            <w:pPr>
              <w:jc w:val="center"/>
              <w:rPr>
                <w:rFonts w:ascii="Tahoma" w:hAnsi="Tahoma" w:cs="Tahoma"/>
                <w:b/>
                <w:bCs/>
              </w:rPr>
            </w:pPr>
            <w:r>
              <w:rPr>
                <w:rFonts w:ascii="Tahoma" w:hAnsi="Tahoma" w:cs="Tahoma"/>
                <w:b/>
                <w:bCs/>
                <w:lang w:val="en-US"/>
              </w:rPr>
              <w:t>20</w:t>
            </w:r>
            <w:r>
              <w:rPr>
                <w:rFonts w:ascii="Tahoma" w:hAnsi="Tahoma" w:cs="Tahoma"/>
                <w:b/>
                <w:bCs/>
              </w:rPr>
              <w:t>10</w:t>
            </w:r>
          </w:p>
        </w:tc>
      </w:tr>
      <w:tr w:rsidR="00652F81" w:rsidRPr="00515DAC" w:rsidTr="00652F81">
        <w:trPr>
          <w:trHeight w:val="255"/>
        </w:trPr>
        <w:tc>
          <w:tcPr>
            <w:tcW w:w="960" w:type="dxa"/>
            <w:tcBorders>
              <w:top w:val="single" w:sz="8" w:space="0" w:color="auto"/>
            </w:tcBorders>
            <w:noWrap/>
            <w:vAlign w:val="bottom"/>
          </w:tcPr>
          <w:p w:rsidR="00652F81" w:rsidRPr="002846F5" w:rsidRDefault="00652F81" w:rsidP="00652F81">
            <w:pPr>
              <w:rPr>
                <w:rFonts w:ascii="Tahoma" w:hAnsi="Tahoma" w:cs="Tahoma"/>
                <w:b/>
                <w:bCs/>
              </w:rPr>
            </w:pPr>
            <w:r w:rsidRPr="002846F5">
              <w:rPr>
                <w:rFonts w:ascii="Tahoma" w:hAnsi="Tahoma" w:cs="Tahoma"/>
                <w:b/>
                <w:bCs/>
              </w:rPr>
              <w:t>EU27</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1,88</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1,87</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1,83</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1,83</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1,85</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1,85</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1,92</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2,01</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2,00</w:t>
            </w:r>
          </w:p>
        </w:tc>
      </w:tr>
      <w:tr w:rsidR="00652F81" w:rsidRPr="00515DAC" w:rsidTr="00652F81">
        <w:trPr>
          <w:trHeight w:val="255"/>
        </w:trPr>
        <w:tc>
          <w:tcPr>
            <w:tcW w:w="960" w:type="dxa"/>
            <w:tcBorders>
              <w:top w:val="single" w:sz="8" w:space="0" w:color="auto"/>
            </w:tcBorders>
            <w:noWrap/>
            <w:vAlign w:val="bottom"/>
          </w:tcPr>
          <w:p w:rsidR="00652F81" w:rsidRDefault="00652F81" w:rsidP="00652F81">
            <w:pPr>
              <w:rPr>
                <w:rFonts w:ascii="Tahoma" w:hAnsi="Tahoma" w:cs="Tahoma"/>
                <w:b/>
                <w:bCs/>
                <w:lang w:val="en-US"/>
              </w:rPr>
            </w:pPr>
            <w:r>
              <w:rPr>
                <w:rFonts w:ascii="Tahoma" w:hAnsi="Tahoma" w:cs="Tahoma"/>
                <w:b/>
                <w:bCs/>
                <w:lang w:val="en-US"/>
              </w:rPr>
              <w:t>EU15</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1,94</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1,93</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1,89</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1,89</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1,92</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1,93</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2,01</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2,1</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2,09</w:t>
            </w:r>
          </w:p>
        </w:tc>
      </w:tr>
      <w:tr w:rsidR="00652F81" w:rsidRPr="00515DAC" w:rsidTr="00652F81">
        <w:trPr>
          <w:trHeight w:val="255"/>
        </w:trPr>
        <w:tc>
          <w:tcPr>
            <w:tcW w:w="960" w:type="dxa"/>
            <w:tcBorders>
              <w:top w:val="single" w:sz="8" w:space="0" w:color="auto"/>
            </w:tcBorders>
            <w:noWrap/>
            <w:vAlign w:val="bottom"/>
          </w:tcPr>
          <w:p w:rsidR="00652F81" w:rsidRPr="00F27ADC" w:rsidRDefault="00652F81" w:rsidP="00652F81">
            <w:pPr>
              <w:rPr>
                <w:rFonts w:ascii="Tahoma" w:hAnsi="Tahoma" w:cs="Tahoma"/>
                <w:b/>
                <w:bCs/>
              </w:rPr>
            </w:pPr>
            <w:r>
              <w:rPr>
                <w:rFonts w:ascii="Tahoma" w:hAnsi="Tahoma" w:cs="Tahoma"/>
                <w:b/>
                <w:bCs/>
                <w:lang w:val="en-US"/>
              </w:rPr>
              <w:t>EA1</w:t>
            </w:r>
            <w:r>
              <w:rPr>
                <w:rFonts w:ascii="Tahoma" w:hAnsi="Tahoma" w:cs="Tahoma"/>
                <w:b/>
                <w:bCs/>
              </w:rPr>
              <w:t>7</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1,88</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1,87</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1,85</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1,84</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1,87</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1,88</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1,96</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2,06</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2,06</w:t>
            </w:r>
          </w:p>
        </w:tc>
      </w:tr>
      <w:tr w:rsidR="00652F81" w:rsidRPr="001E1981" w:rsidTr="00652F81">
        <w:trPr>
          <w:trHeight w:val="255"/>
        </w:trPr>
        <w:tc>
          <w:tcPr>
            <w:tcW w:w="960" w:type="dxa"/>
            <w:noWrap/>
            <w:vAlign w:val="bottom"/>
          </w:tcPr>
          <w:p w:rsidR="00652F81" w:rsidRPr="002846F5" w:rsidRDefault="00652F81" w:rsidP="00652F81">
            <w:pPr>
              <w:rPr>
                <w:rFonts w:ascii="Tahoma" w:hAnsi="Tahoma" w:cs="Tahoma"/>
                <w:b/>
                <w:bCs/>
              </w:rPr>
            </w:pPr>
            <w:r w:rsidRPr="002846F5">
              <w:rPr>
                <w:rFonts w:ascii="Tahoma" w:hAnsi="Tahoma" w:cs="Tahoma"/>
                <w:b/>
                <w:bCs/>
              </w:rPr>
              <w:t>EL</w:t>
            </w:r>
          </w:p>
        </w:tc>
        <w:tc>
          <w:tcPr>
            <w:tcW w:w="960" w:type="dxa"/>
            <w:noWrap/>
            <w:vAlign w:val="bottom"/>
          </w:tcPr>
          <w:p w:rsidR="00652F81" w:rsidRDefault="00652F81" w:rsidP="00652F81">
            <w:pPr>
              <w:jc w:val="right"/>
              <w:rPr>
                <w:rFonts w:ascii="Tahoma" w:hAnsi="Tahoma" w:cs="Tahoma"/>
              </w:rPr>
            </w:pPr>
            <w:r>
              <w:rPr>
                <w:rFonts w:ascii="Tahoma" w:hAnsi="Tahoma" w:cs="Tahoma"/>
              </w:rPr>
              <w:t>:</w:t>
            </w:r>
          </w:p>
        </w:tc>
        <w:tc>
          <w:tcPr>
            <w:tcW w:w="960" w:type="dxa"/>
            <w:noWrap/>
            <w:vAlign w:val="bottom"/>
          </w:tcPr>
          <w:p w:rsidR="00652F81" w:rsidRDefault="00652F81" w:rsidP="00652F81">
            <w:pPr>
              <w:jc w:val="right"/>
              <w:rPr>
                <w:rFonts w:ascii="Tahoma" w:hAnsi="Tahoma" w:cs="Tahoma"/>
              </w:rPr>
            </w:pPr>
            <w:r>
              <w:rPr>
                <w:rFonts w:ascii="Tahoma" w:hAnsi="Tahoma" w:cs="Tahoma"/>
              </w:rPr>
              <w:t>0,57</w:t>
            </w:r>
          </w:p>
        </w:tc>
        <w:tc>
          <w:tcPr>
            <w:tcW w:w="960" w:type="dxa"/>
            <w:noWrap/>
            <w:vAlign w:val="bottom"/>
          </w:tcPr>
          <w:p w:rsidR="00652F81" w:rsidRDefault="00652F81" w:rsidP="00652F81">
            <w:pPr>
              <w:jc w:val="right"/>
              <w:rPr>
                <w:rFonts w:ascii="Tahoma" w:hAnsi="Tahoma" w:cs="Tahoma"/>
              </w:rPr>
            </w:pPr>
            <w:r>
              <w:rPr>
                <w:rFonts w:ascii="Tahoma" w:hAnsi="Tahoma" w:cs="Tahoma"/>
              </w:rPr>
              <w:t>0,55</w:t>
            </w:r>
          </w:p>
        </w:tc>
        <w:tc>
          <w:tcPr>
            <w:tcW w:w="960" w:type="dxa"/>
            <w:noWrap/>
            <w:vAlign w:val="bottom"/>
          </w:tcPr>
          <w:p w:rsidR="00652F81" w:rsidRDefault="00652F81" w:rsidP="00652F81">
            <w:pPr>
              <w:jc w:val="right"/>
              <w:rPr>
                <w:rFonts w:ascii="Tahoma" w:hAnsi="Tahoma" w:cs="Tahoma"/>
              </w:rPr>
            </w:pPr>
            <w:r>
              <w:rPr>
                <w:rFonts w:ascii="Tahoma" w:hAnsi="Tahoma" w:cs="Tahoma"/>
              </w:rPr>
              <w:t>0,6</w:t>
            </w:r>
          </w:p>
        </w:tc>
        <w:tc>
          <w:tcPr>
            <w:tcW w:w="960" w:type="dxa"/>
            <w:noWrap/>
            <w:vAlign w:val="bottom"/>
          </w:tcPr>
          <w:p w:rsidR="00652F81" w:rsidRDefault="00652F81" w:rsidP="00652F81">
            <w:pPr>
              <w:jc w:val="right"/>
              <w:rPr>
                <w:rFonts w:ascii="Tahoma" w:hAnsi="Tahoma" w:cs="Tahoma"/>
              </w:rPr>
            </w:pPr>
            <w:r>
              <w:rPr>
                <w:rFonts w:ascii="Tahoma" w:hAnsi="Tahoma" w:cs="Tahoma"/>
              </w:rPr>
              <w:t>0,59</w:t>
            </w:r>
          </w:p>
        </w:tc>
        <w:tc>
          <w:tcPr>
            <w:tcW w:w="960" w:type="dxa"/>
            <w:noWrap/>
            <w:vAlign w:val="bottom"/>
          </w:tcPr>
          <w:p w:rsidR="00652F81" w:rsidRDefault="00652F81" w:rsidP="00652F81">
            <w:pPr>
              <w:jc w:val="right"/>
              <w:rPr>
                <w:rFonts w:ascii="Tahoma" w:hAnsi="Tahoma" w:cs="Tahoma"/>
              </w:rPr>
            </w:pPr>
            <w:r>
              <w:rPr>
                <w:rFonts w:ascii="Tahoma" w:hAnsi="Tahoma" w:cs="Tahoma"/>
              </w:rPr>
              <w:t>0,60</w:t>
            </w:r>
          </w:p>
        </w:tc>
        <w:tc>
          <w:tcPr>
            <w:tcW w:w="960" w:type="dxa"/>
            <w:noWrap/>
            <w:vAlign w:val="bottom"/>
          </w:tcPr>
          <w:p w:rsidR="00652F81" w:rsidRDefault="00652F81" w:rsidP="00652F81">
            <w:pPr>
              <w:jc w:val="right"/>
              <w:rPr>
                <w:rFonts w:ascii="Tahoma" w:hAnsi="Tahoma" w:cs="Tahoma"/>
              </w:rPr>
            </w:pPr>
            <w:r>
              <w:rPr>
                <w:rFonts w:ascii="Tahoma" w:hAnsi="Tahoma" w:cs="Tahoma"/>
              </w:rPr>
              <w:t>:</w:t>
            </w:r>
          </w:p>
        </w:tc>
        <w:tc>
          <w:tcPr>
            <w:tcW w:w="960" w:type="dxa"/>
            <w:noWrap/>
            <w:vAlign w:val="bottom"/>
          </w:tcPr>
          <w:p w:rsidR="00652F81" w:rsidRDefault="00652F81" w:rsidP="00652F81">
            <w:pPr>
              <w:jc w:val="right"/>
              <w:rPr>
                <w:rFonts w:ascii="Tahoma" w:hAnsi="Tahoma" w:cs="Tahoma"/>
              </w:rPr>
            </w:pPr>
            <w:r>
              <w:rPr>
                <w:rFonts w:ascii="Tahoma" w:hAnsi="Tahoma" w:cs="Tahoma"/>
              </w:rPr>
              <w:t>:</w:t>
            </w:r>
          </w:p>
        </w:tc>
        <w:tc>
          <w:tcPr>
            <w:tcW w:w="960" w:type="dxa"/>
            <w:noWrap/>
            <w:vAlign w:val="bottom"/>
          </w:tcPr>
          <w:p w:rsidR="00652F81" w:rsidRDefault="00652F81" w:rsidP="00652F81">
            <w:pPr>
              <w:jc w:val="right"/>
              <w:rPr>
                <w:rFonts w:ascii="Tahoma" w:hAnsi="Tahoma" w:cs="Tahoma"/>
              </w:rPr>
            </w:pPr>
            <w:r>
              <w:rPr>
                <w:rFonts w:ascii="Tahoma" w:hAnsi="Tahoma" w:cs="Tahoma"/>
              </w:rPr>
              <w:t>:</w:t>
            </w:r>
          </w:p>
        </w:tc>
      </w:tr>
    </w:tbl>
    <w:p w:rsidR="00652F81" w:rsidRPr="0031613C" w:rsidRDefault="00652F81" w:rsidP="00652F81">
      <w:pPr>
        <w:pStyle w:val="1"/>
        <w:rPr>
          <w:rFonts w:ascii="Tahoma" w:hAnsi="Tahoma" w:cs="Tahoma"/>
          <w:b w:val="0"/>
          <w:sz w:val="18"/>
          <w:szCs w:val="18"/>
        </w:rPr>
      </w:pPr>
      <w:r w:rsidRPr="000F4305">
        <w:rPr>
          <w:rFonts w:ascii="Tahoma" w:hAnsi="Tahoma" w:cs="Tahoma"/>
          <w:b w:val="0"/>
          <w:sz w:val="18"/>
          <w:szCs w:val="18"/>
        </w:rPr>
        <w:t>(</w:t>
      </w:r>
      <w:r w:rsidRPr="00B72539">
        <w:rPr>
          <w:rFonts w:ascii="Tahoma" w:hAnsi="Tahoma" w:cs="Tahoma"/>
          <w:b w:val="0"/>
          <w:sz w:val="18"/>
          <w:szCs w:val="18"/>
          <w:lang w:val="en-US"/>
        </w:rPr>
        <w:t>s</w:t>
      </w:r>
      <w:r w:rsidRPr="000F4305">
        <w:rPr>
          <w:rFonts w:ascii="Tahoma" w:hAnsi="Tahoma" w:cs="Tahoma"/>
          <w:b w:val="0"/>
          <w:sz w:val="18"/>
          <w:szCs w:val="18"/>
        </w:rPr>
        <w:t>)</w:t>
      </w:r>
      <w:r w:rsidRPr="00460FBE">
        <w:rPr>
          <w:rFonts w:ascii="Tahoma" w:hAnsi="Tahoma" w:cs="Tahoma"/>
          <w:b w:val="0"/>
          <w:sz w:val="18"/>
          <w:szCs w:val="18"/>
        </w:rPr>
        <w:t>:</w:t>
      </w:r>
      <w:r w:rsidRPr="00B72539">
        <w:rPr>
          <w:rFonts w:ascii="Tahoma" w:hAnsi="Tahoma" w:cs="Tahoma"/>
          <w:b w:val="0"/>
          <w:sz w:val="18"/>
          <w:szCs w:val="18"/>
        </w:rPr>
        <w:t xml:space="preserve"> εκτίμηση </w:t>
      </w:r>
      <w:r w:rsidRPr="00B72539">
        <w:rPr>
          <w:rFonts w:ascii="Tahoma" w:hAnsi="Tahoma" w:cs="Tahoma"/>
          <w:b w:val="0"/>
          <w:sz w:val="18"/>
          <w:szCs w:val="18"/>
          <w:lang w:val="en-US"/>
        </w:rPr>
        <w:t>Eurostat</w:t>
      </w:r>
    </w:p>
    <w:p w:rsidR="00652F81" w:rsidRPr="002846F5" w:rsidRDefault="00652F81" w:rsidP="00652F81">
      <w:pPr>
        <w:pStyle w:val="1"/>
        <w:rPr>
          <w:rFonts w:ascii="Tahoma" w:hAnsi="Tahoma" w:cs="Tahoma"/>
          <w:sz w:val="18"/>
          <w:szCs w:val="18"/>
        </w:rPr>
      </w:pPr>
      <w:r w:rsidRPr="00954CD1">
        <w:rPr>
          <w:rFonts w:ascii="Tahoma" w:hAnsi="Tahoma" w:cs="Tahoma"/>
          <w:sz w:val="18"/>
          <w:szCs w:val="18"/>
        </w:rPr>
        <w:t>Πηγή:</w:t>
      </w:r>
      <w:r w:rsidRPr="002846F5">
        <w:rPr>
          <w:rFonts w:ascii="Tahoma" w:hAnsi="Tahoma" w:cs="Tahoma"/>
          <w:b w:val="0"/>
          <w:sz w:val="18"/>
          <w:szCs w:val="18"/>
        </w:rPr>
        <w:t xml:space="preserve"> </w:t>
      </w:r>
      <w:r w:rsidRPr="002846F5">
        <w:rPr>
          <w:rFonts w:ascii="Tahoma" w:hAnsi="Tahoma" w:cs="Tahoma"/>
          <w:b w:val="0"/>
          <w:sz w:val="18"/>
          <w:szCs w:val="18"/>
          <w:lang w:val="en-US"/>
        </w:rPr>
        <w:t>Eurostat</w:t>
      </w:r>
    </w:p>
    <w:p w:rsidR="00652F81" w:rsidRPr="00084D76" w:rsidRDefault="00652F81" w:rsidP="00652F81"/>
    <w:p w:rsidR="00652F81" w:rsidRPr="00084D76" w:rsidRDefault="00652F81" w:rsidP="00652F81"/>
    <w:p w:rsidR="00652F81" w:rsidRPr="00084D76" w:rsidRDefault="00652F81" w:rsidP="00652F81"/>
    <w:p w:rsidR="00652F81" w:rsidRPr="00084D76" w:rsidRDefault="00652F81" w:rsidP="00652F81"/>
    <w:p w:rsidR="00652F81" w:rsidRPr="00084D76" w:rsidRDefault="00652F81" w:rsidP="00652F81">
      <w:pPr>
        <w:pStyle w:val="new12"/>
        <w:sectPr w:rsidR="00652F81" w:rsidRPr="00084D76" w:rsidSect="00652F81">
          <w:footerReference w:type="default" r:id="rId83"/>
          <w:pgSz w:w="11906" w:h="16838" w:code="9"/>
          <w:pgMar w:top="1701" w:right="1418" w:bottom="1418" w:left="1418" w:header="720" w:footer="720" w:gutter="0"/>
          <w:paperSrc w:first="7" w:other="7"/>
          <w:cols w:space="720"/>
        </w:sectPr>
      </w:pPr>
    </w:p>
    <w:p w:rsidR="00652F81" w:rsidRPr="00294913" w:rsidRDefault="00652F81" w:rsidP="00652F81">
      <w:pPr>
        <w:pStyle w:val="new12"/>
      </w:pPr>
      <w:bookmarkStart w:id="418" w:name="_Toc169881541"/>
      <w:bookmarkStart w:id="419" w:name="_Toc170201882"/>
      <w:r w:rsidRPr="00294913">
        <w:lastRenderedPageBreak/>
        <w:t>ΙΙΙ</w:t>
      </w:r>
      <w:r w:rsidRPr="00C27EEB">
        <w:t>-2</w:t>
      </w:r>
      <w:r w:rsidRPr="00294913">
        <w:t>α</w:t>
      </w:r>
      <w:r>
        <w:t>,</w:t>
      </w:r>
      <w:r w:rsidRPr="00C27EEB">
        <w:tab/>
      </w:r>
      <w:r w:rsidRPr="00294913">
        <w:t xml:space="preserve">Επίπεδο </w:t>
      </w:r>
      <w:r>
        <w:t>Μόρφωσης Ατόμων Η</w:t>
      </w:r>
      <w:r w:rsidRPr="00294913">
        <w:t>λικίας 20-24 ετών</w:t>
      </w:r>
      <w:bookmarkEnd w:id="416"/>
      <w:bookmarkEnd w:id="417"/>
      <w:bookmarkEnd w:id="418"/>
      <w:bookmarkEnd w:id="419"/>
    </w:p>
    <w:p w:rsidR="00652F81" w:rsidRPr="00CA011E" w:rsidRDefault="00652F81" w:rsidP="00652F81">
      <w:pPr>
        <w:pStyle w:val="new1210pt"/>
      </w:pPr>
      <w:bookmarkStart w:id="420" w:name="_Toc150308590"/>
      <w:bookmarkStart w:id="421" w:name="_Toc170201883"/>
      <w:r w:rsidRPr="00294913">
        <w:t>(% πληθυσμού 20-24 ετών που έχει ολοκληρώσει τουλάχιστον την δευτεροβάθμια εκπαίδευση)</w:t>
      </w:r>
      <w:bookmarkEnd w:id="420"/>
      <w:bookmarkEnd w:id="421"/>
      <w:r w:rsidRPr="00CA011E">
        <w:t xml:space="preserve"> </w:t>
      </w:r>
    </w:p>
    <w:p w:rsidR="00652F81" w:rsidRPr="00CA011E" w:rsidRDefault="00652F81" w:rsidP="00652F81">
      <w:bookmarkStart w:id="422" w:name="_Toc514054412"/>
      <w:bookmarkStart w:id="423" w:name="_Toc514567156"/>
      <w:bookmarkStart w:id="424" w:name="_Toc535676805"/>
      <w:bookmarkEnd w:id="422"/>
      <w:bookmarkEnd w:id="423"/>
      <w:bookmarkEnd w:id="424"/>
      <w:r>
        <w:rPr>
          <w:noProof/>
          <w:lang w:val="en-US" w:eastAsia="en-US"/>
        </w:rPr>
        <w:drawing>
          <wp:inline distT="0" distB="0" distL="0" distR="0">
            <wp:extent cx="5267325" cy="3476625"/>
            <wp:effectExtent l="0" t="0" r="0"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cstate="print"/>
                    <a:srcRect/>
                    <a:stretch>
                      <a:fillRect/>
                    </a:stretch>
                  </pic:blipFill>
                  <pic:spPr bwMode="auto">
                    <a:xfrm>
                      <a:off x="0" y="0"/>
                      <a:ext cx="5267325" cy="3476625"/>
                    </a:xfrm>
                    <a:prstGeom prst="rect">
                      <a:avLst/>
                    </a:prstGeom>
                    <a:noFill/>
                    <a:ln w="9525">
                      <a:noFill/>
                      <a:miter lim="800000"/>
                      <a:headEnd/>
                      <a:tailEnd/>
                    </a:ln>
                  </pic:spPr>
                </pic:pic>
              </a:graphicData>
            </a:graphic>
          </wp:inline>
        </w:drawing>
      </w:r>
      <w:r w:rsidRPr="00CA011E">
        <w:br w:type="textWrapping" w:clear="all"/>
      </w:r>
    </w:p>
    <w:tbl>
      <w:tblPr>
        <w:tblW w:w="9600" w:type="dxa"/>
        <w:tblBorders>
          <w:top w:val="single" w:sz="12" w:space="0" w:color="auto"/>
          <w:bottom w:val="single" w:sz="12" w:space="0" w:color="auto"/>
          <w:insideH w:val="dotted" w:sz="4" w:space="0" w:color="auto"/>
        </w:tblBorders>
        <w:tblLook w:val="00E0"/>
      </w:tblPr>
      <w:tblGrid>
        <w:gridCol w:w="960"/>
        <w:gridCol w:w="960"/>
        <w:gridCol w:w="960"/>
        <w:gridCol w:w="960"/>
        <w:gridCol w:w="960"/>
        <w:gridCol w:w="960"/>
        <w:gridCol w:w="960"/>
        <w:gridCol w:w="960"/>
        <w:gridCol w:w="960"/>
        <w:gridCol w:w="960"/>
      </w:tblGrid>
      <w:tr w:rsidR="00652F81" w:rsidRPr="00515DAC" w:rsidTr="00652F81">
        <w:trPr>
          <w:trHeight w:val="255"/>
        </w:trPr>
        <w:tc>
          <w:tcPr>
            <w:tcW w:w="960" w:type="dxa"/>
            <w:tcBorders>
              <w:top w:val="single" w:sz="12" w:space="0" w:color="auto"/>
              <w:bottom w:val="single" w:sz="8" w:space="0" w:color="auto"/>
            </w:tcBorders>
            <w:noWrap/>
          </w:tcPr>
          <w:p w:rsidR="00652F81" w:rsidRPr="00CA011E" w:rsidRDefault="00652F81" w:rsidP="00652F81">
            <w:pPr>
              <w:jc w:val="center"/>
              <w:rPr>
                <w:rFonts w:ascii="Tahoma" w:hAnsi="Tahoma" w:cs="Tahoma"/>
              </w:rPr>
            </w:pPr>
          </w:p>
          <w:p w:rsidR="00652F81" w:rsidRPr="00CA011E" w:rsidRDefault="00652F81" w:rsidP="00652F81">
            <w:pPr>
              <w:jc w:val="center"/>
              <w:rPr>
                <w:rFonts w:ascii="Tahoma" w:hAnsi="Tahoma" w:cs="Tahoma"/>
              </w:rPr>
            </w:pPr>
          </w:p>
        </w:tc>
        <w:tc>
          <w:tcPr>
            <w:tcW w:w="960" w:type="dxa"/>
            <w:tcBorders>
              <w:top w:val="single" w:sz="12" w:space="0" w:color="auto"/>
              <w:bottom w:val="single" w:sz="8" w:space="0" w:color="auto"/>
            </w:tcBorders>
            <w:noWrap/>
            <w:vAlign w:val="bottom"/>
          </w:tcPr>
          <w:p w:rsidR="00652F81" w:rsidRPr="00FB3069" w:rsidRDefault="00652F81" w:rsidP="00652F81">
            <w:pPr>
              <w:jc w:val="center"/>
              <w:rPr>
                <w:rFonts w:ascii="Tahoma" w:hAnsi="Tahoma" w:cs="Tahoma"/>
                <w:b/>
                <w:bCs/>
              </w:rPr>
            </w:pPr>
            <w:r w:rsidRPr="00FB3069">
              <w:rPr>
                <w:rFonts w:ascii="Tahoma" w:hAnsi="Tahoma" w:cs="Tahoma"/>
                <w:b/>
                <w:bCs/>
              </w:rPr>
              <w:t>2002</w:t>
            </w:r>
          </w:p>
        </w:tc>
        <w:tc>
          <w:tcPr>
            <w:tcW w:w="960" w:type="dxa"/>
            <w:tcBorders>
              <w:top w:val="single" w:sz="12" w:space="0" w:color="auto"/>
              <w:bottom w:val="single" w:sz="8" w:space="0" w:color="auto"/>
            </w:tcBorders>
            <w:noWrap/>
            <w:vAlign w:val="bottom"/>
          </w:tcPr>
          <w:p w:rsidR="00652F81" w:rsidRPr="00FB3069" w:rsidRDefault="00652F81" w:rsidP="00652F81">
            <w:pPr>
              <w:jc w:val="center"/>
              <w:rPr>
                <w:rFonts w:ascii="Tahoma" w:hAnsi="Tahoma" w:cs="Tahoma"/>
                <w:b/>
                <w:bCs/>
              </w:rPr>
            </w:pPr>
            <w:r w:rsidRPr="00FB3069">
              <w:rPr>
                <w:rFonts w:ascii="Tahoma" w:hAnsi="Tahoma" w:cs="Tahoma"/>
                <w:b/>
                <w:bCs/>
              </w:rPr>
              <w:t>2003</w:t>
            </w:r>
          </w:p>
        </w:tc>
        <w:tc>
          <w:tcPr>
            <w:tcW w:w="960" w:type="dxa"/>
            <w:tcBorders>
              <w:top w:val="single" w:sz="12" w:space="0" w:color="auto"/>
              <w:bottom w:val="single" w:sz="8" w:space="0" w:color="auto"/>
            </w:tcBorders>
            <w:noWrap/>
            <w:vAlign w:val="bottom"/>
          </w:tcPr>
          <w:p w:rsidR="00652F81" w:rsidRPr="00FB3069" w:rsidRDefault="00652F81" w:rsidP="00652F81">
            <w:pPr>
              <w:jc w:val="center"/>
              <w:rPr>
                <w:rFonts w:ascii="Tahoma" w:hAnsi="Tahoma" w:cs="Tahoma"/>
                <w:b/>
                <w:bCs/>
              </w:rPr>
            </w:pPr>
            <w:r w:rsidRPr="00FB3069">
              <w:rPr>
                <w:rFonts w:ascii="Tahoma" w:hAnsi="Tahoma" w:cs="Tahoma"/>
                <w:b/>
                <w:bCs/>
              </w:rPr>
              <w:t>2004</w:t>
            </w:r>
          </w:p>
        </w:tc>
        <w:tc>
          <w:tcPr>
            <w:tcW w:w="960" w:type="dxa"/>
            <w:tcBorders>
              <w:top w:val="single" w:sz="12" w:space="0" w:color="auto"/>
              <w:bottom w:val="single" w:sz="8" w:space="0" w:color="auto"/>
            </w:tcBorders>
            <w:noWrap/>
            <w:vAlign w:val="bottom"/>
          </w:tcPr>
          <w:p w:rsidR="00652F81" w:rsidRPr="00FB3069" w:rsidRDefault="00652F81" w:rsidP="00652F81">
            <w:pPr>
              <w:jc w:val="center"/>
              <w:rPr>
                <w:rFonts w:ascii="Tahoma" w:hAnsi="Tahoma" w:cs="Tahoma"/>
                <w:b/>
                <w:bCs/>
              </w:rPr>
            </w:pPr>
            <w:r w:rsidRPr="00FB3069">
              <w:rPr>
                <w:rFonts w:ascii="Tahoma" w:hAnsi="Tahoma" w:cs="Tahoma"/>
                <w:b/>
                <w:bCs/>
              </w:rPr>
              <w:t>2005</w:t>
            </w:r>
          </w:p>
        </w:tc>
        <w:tc>
          <w:tcPr>
            <w:tcW w:w="960" w:type="dxa"/>
            <w:tcBorders>
              <w:top w:val="single" w:sz="12" w:space="0" w:color="auto"/>
              <w:bottom w:val="single" w:sz="8" w:space="0" w:color="auto"/>
            </w:tcBorders>
            <w:noWrap/>
            <w:vAlign w:val="bottom"/>
          </w:tcPr>
          <w:p w:rsidR="00652F81" w:rsidRPr="00FB3069" w:rsidRDefault="00652F81" w:rsidP="00652F81">
            <w:pPr>
              <w:jc w:val="center"/>
              <w:rPr>
                <w:rFonts w:ascii="Tahoma" w:hAnsi="Tahoma" w:cs="Tahoma"/>
                <w:b/>
                <w:bCs/>
              </w:rPr>
            </w:pPr>
            <w:r w:rsidRPr="00FB3069">
              <w:rPr>
                <w:rFonts w:ascii="Tahoma" w:hAnsi="Tahoma" w:cs="Tahoma"/>
                <w:b/>
                <w:bCs/>
              </w:rPr>
              <w:t>2006</w:t>
            </w:r>
          </w:p>
        </w:tc>
        <w:tc>
          <w:tcPr>
            <w:tcW w:w="960" w:type="dxa"/>
            <w:tcBorders>
              <w:top w:val="single" w:sz="12" w:space="0" w:color="auto"/>
              <w:bottom w:val="single" w:sz="8" w:space="0" w:color="auto"/>
            </w:tcBorders>
            <w:noWrap/>
            <w:vAlign w:val="bottom"/>
          </w:tcPr>
          <w:p w:rsidR="00652F81" w:rsidRPr="00FB3069" w:rsidRDefault="00652F81" w:rsidP="00652F81">
            <w:pPr>
              <w:jc w:val="center"/>
              <w:rPr>
                <w:rFonts w:ascii="Tahoma" w:hAnsi="Tahoma" w:cs="Tahoma"/>
                <w:b/>
                <w:bCs/>
                <w:lang w:val="en-US"/>
              </w:rPr>
            </w:pPr>
            <w:r w:rsidRPr="00FB3069">
              <w:rPr>
                <w:rFonts w:ascii="Tahoma" w:hAnsi="Tahoma" w:cs="Tahoma"/>
                <w:b/>
                <w:bCs/>
              </w:rPr>
              <w:t>200</w:t>
            </w:r>
            <w:r w:rsidRPr="00FB3069">
              <w:rPr>
                <w:rFonts w:ascii="Tahoma" w:hAnsi="Tahoma" w:cs="Tahoma"/>
                <w:b/>
                <w:bCs/>
                <w:lang w:val="en-US"/>
              </w:rPr>
              <w:t>7</w:t>
            </w:r>
          </w:p>
        </w:tc>
        <w:tc>
          <w:tcPr>
            <w:tcW w:w="960" w:type="dxa"/>
            <w:tcBorders>
              <w:top w:val="single" w:sz="12" w:space="0" w:color="auto"/>
              <w:bottom w:val="single" w:sz="8" w:space="0" w:color="auto"/>
            </w:tcBorders>
            <w:noWrap/>
            <w:vAlign w:val="bottom"/>
          </w:tcPr>
          <w:p w:rsidR="00652F81" w:rsidRPr="008A5924" w:rsidRDefault="00652F81" w:rsidP="00652F81">
            <w:pPr>
              <w:jc w:val="center"/>
              <w:rPr>
                <w:rFonts w:ascii="Tahoma" w:hAnsi="Tahoma" w:cs="Tahoma"/>
                <w:b/>
                <w:bCs/>
              </w:rPr>
            </w:pPr>
            <w:r>
              <w:rPr>
                <w:rFonts w:ascii="Tahoma" w:hAnsi="Tahoma" w:cs="Tahoma"/>
                <w:b/>
                <w:bCs/>
              </w:rPr>
              <w:t>2008</w:t>
            </w:r>
          </w:p>
        </w:tc>
        <w:tc>
          <w:tcPr>
            <w:tcW w:w="960" w:type="dxa"/>
            <w:tcBorders>
              <w:top w:val="single" w:sz="12" w:space="0" w:color="auto"/>
              <w:bottom w:val="single" w:sz="8" w:space="0" w:color="auto"/>
            </w:tcBorders>
            <w:noWrap/>
            <w:vAlign w:val="bottom"/>
          </w:tcPr>
          <w:p w:rsidR="00652F81" w:rsidRPr="00602124" w:rsidRDefault="00652F81" w:rsidP="00652F81">
            <w:pPr>
              <w:jc w:val="center"/>
              <w:rPr>
                <w:rFonts w:ascii="Tahoma" w:hAnsi="Tahoma" w:cs="Tahoma"/>
                <w:b/>
                <w:bCs/>
                <w:lang w:val="en-US"/>
              </w:rPr>
            </w:pPr>
            <w:r>
              <w:rPr>
                <w:rFonts w:ascii="Tahoma" w:hAnsi="Tahoma" w:cs="Tahoma"/>
                <w:b/>
                <w:bCs/>
                <w:lang w:val="en-US"/>
              </w:rPr>
              <w:t>2009</w:t>
            </w:r>
          </w:p>
        </w:tc>
        <w:tc>
          <w:tcPr>
            <w:tcW w:w="960" w:type="dxa"/>
            <w:tcBorders>
              <w:top w:val="single" w:sz="12" w:space="0" w:color="auto"/>
              <w:bottom w:val="single" w:sz="8" w:space="0" w:color="auto"/>
            </w:tcBorders>
            <w:noWrap/>
            <w:vAlign w:val="bottom"/>
          </w:tcPr>
          <w:p w:rsidR="00652F81" w:rsidRPr="00602124" w:rsidRDefault="00652F81" w:rsidP="00652F81">
            <w:pPr>
              <w:jc w:val="center"/>
              <w:rPr>
                <w:rFonts w:ascii="Tahoma" w:hAnsi="Tahoma" w:cs="Tahoma"/>
                <w:b/>
                <w:bCs/>
                <w:lang w:val="en-US"/>
              </w:rPr>
            </w:pPr>
            <w:r>
              <w:rPr>
                <w:rFonts w:ascii="Tahoma" w:hAnsi="Tahoma" w:cs="Tahoma"/>
                <w:b/>
                <w:bCs/>
                <w:lang w:val="en-US"/>
              </w:rPr>
              <w:t>2010</w:t>
            </w:r>
          </w:p>
        </w:tc>
      </w:tr>
      <w:tr w:rsidR="00652F81" w:rsidRPr="00515DAC" w:rsidTr="00652F81">
        <w:trPr>
          <w:trHeight w:val="255"/>
        </w:trPr>
        <w:tc>
          <w:tcPr>
            <w:tcW w:w="960" w:type="dxa"/>
            <w:tcBorders>
              <w:top w:val="single" w:sz="8" w:space="0" w:color="auto"/>
            </w:tcBorders>
            <w:noWrap/>
            <w:vAlign w:val="bottom"/>
          </w:tcPr>
          <w:p w:rsidR="00652F81" w:rsidRPr="00FB3069" w:rsidRDefault="00652F81" w:rsidP="00652F81">
            <w:pPr>
              <w:rPr>
                <w:rFonts w:ascii="Tahoma" w:hAnsi="Tahoma" w:cs="Tahoma"/>
                <w:b/>
                <w:bCs/>
              </w:rPr>
            </w:pPr>
            <w:r w:rsidRPr="00FB3069">
              <w:rPr>
                <w:rFonts w:ascii="Tahoma" w:hAnsi="Tahoma" w:cs="Tahoma"/>
                <w:b/>
                <w:bCs/>
              </w:rPr>
              <w:t>EU27</w:t>
            </w:r>
          </w:p>
        </w:tc>
        <w:tc>
          <w:tcPr>
            <w:tcW w:w="960" w:type="dxa"/>
            <w:tcBorders>
              <w:top w:val="single" w:sz="8" w:space="0" w:color="auto"/>
            </w:tcBorders>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76,7</w:t>
            </w:r>
          </w:p>
        </w:tc>
        <w:tc>
          <w:tcPr>
            <w:tcW w:w="960" w:type="dxa"/>
            <w:tcBorders>
              <w:top w:val="single" w:sz="8" w:space="0" w:color="auto"/>
            </w:tcBorders>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76,9</w:t>
            </w:r>
          </w:p>
        </w:tc>
        <w:tc>
          <w:tcPr>
            <w:tcW w:w="960" w:type="dxa"/>
            <w:tcBorders>
              <w:top w:val="single" w:sz="8" w:space="0" w:color="auto"/>
            </w:tcBorders>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77,1</w:t>
            </w:r>
          </w:p>
        </w:tc>
        <w:tc>
          <w:tcPr>
            <w:tcW w:w="960" w:type="dxa"/>
            <w:tcBorders>
              <w:top w:val="single" w:sz="8" w:space="0" w:color="auto"/>
            </w:tcBorders>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77,5</w:t>
            </w:r>
          </w:p>
        </w:tc>
        <w:tc>
          <w:tcPr>
            <w:tcW w:w="960" w:type="dxa"/>
            <w:tcBorders>
              <w:top w:val="single" w:sz="8" w:space="0" w:color="auto"/>
            </w:tcBorders>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77,9</w:t>
            </w:r>
          </w:p>
        </w:tc>
        <w:tc>
          <w:tcPr>
            <w:tcW w:w="960" w:type="dxa"/>
            <w:tcBorders>
              <w:top w:val="single" w:sz="8" w:space="0" w:color="auto"/>
            </w:tcBorders>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78,1</w:t>
            </w:r>
          </w:p>
        </w:tc>
        <w:tc>
          <w:tcPr>
            <w:tcW w:w="960" w:type="dxa"/>
            <w:tcBorders>
              <w:top w:val="single" w:sz="8" w:space="0" w:color="auto"/>
            </w:tcBorders>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78,4</w:t>
            </w:r>
          </w:p>
        </w:tc>
        <w:tc>
          <w:tcPr>
            <w:tcW w:w="960" w:type="dxa"/>
            <w:tcBorders>
              <w:top w:val="single" w:sz="8" w:space="0" w:color="auto"/>
            </w:tcBorders>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78,6</w:t>
            </w:r>
          </w:p>
        </w:tc>
        <w:tc>
          <w:tcPr>
            <w:tcW w:w="960" w:type="dxa"/>
            <w:tcBorders>
              <w:top w:val="single" w:sz="8" w:space="0" w:color="auto"/>
            </w:tcBorders>
            <w:noWrap/>
            <w:vAlign w:val="bottom"/>
          </w:tcPr>
          <w:p w:rsidR="00652F81" w:rsidRPr="00B42576" w:rsidRDefault="00652F81" w:rsidP="00652F81">
            <w:pPr>
              <w:jc w:val="right"/>
              <w:rPr>
                <w:rFonts w:ascii="Tahoma" w:hAnsi="Tahoma" w:cs="Tahoma"/>
                <w:sz w:val="18"/>
                <w:szCs w:val="18"/>
                <w:lang w:val="en-US"/>
              </w:rPr>
            </w:pPr>
            <w:r>
              <w:rPr>
                <w:rFonts w:ascii="Tahoma" w:hAnsi="Tahoma" w:cs="Tahoma"/>
                <w:sz w:val="18"/>
                <w:szCs w:val="18"/>
                <w:lang w:val="en-US"/>
              </w:rPr>
              <w:t>79,0</w:t>
            </w:r>
          </w:p>
        </w:tc>
      </w:tr>
      <w:tr w:rsidR="00652F81" w:rsidRPr="00515DAC" w:rsidTr="00652F81">
        <w:trPr>
          <w:trHeight w:val="255"/>
        </w:trPr>
        <w:tc>
          <w:tcPr>
            <w:tcW w:w="960" w:type="dxa"/>
            <w:noWrap/>
            <w:vAlign w:val="bottom"/>
          </w:tcPr>
          <w:p w:rsidR="00652F81" w:rsidRPr="00FB3069" w:rsidRDefault="00652F81" w:rsidP="00652F81">
            <w:pPr>
              <w:rPr>
                <w:rFonts w:ascii="Tahoma" w:hAnsi="Tahoma" w:cs="Tahoma"/>
                <w:b/>
                <w:bCs/>
              </w:rPr>
            </w:pPr>
            <w:r w:rsidRPr="00FB3069">
              <w:rPr>
                <w:rFonts w:ascii="Tahoma" w:hAnsi="Tahoma" w:cs="Tahoma"/>
                <w:b/>
                <w:bCs/>
              </w:rPr>
              <w:t>EU25</w:t>
            </w:r>
          </w:p>
        </w:tc>
        <w:tc>
          <w:tcPr>
            <w:tcW w:w="960" w:type="dxa"/>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76,7</w:t>
            </w:r>
          </w:p>
        </w:tc>
        <w:tc>
          <w:tcPr>
            <w:tcW w:w="960" w:type="dxa"/>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77</w:t>
            </w:r>
          </w:p>
        </w:tc>
        <w:tc>
          <w:tcPr>
            <w:tcW w:w="960" w:type="dxa"/>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77,3</w:t>
            </w:r>
          </w:p>
        </w:tc>
        <w:tc>
          <w:tcPr>
            <w:tcW w:w="960" w:type="dxa"/>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77,6</w:t>
            </w:r>
          </w:p>
        </w:tc>
        <w:tc>
          <w:tcPr>
            <w:tcW w:w="960" w:type="dxa"/>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77,9</w:t>
            </w:r>
          </w:p>
        </w:tc>
        <w:tc>
          <w:tcPr>
            <w:tcW w:w="960" w:type="dxa"/>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78</w:t>
            </w:r>
          </w:p>
        </w:tc>
        <w:tc>
          <w:tcPr>
            <w:tcW w:w="960" w:type="dxa"/>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78,3</w:t>
            </w:r>
          </w:p>
        </w:tc>
        <w:tc>
          <w:tcPr>
            <w:tcW w:w="960" w:type="dxa"/>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78,5</w:t>
            </w:r>
          </w:p>
        </w:tc>
        <w:tc>
          <w:tcPr>
            <w:tcW w:w="960" w:type="dxa"/>
            <w:noWrap/>
            <w:vAlign w:val="bottom"/>
          </w:tcPr>
          <w:p w:rsidR="00652F81" w:rsidRPr="00B42576" w:rsidRDefault="00652F81" w:rsidP="00652F81">
            <w:pPr>
              <w:jc w:val="right"/>
              <w:rPr>
                <w:rFonts w:ascii="Tahoma" w:hAnsi="Tahoma" w:cs="Tahoma"/>
                <w:sz w:val="18"/>
                <w:szCs w:val="18"/>
                <w:lang w:val="en-US"/>
              </w:rPr>
            </w:pPr>
            <w:r>
              <w:rPr>
                <w:rFonts w:ascii="Tahoma" w:hAnsi="Tahoma" w:cs="Tahoma"/>
                <w:sz w:val="18"/>
                <w:szCs w:val="18"/>
                <w:lang w:val="en-US"/>
              </w:rPr>
              <w:t>78,9</w:t>
            </w:r>
          </w:p>
        </w:tc>
      </w:tr>
      <w:tr w:rsidR="00652F81" w:rsidRPr="00515DAC" w:rsidTr="00652F81">
        <w:trPr>
          <w:trHeight w:val="255"/>
        </w:trPr>
        <w:tc>
          <w:tcPr>
            <w:tcW w:w="960" w:type="dxa"/>
            <w:noWrap/>
            <w:vAlign w:val="bottom"/>
          </w:tcPr>
          <w:p w:rsidR="00652F81" w:rsidRPr="00FB3069" w:rsidRDefault="00652F81" w:rsidP="00652F81">
            <w:pPr>
              <w:rPr>
                <w:rFonts w:ascii="Tahoma" w:hAnsi="Tahoma" w:cs="Tahoma"/>
                <w:b/>
                <w:bCs/>
              </w:rPr>
            </w:pPr>
            <w:r w:rsidRPr="00FB3069">
              <w:rPr>
                <w:rFonts w:ascii="Tahoma" w:hAnsi="Tahoma" w:cs="Tahoma"/>
                <w:b/>
                <w:bCs/>
              </w:rPr>
              <w:t>EU15</w:t>
            </w:r>
          </w:p>
        </w:tc>
        <w:tc>
          <w:tcPr>
            <w:tcW w:w="960" w:type="dxa"/>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73,7</w:t>
            </w:r>
          </w:p>
        </w:tc>
        <w:tc>
          <w:tcPr>
            <w:tcW w:w="960" w:type="dxa"/>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74,1</w:t>
            </w:r>
          </w:p>
        </w:tc>
        <w:tc>
          <w:tcPr>
            <w:tcW w:w="960" w:type="dxa"/>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74,4</w:t>
            </w:r>
          </w:p>
        </w:tc>
        <w:tc>
          <w:tcPr>
            <w:tcW w:w="960" w:type="dxa"/>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74,7</w:t>
            </w:r>
          </w:p>
        </w:tc>
        <w:tc>
          <w:tcPr>
            <w:tcW w:w="960" w:type="dxa"/>
            <w:noWrap/>
            <w:vAlign w:val="bottom"/>
          </w:tcPr>
          <w:p w:rsidR="00652F81" w:rsidRPr="00B42576" w:rsidRDefault="00652F81" w:rsidP="00652F81">
            <w:pPr>
              <w:jc w:val="right"/>
              <w:rPr>
                <w:rFonts w:ascii="Tahoma" w:hAnsi="Tahoma" w:cs="Tahoma"/>
                <w:sz w:val="18"/>
                <w:szCs w:val="18"/>
                <w:lang w:val="en-US"/>
              </w:rPr>
            </w:pPr>
            <w:r w:rsidRPr="00602124">
              <w:rPr>
                <w:rFonts w:ascii="Tahoma" w:hAnsi="Tahoma" w:cs="Tahoma"/>
                <w:sz w:val="18"/>
                <w:szCs w:val="18"/>
              </w:rPr>
              <w:t>75</w:t>
            </w:r>
            <w:r>
              <w:rPr>
                <w:rFonts w:ascii="Tahoma" w:hAnsi="Tahoma" w:cs="Tahoma"/>
                <w:sz w:val="18"/>
                <w:szCs w:val="18"/>
                <w:lang w:val="en-US"/>
              </w:rPr>
              <w:t>,0</w:t>
            </w:r>
          </w:p>
        </w:tc>
        <w:tc>
          <w:tcPr>
            <w:tcW w:w="960" w:type="dxa"/>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75,2</w:t>
            </w:r>
          </w:p>
        </w:tc>
        <w:tc>
          <w:tcPr>
            <w:tcW w:w="960" w:type="dxa"/>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75,7</w:t>
            </w:r>
          </w:p>
        </w:tc>
        <w:tc>
          <w:tcPr>
            <w:tcW w:w="960" w:type="dxa"/>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76,1</w:t>
            </w:r>
          </w:p>
        </w:tc>
        <w:tc>
          <w:tcPr>
            <w:tcW w:w="960" w:type="dxa"/>
            <w:noWrap/>
            <w:vAlign w:val="bottom"/>
          </w:tcPr>
          <w:p w:rsidR="00652F81" w:rsidRPr="00B42576" w:rsidRDefault="00652F81" w:rsidP="00652F81">
            <w:pPr>
              <w:jc w:val="right"/>
              <w:rPr>
                <w:rFonts w:ascii="Tahoma" w:hAnsi="Tahoma" w:cs="Tahoma"/>
                <w:sz w:val="18"/>
                <w:szCs w:val="18"/>
                <w:lang w:val="en-US"/>
              </w:rPr>
            </w:pPr>
            <w:r>
              <w:rPr>
                <w:rFonts w:ascii="Tahoma" w:hAnsi="Tahoma" w:cs="Tahoma"/>
                <w:sz w:val="18"/>
                <w:szCs w:val="18"/>
                <w:lang w:val="en-US"/>
              </w:rPr>
              <w:t>76,6</w:t>
            </w:r>
          </w:p>
        </w:tc>
      </w:tr>
      <w:tr w:rsidR="00652F81" w:rsidRPr="00515DAC" w:rsidTr="00652F81">
        <w:trPr>
          <w:trHeight w:val="255"/>
        </w:trPr>
        <w:tc>
          <w:tcPr>
            <w:tcW w:w="960" w:type="dxa"/>
            <w:noWrap/>
            <w:vAlign w:val="bottom"/>
          </w:tcPr>
          <w:p w:rsidR="00652F81" w:rsidRPr="00345431" w:rsidRDefault="00652F81" w:rsidP="00652F81">
            <w:pPr>
              <w:rPr>
                <w:rFonts w:ascii="Tahoma" w:hAnsi="Tahoma" w:cs="Tahoma"/>
                <w:b/>
                <w:bCs/>
              </w:rPr>
            </w:pPr>
            <w:r>
              <w:rPr>
                <w:rFonts w:ascii="Tahoma" w:hAnsi="Tahoma" w:cs="Tahoma"/>
                <w:b/>
                <w:bCs/>
              </w:rPr>
              <w:t>EA17</w:t>
            </w:r>
          </w:p>
        </w:tc>
        <w:tc>
          <w:tcPr>
            <w:tcW w:w="960" w:type="dxa"/>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73,4</w:t>
            </w:r>
          </w:p>
        </w:tc>
        <w:tc>
          <w:tcPr>
            <w:tcW w:w="960" w:type="dxa"/>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73,5</w:t>
            </w:r>
          </w:p>
        </w:tc>
        <w:tc>
          <w:tcPr>
            <w:tcW w:w="960" w:type="dxa"/>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74</w:t>
            </w:r>
            <w:r>
              <w:rPr>
                <w:rFonts w:ascii="Tahoma" w:hAnsi="Tahoma" w:cs="Tahoma"/>
                <w:sz w:val="18"/>
                <w:szCs w:val="18"/>
              </w:rPr>
              <w:t>,1</w:t>
            </w:r>
          </w:p>
        </w:tc>
        <w:tc>
          <w:tcPr>
            <w:tcW w:w="960" w:type="dxa"/>
            <w:noWrap/>
            <w:vAlign w:val="bottom"/>
          </w:tcPr>
          <w:p w:rsidR="00652F81" w:rsidRPr="00602124" w:rsidRDefault="00652F81" w:rsidP="00652F81">
            <w:pPr>
              <w:jc w:val="right"/>
              <w:rPr>
                <w:rFonts w:ascii="Tahoma" w:hAnsi="Tahoma" w:cs="Tahoma"/>
                <w:sz w:val="18"/>
                <w:szCs w:val="18"/>
              </w:rPr>
            </w:pPr>
            <w:r>
              <w:rPr>
                <w:rFonts w:ascii="Tahoma" w:hAnsi="Tahoma" w:cs="Tahoma"/>
                <w:sz w:val="18"/>
                <w:szCs w:val="18"/>
              </w:rPr>
              <w:t>74,3</w:t>
            </w:r>
          </w:p>
        </w:tc>
        <w:tc>
          <w:tcPr>
            <w:tcW w:w="960" w:type="dxa"/>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74,5</w:t>
            </w:r>
          </w:p>
        </w:tc>
        <w:tc>
          <w:tcPr>
            <w:tcW w:w="960" w:type="dxa"/>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74,9</w:t>
            </w:r>
          </w:p>
        </w:tc>
        <w:tc>
          <w:tcPr>
            <w:tcW w:w="960" w:type="dxa"/>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75,5</w:t>
            </w:r>
          </w:p>
        </w:tc>
        <w:tc>
          <w:tcPr>
            <w:tcW w:w="960" w:type="dxa"/>
            <w:noWrap/>
            <w:vAlign w:val="bottom"/>
          </w:tcPr>
          <w:p w:rsidR="00652F81" w:rsidRPr="00602124" w:rsidRDefault="00652F81" w:rsidP="00652F81">
            <w:pPr>
              <w:jc w:val="right"/>
              <w:rPr>
                <w:rFonts w:ascii="Tahoma" w:hAnsi="Tahoma" w:cs="Tahoma"/>
                <w:sz w:val="18"/>
                <w:szCs w:val="18"/>
              </w:rPr>
            </w:pPr>
            <w:r>
              <w:rPr>
                <w:rFonts w:ascii="Tahoma" w:hAnsi="Tahoma" w:cs="Tahoma"/>
                <w:sz w:val="18"/>
                <w:szCs w:val="18"/>
              </w:rPr>
              <w:t>75,7</w:t>
            </w:r>
          </w:p>
        </w:tc>
        <w:tc>
          <w:tcPr>
            <w:tcW w:w="960" w:type="dxa"/>
            <w:noWrap/>
            <w:vAlign w:val="bottom"/>
          </w:tcPr>
          <w:p w:rsidR="00652F81" w:rsidRPr="00B42576" w:rsidRDefault="00652F81" w:rsidP="00652F81">
            <w:pPr>
              <w:jc w:val="right"/>
              <w:rPr>
                <w:rFonts w:ascii="Tahoma" w:hAnsi="Tahoma" w:cs="Tahoma"/>
                <w:sz w:val="18"/>
                <w:szCs w:val="18"/>
                <w:lang w:val="en-US"/>
              </w:rPr>
            </w:pPr>
            <w:r>
              <w:rPr>
                <w:rFonts w:ascii="Tahoma" w:hAnsi="Tahoma" w:cs="Tahoma"/>
                <w:sz w:val="18"/>
                <w:szCs w:val="18"/>
                <w:lang w:val="en-US"/>
              </w:rPr>
              <w:t>76,1</w:t>
            </w:r>
          </w:p>
        </w:tc>
      </w:tr>
      <w:tr w:rsidR="00652F81" w:rsidRPr="00515DAC" w:rsidTr="00652F81">
        <w:trPr>
          <w:trHeight w:val="255"/>
        </w:trPr>
        <w:tc>
          <w:tcPr>
            <w:tcW w:w="960" w:type="dxa"/>
            <w:tcBorders>
              <w:bottom w:val="single" w:sz="12" w:space="0" w:color="auto"/>
            </w:tcBorders>
            <w:noWrap/>
            <w:vAlign w:val="bottom"/>
          </w:tcPr>
          <w:p w:rsidR="00652F81" w:rsidRPr="00FB3069" w:rsidRDefault="00652F81" w:rsidP="00652F81">
            <w:pPr>
              <w:rPr>
                <w:rFonts w:ascii="Tahoma" w:hAnsi="Tahoma" w:cs="Tahoma"/>
                <w:b/>
                <w:bCs/>
              </w:rPr>
            </w:pPr>
            <w:r w:rsidRPr="00FB3069">
              <w:rPr>
                <w:rFonts w:ascii="Tahoma" w:hAnsi="Tahoma" w:cs="Tahoma"/>
                <w:b/>
                <w:bCs/>
              </w:rPr>
              <w:t>EL</w:t>
            </w:r>
          </w:p>
        </w:tc>
        <w:tc>
          <w:tcPr>
            <w:tcW w:w="960" w:type="dxa"/>
            <w:tcBorders>
              <w:bottom w:val="single" w:sz="12" w:space="0" w:color="auto"/>
            </w:tcBorders>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81,1</w:t>
            </w:r>
          </w:p>
        </w:tc>
        <w:tc>
          <w:tcPr>
            <w:tcW w:w="960" w:type="dxa"/>
            <w:tcBorders>
              <w:bottom w:val="single" w:sz="12" w:space="0" w:color="auto"/>
            </w:tcBorders>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81,7</w:t>
            </w:r>
          </w:p>
        </w:tc>
        <w:tc>
          <w:tcPr>
            <w:tcW w:w="960" w:type="dxa"/>
            <w:tcBorders>
              <w:bottom w:val="single" w:sz="12" w:space="0" w:color="auto"/>
            </w:tcBorders>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83</w:t>
            </w:r>
            <w:r>
              <w:rPr>
                <w:rFonts w:ascii="Tahoma" w:hAnsi="Tahoma" w:cs="Tahoma"/>
                <w:sz w:val="18"/>
                <w:szCs w:val="18"/>
              </w:rPr>
              <w:t>,0</w:t>
            </w:r>
          </w:p>
        </w:tc>
        <w:tc>
          <w:tcPr>
            <w:tcW w:w="960" w:type="dxa"/>
            <w:tcBorders>
              <w:bottom w:val="single" w:sz="12" w:space="0" w:color="auto"/>
            </w:tcBorders>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84,1</w:t>
            </w:r>
          </w:p>
        </w:tc>
        <w:tc>
          <w:tcPr>
            <w:tcW w:w="960" w:type="dxa"/>
            <w:tcBorders>
              <w:bottom w:val="single" w:sz="12" w:space="0" w:color="auto"/>
            </w:tcBorders>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81</w:t>
            </w:r>
            <w:r>
              <w:rPr>
                <w:rFonts w:ascii="Tahoma" w:hAnsi="Tahoma" w:cs="Tahoma"/>
                <w:sz w:val="18"/>
                <w:szCs w:val="18"/>
              </w:rPr>
              <w:t>,0</w:t>
            </w:r>
          </w:p>
        </w:tc>
        <w:tc>
          <w:tcPr>
            <w:tcW w:w="960" w:type="dxa"/>
            <w:tcBorders>
              <w:bottom w:val="single" w:sz="12" w:space="0" w:color="auto"/>
            </w:tcBorders>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82,1</w:t>
            </w:r>
          </w:p>
        </w:tc>
        <w:tc>
          <w:tcPr>
            <w:tcW w:w="960" w:type="dxa"/>
            <w:tcBorders>
              <w:bottom w:val="single" w:sz="12" w:space="0" w:color="auto"/>
            </w:tcBorders>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82,1</w:t>
            </w:r>
          </w:p>
        </w:tc>
        <w:tc>
          <w:tcPr>
            <w:tcW w:w="960" w:type="dxa"/>
            <w:tcBorders>
              <w:bottom w:val="single" w:sz="12" w:space="0" w:color="auto"/>
            </w:tcBorders>
            <w:noWrap/>
            <w:vAlign w:val="bottom"/>
          </w:tcPr>
          <w:p w:rsidR="00652F81" w:rsidRPr="00602124" w:rsidRDefault="00652F81" w:rsidP="00652F81">
            <w:pPr>
              <w:jc w:val="right"/>
              <w:rPr>
                <w:rFonts w:ascii="Tahoma" w:hAnsi="Tahoma" w:cs="Tahoma"/>
                <w:sz w:val="18"/>
                <w:szCs w:val="18"/>
              </w:rPr>
            </w:pPr>
            <w:r w:rsidRPr="00602124">
              <w:rPr>
                <w:rFonts w:ascii="Tahoma" w:hAnsi="Tahoma" w:cs="Tahoma"/>
                <w:sz w:val="18"/>
                <w:szCs w:val="18"/>
              </w:rPr>
              <w:t>82,2</w:t>
            </w:r>
          </w:p>
        </w:tc>
        <w:tc>
          <w:tcPr>
            <w:tcW w:w="960" w:type="dxa"/>
            <w:tcBorders>
              <w:bottom w:val="single" w:sz="12" w:space="0" w:color="auto"/>
            </w:tcBorders>
            <w:noWrap/>
            <w:vAlign w:val="bottom"/>
          </w:tcPr>
          <w:p w:rsidR="00652F81" w:rsidRPr="00B42576" w:rsidRDefault="00652F81" w:rsidP="00652F81">
            <w:pPr>
              <w:jc w:val="right"/>
              <w:rPr>
                <w:rFonts w:ascii="Tahoma" w:hAnsi="Tahoma" w:cs="Tahoma"/>
                <w:sz w:val="18"/>
                <w:szCs w:val="18"/>
                <w:lang w:val="en-US"/>
              </w:rPr>
            </w:pPr>
            <w:r>
              <w:rPr>
                <w:rFonts w:ascii="Tahoma" w:hAnsi="Tahoma" w:cs="Tahoma"/>
                <w:sz w:val="18"/>
                <w:szCs w:val="18"/>
                <w:lang w:val="en-US"/>
              </w:rPr>
              <w:t>83,4</w:t>
            </w:r>
          </w:p>
        </w:tc>
      </w:tr>
      <w:tr w:rsidR="00652F81" w:rsidRPr="00685784" w:rsidTr="00652F81">
        <w:trPr>
          <w:trHeight w:val="255"/>
        </w:trPr>
        <w:tc>
          <w:tcPr>
            <w:tcW w:w="9600" w:type="dxa"/>
            <w:gridSpan w:val="10"/>
            <w:tcBorders>
              <w:top w:val="single" w:sz="12" w:space="0" w:color="auto"/>
              <w:bottom w:val="single" w:sz="8" w:space="0" w:color="auto"/>
            </w:tcBorders>
            <w:noWrap/>
          </w:tcPr>
          <w:p w:rsidR="00652F81" w:rsidRPr="00545F7F" w:rsidRDefault="00652F81" w:rsidP="00652F81">
            <w:pPr>
              <w:rPr>
                <w:rFonts w:ascii="Tahoma" w:hAnsi="Tahoma" w:cs="Tahoma"/>
                <w:b/>
                <w:sz w:val="18"/>
                <w:szCs w:val="18"/>
              </w:rPr>
            </w:pPr>
            <w:r w:rsidRPr="00545F7F">
              <w:rPr>
                <w:rFonts w:ascii="Tahoma" w:hAnsi="Tahoma" w:cs="Tahoma"/>
                <w:b/>
                <w:sz w:val="18"/>
                <w:szCs w:val="18"/>
              </w:rPr>
              <w:t>Άντρες</w:t>
            </w:r>
          </w:p>
        </w:tc>
      </w:tr>
      <w:tr w:rsidR="00652F81" w:rsidRPr="00515DAC" w:rsidTr="00652F81">
        <w:trPr>
          <w:trHeight w:val="255"/>
        </w:trPr>
        <w:tc>
          <w:tcPr>
            <w:tcW w:w="960" w:type="dxa"/>
            <w:tcBorders>
              <w:top w:val="single" w:sz="8" w:space="0" w:color="auto"/>
            </w:tcBorders>
            <w:noWrap/>
            <w:vAlign w:val="bottom"/>
          </w:tcPr>
          <w:p w:rsidR="00652F81" w:rsidRPr="00FB3069" w:rsidRDefault="00652F81" w:rsidP="00652F81">
            <w:pPr>
              <w:rPr>
                <w:rFonts w:ascii="Tahoma" w:hAnsi="Tahoma" w:cs="Tahoma"/>
                <w:b/>
                <w:bCs/>
              </w:rPr>
            </w:pPr>
            <w:r w:rsidRPr="00FB3069">
              <w:rPr>
                <w:rFonts w:ascii="Tahoma" w:hAnsi="Tahoma" w:cs="Tahoma"/>
                <w:b/>
                <w:bCs/>
              </w:rPr>
              <w:t>EU27</w:t>
            </w:r>
          </w:p>
        </w:tc>
        <w:tc>
          <w:tcPr>
            <w:tcW w:w="960" w:type="dxa"/>
            <w:tcBorders>
              <w:top w:val="single" w:sz="8" w:space="0" w:color="auto"/>
            </w:tcBorders>
            <w:noWrap/>
            <w:vAlign w:val="bottom"/>
          </w:tcPr>
          <w:p w:rsidR="00652F81" w:rsidRPr="00602124" w:rsidRDefault="00652F81" w:rsidP="00652F81">
            <w:pPr>
              <w:jc w:val="right"/>
              <w:rPr>
                <w:rFonts w:ascii="Tahoma" w:hAnsi="Tahoma" w:cs="Tahoma"/>
                <w:lang w:val="en-US"/>
              </w:rPr>
            </w:pPr>
            <w:r>
              <w:rPr>
                <w:rFonts w:ascii="Tahoma" w:hAnsi="Tahoma" w:cs="Tahoma"/>
                <w:lang w:val="en-US"/>
              </w:rPr>
              <w:t>74,0</w:t>
            </w:r>
          </w:p>
        </w:tc>
        <w:tc>
          <w:tcPr>
            <w:tcW w:w="960" w:type="dxa"/>
            <w:tcBorders>
              <w:top w:val="single" w:sz="8" w:space="0" w:color="auto"/>
            </w:tcBorders>
            <w:noWrap/>
            <w:vAlign w:val="bottom"/>
          </w:tcPr>
          <w:p w:rsidR="00652F81" w:rsidRPr="00602124" w:rsidRDefault="00652F81" w:rsidP="00652F81">
            <w:pPr>
              <w:jc w:val="right"/>
              <w:rPr>
                <w:rFonts w:ascii="Tahoma" w:hAnsi="Tahoma" w:cs="Tahoma"/>
                <w:lang w:val="en-US"/>
              </w:rPr>
            </w:pPr>
            <w:r>
              <w:rPr>
                <w:rFonts w:ascii="Tahoma" w:hAnsi="Tahoma" w:cs="Tahoma"/>
                <w:lang w:val="en-US"/>
              </w:rPr>
              <w:t>74,4</w:t>
            </w:r>
          </w:p>
        </w:tc>
        <w:tc>
          <w:tcPr>
            <w:tcW w:w="960" w:type="dxa"/>
            <w:tcBorders>
              <w:top w:val="single" w:sz="8" w:space="0" w:color="auto"/>
            </w:tcBorders>
            <w:noWrap/>
            <w:vAlign w:val="bottom"/>
          </w:tcPr>
          <w:p w:rsidR="00652F81" w:rsidRPr="00602124" w:rsidRDefault="00652F81" w:rsidP="00652F81">
            <w:pPr>
              <w:jc w:val="right"/>
              <w:rPr>
                <w:rFonts w:ascii="Tahoma" w:hAnsi="Tahoma" w:cs="Tahoma"/>
                <w:lang w:val="en-US"/>
              </w:rPr>
            </w:pPr>
            <w:r>
              <w:rPr>
                <w:rFonts w:ascii="Tahoma" w:hAnsi="Tahoma" w:cs="Tahoma"/>
                <w:lang w:val="en-US"/>
              </w:rPr>
              <w:t>74,4</w:t>
            </w:r>
          </w:p>
        </w:tc>
        <w:tc>
          <w:tcPr>
            <w:tcW w:w="960" w:type="dxa"/>
            <w:tcBorders>
              <w:top w:val="single" w:sz="8" w:space="0" w:color="auto"/>
            </w:tcBorders>
            <w:noWrap/>
            <w:vAlign w:val="bottom"/>
          </w:tcPr>
          <w:p w:rsidR="00652F81" w:rsidRPr="00602124" w:rsidRDefault="00652F81" w:rsidP="00652F81">
            <w:pPr>
              <w:jc w:val="right"/>
              <w:rPr>
                <w:rFonts w:ascii="Tahoma" w:hAnsi="Tahoma" w:cs="Tahoma"/>
                <w:lang w:val="en-US"/>
              </w:rPr>
            </w:pPr>
            <w:r>
              <w:rPr>
                <w:rFonts w:ascii="Tahoma" w:hAnsi="Tahoma" w:cs="Tahoma"/>
                <w:lang w:val="en-US"/>
              </w:rPr>
              <w:t>74,8</w:t>
            </w:r>
          </w:p>
        </w:tc>
        <w:tc>
          <w:tcPr>
            <w:tcW w:w="960" w:type="dxa"/>
            <w:tcBorders>
              <w:top w:val="single" w:sz="8" w:space="0" w:color="auto"/>
            </w:tcBorders>
            <w:noWrap/>
            <w:vAlign w:val="bottom"/>
          </w:tcPr>
          <w:p w:rsidR="00652F81" w:rsidRPr="00602124" w:rsidRDefault="00652F81" w:rsidP="00652F81">
            <w:pPr>
              <w:jc w:val="right"/>
              <w:rPr>
                <w:rFonts w:ascii="Tahoma" w:hAnsi="Tahoma" w:cs="Tahoma"/>
                <w:lang w:val="en-US"/>
              </w:rPr>
            </w:pPr>
            <w:r>
              <w:rPr>
                <w:rFonts w:ascii="Tahoma" w:hAnsi="Tahoma" w:cs="Tahoma"/>
                <w:lang w:val="en-US"/>
              </w:rPr>
              <w:t>75,0</w:t>
            </w:r>
          </w:p>
        </w:tc>
        <w:tc>
          <w:tcPr>
            <w:tcW w:w="960" w:type="dxa"/>
            <w:tcBorders>
              <w:top w:val="single" w:sz="8" w:space="0" w:color="auto"/>
            </w:tcBorders>
            <w:noWrap/>
            <w:vAlign w:val="bottom"/>
          </w:tcPr>
          <w:p w:rsidR="00652F81" w:rsidRPr="00602124" w:rsidRDefault="00652F81" w:rsidP="00652F81">
            <w:pPr>
              <w:jc w:val="right"/>
              <w:rPr>
                <w:rFonts w:ascii="Tahoma" w:hAnsi="Tahoma" w:cs="Tahoma"/>
                <w:lang w:val="en-US"/>
              </w:rPr>
            </w:pPr>
            <w:r>
              <w:rPr>
                <w:rFonts w:ascii="Tahoma" w:hAnsi="Tahoma" w:cs="Tahoma"/>
                <w:lang w:val="en-US"/>
              </w:rPr>
              <w:t>75,4</w:t>
            </w:r>
          </w:p>
        </w:tc>
        <w:tc>
          <w:tcPr>
            <w:tcW w:w="960" w:type="dxa"/>
            <w:tcBorders>
              <w:top w:val="single" w:sz="8" w:space="0" w:color="auto"/>
            </w:tcBorders>
            <w:noWrap/>
            <w:vAlign w:val="bottom"/>
          </w:tcPr>
          <w:p w:rsidR="00652F81" w:rsidRPr="00602124" w:rsidRDefault="00652F81" w:rsidP="00652F81">
            <w:pPr>
              <w:jc w:val="right"/>
              <w:rPr>
                <w:rFonts w:ascii="Tahoma" w:hAnsi="Tahoma" w:cs="Tahoma"/>
                <w:lang w:val="en-US"/>
              </w:rPr>
            </w:pPr>
            <w:r>
              <w:rPr>
                <w:rFonts w:ascii="Tahoma" w:hAnsi="Tahoma" w:cs="Tahoma"/>
                <w:lang w:val="en-US"/>
              </w:rPr>
              <w:t>75,6</w:t>
            </w:r>
          </w:p>
        </w:tc>
        <w:tc>
          <w:tcPr>
            <w:tcW w:w="960" w:type="dxa"/>
            <w:tcBorders>
              <w:top w:val="single" w:sz="8" w:space="0" w:color="auto"/>
            </w:tcBorders>
            <w:noWrap/>
            <w:vAlign w:val="bottom"/>
          </w:tcPr>
          <w:p w:rsidR="00652F81" w:rsidRPr="00602124" w:rsidRDefault="00652F81" w:rsidP="00652F81">
            <w:pPr>
              <w:jc w:val="right"/>
              <w:rPr>
                <w:rFonts w:ascii="Tahoma" w:hAnsi="Tahoma" w:cs="Tahoma"/>
                <w:lang w:val="en-US"/>
              </w:rPr>
            </w:pPr>
            <w:r>
              <w:rPr>
                <w:rFonts w:ascii="Tahoma" w:hAnsi="Tahoma" w:cs="Tahoma"/>
                <w:lang w:val="en-US"/>
              </w:rPr>
              <w:t>75,9</w:t>
            </w:r>
          </w:p>
        </w:tc>
        <w:tc>
          <w:tcPr>
            <w:tcW w:w="960" w:type="dxa"/>
            <w:tcBorders>
              <w:top w:val="single" w:sz="8" w:space="0" w:color="auto"/>
            </w:tcBorders>
            <w:noWrap/>
            <w:vAlign w:val="bottom"/>
          </w:tcPr>
          <w:p w:rsidR="00652F81" w:rsidRPr="00602124" w:rsidRDefault="00652F81" w:rsidP="00652F81">
            <w:pPr>
              <w:jc w:val="right"/>
              <w:rPr>
                <w:rFonts w:ascii="Tahoma" w:hAnsi="Tahoma" w:cs="Tahoma"/>
                <w:lang w:val="en-US"/>
              </w:rPr>
            </w:pPr>
            <w:r>
              <w:rPr>
                <w:rFonts w:ascii="Tahoma" w:hAnsi="Tahoma" w:cs="Tahoma"/>
                <w:lang w:val="en-US"/>
              </w:rPr>
              <w:t>76,2</w:t>
            </w:r>
          </w:p>
        </w:tc>
      </w:tr>
      <w:tr w:rsidR="00652F81" w:rsidRPr="00515DAC" w:rsidTr="00652F81">
        <w:trPr>
          <w:trHeight w:val="255"/>
        </w:trPr>
        <w:tc>
          <w:tcPr>
            <w:tcW w:w="960" w:type="dxa"/>
            <w:noWrap/>
            <w:vAlign w:val="bottom"/>
          </w:tcPr>
          <w:p w:rsidR="00652F81" w:rsidRPr="00FB3069" w:rsidRDefault="00652F81" w:rsidP="00652F81">
            <w:pPr>
              <w:rPr>
                <w:rFonts w:ascii="Tahoma" w:hAnsi="Tahoma" w:cs="Tahoma"/>
                <w:b/>
                <w:bCs/>
              </w:rPr>
            </w:pPr>
            <w:r w:rsidRPr="00FB3069">
              <w:rPr>
                <w:rFonts w:ascii="Tahoma" w:hAnsi="Tahoma" w:cs="Tahoma"/>
                <w:b/>
                <w:bCs/>
              </w:rPr>
              <w:t>EU25</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74,0</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74,4</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74,3</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74,8</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74,9</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75,2</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75,3</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75,6</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76,0</w:t>
            </w:r>
          </w:p>
        </w:tc>
      </w:tr>
      <w:tr w:rsidR="00652F81" w:rsidRPr="00515DAC" w:rsidTr="00652F81">
        <w:trPr>
          <w:trHeight w:val="255"/>
        </w:trPr>
        <w:tc>
          <w:tcPr>
            <w:tcW w:w="960" w:type="dxa"/>
            <w:noWrap/>
            <w:vAlign w:val="bottom"/>
          </w:tcPr>
          <w:p w:rsidR="00652F81" w:rsidRPr="00FB3069" w:rsidRDefault="00652F81" w:rsidP="00652F81">
            <w:pPr>
              <w:rPr>
                <w:rFonts w:ascii="Tahoma" w:hAnsi="Tahoma" w:cs="Tahoma"/>
                <w:b/>
                <w:bCs/>
              </w:rPr>
            </w:pPr>
            <w:r w:rsidRPr="00FB3069">
              <w:rPr>
                <w:rFonts w:ascii="Tahoma" w:hAnsi="Tahoma" w:cs="Tahoma"/>
                <w:b/>
                <w:bCs/>
              </w:rPr>
              <w:t>EU15</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70,9</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71,3</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71,2</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71,8</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71,7</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72,2</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72,5</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72,9</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73,5</w:t>
            </w:r>
          </w:p>
        </w:tc>
      </w:tr>
      <w:tr w:rsidR="00652F81" w:rsidRPr="00515DAC" w:rsidTr="00652F81">
        <w:trPr>
          <w:trHeight w:val="255"/>
        </w:trPr>
        <w:tc>
          <w:tcPr>
            <w:tcW w:w="960" w:type="dxa"/>
            <w:noWrap/>
            <w:vAlign w:val="bottom"/>
          </w:tcPr>
          <w:p w:rsidR="00652F81" w:rsidRPr="00345431" w:rsidRDefault="00652F81" w:rsidP="00652F81">
            <w:pPr>
              <w:rPr>
                <w:rFonts w:ascii="Tahoma" w:hAnsi="Tahoma" w:cs="Tahoma"/>
                <w:b/>
                <w:bCs/>
              </w:rPr>
            </w:pPr>
            <w:r>
              <w:rPr>
                <w:rFonts w:ascii="Tahoma" w:hAnsi="Tahoma" w:cs="Tahoma"/>
                <w:b/>
                <w:bCs/>
              </w:rPr>
              <w:t>EA17</w:t>
            </w:r>
          </w:p>
        </w:tc>
        <w:tc>
          <w:tcPr>
            <w:tcW w:w="960" w:type="dxa"/>
            <w:noWrap/>
            <w:vAlign w:val="bottom"/>
          </w:tcPr>
          <w:p w:rsidR="00652F81" w:rsidRPr="002A50D1" w:rsidRDefault="00652F81" w:rsidP="00652F81">
            <w:pPr>
              <w:jc w:val="right"/>
              <w:rPr>
                <w:rFonts w:ascii="Tahoma" w:hAnsi="Tahoma" w:cs="Tahoma"/>
              </w:rPr>
            </w:pPr>
            <w:r>
              <w:rPr>
                <w:rFonts w:ascii="Tahoma" w:hAnsi="Tahoma" w:cs="Tahoma"/>
                <w:lang w:val="en-US"/>
              </w:rPr>
              <w:t>70,</w:t>
            </w:r>
            <w:r>
              <w:rPr>
                <w:rFonts w:ascii="Tahoma" w:hAnsi="Tahoma" w:cs="Tahoma"/>
              </w:rPr>
              <w:t>2</w:t>
            </w:r>
          </w:p>
        </w:tc>
        <w:tc>
          <w:tcPr>
            <w:tcW w:w="960" w:type="dxa"/>
            <w:noWrap/>
            <w:vAlign w:val="bottom"/>
          </w:tcPr>
          <w:p w:rsidR="00652F81" w:rsidRPr="00C54079" w:rsidRDefault="00652F81" w:rsidP="00652F81">
            <w:pPr>
              <w:jc w:val="right"/>
              <w:rPr>
                <w:rFonts w:ascii="Tahoma" w:hAnsi="Tahoma" w:cs="Tahoma"/>
                <w:lang w:val="en-US"/>
              </w:rPr>
            </w:pPr>
            <w:r>
              <w:rPr>
                <w:rFonts w:ascii="Tahoma" w:hAnsi="Tahoma" w:cs="Tahoma"/>
                <w:lang w:val="en-US"/>
              </w:rPr>
              <w:t>70,2</w:t>
            </w:r>
          </w:p>
        </w:tc>
        <w:tc>
          <w:tcPr>
            <w:tcW w:w="960" w:type="dxa"/>
            <w:noWrap/>
            <w:vAlign w:val="bottom"/>
          </w:tcPr>
          <w:p w:rsidR="00652F81" w:rsidRPr="00C54079" w:rsidRDefault="00652F81" w:rsidP="00652F81">
            <w:pPr>
              <w:jc w:val="right"/>
              <w:rPr>
                <w:rFonts w:ascii="Tahoma" w:hAnsi="Tahoma" w:cs="Tahoma"/>
                <w:lang w:val="en-US"/>
              </w:rPr>
            </w:pPr>
            <w:r>
              <w:rPr>
                <w:rFonts w:ascii="Tahoma" w:hAnsi="Tahoma" w:cs="Tahoma"/>
                <w:lang w:val="en-US"/>
              </w:rPr>
              <w:t>70,5</w:t>
            </w:r>
          </w:p>
        </w:tc>
        <w:tc>
          <w:tcPr>
            <w:tcW w:w="960" w:type="dxa"/>
            <w:noWrap/>
            <w:vAlign w:val="bottom"/>
          </w:tcPr>
          <w:p w:rsidR="00652F81" w:rsidRPr="00C54079" w:rsidRDefault="00652F81" w:rsidP="00652F81">
            <w:pPr>
              <w:jc w:val="right"/>
              <w:rPr>
                <w:rFonts w:ascii="Tahoma" w:hAnsi="Tahoma" w:cs="Tahoma"/>
                <w:lang w:val="en-US"/>
              </w:rPr>
            </w:pPr>
            <w:r>
              <w:rPr>
                <w:rFonts w:ascii="Tahoma" w:hAnsi="Tahoma" w:cs="Tahoma"/>
                <w:lang w:val="en-US"/>
              </w:rPr>
              <w:t>70,8</w:t>
            </w:r>
          </w:p>
        </w:tc>
        <w:tc>
          <w:tcPr>
            <w:tcW w:w="960" w:type="dxa"/>
            <w:noWrap/>
            <w:vAlign w:val="bottom"/>
          </w:tcPr>
          <w:p w:rsidR="00652F81" w:rsidRPr="00C54079" w:rsidRDefault="00652F81" w:rsidP="00652F81">
            <w:pPr>
              <w:jc w:val="right"/>
              <w:rPr>
                <w:rFonts w:ascii="Tahoma" w:hAnsi="Tahoma" w:cs="Tahoma"/>
                <w:lang w:val="en-US"/>
              </w:rPr>
            </w:pPr>
            <w:r>
              <w:rPr>
                <w:rFonts w:ascii="Tahoma" w:hAnsi="Tahoma" w:cs="Tahoma"/>
                <w:lang w:val="en-US"/>
              </w:rPr>
              <w:t>70,9</w:t>
            </w:r>
          </w:p>
        </w:tc>
        <w:tc>
          <w:tcPr>
            <w:tcW w:w="960" w:type="dxa"/>
            <w:noWrap/>
            <w:vAlign w:val="bottom"/>
          </w:tcPr>
          <w:p w:rsidR="00652F81" w:rsidRPr="00C54079" w:rsidRDefault="00652F81" w:rsidP="00652F81">
            <w:pPr>
              <w:jc w:val="right"/>
              <w:rPr>
                <w:rFonts w:ascii="Tahoma" w:hAnsi="Tahoma" w:cs="Tahoma"/>
                <w:lang w:val="en-US"/>
              </w:rPr>
            </w:pPr>
            <w:r>
              <w:rPr>
                <w:rFonts w:ascii="Tahoma" w:hAnsi="Tahoma" w:cs="Tahoma"/>
                <w:lang w:val="en-US"/>
              </w:rPr>
              <w:t>71,5</w:t>
            </w:r>
          </w:p>
        </w:tc>
        <w:tc>
          <w:tcPr>
            <w:tcW w:w="960" w:type="dxa"/>
            <w:noWrap/>
            <w:vAlign w:val="bottom"/>
          </w:tcPr>
          <w:p w:rsidR="00652F81" w:rsidRPr="002A50D1" w:rsidRDefault="00652F81" w:rsidP="00652F81">
            <w:pPr>
              <w:jc w:val="right"/>
              <w:rPr>
                <w:rFonts w:ascii="Tahoma" w:hAnsi="Tahoma" w:cs="Tahoma"/>
              </w:rPr>
            </w:pPr>
            <w:r>
              <w:rPr>
                <w:rFonts w:ascii="Tahoma" w:hAnsi="Tahoma" w:cs="Tahoma"/>
                <w:lang w:val="en-US"/>
              </w:rPr>
              <w:t>72,</w:t>
            </w:r>
            <w:r>
              <w:rPr>
                <w:rFonts w:ascii="Tahoma" w:hAnsi="Tahoma" w:cs="Tahoma"/>
              </w:rPr>
              <w:t>1</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72,3</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72,7</w:t>
            </w:r>
          </w:p>
        </w:tc>
      </w:tr>
      <w:tr w:rsidR="00652F81" w:rsidRPr="00515DAC" w:rsidTr="00652F81">
        <w:trPr>
          <w:trHeight w:val="255"/>
        </w:trPr>
        <w:tc>
          <w:tcPr>
            <w:tcW w:w="960" w:type="dxa"/>
            <w:tcBorders>
              <w:bottom w:val="single" w:sz="12" w:space="0" w:color="auto"/>
            </w:tcBorders>
            <w:noWrap/>
            <w:vAlign w:val="bottom"/>
          </w:tcPr>
          <w:p w:rsidR="00652F81" w:rsidRPr="00FB3069" w:rsidRDefault="00652F81" w:rsidP="00652F81">
            <w:pPr>
              <w:rPr>
                <w:rFonts w:ascii="Tahoma" w:hAnsi="Tahoma" w:cs="Tahoma"/>
                <w:b/>
                <w:bCs/>
              </w:rPr>
            </w:pPr>
            <w:r w:rsidRPr="00FB3069">
              <w:rPr>
                <w:rFonts w:ascii="Tahoma" w:hAnsi="Tahoma" w:cs="Tahoma"/>
                <w:b/>
                <w:bCs/>
              </w:rPr>
              <w:t>EL</w:t>
            </w:r>
          </w:p>
        </w:tc>
        <w:tc>
          <w:tcPr>
            <w:tcW w:w="960" w:type="dxa"/>
            <w:tcBorders>
              <w:bottom w:val="single" w:sz="12" w:space="0" w:color="auto"/>
            </w:tcBorders>
            <w:noWrap/>
            <w:vAlign w:val="bottom"/>
          </w:tcPr>
          <w:p w:rsidR="00652F81" w:rsidRPr="00602124" w:rsidRDefault="00652F81" w:rsidP="00652F81">
            <w:pPr>
              <w:jc w:val="right"/>
              <w:rPr>
                <w:rFonts w:ascii="Tahoma" w:hAnsi="Tahoma" w:cs="Tahoma"/>
                <w:lang w:val="en-US"/>
              </w:rPr>
            </w:pPr>
            <w:r>
              <w:rPr>
                <w:rFonts w:ascii="Tahoma" w:hAnsi="Tahoma" w:cs="Tahoma"/>
                <w:lang w:val="en-US"/>
              </w:rPr>
              <w:t>76,1</w:t>
            </w:r>
          </w:p>
        </w:tc>
        <w:tc>
          <w:tcPr>
            <w:tcW w:w="960" w:type="dxa"/>
            <w:tcBorders>
              <w:bottom w:val="single" w:sz="12" w:space="0" w:color="auto"/>
            </w:tcBorders>
            <w:noWrap/>
            <w:vAlign w:val="bottom"/>
          </w:tcPr>
          <w:p w:rsidR="00652F81" w:rsidRPr="00602124" w:rsidRDefault="00652F81" w:rsidP="00652F81">
            <w:pPr>
              <w:jc w:val="right"/>
              <w:rPr>
                <w:rFonts w:ascii="Tahoma" w:hAnsi="Tahoma" w:cs="Tahoma"/>
                <w:lang w:val="en-US"/>
              </w:rPr>
            </w:pPr>
            <w:r>
              <w:rPr>
                <w:rFonts w:ascii="Tahoma" w:hAnsi="Tahoma" w:cs="Tahoma"/>
                <w:lang w:val="en-US"/>
              </w:rPr>
              <w:t>76,6</w:t>
            </w:r>
          </w:p>
        </w:tc>
        <w:tc>
          <w:tcPr>
            <w:tcW w:w="960" w:type="dxa"/>
            <w:tcBorders>
              <w:bottom w:val="single" w:sz="12" w:space="0" w:color="auto"/>
            </w:tcBorders>
            <w:noWrap/>
            <w:vAlign w:val="bottom"/>
          </w:tcPr>
          <w:p w:rsidR="00652F81" w:rsidRPr="00602124" w:rsidRDefault="00652F81" w:rsidP="00652F81">
            <w:pPr>
              <w:jc w:val="right"/>
              <w:rPr>
                <w:rFonts w:ascii="Tahoma" w:hAnsi="Tahoma" w:cs="Tahoma"/>
                <w:lang w:val="en-US"/>
              </w:rPr>
            </w:pPr>
            <w:r>
              <w:rPr>
                <w:rFonts w:ascii="Tahoma" w:hAnsi="Tahoma" w:cs="Tahoma"/>
                <w:lang w:val="en-US"/>
              </w:rPr>
              <w:t>79,2</w:t>
            </w:r>
          </w:p>
        </w:tc>
        <w:tc>
          <w:tcPr>
            <w:tcW w:w="960" w:type="dxa"/>
            <w:tcBorders>
              <w:bottom w:val="single" w:sz="12" w:space="0" w:color="auto"/>
            </w:tcBorders>
            <w:noWrap/>
            <w:vAlign w:val="bottom"/>
          </w:tcPr>
          <w:p w:rsidR="00652F81" w:rsidRPr="00602124" w:rsidRDefault="00652F81" w:rsidP="00652F81">
            <w:pPr>
              <w:jc w:val="right"/>
              <w:rPr>
                <w:rFonts w:ascii="Tahoma" w:hAnsi="Tahoma" w:cs="Tahoma"/>
                <w:lang w:val="en-US"/>
              </w:rPr>
            </w:pPr>
            <w:r>
              <w:rPr>
                <w:rFonts w:ascii="Tahoma" w:hAnsi="Tahoma" w:cs="Tahoma"/>
                <w:lang w:val="en-US"/>
              </w:rPr>
              <w:t>79,7</w:t>
            </w:r>
          </w:p>
        </w:tc>
        <w:tc>
          <w:tcPr>
            <w:tcW w:w="960" w:type="dxa"/>
            <w:tcBorders>
              <w:bottom w:val="single" w:sz="12" w:space="0" w:color="auto"/>
            </w:tcBorders>
            <w:noWrap/>
            <w:vAlign w:val="bottom"/>
          </w:tcPr>
          <w:p w:rsidR="00652F81" w:rsidRPr="00602124" w:rsidRDefault="00652F81" w:rsidP="00652F81">
            <w:pPr>
              <w:jc w:val="right"/>
              <w:rPr>
                <w:rFonts w:ascii="Tahoma" w:hAnsi="Tahoma" w:cs="Tahoma"/>
                <w:lang w:val="en-US"/>
              </w:rPr>
            </w:pPr>
            <w:r>
              <w:rPr>
                <w:rFonts w:ascii="Tahoma" w:hAnsi="Tahoma" w:cs="Tahoma"/>
                <w:lang w:val="en-US"/>
              </w:rPr>
              <w:t>75,5</w:t>
            </w:r>
          </w:p>
        </w:tc>
        <w:tc>
          <w:tcPr>
            <w:tcW w:w="960" w:type="dxa"/>
            <w:tcBorders>
              <w:bottom w:val="single" w:sz="12" w:space="0" w:color="auto"/>
            </w:tcBorders>
            <w:noWrap/>
            <w:vAlign w:val="bottom"/>
          </w:tcPr>
          <w:p w:rsidR="00652F81" w:rsidRPr="00602124" w:rsidRDefault="00652F81" w:rsidP="00652F81">
            <w:pPr>
              <w:jc w:val="right"/>
              <w:rPr>
                <w:rFonts w:ascii="Tahoma" w:hAnsi="Tahoma" w:cs="Tahoma"/>
                <w:lang w:val="en-US"/>
              </w:rPr>
            </w:pPr>
            <w:r>
              <w:rPr>
                <w:rFonts w:ascii="Tahoma" w:hAnsi="Tahoma" w:cs="Tahoma"/>
                <w:lang w:val="en-US"/>
              </w:rPr>
              <w:t>77,5</w:t>
            </w:r>
          </w:p>
        </w:tc>
        <w:tc>
          <w:tcPr>
            <w:tcW w:w="960" w:type="dxa"/>
            <w:tcBorders>
              <w:bottom w:val="single" w:sz="12" w:space="0" w:color="auto"/>
            </w:tcBorders>
            <w:noWrap/>
            <w:vAlign w:val="bottom"/>
          </w:tcPr>
          <w:p w:rsidR="00652F81" w:rsidRPr="00602124" w:rsidRDefault="00652F81" w:rsidP="00652F81">
            <w:pPr>
              <w:jc w:val="right"/>
              <w:rPr>
                <w:rFonts w:ascii="Tahoma" w:hAnsi="Tahoma" w:cs="Tahoma"/>
                <w:lang w:val="en-US"/>
              </w:rPr>
            </w:pPr>
            <w:r>
              <w:rPr>
                <w:rFonts w:ascii="Tahoma" w:hAnsi="Tahoma" w:cs="Tahoma"/>
                <w:lang w:val="en-US"/>
              </w:rPr>
              <w:t>78,0</w:t>
            </w:r>
          </w:p>
        </w:tc>
        <w:tc>
          <w:tcPr>
            <w:tcW w:w="960" w:type="dxa"/>
            <w:tcBorders>
              <w:bottom w:val="single" w:sz="12" w:space="0" w:color="auto"/>
            </w:tcBorders>
            <w:noWrap/>
            <w:vAlign w:val="bottom"/>
          </w:tcPr>
          <w:p w:rsidR="00652F81" w:rsidRPr="00602124" w:rsidRDefault="00652F81" w:rsidP="00652F81">
            <w:pPr>
              <w:jc w:val="right"/>
              <w:rPr>
                <w:rFonts w:ascii="Tahoma" w:hAnsi="Tahoma" w:cs="Tahoma"/>
                <w:lang w:val="en-US"/>
              </w:rPr>
            </w:pPr>
            <w:r>
              <w:rPr>
                <w:rFonts w:ascii="Tahoma" w:hAnsi="Tahoma" w:cs="Tahoma"/>
                <w:lang w:val="en-US"/>
              </w:rPr>
              <w:t>77,8</w:t>
            </w:r>
          </w:p>
        </w:tc>
        <w:tc>
          <w:tcPr>
            <w:tcW w:w="960" w:type="dxa"/>
            <w:tcBorders>
              <w:bottom w:val="single" w:sz="12" w:space="0" w:color="auto"/>
            </w:tcBorders>
            <w:noWrap/>
            <w:vAlign w:val="bottom"/>
          </w:tcPr>
          <w:p w:rsidR="00652F81" w:rsidRPr="00602124" w:rsidRDefault="00652F81" w:rsidP="00652F81">
            <w:pPr>
              <w:jc w:val="right"/>
              <w:rPr>
                <w:rFonts w:ascii="Tahoma" w:hAnsi="Tahoma" w:cs="Tahoma"/>
                <w:lang w:val="en-US"/>
              </w:rPr>
            </w:pPr>
            <w:r>
              <w:rPr>
                <w:rFonts w:ascii="Tahoma" w:hAnsi="Tahoma" w:cs="Tahoma"/>
                <w:lang w:val="en-US"/>
              </w:rPr>
              <w:t>79,5</w:t>
            </w:r>
          </w:p>
        </w:tc>
      </w:tr>
      <w:tr w:rsidR="00652F81" w:rsidRPr="00685784" w:rsidTr="00652F81">
        <w:trPr>
          <w:trHeight w:val="255"/>
        </w:trPr>
        <w:tc>
          <w:tcPr>
            <w:tcW w:w="9600" w:type="dxa"/>
            <w:gridSpan w:val="10"/>
            <w:tcBorders>
              <w:top w:val="single" w:sz="12" w:space="0" w:color="auto"/>
              <w:bottom w:val="single" w:sz="8" w:space="0" w:color="auto"/>
            </w:tcBorders>
            <w:noWrap/>
          </w:tcPr>
          <w:p w:rsidR="00652F81" w:rsidRPr="00545F7F" w:rsidRDefault="00652F81" w:rsidP="00652F81">
            <w:pPr>
              <w:rPr>
                <w:rFonts w:ascii="Tahoma" w:hAnsi="Tahoma" w:cs="Tahoma"/>
                <w:b/>
                <w:sz w:val="18"/>
                <w:szCs w:val="18"/>
              </w:rPr>
            </w:pPr>
            <w:r w:rsidRPr="00545F7F">
              <w:rPr>
                <w:rFonts w:ascii="Tahoma" w:hAnsi="Tahoma" w:cs="Tahoma"/>
                <w:b/>
                <w:sz w:val="18"/>
                <w:szCs w:val="18"/>
              </w:rPr>
              <w:t>Γυναίκες</w:t>
            </w:r>
          </w:p>
        </w:tc>
      </w:tr>
      <w:tr w:rsidR="00652F81" w:rsidRPr="00515DAC" w:rsidTr="00652F81">
        <w:trPr>
          <w:trHeight w:val="255"/>
        </w:trPr>
        <w:tc>
          <w:tcPr>
            <w:tcW w:w="960" w:type="dxa"/>
            <w:tcBorders>
              <w:top w:val="single" w:sz="8" w:space="0" w:color="auto"/>
            </w:tcBorders>
            <w:noWrap/>
            <w:vAlign w:val="bottom"/>
          </w:tcPr>
          <w:p w:rsidR="00652F81" w:rsidRPr="00FB3069" w:rsidRDefault="00652F81" w:rsidP="00652F81">
            <w:pPr>
              <w:rPr>
                <w:rFonts w:ascii="Tahoma" w:hAnsi="Tahoma" w:cs="Tahoma"/>
                <w:b/>
                <w:bCs/>
              </w:rPr>
            </w:pPr>
            <w:r w:rsidRPr="00FB3069">
              <w:rPr>
                <w:rFonts w:ascii="Tahoma" w:hAnsi="Tahoma" w:cs="Tahoma"/>
                <w:b/>
                <w:bCs/>
              </w:rPr>
              <w:t>EU27</w:t>
            </w:r>
          </w:p>
        </w:tc>
        <w:tc>
          <w:tcPr>
            <w:tcW w:w="960" w:type="dxa"/>
            <w:tcBorders>
              <w:top w:val="single" w:sz="8" w:space="0" w:color="auto"/>
            </w:tcBorders>
            <w:noWrap/>
            <w:vAlign w:val="bottom"/>
          </w:tcPr>
          <w:p w:rsidR="00652F81" w:rsidRPr="00602124" w:rsidRDefault="00652F81" w:rsidP="00652F81">
            <w:pPr>
              <w:jc w:val="right"/>
              <w:rPr>
                <w:rFonts w:ascii="Tahoma" w:hAnsi="Tahoma" w:cs="Tahoma"/>
                <w:lang w:val="en-US"/>
              </w:rPr>
            </w:pPr>
            <w:r>
              <w:rPr>
                <w:rFonts w:ascii="Tahoma" w:hAnsi="Tahoma" w:cs="Tahoma"/>
                <w:lang w:val="en-US"/>
              </w:rPr>
              <w:t>79,3</w:t>
            </w:r>
          </w:p>
        </w:tc>
        <w:tc>
          <w:tcPr>
            <w:tcW w:w="960" w:type="dxa"/>
            <w:tcBorders>
              <w:top w:val="single" w:sz="8" w:space="0" w:color="auto"/>
            </w:tcBorders>
            <w:noWrap/>
            <w:vAlign w:val="bottom"/>
          </w:tcPr>
          <w:p w:rsidR="00652F81" w:rsidRPr="00602124" w:rsidRDefault="00652F81" w:rsidP="00652F81">
            <w:pPr>
              <w:jc w:val="right"/>
              <w:rPr>
                <w:rFonts w:ascii="Tahoma" w:hAnsi="Tahoma" w:cs="Tahoma"/>
                <w:lang w:val="en-US"/>
              </w:rPr>
            </w:pPr>
            <w:r>
              <w:rPr>
                <w:rFonts w:ascii="Tahoma" w:hAnsi="Tahoma" w:cs="Tahoma"/>
                <w:lang w:val="en-US"/>
              </w:rPr>
              <w:t>79,4</w:t>
            </w:r>
          </w:p>
        </w:tc>
        <w:tc>
          <w:tcPr>
            <w:tcW w:w="960" w:type="dxa"/>
            <w:tcBorders>
              <w:top w:val="single" w:sz="8" w:space="0" w:color="auto"/>
            </w:tcBorders>
            <w:noWrap/>
            <w:vAlign w:val="bottom"/>
          </w:tcPr>
          <w:p w:rsidR="00652F81" w:rsidRPr="00602124" w:rsidRDefault="00652F81" w:rsidP="00652F81">
            <w:pPr>
              <w:jc w:val="right"/>
              <w:rPr>
                <w:rFonts w:ascii="Tahoma" w:hAnsi="Tahoma" w:cs="Tahoma"/>
                <w:lang w:val="en-US"/>
              </w:rPr>
            </w:pPr>
            <w:r>
              <w:rPr>
                <w:rFonts w:ascii="Tahoma" w:hAnsi="Tahoma" w:cs="Tahoma"/>
                <w:lang w:val="en-US"/>
              </w:rPr>
              <w:t>80,0</w:t>
            </w:r>
          </w:p>
        </w:tc>
        <w:tc>
          <w:tcPr>
            <w:tcW w:w="960" w:type="dxa"/>
            <w:tcBorders>
              <w:top w:val="single" w:sz="8" w:space="0" w:color="auto"/>
            </w:tcBorders>
            <w:noWrap/>
            <w:vAlign w:val="bottom"/>
          </w:tcPr>
          <w:p w:rsidR="00652F81" w:rsidRPr="00602124" w:rsidRDefault="00652F81" w:rsidP="00652F81">
            <w:pPr>
              <w:jc w:val="right"/>
              <w:rPr>
                <w:rFonts w:ascii="Tahoma" w:hAnsi="Tahoma" w:cs="Tahoma"/>
                <w:lang w:val="en-US"/>
              </w:rPr>
            </w:pPr>
            <w:r>
              <w:rPr>
                <w:rFonts w:ascii="Tahoma" w:hAnsi="Tahoma" w:cs="Tahoma"/>
                <w:lang w:val="en-US"/>
              </w:rPr>
              <w:t>80,2</w:t>
            </w:r>
          </w:p>
        </w:tc>
        <w:tc>
          <w:tcPr>
            <w:tcW w:w="960" w:type="dxa"/>
            <w:tcBorders>
              <w:top w:val="single" w:sz="8" w:space="0" w:color="auto"/>
            </w:tcBorders>
            <w:noWrap/>
            <w:vAlign w:val="bottom"/>
          </w:tcPr>
          <w:p w:rsidR="00652F81" w:rsidRPr="00602124" w:rsidRDefault="00652F81" w:rsidP="00652F81">
            <w:pPr>
              <w:jc w:val="right"/>
              <w:rPr>
                <w:rFonts w:ascii="Tahoma" w:hAnsi="Tahoma" w:cs="Tahoma"/>
                <w:lang w:val="en-US"/>
              </w:rPr>
            </w:pPr>
            <w:r>
              <w:rPr>
                <w:rFonts w:ascii="Tahoma" w:hAnsi="Tahoma" w:cs="Tahoma"/>
                <w:lang w:val="en-US"/>
              </w:rPr>
              <w:t>80,8</w:t>
            </w:r>
          </w:p>
        </w:tc>
        <w:tc>
          <w:tcPr>
            <w:tcW w:w="960" w:type="dxa"/>
            <w:tcBorders>
              <w:top w:val="single" w:sz="8" w:space="0" w:color="auto"/>
            </w:tcBorders>
            <w:noWrap/>
            <w:vAlign w:val="bottom"/>
          </w:tcPr>
          <w:p w:rsidR="00652F81" w:rsidRPr="00602124" w:rsidRDefault="00652F81" w:rsidP="00652F81">
            <w:pPr>
              <w:jc w:val="right"/>
              <w:rPr>
                <w:rFonts w:ascii="Tahoma" w:hAnsi="Tahoma" w:cs="Tahoma"/>
                <w:lang w:val="en-US"/>
              </w:rPr>
            </w:pPr>
            <w:r>
              <w:rPr>
                <w:rFonts w:ascii="Tahoma" w:hAnsi="Tahoma" w:cs="Tahoma"/>
                <w:lang w:val="en-US"/>
              </w:rPr>
              <w:t>80,8</w:t>
            </w:r>
          </w:p>
        </w:tc>
        <w:tc>
          <w:tcPr>
            <w:tcW w:w="960" w:type="dxa"/>
            <w:tcBorders>
              <w:top w:val="single" w:sz="8" w:space="0" w:color="auto"/>
            </w:tcBorders>
            <w:noWrap/>
            <w:vAlign w:val="bottom"/>
          </w:tcPr>
          <w:p w:rsidR="00652F81" w:rsidRPr="00602124" w:rsidRDefault="00652F81" w:rsidP="00652F81">
            <w:pPr>
              <w:jc w:val="right"/>
              <w:rPr>
                <w:rFonts w:ascii="Tahoma" w:hAnsi="Tahoma" w:cs="Tahoma"/>
                <w:lang w:val="en-US"/>
              </w:rPr>
            </w:pPr>
            <w:r>
              <w:rPr>
                <w:rFonts w:ascii="Tahoma" w:hAnsi="Tahoma" w:cs="Tahoma"/>
                <w:lang w:val="en-US"/>
              </w:rPr>
              <w:t>81,3</w:t>
            </w:r>
          </w:p>
        </w:tc>
        <w:tc>
          <w:tcPr>
            <w:tcW w:w="960" w:type="dxa"/>
            <w:tcBorders>
              <w:top w:val="single" w:sz="8" w:space="0" w:color="auto"/>
            </w:tcBorders>
            <w:noWrap/>
            <w:vAlign w:val="bottom"/>
          </w:tcPr>
          <w:p w:rsidR="00652F81" w:rsidRPr="00602124" w:rsidRDefault="00652F81" w:rsidP="00652F81">
            <w:pPr>
              <w:jc w:val="right"/>
              <w:rPr>
                <w:rFonts w:ascii="Tahoma" w:hAnsi="Tahoma" w:cs="Tahoma"/>
                <w:lang w:val="en-US"/>
              </w:rPr>
            </w:pPr>
            <w:r>
              <w:rPr>
                <w:rFonts w:ascii="Tahoma" w:hAnsi="Tahoma" w:cs="Tahoma"/>
                <w:lang w:val="en-US"/>
              </w:rPr>
              <w:t>81,4</w:t>
            </w:r>
          </w:p>
        </w:tc>
        <w:tc>
          <w:tcPr>
            <w:tcW w:w="960" w:type="dxa"/>
            <w:tcBorders>
              <w:top w:val="single" w:sz="8" w:space="0" w:color="auto"/>
            </w:tcBorders>
            <w:noWrap/>
            <w:vAlign w:val="bottom"/>
          </w:tcPr>
          <w:p w:rsidR="00652F81" w:rsidRPr="00602124" w:rsidRDefault="00652F81" w:rsidP="00652F81">
            <w:pPr>
              <w:jc w:val="right"/>
              <w:rPr>
                <w:rFonts w:ascii="Tahoma" w:hAnsi="Tahoma" w:cs="Tahoma"/>
                <w:lang w:val="en-US"/>
              </w:rPr>
            </w:pPr>
            <w:r>
              <w:rPr>
                <w:rFonts w:ascii="Tahoma" w:hAnsi="Tahoma" w:cs="Tahoma"/>
                <w:lang w:val="en-US"/>
              </w:rPr>
              <w:t>81,8</w:t>
            </w:r>
          </w:p>
        </w:tc>
      </w:tr>
      <w:tr w:rsidR="00652F81" w:rsidRPr="00515DAC" w:rsidTr="00652F81">
        <w:trPr>
          <w:trHeight w:val="255"/>
        </w:trPr>
        <w:tc>
          <w:tcPr>
            <w:tcW w:w="960" w:type="dxa"/>
            <w:noWrap/>
            <w:vAlign w:val="bottom"/>
          </w:tcPr>
          <w:p w:rsidR="00652F81" w:rsidRPr="00FB3069" w:rsidRDefault="00652F81" w:rsidP="00652F81">
            <w:pPr>
              <w:rPr>
                <w:rFonts w:ascii="Tahoma" w:hAnsi="Tahoma" w:cs="Tahoma"/>
                <w:b/>
                <w:bCs/>
              </w:rPr>
            </w:pPr>
            <w:r w:rsidRPr="00FB3069">
              <w:rPr>
                <w:rFonts w:ascii="Tahoma" w:hAnsi="Tahoma" w:cs="Tahoma"/>
                <w:b/>
                <w:bCs/>
              </w:rPr>
              <w:t>EU25</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79,4</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79,7</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80,2</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80,4</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81,0</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80,9</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81,4</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81,5</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81,9</w:t>
            </w:r>
          </w:p>
        </w:tc>
      </w:tr>
      <w:tr w:rsidR="00652F81" w:rsidRPr="00515DAC" w:rsidTr="00652F81">
        <w:trPr>
          <w:trHeight w:val="255"/>
        </w:trPr>
        <w:tc>
          <w:tcPr>
            <w:tcW w:w="960" w:type="dxa"/>
            <w:noWrap/>
            <w:vAlign w:val="bottom"/>
          </w:tcPr>
          <w:p w:rsidR="00652F81" w:rsidRPr="00FB3069" w:rsidRDefault="00652F81" w:rsidP="00652F81">
            <w:pPr>
              <w:rPr>
                <w:rFonts w:ascii="Tahoma" w:hAnsi="Tahoma" w:cs="Tahoma"/>
                <w:b/>
                <w:bCs/>
              </w:rPr>
            </w:pPr>
            <w:r w:rsidRPr="00FB3069">
              <w:rPr>
                <w:rFonts w:ascii="Tahoma" w:hAnsi="Tahoma" w:cs="Tahoma"/>
                <w:b/>
                <w:bCs/>
              </w:rPr>
              <w:t>EU15</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76,6</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76,9</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77,5</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77,8</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78,4</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78,3</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79,0</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79,3</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79,7</w:t>
            </w:r>
          </w:p>
        </w:tc>
      </w:tr>
      <w:tr w:rsidR="00652F81" w:rsidRPr="00515DAC" w:rsidTr="00652F81">
        <w:trPr>
          <w:trHeight w:val="255"/>
        </w:trPr>
        <w:tc>
          <w:tcPr>
            <w:tcW w:w="960" w:type="dxa"/>
            <w:noWrap/>
            <w:vAlign w:val="bottom"/>
          </w:tcPr>
          <w:p w:rsidR="00652F81" w:rsidRPr="00345431" w:rsidRDefault="00652F81" w:rsidP="00652F81">
            <w:pPr>
              <w:rPr>
                <w:rFonts w:ascii="Tahoma" w:hAnsi="Tahoma" w:cs="Tahoma"/>
                <w:b/>
                <w:bCs/>
              </w:rPr>
            </w:pPr>
            <w:r>
              <w:rPr>
                <w:rFonts w:ascii="Tahoma" w:hAnsi="Tahoma" w:cs="Tahoma"/>
                <w:b/>
                <w:bCs/>
              </w:rPr>
              <w:t>EA17</w:t>
            </w:r>
          </w:p>
        </w:tc>
        <w:tc>
          <w:tcPr>
            <w:tcW w:w="960" w:type="dxa"/>
            <w:noWrap/>
            <w:vAlign w:val="bottom"/>
          </w:tcPr>
          <w:p w:rsidR="00652F81" w:rsidRPr="002A50D1" w:rsidRDefault="00652F81" w:rsidP="00652F81">
            <w:pPr>
              <w:jc w:val="right"/>
              <w:rPr>
                <w:rFonts w:ascii="Tahoma" w:hAnsi="Tahoma" w:cs="Tahoma"/>
              </w:rPr>
            </w:pPr>
            <w:r>
              <w:rPr>
                <w:rFonts w:ascii="Tahoma" w:hAnsi="Tahoma" w:cs="Tahoma"/>
                <w:lang w:val="en-US"/>
              </w:rPr>
              <w:t>76,</w:t>
            </w:r>
            <w:r>
              <w:rPr>
                <w:rFonts w:ascii="Tahoma" w:hAnsi="Tahoma" w:cs="Tahoma"/>
              </w:rPr>
              <w:t>7</w:t>
            </w:r>
          </w:p>
        </w:tc>
        <w:tc>
          <w:tcPr>
            <w:tcW w:w="960" w:type="dxa"/>
            <w:noWrap/>
            <w:vAlign w:val="bottom"/>
          </w:tcPr>
          <w:p w:rsidR="00652F81" w:rsidRPr="002A50D1" w:rsidRDefault="00652F81" w:rsidP="00652F81">
            <w:pPr>
              <w:jc w:val="right"/>
              <w:rPr>
                <w:rFonts w:ascii="Tahoma" w:hAnsi="Tahoma" w:cs="Tahoma"/>
              </w:rPr>
            </w:pPr>
            <w:r>
              <w:rPr>
                <w:rFonts w:ascii="Tahoma" w:hAnsi="Tahoma" w:cs="Tahoma"/>
                <w:lang w:val="en-US"/>
              </w:rPr>
              <w:t>76,</w:t>
            </w:r>
            <w:r>
              <w:rPr>
                <w:rFonts w:ascii="Tahoma" w:hAnsi="Tahoma" w:cs="Tahoma"/>
              </w:rPr>
              <w:t>8</w:t>
            </w:r>
          </w:p>
        </w:tc>
        <w:tc>
          <w:tcPr>
            <w:tcW w:w="960" w:type="dxa"/>
            <w:noWrap/>
            <w:vAlign w:val="bottom"/>
          </w:tcPr>
          <w:p w:rsidR="00652F81" w:rsidRPr="002A50D1" w:rsidRDefault="00652F81" w:rsidP="00652F81">
            <w:pPr>
              <w:jc w:val="right"/>
              <w:rPr>
                <w:rFonts w:ascii="Tahoma" w:hAnsi="Tahoma" w:cs="Tahoma"/>
              </w:rPr>
            </w:pPr>
            <w:r>
              <w:rPr>
                <w:rFonts w:ascii="Tahoma" w:hAnsi="Tahoma" w:cs="Tahoma"/>
                <w:lang w:val="en-US"/>
              </w:rPr>
              <w:t>77,</w:t>
            </w:r>
            <w:r>
              <w:rPr>
                <w:rFonts w:ascii="Tahoma" w:hAnsi="Tahoma" w:cs="Tahoma"/>
              </w:rPr>
              <w:t>7</w:t>
            </w:r>
          </w:p>
        </w:tc>
        <w:tc>
          <w:tcPr>
            <w:tcW w:w="960" w:type="dxa"/>
            <w:noWrap/>
            <w:vAlign w:val="bottom"/>
          </w:tcPr>
          <w:p w:rsidR="00652F81" w:rsidRPr="00C54079" w:rsidRDefault="00652F81" w:rsidP="00652F81">
            <w:pPr>
              <w:jc w:val="right"/>
              <w:rPr>
                <w:rFonts w:ascii="Tahoma" w:hAnsi="Tahoma" w:cs="Tahoma"/>
                <w:lang w:val="en-US"/>
              </w:rPr>
            </w:pPr>
            <w:r>
              <w:rPr>
                <w:rFonts w:ascii="Tahoma" w:hAnsi="Tahoma" w:cs="Tahoma"/>
                <w:lang w:val="en-US"/>
              </w:rPr>
              <w:t>77,7</w:t>
            </w:r>
          </w:p>
        </w:tc>
        <w:tc>
          <w:tcPr>
            <w:tcW w:w="960" w:type="dxa"/>
            <w:noWrap/>
            <w:vAlign w:val="bottom"/>
          </w:tcPr>
          <w:p w:rsidR="00652F81" w:rsidRPr="002A50D1" w:rsidRDefault="00652F81" w:rsidP="00652F81">
            <w:pPr>
              <w:jc w:val="right"/>
              <w:rPr>
                <w:rFonts w:ascii="Tahoma" w:hAnsi="Tahoma" w:cs="Tahoma"/>
              </w:rPr>
            </w:pPr>
            <w:r>
              <w:rPr>
                <w:rFonts w:ascii="Tahoma" w:hAnsi="Tahoma" w:cs="Tahoma"/>
                <w:lang w:val="en-US"/>
              </w:rPr>
              <w:t>78,</w:t>
            </w:r>
            <w:r>
              <w:rPr>
                <w:rFonts w:ascii="Tahoma" w:hAnsi="Tahoma" w:cs="Tahoma"/>
              </w:rPr>
              <w:t>2</w:t>
            </w:r>
          </w:p>
        </w:tc>
        <w:tc>
          <w:tcPr>
            <w:tcW w:w="960" w:type="dxa"/>
            <w:noWrap/>
            <w:vAlign w:val="bottom"/>
          </w:tcPr>
          <w:p w:rsidR="00652F81" w:rsidRPr="00C54079" w:rsidRDefault="00652F81" w:rsidP="00652F81">
            <w:pPr>
              <w:jc w:val="right"/>
              <w:rPr>
                <w:rFonts w:ascii="Tahoma" w:hAnsi="Tahoma" w:cs="Tahoma"/>
                <w:lang w:val="en-US"/>
              </w:rPr>
            </w:pPr>
            <w:r>
              <w:rPr>
                <w:rFonts w:ascii="Tahoma" w:hAnsi="Tahoma" w:cs="Tahoma"/>
                <w:lang w:val="en-US"/>
              </w:rPr>
              <w:t>78,4</w:t>
            </w:r>
          </w:p>
        </w:tc>
        <w:tc>
          <w:tcPr>
            <w:tcW w:w="960" w:type="dxa"/>
            <w:noWrap/>
            <w:vAlign w:val="bottom"/>
          </w:tcPr>
          <w:p w:rsidR="00652F81" w:rsidRPr="00C54079" w:rsidRDefault="00652F81" w:rsidP="00652F81">
            <w:pPr>
              <w:jc w:val="right"/>
              <w:rPr>
                <w:rFonts w:ascii="Tahoma" w:hAnsi="Tahoma" w:cs="Tahoma"/>
                <w:lang w:val="en-US"/>
              </w:rPr>
            </w:pPr>
            <w:r>
              <w:rPr>
                <w:rFonts w:ascii="Tahoma" w:hAnsi="Tahoma" w:cs="Tahoma"/>
                <w:lang w:val="en-US"/>
              </w:rPr>
              <w:t>79,0</w:t>
            </w:r>
          </w:p>
        </w:tc>
        <w:tc>
          <w:tcPr>
            <w:tcW w:w="960" w:type="dxa"/>
            <w:noWrap/>
            <w:vAlign w:val="bottom"/>
          </w:tcPr>
          <w:p w:rsidR="00652F81" w:rsidRPr="002A50D1" w:rsidRDefault="00652F81" w:rsidP="00652F81">
            <w:pPr>
              <w:jc w:val="right"/>
              <w:rPr>
                <w:rFonts w:ascii="Tahoma" w:hAnsi="Tahoma" w:cs="Tahoma"/>
              </w:rPr>
            </w:pPr>
            <w:r>
              <w:rPr>
                <w:rFonts w:ascii="Tahoma" w:hAnsi="Tahoma" w:cs="Tahoma"/>
                <w:lang w:val="en-US"/>
              </w:rPr>
              <w:t>79,</w:t>
            </w:r>
            <w:r>
              <w:rPr>
                <w:rFonts w:ascii="Tahoma" w:hAnsi="Tahoma" w:cs="Tahoma"/>
              </w:rPr>
              <w:t>1</w:t>
            </w:r>
          </w:p>
        </w:tc>
        <w:tc>
          <w:tcPr>
            <w:tcW w:w="960" w:type="dxa"/>
            <w:noWrap/>
            <w:vAlign w:val="bottom"/>
          </w:tcPr>
          <w:p w:rsidR="00652F81" w:rsidRPr="00BE2795" w:rsidRDefault="00652F81" w:rsidP="00652F81">
            <w:pPr>
              <w:jc w:val="right"/>
              <w:rPr>
                <w:rFonts w:ascii="Tahoma" w:hAnsi="Tahoma" w:cs="Tahoma"/>
                <w:lang w:val="en-US"/>
              </w:rPr>
            </w:pPr>
            <w:r>
              <w:rPr>
                <w:rFonts w:ascii="Tahoma" w:hAnsi="Tahoma" w:cs="Tahoma"/>
                <w:lang w:val="en-US"/>
              </w:rPr>
              <w:t>79,5</w:t>
            </w:r>
          </w:p>
        </w:tc>
      </w:tr>
      <w:tr w:rsidR="00652F81" w:rsidRPr="001E1981" w:rsidTr="00652F81">
        <w:trPr>
          <w:trHeight w:val="255"/>
        </w:trPr>
        <w:tc>
          <w:tcPr>
            <w:tcW w:w="960" w:type="dxa"/>
            <w:noWrap/>
            <w:vAlign w:val="bottom"/>
          </w:tcPr>
          <w:p w:rsidR="00652F81" w:rsidRPr="00FB3069" w:rsidRDefault="00652F81" w:rsidP="00652F81">
            <w:pPr>
              <w:rPr>
                <w:rFonts w:ascii="Tahoma" w:hAnsi="Tahoma" w:cs="Tahoma"/>
                <w:b/>
                <w:bCs/>
              </w:rPr>
            </w:pPr>
            <w:r w:rsidRPr="00FB3069">
              <w:rPr>
                <w:rFonts w:ascii="Tahoma" w:hAnsi="Tahoma" w:cs="Tahoma"/>
                <w:b/>
                <w:bCs/>
              </w:rPr>
              <w:t>EL</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86,0</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86,8</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86,8</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88,5</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86,6</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87,0</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86,6</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86,9</w:t>
            </w:r>
          </w:p>
        </w:tc>
        <w:tc>
          <w:tcPr>
            <w:tcW w:w="960" w:type="dxa"/>
            <w:noWrap/>
            <w:vAlign w:val="bottom"/>
          </w:tcPr>
          <w:p w:rsidR="00652F81" w:rsidRPr="00602124" w:rsidRDefault="00652F81" w:rsidP="00652F81">
            <w:pPr>
              <w:jc w:val="right"/>
              <w:rPr>
                <w:rFonts w:ascii="Tahoma" w:hAnsi="Tahoma" w:cs="Tahoma"/>
                <w:lang w:val="en-US"/>
              </w:rPr>
            </w:pPr>
            <w:r>
              <w:rPr>
                <w:rFonts w:ascii="Tahoma" w:hAnsi="Tahoma" w:cs="Tahoma"/>
                <w:lang w:val="en-US"/>
              </w:rPr>
              <w:t>87,2</w:t>
            </w:r>
          </w:p>
        </w:tc>
      </w:tr>
    </w:tbl>
    <w:p w:rsidR="00652F81" w:rsidRPr="008A5924" w:rsidRDefault="00652F81" w:rsidP="00652F81">
      <w:pPr>
        <w:pStyle w:val="1"/>
        <w:rPr>
          <w:rFonts w:ascii="Tahoma" w:hAnsi="Tahoma" w:cs="Tahoma"/>
          <w:b w:val="0"/>
          <w:sz w:val="18"/>
          <w:szCs w:val="18"/>
        </w:rPr>
      </w:pPr>
      <w:r w:rsidRPr="00954CD1">
        <w:rPr>
          <w:rFonts w:ascii="Tahoma" w:hAnsi="Tahoma" w:cs="Tahoma"/>
          <w:sz w:val="18"/>
          <w:szCs w:val="18"/>
        </w:rPr>
        <w:t>Πηγή:</w:t>
      </w:r>
      <w:r w:rsidRPr="008A5924">
        <w:rPr>
          <w:rFonts w:ascii="Tahoma" w:hAnsi="Tahoma" w:cs="Tahoma"/>
          <w:b w:val="0"/>
          <w:sz w:val="18"/>
          <w:szCs w:val="18"/>
        </w:rPr>
        <w:t xml:space="preserve"> Eurostat </w:t>
      </w:r>
    </w:p>
    <w:p w:rsidR="00652F81" w:rsidRPr="00CA011E" w:rsidRDefault="00652F81" w:rsidP="00652F81">
      <w:pPr>
        <w:rPr>
          <w:rFonts w:ascii="Tahoma" w:hAnsi="Tahoma" w:cs="Tahoma"/>
          <w:sz w:val="28"/>
        </w:rPr>
      </w:pPr>
    </w:p>
    <w:p w:rsidR="00652F81" w:rsidRPr="00CA011E" w:rsidRDefault="00652F81" w:rsidP="00652F81">
      <w:pPr>
        <w:rPr>
          <w:rFonts w:ascii="Tahoma" w:hAnsi="Tahoma" w:cs="Tahoma"/>
          <w:sz w:val="28"/>
        </w:rPr>
      </w:pPr>
    </w:p>
    <w:p w:rsidR="00652F81" w:rsidRPr="00CA011E" w:rsidRDefault="00652F81" w:rsidP="00652F81"/>
    <w:p w:rsidR="00652F81" w:rsidRPr="00CA011E" w:rsidRDefault="00652F81" w:rsidP="00652F81">
      <w:pPr>
        <w:rPr>
          <w:rFonts w:ascii="Tahoma" w:hAnsi="Tahoma" w:cs="Tahoma"/>
          <w:sz w:val="28"/>
        </w:rPr>
        <w:sectPr w:rsidR="00652F81" w:rsidRPr="00CA011E" w:rsidSect="00652F81">
          <w:footerReference w:type="default" r:id="rId85"/>
          <w:pgSz w:w="11906" w:h="16838"/>
          <w:pgMar w:top="1701" w:right="1418" w:bottom="1418" w:left="1418" w:header="720" w:footer="720" w:gutter="0"/>
          <w:paperSrc w:first="242" w:other="242"/>
          <w:cols w:space="720"/>
        </w:sectPr>
      </w:pPr>
    </w:p>
    <w:p w:rsidR="00652F81" w:rsidRPr="00294913" w:rsidRDefault="00652F81" w:rsidP="00652F81">
      <w:pPr>
        <w:pStyle w:val="new6"/>
        <w:tabs>
          <w:tab w:val="left" w:pos="900"/>
        </w:tabs>
      </w:pPr>
      <w:bookmarkStart w:id="425" w:name="_Toc150308592"/>
      <w:bookmarkStart w:id="426" w:name="_Toc169881542"/>
      <w:bookmarkStart w:id="427" w:name="_Toc170201884"/>
      <w:bookmarkStart w:id="428" w:name="_Toc70767299"/>
      <w:bookmarkStart w:id="429" w:name="_Toc26115066"/>
      <w:bookmarkStart w:id="430" w:name="_Toc7353411"/>
      <w:bookmarkStart w:id="431" w:name="_Toc535676810"/>
      <w:bookmarkStart w:id="432" w:name="_Toc514567159"/>
      <w:r>
        <w:lastRenderedPageBreak/>
        <w:t>ΙV-Α,</w:t>
      </w:r>
      <w:r>
        <w:tab/>
        <w:t>Οικονομική Αναδ</w:t>
      </w:r>
      <w:r w:rsidRPr="00294913">
        <w:t>ιάρθρωση</w:t>
      </w:r>
      <w:bookmarkEnd w:id="425"/>
      <w:bookmarkEnd w:id="426"/>
      <w:bookmarkEnd w:id="427"/>
    </w:p>
    <w:p w:rsidR="00652F81" w:rsidRPr="00294913" w:rsidRDefault="00652F81" w:rsidP="00652F81"/>
    <w:p w:rsidR="00652F81" w:rsidRPr="00294913" w:rsidRDefault="00652F81" w:rsidP="00652F81"/>
    <w:p w:rsidR="00652F81" w:rsidRPr="0098194D" w:rsidRDefault="00652F81" w:rsidP="00652F81">
      <w:pPr>
        <w:pStyle w:val="new12"/>
        <w:rPr>
          <w:i/>
        </w:rPr>
      </w:pPr>
      <w:bookmarkStart w:id="433" w:name="_Toc150308593"/>
      <w:bookmarkStart w:id="434" w:name="_Toc169881543"/>
      <w:bookmarkStart w:id="435" w:name="_Toc170201885"/>
      <w:r>
        <w:t>ΙV-1α,</w:t>
      </w:r>
      <w:r>
        <w:tab/>
        <w:t>Συγκριτικά Επίπεδα Τ</w:t>
      </w:r>
      <w:r w:rsidRPr="00294913">
        <w:t>ιμών</w:t>
      </w:r>
      <w:bookmarkEnd w:id="428"/>
      <w:bookmarkEnd w:id="429"/>
      <w:bookmarkEnd w:id="430"/>
      <w:bookmarkEnd w:id="431"/>
      <w:bookmarkEnd w:id="433"/>
      <w:bookmarkEnd w:id="434"/>
      <w:bookmarkEnd w:id="435"/>
      <w:r w:rsidRPr="00294913">
        <w:t xml:space="preserve"> </w:t>
      </w:r>
      <w:bookmarkEnd w:id="432"/>
    </w:p>
    <w:p w:rsidR="00652F81" w:rsidRPr="00D84806" w:rsidRDefault="00652F81" w:rsidP="00652F81">
      <w:pPr>
        <w:pStyle w:val="new1210pt"/>
      </w:pPr>
      <w:bookmarkStart w:id="436" w:name="_Toc70767300"/>
      <w:bookmarkStart w:id="437" w:name="_Toc26115067"/>
      <w:bookmarkStart w:id="438" w:name="_Toc12420335"/>
      <w:bookmarkStart w:id="439" w:name="_Toc535767042"/>
      <w:bookmarkStart w:id="440" w:name="_Toc535676811"/>
      <w:bookmarkStart w:id="441" w:name="_Toc150308594"/>
      <w:bookmarkStart w:id="442" w:name="_Toc170201886"/>
      <w:r w:rsidRPr="00294913">
        <w:t>(ιδιωτική τελική κατανάλωση, συμπεριλαμβάνονται οι έμμεσοι φό</w:t>
      </w:r>
      <w:r>
        <w:t>ροι ΕΕ-27</w:t>
      </w:r>
      <w:r w:rsidRPr="00294913">
        <w:t>=100)</w:t>
      </w:r>
      <w:bookmarkEnd w:id="436"/>
      <w:bookmarkEnd w:id="437"/>
      <w:bookmarkEnd w:id="438"/>
      <w:bookmarkEnd w:id="439"/>
      <w:bookmarkEnd w:id="440"/>
      <w:bookmarkEnd w:id="441"/>
      <w:bookmarkEnd w:id="442"/>
      <w:r w:rsidRPr="00294913">
        <w:t xml:space="preserve"> </w:t>
      </w:r>
    </w:p>
    <w:p w:rsidR="00652F81" w:rsidRPr="0003797A" w:rsidRDefault="00652F81" w:rsidP="00652F81">
      <w:pPr>
        <w:pStyle w:val="new1210pt"/>
      </w:pPr>
    </w:p>
    <w:p w:rsidR="00652F81" w:rsidRPr="0003797A" w:rsidRDefault="00652F81" w:rsidP="00652F81">
      <w:pPr>
        <w:pStyle w:val="new1210pt"/>
      </w:pPr>
    </w:p>
    <w:p w:rsidR="00652F81" w:rsidRPr="00EB3978" w:rsidRDefault="00652F81" w:rsidP="00652F81">
      <w:pPr>
        <w:rPr>
          <w:lang w:val="en-US"/>
        </w:rPr>
      </w:pPr>
      <w:r>
        <w:rPr>
          <w:noProof/>
          <w:lang w:val="en-US" w:eastAsia="en-US"/>
        </w:rPr>
        <w:drawing>
          <wp:inline distT="0" distB="0" distL="0" distR="0">
            <wp:extent cx="5295900" cy="3314700"/>
            <wp:effectExtent l="0" t="0" r="0"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 cstate="print"/>
                    <a:srcRect/>
                    <a:stretch>
                      <a:fillRect/>
                    </a:stretch>
                  </pic:blipFill>
                  <pic:spPr bwMode="auto">
                    <a:xfrm>
                      <a:off x="0" y="0"/>
                      <a:ext cx="5295900" cy="3314700"/>
                    </a:xfrm>
                    <a:prstGeom prst="rect">
                      <a:avLst/>
                    </a:prstGeom>
                    <a:noFill/>
                    <a:ln w="9525">
                      <a:noFill/>
                      <a:miter lim="800000"/>
                      <a:headEnd/>
                      <a:tailEnd/>
                    </a:ln>
                  </pic:spPr>
                </pic:pic>
              </a:graphicData>
            </a:graphic>
          </wp:inline>
        </w:drawing>
      </w:r>
    </w:p>
    <w:p w:rsidR="00652F81" w:rsidRDefault="00652F81" w:rsidP="00652F81">
      <w:pPr>
        <w:rPr>
          <w:lang w:val="en-US"/>
        </w:rPr>
      </w:pPr>
    </w:p>
    <w:tbl>
      <w:tblPr>
        <w:tblW w:w="9600" w:type="dxa"/>
        <w:tblBorders>
          <w:top w:val="single" w:sz="12" w:space="0" w:color="auto"/>
          <w:bottom w:val="single" w:sz="12" w:space="0" w:color="auto"/>
          <w:insideH w:val="dotted" w:sz="4" w:space="0" w:color="auto"/>
        </w:tblBorders>
        <w:tblLook w:val="00E0"/>
      </w:tblPr>
      <w:tblGrid>
        <w:gridCol w:w="960"/>
        <w:gridCol w:w="960"/>
        <w:gridCol w:w="960"/>
        <w:gridCol w:w="960"/>
        <w:gridCol w:w="960"/>
        <w:gridCol w:w="960"/>
        <w:gridCol w:w="960"/>
        <w:gridCol w:w="960"/>
        <w:gridCol w:w="960"/>
        <w:gridCol w:w="960"/>
      </w:tblGrid>
      <w:tr w:rsidR="00652F81" w:rsidRPr="00515DAC" w:rsidTr="00652F81">
        <w:trPr>
          <w:trHeight w:val="255"/>
        </w:trPr>
        <w:tc>
          <w:tcPr>
            <w:tcW w:w="960" w:type="dxa"/>
            <w:tcBorders>
              <w:top w:val="single" w:sz="12" w:space="0" w:color="auto"/>
              <w:bottom w:val="single" w:sz="8" w:space="0" w:color="auto"/>
            </w:tcBorders>
            <w:noWrap/>
          </w:tcPr>
          <w:p w:rsidR="00652F81" w:rsidRPr="00FB3069" w:rsidRDefault="00652F81" w:rsidP="00652F81">
            <w:pPr>
              <w:jc w:val="center"/>
              <w:rPr>
                <w:rFonts w:ascii="Tahoma" w:hAnsi="Tahoma" w:cs="Tahoma"/>
              </w:rPr>
            </w:pPr>
          </w:p>
        </w:tc>
        <w:tc>
          <w:tcPr>
            <w:tcW w:w="960" w:type="dxa"/>
            <w:tcBorders>
              <w:top w:val="single" w:sz="12" w:space="0" w:color="auto"/>
              <w:bottom w:val="single" w:sz="8" w:space="0" w:color="auto"/>
            </w:tcBorders>
            <w:vAlign w:val="bottom"/>
          </w:tcPr>
          <w:p w:rsidR="00652F81" w:rsidRPr="00FB3069" w:rsidRDefault="00652F81" w:rsidP="00652F81">
            <w:pPr>
              <w:jc w:val="center"/>
              <w:rPr>
                <w:rFonts w:ascii="Tahoma" w:hAnsi="Tahoma" w:cs="Tahoma"/>
                <w:b/>
                <w:bCs/>
              </w:rPr>
            </w:pPr>
            <w:r w:rsidRPr="00FB3069">
              <w:rPr>
                <w:rFonts w:ascii="Tahoma" w:hAnsi="Tahoma" w:cs="Tahoma"/>
                <w:b/>
                <w:bCs/>
              </w:rPr>
              <w:t>2002</w:t>
            </w:r>
          </w:p>
        </w:tc>
        <w:tc>
          <w:tcPr>
            <w:tcW w:w="960" w:type="dxa"/>
            <w:tcBorders>
              <w:top w:val="single" w:sz="12" w:space="0" w:color="auto"/>
              <w:bottom w:val="single" w:sz="8" w:space="0" w:color="auto"/>
            </w:tcBorders>
            <w:vAlign w:val="bottom"/>
          </w:tcPr>
          <w:p w:rsidR="00652F81" w:rsidRPr="00FB3069" w:rsidRDefault="00652F81" w:rsidP="00652F81">
            <w:pPr>
              <w:jc w:val="center"/>
              <w:rPr>
                <w:rFonts w:ascii="Tahoma" w:hAnsi="Tahoma" w:cs="Tahoma"/>
                <w:b/>
                <w:bCs/>
              </w:rPr>
            </w:pPr>
            <w:r w:rsidRPr="00FB3069">
              <w:rPr>
                <w:rFonts w:ascii="Tahoma" w:hAnsi="Tahoma" w:cs="Tahoma"/>
                <w:b/>
                <w:bCs/>
              </w:rPr>
              <w:t>2003</w:t>
            </w:r>
          </w:p>
        </w:tc>
        <w:tc>
          <w:tcPr>
            <w:tcW w:w="960" w:type="dxa"/>
            <w:tcBorders>
              <w:top w:val="single" w:sz="12" w:space="0" w:color="auto"/>
              <w:bottom w:val="single" w:sz="8" w:space="0" w:color="auto"/>
            </w:tcBorders>
            <w:vAlign w:val="bottom"/>
          </w:tcPr>
          <w:p w:rsidR="00652F81" w:rsidRPr="00FB3069" w:rsidRDefault="00652F81" w:rsidP="00652F81">
            <w:pPr>
              <w:jc w:val="center"/>
              <w:rPr>
                <w:rFonts w:ascii="Tahoma" w:hAnsi="Tahoma" w:cs="Tahoma"/>
                <w:b/>
                <w:bCs/>
              </w:rPr>
            </w:pPr>
            <w:r w:rsidRPr="00FB3069">
              <w:rPr>
                <w:rFonts w:ascii="Tahoma" w:hAnsi="Tahoma" w:cs="Tahoma"/>
                <w:b/>
                <w:bCs/>
              </w:rPr>
              <w:t>2004</w:t>
            </w:r>
          </w:p>
        </w:tc>
        <w:tc>
          <w:tcPr>
            <w:tcW w:w="960" w:type="dxa"/>
            <w:tcBorders>
              <w:top w:val="single" w:sz="12" w:space="0" w:color="auto"/>
              <w:bottom w:val="single" w:sz="8" w:space="0" w:color="auto"/>
            </w:tcBorders>
            <w:vAlign w:val="bottom"/>
          </w:tcPr>
          <w:p w:rsidR="00652F81" w:rsidRPr="00FB3069" w:rsidRDefault="00652F81" w:rsidP="00652F81">
            <w:pPr>
              <w:jc w:val="center"/>
              <w:rPr>
                <w:rFonts w:ascii="Tahoma" w:hAnsi="Tahoma" w:cs="Tahoma"/>
                <w:b/>
                <w:bCs/>
              </w:rPr>
            </w:pPr>
            <w:r w:rsidRPr="00FB3069">
              <w:rPr>
                <w:rFonts w:ascii="Tahoma" w:hAnsi="Tahoma" w:cs="Tahoma"/>
                <w:b/>
                <w:bCs/>
              </w:rPr>
              <w:t>2005</w:t>
            </w:r>
          </w:p>
        </w:tc>
        <w:tc>
          <w:tcPr>
            <w:tcW w:w="960" w:type="dxa"/>
            <w:tcBorders>
              <w:top w:val="single" w:sz="12" w:space="0" w:color="auto"/>
              <w:bottom w:val="single" w:sz="8" w:space="0" w:color="auto"/>
            </w:tcBorders>
            <w:vAlign w:val="bottom"/>
          </w:tcPr>
          <w:p w:rsidR="00652F81" w:rsidRPr="00FB3069" w:rsidRDefault="00652F81" w:rsidP="00652F81">
            <w:pPr>
              <w:jc w:val="center"/>
              <w:rPr>
                <w:rFonts w:ascii="Tahoma" w:hAnsi="Tahoma" w:cs="Tahoma"/>
                <w:b/>
                <w:bCs/>
              </w:rPr>
            </w:pPr>
            <w:r w:rsidRPr="00FB3069">
              <w:rPr>
                <w:rFonts w:ascii="Tahoma" w:hAnsi="Tahoma" w:cs="Tahoma"/>
                <w:b/>
                <w:bCs/>
              </w:rPr>
              <w:t>2006</w:t>
            </w:r>
          </w:p>
        </w:tc>
        <w:tc>
          <w:tcPr>
            <w:tcW w:w="960" w:type="dxa"/>
            <w:tcBorders>
              <w:top w:val="single" w:sz="12" w:space="0" w:color="auto"/>
              <w:bottom w:val="single" w:sz="8" w:space="0" w:color="auto"/>
            </w:tcBorders>
            <w:vAlign w:val="bottom"/>
          </w:tcPr>
          <w:p w:rsidR="00652F81" w:rsidRPr="00FB3069" w:rsidRDefault="00652F81" w:rsidP="00652F81">
            <w:pPr>
              <w:jc w:val="center"/>
              <w:rPr>
                <w:rFonts w:ascii="Tahoma" w:hAnsi="Tahoma" w:cs="Tahoma"/>
                <w:b/>
                <w:bCs/>
                <w:lang w:val="en-US"/>
              </w:rPr>
            </w:pPr>
            <w:r w:rsidRPr="00FB3069">
              <w:rPr>
                <w:rFonts w:ascii="Tahoma" w:hAnsi="Tahoma" w:cs="Tahoma"/>
                <w:b/>
                <w:bCs/>
                <w:lang w:val="en-US"/>
              </w:rPr>
              <w:t>2007</w:t>
            </w:r>
          </w:p>
        </w:tc>
        <w:tc>
          <w:tcPr>
            <w:tcW w:w="960" w:type="dxa"/>
            <w:tcBorders>
              <w:top w:val="single" w:sz="12" w:space="0" w:color="auto"/>
              <w:bottom w:val="single" w:sz="8" w:space="0" w:color="auto"/>
            </w:tcBorders>
            <w:vAlign w:val="bottom"/>
          </w:tcPr>
          <w:p w:rsidR="00652F81" w:rsidRPr="00421631" w:rsidRDefault="00652F81" w:rsidP="00652F81">
            <w:pPr>
              <w:jc w:val="center"/>
              <w:rPr>
                <w:rFonts w:ascii="Tahoma" w:hAnsi="Tahoma" w:cs="Tahoma"/>
                <w:b/>
                <w:bCs/>
              </w:rPr>
            </w:pPr>
            <w:r>
              <w:rPr>
                <w:rFonts w:ascii="Tahoma" w:hAnsi="Tahoma" w:cs="Tahoma"/>
                <w:b/>
                <w:bCs/>
              </w:rPr>
              <w:t>2008</w:t>
            </w:r>
          </w:p>
        </w:tc>
        <w:tc>
          <w:tcPr>
            <w:tcW w:w="960" w:type="dxa"/>
            <w:tcBorders>
              <w:top w:val="single" w:sz="12" w:space="0" w:color="auto"/>
              <w:bottom w:val="single" w:sz="8" w:space="0" w:color="auto"/>
            </w:tcBorders>
            <w:vAlign w:val="bottom"/>
          </w:tcPr>
          <w:p w:rsidR="00652F81" w:rsidRPr="00DA571E" w:rsidRDefault="00652F81" w:rsidP="00652F81">
            <w:pPr>
              <w:jc w:val="center"/>
              <w:rPr>
                <w:rFonts w:ascii="Tahoma" w:hAnsi="Tahoma" w:cs="Tahoma"/>
                <w:b/>
                <w:bCs/>
                <w:lang w:val="en-US"/>
              </w:rPr>
            </w:pPr>
            <w:r>
              <w:rPr>
                <w:rFonts w:ascii="Tahoma" w:hAnsi="Tahoma" w:cs="Tahoma"/>
                <w:b/>
                <w:bCs/>
                <w:lang w:val="en-US"/>
              </w:rPr>
              <w:t>2009</w:t>
            </w:r>
          </w:p>
        </w:tc>
        <w:tc>
          <w:tcPr>
            <w:tcW w:w="960" w:type="dxa"/>
            <w:tcBorders>
              <w:top w:val="single" w:sz="12" w:space="0" w:color="auto"/>
              <w:bottom w:val="single" w:sz="8" w:space="0" w:color="auto"/>
            </w:tcBorders>
            <w:noWrap/>
            <w:vAlign w:val="bottom"/>
          </w:tcPr>
          <w:p w:rsidR="00652F81" w:rsidRPr="00923CD5" w:rsidRDefault="00652F81" w:rsidP="00652F81">
            <w:pPr>
              <w:jc w:val="center"/>
              <w:rPr>
                <w:rFonts w:ascii="Tahoma" w:hAnsi="Tahoma" w:cs="Tahoma"/>
                <w:b/>
                <w:bCs/>
              </w:rPr>
            </w:pPr>
            <w:r>
              <w:rPr>
                <w:rFonts w:ascii="Tahoma" w:hAnsi="Tahoma" w:cs="Tahoma"/>
                <w:b/>
                <w:bCs/>
              </w:rPr>
              <w:t>2010</w:t>
            </w:r>
          </w:p>
        </w:tc>
      </w:tr>
      <w:tr w:rsidR="00652F81" w:rsidRPr="00515DAC" w:rsidTr="00652F81">
        <w:trPr>
          <w:trHeight w:val="255"/>
        </w:trPr>
        <w:tc>
          <w:tcPr>
            <w:tcW w:w="960" w:type="dxa"/>
            <w:tcBorders>
              <w:top w:val="single" w:sz="8" w:space="0" w:color="auto"/>
            </w:tcBorders>
            <w:noWrap/>
            <w:vAlign w:val="bottom"/>
          </w:tcPr>
          <w:p w:rsidR="00652F81" w:rsidRPr="00FB3069" w:rsidRDefault="00652F81" w:rsidP="00652F81">
            <w:pPr>
              <w:rPr>
                <w:rFonts w:ascii="Tahoma" w:hAnsi="Tahoma" w:cs="Tahoma"/>
                <w:b/>
                <w:bCs/>
              </w:rPr>
            </w:pPr>
            <w:r w:rsidRPr="00FB3069">
              <w:rPr>
                <w:rFonts w:ascii="Tahoma" w:hAnsi="Tahoma" w:cs="Tahoma"/>
                <w:b/>
                <w:bCs/>
              </w:rPr>
              <w:t>EU27</w:t>
            </w:r>
          </w:p>
        </w:tc>
        <w:tc>
          <w:tcPr>
            <w:tcW w:w="960" w:type="dxa"/>
            <w:tcBorders>
              <w:top w:val="single" w:sz="8" w:space="0" w:color="auto"/>
            </w:tcBorders>
            <w:vAlign w:val="bottom"/>
          </w:tcPr>
          <w:p w:rsidR="00652F81" w:rsidRPr="00923CD5" w:rsidRDefault="00652F81" w:rsidP="00652F81">
            <w:pPr>
              <w:jc w:val="right"/>
              <w:rPr>
                <w:rFonts w:ascii="Tahoma" w:hAnsi="Tahoma" w:cs="Tahoma"/>
              </w:rPr>
            </w:pPr>
            <w:r w:rsidRPr="00923CD5">
              <w:rPr>
                <w:rFonts w:ascii="Tahoma" w:hAnsi="Tahoma" w:cs="Tahoma"/>
              </w:rPr>
              <w:t>100</w:t>
            </w:r>
          </w:p>
        </w:tc>
        <w:tc>
          <w:tcPr>
            <w:tcW w:w="960" w:type="dxa"/>
            <w:tcBorders>
              <w:top w:val="single" w:sz="8" w:space="0" w:color="auto"/>
            </w:tcBorders>
            <w:vAlign w:val="bottom"/>
          </w:tcPr>
          <w:p w:rsidR="00652F81" w:rsidRPr="00923CD5" w:rsidRDefault="00652F81" w:rsidP="00652F81">
            <w:pPr>
              <w:jc w:val="right"/>
              <w:rPr>
                <w:rFonts w:ascii="Tahoma" w:hAnsi="Tahoma" w:cs="Tahoma"/>
              </w:rPr>
            </w:pPr>
            <w:r w:rsidRPr="00923CD5">
              <w:rPr>
                <w:rFonts w:ascii="Tahoma" w:hAnsi="Tahoma" w:cs="Tahoma"/>
              </w:rPr>
              <w:t>100</w:t>
            </w:r>
          </w:p>
        </w:tc>
        <w:tc>
          <w:tcPr>
            <w:tcW w:w="960" w:type="dxa"/>
            <w:tcBorders>
              <w:top w:val="single" w:sz="8" w:space="0" w:color="auto"/>
            </w:tcBorders>
            <w:vAlign w:val="bottom"/>
          </w:tcPr>
          <w:p w:rsidR="00652F81" w:rsidRPr="00923CD5" w:rsidRDefault="00652F81" w:rsidP="00652F81">
            <w:pPr>
              <w:jc w:val="right"/>
              <w:rPr>
                <w:rFonts w:ascii="Tahoma" w:hAnsi="Tahoma" w:cs="Tahoma"/>
              </w:rPr>
            </w:pPr>
            <w:r w:rsidRPr="00923CD5">
              <w:rPr>
                <w:rFonts w:ascii="Tahoma" w:hAnsi="Tahoma" w:cs="Tahoma"/>
              </w:rPr>
              <w:t>100</w:t>
            </w:r>
          </w:p>
        </w:tc>
        <w:tc>
          <w:tcPr>
            <w:tcW w:w="960" w:type="dxa"/>
            <w:tcBorders>
              <w:top w:val="single" w:sz="8" w:space="0" w:color="auto"/>
            </w:tcBorders>
            <w:vAlign w:val="bottom"/>
          </w:tcPr>
          <w:p w:rsidR="00652F81" w:rsidRPr="00923CD5" w:rsidRDefault="00652F81" w:rsidP="00652F81">
            <w:pPr>
              <w:jc w:val="right"/>
              <w:rPr>
                <w:rFonts w:ascii="Tahoma" w:hAnsi="Tahoma" w:cs="Tahoma"/>
              </w:rPr>
            </w:pPr>
            <w:r w:rsidRPr="00923CD5">
              <w:rPr>
                <w:rFonts w:ascii="Tahoma" w:hAnsi="Tahoma" w:cs="Tahoma"/>
              </w:rPr>
              <w:t>100</w:t>
            </w:r>
          </w:p>
        </w:tc>
        <w:tc>
          <w:tcPr>
            <w:tcW w:w="960" w:type="dxa"/>
            <w:tcBorders>
              <w:top w:val="single" w:sz="8" w:space="0" w:color="auto"/>
            </w:tcBorders>
            <w:vAlign w:val="bottom"/>
          </w:tcPr>
          <w:p w:rsidR="00652F81" w:rsidRPr="00923CD5" w:rsidRDefault="00652F81" w:rsidP="00652F81">
            <w:pPr>
              <w:jc w:val="right"/>
              <w:rPr>
                <w:rFonts w:ascii="Tahoma" w:hAnsi="Tahoma" w:cs="Tahoma"/>
              </w:rPr>
            </w:pPr>
            <w:r w:rsidRPr="00923CD5">
              <w:rPr>
                <w:rFonts w:ascii="Tahoma" w:hAnsi="Tahoma" w:cs="Tahoma"/>
              </w:rPr>
              <w:t>100</w:t>
            </w:r>
          </w:p>
        </w:tc>
        <w:tc>
          <w:tcPr>
            <w:tcW w:w="960" w:type="dxa"/>
            <w:tcBorders>
              <w:top w:val="single" w:sz="8" w:space="0" w:color="auto"/>
            </w:tcBorders>
            <w:vAlign w:val="bottom"/>
          </w:tcPr>
          <w:p w:rsidR="00652F81" w:rsidRPr="00923CD5" w:rsidRDefault="00652F81" w:rsidP="00652F81">
            <w:pPr>
              <w:jc w:val="right"/>
              <w:rPr>
                <w:rFonts w:ascii="Tahoma" w:hAnsi="Tahoma" w:cs="Tahoma"/>
              </w:rPr>
            </w:pPr>
            <w:r w:rsidRPr="00923CD5">
              <w:rPr>
                <w:rFonts w:ascii="Tahoma" w:hAnsi="Tahoma" w:cs="Tahoma"/>
              </w:rPr>
              <w:t>100</w:t>
            </w:r>
          </w:p>
        </w:tc>
        <w:tc>
          <w:tcPr>
            <w:tcW w:w="960" w:type="dxa"/>
            <w:tcBorders>
              <w:top w:val="single" w:sz="8" w:space="0" w:color="auto"/>
            </w:tcBorders>
            <w:vAlign w:val="bottom"/>
          </w:tcPr>
          <w:p w:rsidR="00652F81" w:rsidRPr="00923CD5" w:rsidRDefault="00652F81" w:rsidP="00652F81">
            <w:pPr>
              <w:jc w:val="right"/>
              <w:rPr>
                <w:rFonts w:ascii="Tahoma" w:hAnsi="Tahoma" w:cs="Tahoma"/>
              </w:rPr>
            </w:pPr>
            <w:r w:rsidRPr="00923CD5">
              <w:rPr>
                <w:rFonts w:ascii="Tahoma" w:hAnsi="Tahoma" w:cs="Tahoma"/>
              </w:rPr>
              <w:t>100</w:t>
            </w:r>
          </w:p>
        </w:tc>
        <w:tc>
          <w:tcPr>
            <w:tcW w:w="960" w:type="dxa"/>
            <w:tcBorders>
              <w:top w:val="single" w:sz="8" w:space="0" w:color="auto"/>
            </w:tcBorders>
            <w:vAlign w:val="bottom"/>
          </w:tcPr>
          <w:p w:rsidR="00652F81" w:rsidRPr="00923CD5" w:rsidRDefault="00652F81" w:rsidP="00652F81">
            <w:pPr>
              <w:jc w:val="right"/>
              <w:rPr>
                <w:rFonts w:ascii="Tahoma" w:hAnsi="Tahoma" w:cs="Tahoma"/>
              </w:rPr>
            </w:pPr>
            <w:r w:rsidRPr="00923CD5">
              <w:rPr>
                <w:rFonts w:ascii="Tahoma" w:hAnsi="Tahoma" w:cs="Tahoma"/>
              </w:rPr>
              <w:t>100</w:t>
            </w:r>
          </w:p>
        </w:tc>
        <w:tc>
          <w:tcPr>
            <w:tcW w:w="960" w:type="dxa"/>
            <w:tcBorders>
              <w:top w:val="single" w:sz="8" w:space="0" w:color="auto"/>
            </w:tcBorders>
            <w:noWrap/>
            <w:vAlign w:val="bottom"/>
          </w:tcPr>
          <w:p w:rsidR="00652F81" w:rsidRPr="00923CD5" w:rsidRDefault="00652F81" w:rsidP="00652F81">
            <w:pPr>
              <w:jc w:val="right"/>
              <w:rPr>
                <w:rFonts w:ascii="Tahoma" w:hAnsi="Tahoma" w:cs="Tahoma"/>
              </w:rPr>
            </w:pPr>
            <w:r w:rsidRPr="00923CD5">
              <w:rPr>
                <w:rFonts w:ascii="Tahoma" w:hAnsi="Tahoma" w:cs="Tahoma"/>
              </w:rPr>
              <w:t>100</w:t>
            </w:r>
          </w:p>
        </w:tc>
      </w:tr>
      <w:tr w:rsidR="00652F81" w:rsidRPr="00515DAC" w:rsidTr="00652F81">
        <w:trPr>
          <w:trHeight w:val="255"/>
        </w:trPr>
        <w:tc>
          <w:tcPr>
            <w:tcW w:w="960" w:type="dxa"/>
            <w:noWrap/>
            <w:vAlign w:val="bottom"/>
          </w:tcPr>
          <w:p w:rsidR="00652F81" w:rsidRPr="00FB3069" w:rsidRDefault="00652F81" w:rsidP="00652F81">
            <w:pPr>
              <w:rPr>
                <w:rFonts w:ascii="Tahoma" w:hAnsi="Tahoma" w:cs="Tahoma"/>
                <w:b/>
                <w:bCs/>
              </w:rPr>
            </w:pPr>
            <w:r w:rsidRPr="00FB3069">
              <w:rPr>
                <w:rFonts w:ascii="Tahoma" w:hAnsi="Tahoma" w:cs="Tahoma"/>
                <w:b/>
                <w:bCs/>
              </w:rPr>
              <w:t>EU25</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101,1</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101,1</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101,2</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101,1</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101,1</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101,1</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101,1</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101,1</w:t>
            </w:r>
          </w:p>
        </w:tc>
        <w:tc>
          <w:tcPr>
            <w:tcW w:w="960" w:type="dxa"/>
            <w:noWrap/>
            <w:vAlign w:val="bottom"/>
          </w:tcPr>
          <w:p w:rsidR="00652F81" w:rsidRPr="00923CD5" w:rsidRDefault="00652F81" w:rsidP="00652F81">
            <w:pPr>
              <w:jc w:val="right"/>
              <w:rPr>
                <w:rFonts w:ascii="Tahoma" w:hAnsi="Tahoma" w:cs="Tahoma"/>
              </w:rPr>
            </w:pPr>
            <w:r w:rsidRPr="00923CD5">
              <w:rPr>
                <w:rFonts w:ascii="Tahoma" w:hAnsi="Tahoma" w:cs="Tahoma"/>
              </w:rPr>
              <w:t>101,1</w:t>
            </w:r>
          </w:p>
        </w:tc>
      </w:tr>
      <w:tr w:rsidR="00652F81" w:rsidRPr="00515DAC" w:rsidTr="00652F81">
        <w:trPr>
          <w:trHeight w:val="255"/>
        </w:trPr>
        <w:tc>
          <w:tcPr>
            <w:tcW w:w="960" w:type="dxa"/>
            <w:noWrap/>
            <w:vAlign w:val="bottom"/>
          </w:tcPr>
          <w:p w:rsidR="00652F81" w:rsidRPr="00FB3069" w:rsidRDefault="00652F81" w:rsidP="00652F81">
            <w:pPr>
              <w:rPr>
                <w:rFonts w:ascii="Tahoma" w:hAnsi="Tahoma" w:cs="Tahoma"/>
                <w:b/>
                <w:bCs/>
              </w:rPr>
            </w:pPr>
            <w:r w:rsidRPr="00FB3069">
              <w:rPr>
                <w:rFonts w:ascii="Tahoma" w:hAnsi="Tahoma" w:cs="Tahoma"/>
                <w:b/>
                <w:bCs/>
              </w:rPr>
              <w:t>EU15</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104,8</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105,2</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105,4</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104,9</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104,8</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104,8</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104,4</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105,1</w:t>
            </w:r>
          </w:p>
        </w:tc>
        <w:tc>
          <w:tcPr>
            <w:tcW w:w="960" w:type="dxa"/>
            <w:noWrap/>
            <w:vAlign w:val="bottom"/>
          </w:tcPr>
          <w:p w:rsidR="00652F81" w:rsidRPr="00923CD5" w:rsidRDefault="00652F81" w:rsidP="00652F81">
            <w:pPr>
              <w:jc w:val="right"/>
              <w:rPr>
                <w:rFonts w:ascii="Tahoma" w:hAnsi="Tahoma" w:cs="Tahoma"/>
              </w:rPr>
            </w:pPr>
            <w:r w:rsidRPr="00923CD5">
              <w:rPr>
                <w:rFonts w:ascii="Tahoma" w:hAnsi="Tahoma" w:cs="Tahoma"/>
              </w:rPr>
              <w:t>104,8</w:t>
            </w:r>
          </w:p>
        </w:tc>
      </w:tr>
      <w:tr w:rsidR="00652F81" w:rsidRPr="00515DAC" w:rsidTr="00652F81">
        <w:trPr>
          <w:trHeight w:val="255"/>
        </w:trPr>
        <w:tc>
          <w:tcPr>
            <w:tcW w:w="960" w:type="dxa"/>
            <w:noWrap/>
            <w:vAlign w:val="bottom"/>
          </w:tcPr>
          <w:p w:rsidR="00652F81" w:rsidRPr="002A50D1" w:rsidRDefault="00652F81" w:rsidP="00652F81">
            <w:pPr>
              <w:rPr>
                <w:rFonts w:ascii="Tahoma" w:hAnsi="Tahoma" w:cs="Tahoma"/>
                <w:b/>
                <w:bCs/>
              </w:rPr>
            </w:pPr>
            <w:r>
              <w:rPr>
                <w:rFonts w:ascii="Tahoma" w:hAnsi="Tahoma" w:cs="Tahoma"/>
                <w:b/>
                <w:bCs/>
              </w:rPr>
              <w:t>EA1</w:t>
            </w:r>
            <w:r>
              <w:rPr>
                <w:rFonts w:ascii="Tahoma" w:hAnsi="Tahoma" w:cs="Tahoma"/>
                <w:b/>
                <w:bCs/>
                <w:lang w:val="en-US"/>
              </w:rPr>
              <w:t>6</w:t>
            </w:r>
            <w:r>
              <w:rPr>
                <w:rFonts w:ascii="Tahoma" w:hAnsi="Tahoma" w:cs="Tahoma"/>
                <w:b/>
                <w:bCs/>
              </w:rPr>
              <w:t>*</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100,4</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102,9</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103</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102</w:t>
            </w:r>
            <w:r>
              <w:rPr>
                <w:rFonts w:ascii="Tahoma" w:hAnsi="Tahoma" w:cs="Tahoma"/>
              </w:rPr>
              <w:t>,0</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101,9</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101,3</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103,5</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106</w:t>
            </w:r>
            <w:r>
              <w:rPr>
                <w:rFonts w:ascii="Tahoma" w:hAnsi="Tahoma" w:cs="Tahoma"/>
              </w:rPr>
              <w:t>,0</w:t>
            </w:r>
          </w:p>
        </w:tc>
        <w:tc>
          <w:tcPr>
            <w:tcW w:w="960" w:type="dxa"/>
            <w:noWrap/>
            <w:vAlign w:val="bottom"/>
          </w:tcPr>
          <w:p w:rsidR="00652F81" w:rsidRPr="00923CD5" w:rsidRDefault="00652F81" w:rsidP="00652F81">
            <w:pPr>
              <w:jc w:val="right"/>
              <w:rPr>
                <w:rFonts w:ascii="Tahoma" w:hAnsi="Tahoma" w:cs="Tahoma"/>
              </w:rPr>
            </w:pPr>
            <w:r w:rsidRPr="00923CD5">
              <w:rPr>
                <w:rFonts w:ascii="Tahoma" w:hAnsi="Tahoma" w:cs="Tahoma"/>
              </w:rPr>
              <w:t>104,2</w:t>
            </w:r>
          </w:p>
        </w:tc>
      </w:tr>
      <w:tr w:rsidR="00652F81" w:rsidRPr="001E1981" w:rsidTr="00652F81">
        <w:trPr>
          <w:trHeight w:val="255"/>
        </w:trPr>
        <w:tc>
          <w:tcPr>
            <w:tcW w:w="960" w:type="dxa"/>
            <w:noWrap/>
            <w:vAlign w:val="bottom"/>
          </w:tcPr>
          <w:p w:rsidR="00652F81" w:rsidRPr="00FB3069" w:rsidRDefault="00652F81" w:rsidP="00652F81">
            <w:pPr>
              <w:rPr>
                <w:rFonts w:ascii="Tahoma" w:hAnsi="Tahoma" w:cs="Tahoma"/>
                <w:b/>
                <w:bCs/>
              </w:rPr>
            </w:pPr>
            <w:r w:rsidRPr="00FB3069">
              <w:rPr>
                <w:rFonts w:ascii="Tahoma" w:hAnsi="Tahoma" w:cs="Tahoma"/>
                <w:b/>
                <w:bCs/>
              </w:rPr>
              <w:t>EL</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80,2</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85,9</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87,6</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88,4</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89,1</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89,8</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91</w:t>
            </w:r>
          </w:p>
        </w:tc>
        <w:tc>
          <w:tcPr>
            <w:tcW w:w="960" w:type="dxa"/>
            <w:vAlign w:val="bottom"/>
          </w:tcPr>
          <w:p w:rsidR="00652F81" w:rsidRPr="00923CD5" w:rsidRDefault="00652F81" w:rsidP="00652F81">
            <w:pPr>
              <w:jc w:val="right"/>
              <w:rPr>
                <w:rFonts w:ascii="Tahoma" w:hAnsi="Tahoma" w:cs="Tahoma"/>
              </w:rPr>
            </w:pPr>
            <w:r w:rsidRPr="00923CD5">
              <w:rPr>
                <w:rFonts w:ascii="Tahoma" w:hAnsi="Tahoma" w:cs="Tahoma"/>
              </w:rPr>
              <w:t>96,5</w:t>
            </w:r>
          </w:p>
        </w:tc>
        <w:tc>
          <w:tcPr>
            <w:tcW w:w="960" w:type="dxa"/>
            <w:noWrap/>
            <w:vAlign w:val="bottom"/>
          </w:tcPr>
          <w:p w:rsidR="00652F81" w:rsidRPr="00923CD5" w:rsidRDefault="00652F81" w:rsidP="00652F81">
            <w:pPr>
              <w:jc w:val="right"/>
              <w:rPr>
                <w:rFonts w:ascii="Tahoma" w:hAnsi="Tahoma" w:cs="Tahoma"/>
              </w:rPr>
            </w:pPr>
            <w:r w:rsidRPr="00923CD5">
              <w:rPr>
                <w:rFonts w:ascii="Tahoma" w:hAnsi="Tahoma" w:cs="Tahoma"/>
              </w:rPr>
              <w:t>95,5</w:t>
            </w:r>
          </w:p>
        </w:tc>
      </w:tr>
    </w:tbl>
    <w:p w:rsidR="00652F81" w:rsidRPr="002A50D1" w:rsidRDefault="00652F81" w:rsidP="00652F81">
      <w:pPr>
        <w:pStyle w:val="1"/>
        <w:rPr>
          <w:rFonts w:ascii="Tahoma" w:hAnsi="Tahoma" w:cs="Tahoma"/>
          <w:sz w:val="18"/>
          <w:szCs w:val="18"/>
        </w:rPr>
      </w:pPr>
      <w:r w:rsidRPr="002A50D1">
        <w:rPr>
          <w:rFonts w:ascii="Tahoma" w:hAnsi="Tahoma" w:cs="Tahoma"/>
          <w:b w:val="0"/>
          <w:bCs/>
          <w:sz w:val="18"/>
          <w:szCs w:val="18"/>
        </w:rPr>
        <w:t>*Δεν υπάρχει διαθέσιμη πληροφορία για την ευρωζώνη-17</w:t>
      </w:r>
    </w:p>
    <w:p w:rsidR="00652F81" w:rsidRPr="00421631" w:rsidRDefault="00652F81" w:rsidP="00652F81">
      <w:pPr>
        <w:pStyle w:val="1"/>
        <w:rPr>
          <w:rFonts w:ascii="Tahoma" w:hAnsi="Tahoma" w:cs="Tahoma"/>
          <w:sz w:val="18"/>
          <w:szCs w:val="18"/>
        </w:rPr>
      </w:pPr>
      <w:r w:rsidRPr="00954CD1">
        <w:rPr>
          <w:rFonts w:ascii="Tahoma" w:hAnsi="Tahoma" w:cs="Tahoma"/>
          <w:sz w:val="18"/>
          <w:szCs w:val="18"/>
        </w:rPr>
        <w:t>Πηγή:</w:t>
      </w:r>
      <w:r w:rsidRPr="00421631">
        <w:rPr>
          <w:rFonts w:ascii="Tahoma" w:hAnsi="Tahoma" w:cs="Tahoma"/>
          <w:b w:val="0"/>
          <w:sz w:val="18"/>
          <w:szCs w:val="18"/>
        </w:rPr>
        <w:t xml:space="preserve"> </w:t>
      </w:r>
      <w:r w:rsidRPr="00421631">
        <w:rPr>
          <w:rFonts w:ascii="Tahoma" w:hAnsi="Tahoma" w:cs="Tahoma"/>
          <w:b w:val="0"/>
          <w:sz w:val="18"/>
          <w:szCs w:val="18"/>
          <w:lang w:val="en-US"/>
        </w:rPr>
        <w:t>Eurostat</w:t>
      </w:r>
    </w:p>
    <w:p w:rsidR="00652F81" w:rsidRPr="00973E1A" w:rsidRDefault="00652F81" w:rsidP="00652F81"/>
    <w:p w:rsidR="00652F81" w:rsidRPr="00294913" w:rsidRDefault="00652F81" w:rsidP="00652F81">
      <w:r w:rsidRPr="00294913">
        <w:t xml:space="preserve"> </w:t>
      </w:r>
    </w:p>
    <w:p w:rsidR="00652F81" w:rsidRDefault="00652F81" w:rsidP="00652F81">
      <w:pPr>
        <w:pStyle w:val="new12"/>
        <w:sectPr w:rsidR="00652F81" w:rsidSect="00652F81">
          <w:footerReference w:type="default" r:id="rId87"/>
          <w:pgSz w:w="11906" w:h="16838"/>
          <w:pgMar w:top="1701" w:right="1418" w:bottom="1418" w:left="1418" w:header="720" w:footer="720" w:gutter="0"/>
          <w:cols w:space="720"/>
        </w:sectPr>
      </w:pPr>
      <w:bookmarkStart w:id="443" w:name="_Toc150308596"/>
    </w:p>
    <w:p w:rsidR="00652F81" w:rsidRPr="00294913" w:rsidRDefault="00652F81" w:rsidP="00652F81">
      <w:pPr>
        <w:pStyle w:val="new12"/>
        <w:tabs>
          <w:tab w:val="clear" w:pos="851"/>
          <w:tab w:val="left" w:pos="1080"/>
        </w:tabs>
      </w:pPr>
      <w:bookmarkStart w:id="444" w:name="_Toc169881544"/>
      <w:bookmarkStart w:id="445" w:name="_Toc170201887"/>
      <w:r w:rsidRPr="00294913">
        <w:lastRenderedPageBreak/>
        <w:t>ΙV-2</w:t>
      </w:r>
      <w:r>
        <w:t>α,</w:t>
      </w:r>
      <w:r>
        <w:tab/>
      </w:r>
      <w:r w:rsidRPr="00294913">
        <w:t>Επιχειρηματικές Επενδύσεις</w:t>
      </w:r>
      <w:bookmarkEnd w:id="443"/>
      <w:bookmarkEnd w:id="444"/>
      <w:bookmarkEnd w:id="445"/>
    </w:p>
    <w:p w:rsidR="00652F81" w:rsidRPr="00294913" w:rsidRDefault="00652F81" w:rsidP="00652F81">
      <w:pPr>
        <w:pStyle w:val="new1210pt"/>
      </w:pPr>
      <w:bookmarkStart w:id="446" w:name="_Toc150308597"/>
      <w:bookmarkStart w:id="447" w:name="_Toc170201888"/>
      <w:r w:rsidRPr="00294913">
        <w:t>(ακαθάριστες επενδύσεις παγίου κεφαλαίου ιδιωτικών επιχειρήσεων ως % του ΑΕΠ)</w:t>
      </w:r>
      <w:bookmarkEnd w:id="446"/>
      <w:bookmarkEnd w:id="447"/>
      <w:r w:rsidRPr="00B82E32">
        <w:t xml:space="preserve"> </w:t>
      </w:r>
    </w:p>
    <w:p w:rsidR="00652F81" w:rsidRPr="00C27EEB" w:rsidRDefault="00652F81" w:rsidP="00652F81"/>
    <w:p w:rsidR="00652F81" w:rsidRPr="00C3518F" w:rsidRDefault="00652F81" w:rsidP="00652F81">
      <w:r>
        <w:rPr>
          <w:noProof/>
          <w:lang w:val="en-US" w:eastAsia="en-US"/>
        </w:rPr>
        <w:drawing>
          <wp:inline distT="0" distB="0" distL="0" distR="0">
            <wp:extent cx="5467350" cy="3295650"/>
            <wp:effectExtent l="0" t="0" r="0" b="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8" cstate="print"/>
                    <a:srcRect/>
                    <a:stretch>
                      <a:fillRect/>
                    </a:stretch>
                  </pic:blipFill>
                  <pic:spPr bwMode="auto">
                    <a:xfrm>
                      <a:off x="0" y="0"/>
                      <a:ext cx="5467350" cy="3295650"/>
                    </a:xfrm>
                    <a:prstGeom prst="rect">
                      <a:avLst/>
                    </a:prstGeom>
                    <a:noFill/>
                    <a:ln w="9525">
                      <a:noFill/>
                      <a:miter lim="800000"/>
                      <a:headEnd/>
                      <a:tailEnd/>
                    </a:ln>
                  </pic:spPr>
                </pic:pic>
              </a:graphicData>
            </a:graphic>
          </wp:inline>
        </w:drawing>
      </w:r>
    </w:p>
    <w:p w:rsidR="00652F81" w:rsidRPr="00384D9C" w:rsidRDefault="00652F81" w:rsidP="00652F81"/>
    <w:tbl>
      <w:tblPr>
        <w:tblW w:w="9600" w:type="dxa"/>
        <w:tblBorders>
          <w:top w:val="single" w:sz="12" w:space="0" w:color="auto"/>
          <w:bottom w:val="single" w:sz="12" w:space="0" w:color="auto"/>
          <w:insideH w:val="dotted" w:sz="4" w:space="0" w:color="auto"/>
        </w:tblBorders>
        <w:tblLook w:val="00E0"/>
      </w:tblPr>
      <w:tblGrid>
        <w:gridCol w:w="960"/>
        <w:gridCol w:w="960"/>
        <w:gridCol w:w="960"/>
        <w:gridCol w:w="960"/>
        <w:gridCol w:w="960"/>
        <w:gridCol w:w="960"/>
        <w:gridCol w:w="960"/>
        <w:gridCol w:w="960"/>
        <w:gridCol w:w="960"/>
        <w:gridCol w:w="960"/>
      </w:tblGrid>
      <w:tr w:rsidR="00652F81" w:rsidRPr="008F7CEA" w:rsidTr="00652F81">
        <w:trPr>
          <w:trHeight w:val="255"/>
        </w:trPr>
        <w:tc>
          <w:tcPr>
            <w:tcW w:w="960" w:type="dxa"/>
            <w:tcBorders>
              <w:top w:val="single" w:sz="12" w:space="0" w:color="auto"/>
              <w:bottom w:val="single" w:sz="8" w:space="0" w:color="auto"/>
            </w:tcBorders>
            <w:noWrap/>
          </w:tcPr>
          <w:p w:rsidR="00652F81" w:rsidRPr="008F7CEA" w:rsidRDefault="00652F81" w:rsidP="00652F81">
            <w:pPr>
              <w:jc w:val="center"/>
              <w:rPr>
                <w:rFonts w:ascii="Tahoma" w:hAnsi="Tahoma" w:cs="Tahoma"/>
              </w:rPr>
            </w:pPr>
          </w:p>
        </w:tc>
        <w:tc>
          <w:tcPr>
            <w:tcW w:w="960" w:type="dxa"/>
            <w:tcBorders>
              <w:top w:val="single" w:sz="12" w:space="0" w:color="auto"/>
              <w:bottom w:val="single" w:sz="8" w:space="0" w:color="auto"/>
            </w:tcBorders>
            <w:noWrap/>
            <w:vAlign w:val="bottom"/>
          </w:tcPr>
          <w:p w:rsidR="00652F81" w:rsidRPr="008F7CEA" w:rsidRDefault="00652F81" w:rsidP="00652F81">
            <w:pPr>
              <w:jc w:val="center"/>
              <w:rPr>
                <w:rFonts w:ascii="Tahoma" w:hAnsi="Tahoma" w:cs="Tahoma"/>
                <w:b/>
                <w:bCs/>
              </w:rPr>
            </w:pPr>
            <w:r w:rsidRPr="008F7CEA">
              <w:rPr>
                <w:rFonts w:ascii="Tahoma" w:hAnsi="Tahoma" w:cs="Tahoma"/>
                <w:b/>
                <w:bCs/>
              </w:rPr>
              <w:t>2002</w:t>
            </w:r>
          </w:p>
        </w:tc>
        <w:tc>
          <w:tcPr>
            <w:tcW w:w="960" w:type="dxa"/>
            <w:tcBorders>
              <w:top w:val="single" w:sz="12" w:space="0" w:color="auto"/>
              <w:bottom w:val="single" w:sz="8" w:space="0" w:color="auto"/>
            </w:tcBorders>
            <w:noWrap/>
            <w:vAlign w:val="bottom"/>
          </w:tcPr>
          <w:p w:rsidR="00652F81" w:rsidRPr="008F7CEA" w:rsidRDefault="00652F81" w:rsidP="00652F81">
            <w:pPr>
              <w:jc w:val="center"/>
              <w:rPr>
                <w:rFonts w:ascii="Tahoma" w:hAnsi="Tahoma" w:cs="Tahoma"/>
                <w:b/>
                <w:bCs/>
              </w:rPr>
            </w:pPr>
            <w:r w:rsidRPr="008F7CEA">
              <w:rPr>
                <w:rFonts w:ascii="Tahoma" w:hAnsi="Tahoma" w:cs="Tahoma"/>
                <w:b/>
                <w:bCs/>
              </w:rPr>
              <w:t>2003</w:t>
            </w:r>
          </w:p>
        </w:tc>
        <w:tc>
          <w:tcPr>
            <w:tcW w:w="960" w:type="dxa"/>
            <w:tcBorders>
              <w:top w:val="single" w:sz="12" w:space="0" w:color="auto"/>
              <w:bottom w:val="single" w:sz="8" w:space="0" w:color="auto"/>
            </w:tcBorders>
            <w:noWrap/>
            <w:vAlign w:val="bottom"/>
          </w:tcPr>
          <w:p w:rsidR="00652F81" w:rsidRPr="008F7CEA" w:rsidRDefault="00652F81" w:rsidP="00652F81">
            <w:pPr>
              <w:jc w:val="center"/>
              <w:rPr>
                <w:rFonts w:ascii="Tahoma" w:hAnsi="Tahoma" w:cs="Tahoma"/>
                <w:b/>
                <w:bCs/>
              </w:rPr>
            </w:pPr>
            <w:r w:rsidRPr="008F7CEA">
              <w:rPr>
                <w:rFonts w:ascii="Tahoma" w:hAnsi="Tahoma" w:cs="Tahoma"/>
                <w:b/>
                <w:bCs/>
              </w:rPr>
              <w:t>2004</w:t>
            </w:r>
          </w:p>
        </w:tc>
        <w:tc>
          <w:tcPr>
            <w:tcW w:w="960" w:type="dxa"/>
            <w:tcBorders>
              <w:top w:val="single" w:sz="12" w:space="0" w:color="auto"/>
              <w:bottom w:val="single" w:sz="8" w:space="0" w:color="auto"/>
            </w:tcBorders>
            <w:noWrap/>
            <w:vAlign w:val="bottom"/>
          </w:tcPr>
          <w:p w:rsidR="00652F81" w:rsidRPr="008F7CEA" w:rsidRDefault="00652F81" w:rsidP="00652F81">
            <w:pPr>
              <w:jc w:val="center"/>
              <w:rPr>
                <w:rFonts w:ascii="Tahoma" w:hAnsi="Tahoma" w:cs="Tahoma"/>
                <w:b/>
                <w:bCs/>
              </w:rPr>
            </w:pPr>
            <w:r w:rsidRPr="008F7CEA">
              <w:rPr>
                <w:rFonts w:ascii="Tahoma" w:hAnsi="Tahoma" w:cs="Tahoma"/>
                <w:b/>
                <w:bCs/>
              </w:rPr>
              <w:t>2005</w:t>
            </w:r>
          </w:p>
        </w:tc>
        <w:tc>
          <w:tcPr>
            <w:tcW w:w="960" w:type="dxa"/>
            <w:tcBorders>
              <w:top w:val="single" w:sz="12" w:space="0" w:color="auto"/>
              <w:bottom w:val="single" w:sz="8" w:space="0" w:color="auto"/>
            </w:tcBorders>
            <w:noWrap/>
            <w:vAlign w:val="bottom"/>
          </w:tcPr>
          <w:p w:rsidR="00652F81" w:rsidRPr="008F7CEA" w:rsidRDefault="00652F81" w:rsidP="00652F81">
            <w:pPr>
              <w:jc w:val="center"/>
              <w:rPr>
                <w:rFonts w:ascii="Tahoma" w:hAnsi="Tahoma" w:cs="Tahoma"/>
                <w:b/>
                <w:bCs/>
                <w:lang w:val="en-US"/>
              </w:rPr>
            </w:pPr>
            <w:r w:rsidRPr="008F7CEA">
              <w:rPr>
                <w:rFonts w:ascii="Tahoma" w:hAnsi="Tahoma" w:cs="Tahoma"/>
                <w:b/>
                <w:bCs/>
              </w:rPr>
              <w:t>200</w:t>
            </w:r>
            <w:r w:rsidRPr="008F7CEA">
              <w:rPr>
                <w:rFonts w:ascii="Tahoma" w:hAnsi="Tahoma" w:cs="Tahoma"/>
                <w:b/>
                <w:bCs/>
                <w:lang w:val="en-US"/>
              </w:rPr>
              <w:t>6</w:t>
            </w:r>
          </w:p>
        </w:tc>
        <w:tc>
          <w:tcPr>
            <w:tcW w:w="960" w:type="dxa"/>
            <w:tcBorders>
              <w:top w:val="single" w:sz="12" w:space="0" w:color="auto"/>
              <w:bottom w:val="single" w:sz="8" w:space="0" w:color="auto"/>
            </w:tcBorders>
            <w:noWrap/>
            <w:vAlign w:val="bottom"/>
          </w:tcPr>
          <w:p w:rsidR="00652F81" w:rsidRPr="008F7CEA" w:rsidRDefault="00652F81" w:rsidP="00652F81">
            <w:pPr>
              <w:jc w:val="center"/>
              <w:rPr>
                <w:rFonts w:ascii="Tahoma" w:hAnsi="Tahoma" w:cs="Tahoma"/>
                <w:b/>
                <w:bCs/>
                <w:lang w:val="en-US"/>
              </w:rPr>
            </w:pPr>
            <w:r w:rsidRPr="008F7CEA">
              <w:rPr>
                <w:rFonts w:ascii="Tahoma" w:hAnsi="Tahoma" w:cs="Tahoma"/>
                <w:b/>
                <w:bCs/>
              </w:rPr>
              <w:t>200</w:t>
            </w:r>
            <w:r w:rsidRPr="008F7CEA">
              <w:rPr>
                <w:rFonts w:ascii="Tahoma" w:hAnsi="Tahoma" w:cs="Tahoma"/>
                <w:b/>
                <w:bCs/>
                <w:lang w:val="en-US"/>
              </w:rPr>
              <w:t>7</w:t>
            </w:r>
          </w:p>
        </w:tc>
        <w:tc>
          <w:tcPr>
            <w:tcW w:w="960" w:type="dxa"/>
            <w:tcBorders>
              <w:top w:val="single" w:sz="12" w:space="0" w:color="auto"/>
              <w:bottom w:val="single" w:sz="8" w:space="0" w:color="auto"/>
            </w:tcBorders>
            <w:noWrap/>
            <w:vAlign w:val="bottom"/>
          </w:tcPr>
          <w:p w:rsidR="00652F81" w:rsidRPr="008F7CEA" w:rsidRDefault="00652F81" w:rsidP="00652F81">
            <w:pPr>
              <w:jc w:val="center"/>
              <w:rPr>
                <w:rFonts w:ascii="Tahoma" w:hAnsi="Tahoma" w:cs="Tahoma"/>
                <w:b/>
                <w:bCs/>
              </w:rPr>
            </w:pPr>
            <w:r w:rsidRPr="008F7CEA">
              <w:rPr>
                <w:rFonts w:ascii="Tahoma" w:hAnsi="Tahoma" w:cs="Tahoma"/>
                <w:b/>
                <w:bCs/>
              </w:rPr>
              <w:t>2008</w:t>
            </w:r>
          </w:p>
        </w:tc>
        <w:tc>
          <w:tcPr>
            <w:tcW w:w="960" w:type="dxa"/>
            <w:tcBorders>
              <w:top w:val="single" w:sz="12" w:space="0" w:color="auto"/>
              <w:bottom w:val="single" w:sz="8" w:space="0" w:color="auto"/>
            </w:tcBorders>
            <w:noWrap/>
            <w:vAlign w:val="bottom"/>
          </w:tcPr>
          <w:p w:rsidR="00652F81" w:rsidRPr="006B795B"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9</w:t>
            </w:r>
          </w:p>
        </w:tc>
        <w:tc>
          <w:tcPr>
            <w:tcW w:w="960" w:type="dxa"/>
            <w:tcBorders>
              <w:top w:val="single" w:sz="12" w:space="0" w:color="auto"/>
              <w:bottom w:val="single" w:sz="8" w:space="0" w:color="auto"/>
            </w:tcBorders>
            <w:noWrap/>
            <w:vAlign w:val="bottom"/>
          </w:tcPr>
          <w:p w:rsidR="00652F81" w:rsidRPr="006B795B" w:rsidRDefault="00652F81" w:rsidP="00652F81">
            <w:pPr>
              <w:jc w:val="center"/>
              <w:rPr>
                <w:rFonts w:ascii="Tahoma" w:hAnsi="Tahoma" w:cs="Tahoma"/>
                <w:b/>
                <w:bCs/>
                <w:lang w:val="en-US"/>
              </w:rPr>
            </w:pPr>
            <w:r>
              <w:rPr>
                <w:rFonts w:ascii="Tahoma" w:hAnsi="Tahoma" w:cs="Tahoma"/>
                <w:b/>
                <w:bCs/>
                <w:lang w:val="en-US"/>
              </w:rPr>
              <w:t>2010</w:t>
            </w:r>
          </w:p>
        </w:tc>
      </w:tr>
      <w:tr w:rsidR="00652F81" w:rsidRPr="008F7CEA" w:rsidTr="00652F81">
        <w:trPr>
          <w:trHeight w:val="255"/>
        </w:trPr>
        <w:tc>
          <w:tcPr>
            <w:tcW w:w="960" w:type="dxa"/>
            <w:tcBorders>
              <w:top w:val="single" w:sz="8" w:space="0" w:color="auto"/>
            </w:tcBorders>
            <w:noWrap/>
            <w:vAlign w:val="bottom"/>
          </w:tcPr>
          <w:p w:rsidR="00652F81" w:rsidRPr="008F7CEA" w:rsidRDefault="00652F81" w:rsidP="00652F81">
            <w:pPr>
              <w:rPr>
                <w:rFonts w:ascii="Tahoma" w:hAnsi="Tahoma" w:cs="Tahoma"/>
                <w:b/>
                <w:bCs/>
              </w:rPr>
            </w:pPr>
            <w:r w:rsidRPr="008F7CEA">
              <w:rPr>
                <w:rFonts w:ascii="Tahoma" w:hAnsi="Tahoma" w:cs="Tahoma"/>
                <w:b/>
                <w:bCs/>
              </w:rPr>
              <w:t>EU27</w:t>
            </w:r>
          </w:p>
        </w:tc>
        <w:tc>
          <w:tcPr>
            <w:tcW w:w="960" w:type="dxa"/>
            <w:tcBorders>
              <w:top w:val="single" w:sz="8" w:space="0" w:color="auto"/>
            </w:tcBorders>
            <w:noWrap/>
            <w:vAlign w:val="bottom"/>
          </w:tcPr>
          <w:p w:rsidR="00652F81" w:rsidRPr="0098194D" w:rsidRDefault="00652F81" w:rsidP="00652F81">
            <w:pPr>
              <w:jc w:val="right"/>
              <w:rPr>
                <w:rFonts w:ascii="Tahoma" w:hAnsi="Tahoma" w:cs="Tahoma"/>
              </w:rPr>
            </w:pPr>
            <w:r w:rsidRPr="0098194D">
              <w:rPr>
                <w:rFonts w:ascii="Tahoma" w:hAnsi="Tahoma" w:cs="Tahoma"/>
              </w:rPr>
              <w:t>17,3</w:t>
            </w:r>
          </w:p>
        </w:tc>
        <w:tc>
          <w:tcPr>
            <w:tcW w:w="960" w:type="dxa"/>
            <w:tcBorders>
              <w:top w:val="single" w:sz="8" w:space="0" w:color="auto"/>
            </w:tcBorders>
            <w:noWrap/>
            <w:vAlign w:val="bottom"/>
          </w:tcPr>
          <w:p w:rsidR="00652F81" w:rsidRPr="0098194D" w:rsidRDefault="00652F81" w:rsidP="00652F81">
            <w:pPr>
              <w:jc w:val="right"/>
              <w:rPr>
                <w:rFonts w:ascii="Tahoma" w:hAnsi="Tahoma" w:cs="Tahoma"/>
              </w:rPr>
            </w:pPr>
            <w:r w:rsidRPr="0098194D">
              <w:rPr>
                <w:rFonts w:ascii="Tahoma" w:hAnsi="Tahoma" w:cs="Tahoma"/>
              </w:rPr>
              <w:t>17,1</w:t>
            </w:r>
          </w:p>
        </w:tc>
        <w:tc>
          <w:tcPr>
            <w:tcW w:w="960" w:type="dxa"/>
            <w:tcBorders>
              <w:top w:val="single" w:sz="8" w:space="0" w:color="auto"/>
            </w:tcBorders>
            <w:noWrap/>
            <w:vAlign w:val="bottom"/>
          </w:tcPr>
          <w:p w:rsidR="00652F81" w:rsidRPr="0098194D" w:rsidRDefault="00652F81" w:rsidP="00652F81">
            <w:pPr>
              <w:jc w:val="right"/>
              <w:rPr>
                <w:rFonts w:ascii="Tahoma" w:hAnsi="Tahoma" w:cs="Tahoma"/>
              </w:rPr>
            </w:pPr>
            <w:r w:rsidRPr="0098194D">
              <w:rPr>
                <w:rFonts w:ascii="Tahoma" w:hAnsi="Tahoma" w:cs="Tahoma"/>
              </w:rPr>
              <w:t>17,2</w:t>
            </w:r>
          </w:p>
        </w:tc>
        <w:tc>
          <w:tcPr>
            <w:tcW w:w="960" w:type="dxa"/>
            <w:tcBorders>
              <w:top w:val="single" w:sz="8" w:space="0" w:color="auto"/>
            </w:tcBorders>
            <w:noWrap/>
            <w:vAlign w:val="bottom"/>
          </w:tcPr>
          <w:p w:rsidR="00652F81" w:rsidRPr="0098194D" w:rsidRDefault="00652F81" w:rsidP="00652F81">
            <w:pPr>
              <w:jc w:val="right"/>
              <w:rPr>
                <w:rFonts w:ascii="Tahoma" w:hAnsi="Tahoma" w:cs="Tahoma"/>
              </w:rPr>
            </w:pPr>
            <w:r w:rsidRPr="0098194D">
              <w:rPr>
                <w:rFonts w:ascii="Tahoma" w:hAnsi="Tahoma" w:cs="Tahoma"/>
              </w:rPr>
              <w:t>17,8</w:t>
            </w:r>
          </w:p>
        </w:tc>
        <w:tc>
          <w:tcPr>
            <w:tcW w:w="960" w:type="dxa"/>
            <w:tcBorders>
              <w:top w:val="single" w:sz="8" w:space="0" w:color="auto"/>
            </w:tcBorders>
            <w:noWrap/>
            <w:vAlign w:val="bottom"/>
          </w:tcPr>
          <w:p w:rsidR="00652F81" w:rsidRPr="0098194D" w:rsidRDefault="00652F81" w:rsidP="00652F81">
            <w:pPr>
              <w:jc w:val="right"/>
              <w:rPr>
                <w:rFonts w:ascii="Tahoma" w:hAnsi="Tahoma" w:cs="Tahoma"/>
              </w:rPr>
            </w:pPr>
            <w:r w:rsidRPr="0098194D">
              <w:rPr>
                <w:rFonts w:ascii="Tahoma" w:hAnsi="Tahoma" w:cs="Tahoma"/>
              </w:rPr>
              <w:t>18,2</w:t>
            </w:r>
          </w:p>
        </w:tc>
        <w:tc>
          <w:tcPr>
            <w:tcW w:w="960" w:type="dxa"/>
            <w:tcBorders>
              <w:top w:val="single" w:sz="8" w:space="0" w:color="auto"/>
            </w:tcBorders>
            <w:noWrap/>
            <w:vAlign w:val="bottom"/>
          </w:tcPr>
          <w:p w:rsidR="00652F81" w:rsidRPr="0098194D" w:rsidRDefault="00652F81" w:rsidP="00652F81">
            <w:pPr>
              <w:jc w:val="right"/>
              <w:rPr>
                <w:rFonts w:ascii="Tahoma" w:hAnsi="Tahoma" w:cs="Tahoma"/>
              </w:rPr>
            </w:pPr>
            <w:r w:rsidRPr="0098194D">
              <w:rPr>
                <w:rFonts w:ascii="Tahoma" w:hAnsi="Tahoma" w:cs="Tahoma"/>
              </w:rPr>
              <w:t>18,7</w:t>
            </w:r>
          </w:p>
        </w:tc>
        <w:tc>
          <w:tcPr>
            <w:tcW w:w="960" w:type="dxa"/>
            <w:tcBorders>
              <w:top w:val="single" w:sz="8" w:space="0" w:color="auto"/>
            </w:tcBorders>
            <w:noWrap/>
            <w:vAlign w:val="bottom"/>
          </w:tcPr>
          <w:p w:rsidR="00652F81" w:rsidRPr="0098194D" w:rsidRDefault="00652F81" w:rsidP="00652F81">
            <w:pPr>
              <w:jc w:val="right"/>
              <w:rPr>
                <w:rFonts w:ascii="Tahoma" w:hAnsi="Tahoma" w:cs="Tahoma"/>
              </w:rPr>
            </w:pPr>
            <w:r w:rsidRPr="0098194D">
              <w:rPr>
                <w:rFonts w:ascii="Tahoma" w:hAnsi="Tahoma" w:cs="Tahoma"/>
              </w:rPr>
              <w:t>18,4</w:t>
            </w:r>
          </w:p>
        </w:tc>
        <w:tc>
          <w:tcPr>
            <w:tcW w:w="960" w:type="dxa"/>
            <w:tcBorders>
              <w:top w:val="single" w:sz="8" w:space="0" w:color="auto"/>
            </w:tcBorders>
            <w:noWrap/>
            <w:vAlign w:val="bottom"/>
          </w:tcPr>
          <w:p w:rsidR="00652F81" w:rsidRPr="0098194D" w:rsidRDefault="00652F81" w:rsidP="00652F81">
            <w:pPr>
              <w:jc w:val="right"/>
              <w:rPr>
                <w:rFonts w:ascii="Tahoma" w:hAnsi="Tahoma" w:cs="Tahoma"/>
              </w:rPr>
            </w:pPr>
            <w:r w:rsidRPr="0098194D">
              <w:rPr>
                <w:rFonts w:ascii="Tahoma" w:hAnsi="Tahoma" w:cs="Tahoma"/>
              </w:rPr>
              <w:t>16,2</w:t>
            </w:r>
          </w:p>
        </w:tc>
        <w:tc>
          <w:tcPr>
            <w:tcW w:w="960" w:type="dxa"/>
            <w:tcBorders>
              <w:top w:val="single" w:sz="8" w:space="0" w:color="auto"/>
            </w:tcBorders>
            <w:noWrap/>
            <w:vAlign w:val="bottom"/>
          </w:tcPr>
          <w:p w:rsidR="00652F81" w:rsidRPr="0098194D" w:rsidRDefault="00652F81" w:rsidP="00652F81">
            <w:pPr>
              <w:jc w:val="right"/>
              <w:rPr>
                <w:rFonts w:ascii="Tahoma" w:hAnsi="Tahoma" w:cs="Tahoma"/>
              </w:rPr>
            </w:pPr>
            <w:r w:rsidRPr="0098194D">
              <w:rPr>
                <w:rFonts w:ascii="Tahoma" w:hAnsi="Tahoma" w:cs="Tahoma"/>
              </w:rPr>
              <w:t>15,9</w:t>
            </w:r>
          </w:p>
        </w:tc>
      </w:tr>
      <w:tr w:rsidR="00652F81" w:rsidRPr="008F7CEA" w:rsidTr="00652F81">
        <w:trPr>
          <w:trHeight w:val="255"/>
        </w:trPr>
        <w:tc>
          <w:tcPr>
            <w:tcW w:w="960" w:type="dxa"/>
            <w:noWrap/>
            <w:vAlign w:val="bottom"/>
          </w:tcPr>
          <w:p w:rsidR="00652F81" w:rsidRPr="008F7CEA" w:rsidRDefault="00652F81" w:rsidP="00652F81">
            <w:pPr>
              <w:rPr>
                <w:rFonts w:ascii="Tahoma" w:hAnsi="Tahoma" w:cs="Tahoma"/>
                <w:b/>
                <w:bCs/>
              </w:rPr>
            </w:pPr>
            <w:r w:rsidRPr="008F7CEA">
              <w:rPr>
                <w:rFonts w:ascii="Tahoma" w:hAnsi="Tahoma" w:cs="Tahoma"/>
                <w:b/>
                <w:bCs/>
              </w:rPr>
              <w:t>EU25</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17,3</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17,1</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17,2</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17,7</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18,2</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18,6</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18,2</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16,1</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15,8</w:t>
            </w:r>
          </w:p>
        </w:tc>
      </w:tr>
      <w:tr w:rsidR="00652F81" w:rsidRPr="008F7CEA" w:rsidTr="00652F81">
        <w:trPr>
          <w:trHeight w:val="255"/>
        </w:trPr>
        <w:tc>
          <w:tcPr>
            <w:tcW w:w="960" w:type="dxa"/>
            <w:noWrap/>
            <w:vAlign w:val="bottom"/>
          </w:tcPr>
          <w:p w:rsidR="00652F81" w:rsidRPr="008F7CEA" w:rsidRDefault="00652F81" w:rsidP="00652F81">
            <w:pPr>
              <w:rPr>
                <w:rFonts w:ascii="Tahoma" w:hAnsi="Tahoma" w:cs="Tahoma"/>
                <w:b/>
                <w:bCs/>
              </w:rPr>
            </w:pPr>
            <w:r w:rsidRPr="008F7CEA">
              <w:rPr>
                <w:rFonts w:ascii="Tahoma" w:hAnsi="Tahoma" w:cs="Tahoma"/>
                <w:b/>
                <w:bCs/>
              </w:rPr>
              <w:t>EU15</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17,3</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17</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17,2</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17,7</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18,1</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18,5</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18,2</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16,1</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15,9</w:t>
            </w:r>
          </w:p>
        </w:tc>
      </w:tr>
      <w:tr w:rsidR="00652F81" w:rsidRPr="008F7CEA" w:rsidTr="00652F81">
        <w:trPr>
          <w:trHeight w:val="255"/>
        </w:trPr>
        <w:tc>
          <w:tcPr>
            <w:tcW w:w="960" w:type="dxa"/>
            <w:noWrap/>
            <w:vAlign w:val="bottom"/>
          </w:tcPr>
          <w:p w:rsidR="00652F81" w:rsidRPr="00D65EDF" w:rsidRDefault="00652F81" w:rsidP="00652F81">
            <w:pPr>
              <w:rPr>
                <w:rFonts w:ascii="Tahoma" w:hAnsi="Tahoma" w:cs="Tahoma"/>
                <w:b/>
                <w:bCs/>
              </w:rPr>
            </w:pPr>
            <w:r w:rsidRPr="008F7CEA">
              <w:rPr>
                <w:rFonts w:ascii="Tahoma" w:hAnsi="Tahoma" w:cs="Tahoma"/>
                <w:b/>
                <w:bCs/>
              </w:rPr>
              <w:t>EA1</w:t>
            </w:r>
            <w:r>
              <w:rPr>
                <w:rFonts w:ascii="Tahoma" w:hAnsi="Tahoma" w:cs="Tahoma"/>
                <w:b/>
                <w:bCs/>
              </w:rPr>
              <w:t>7</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17,9</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17,7</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17,9</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18,2</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18,9</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19,3</w:t>
            </w:r>
          </w:p>
        </w:tc>
        <w:tc>
          <w:tcPr>
            <w:tcW w:w="960" w:type="dxa"/>
            <w:noWrap/>
            <w:vAlign w:val="bottom"/>
          </w:tcPr>
          <w:p w:rsidR="00652F81" w:rsidRPr="00B82E32" w:rsidRDefault="00652F81" w:rsidP="00652F81">
            <w:pPr>
              <w:jc w:val="right"/>
              <w:rPr>
                <w:rFonts w:ascii="Tahoma" w:hAnsi="Tahoma" w:cs="Tahoma"/>
                <w:lang w:val="en-US"/>
              </w:rPr>
            </w:pPr>
            <w:r w:rsidRPr="0098194D">
              <w:rPr>
                <w:rFonts w:ascii="Tahoma" w:hAnsi="Tahoma" w:cs="Tahoma"/>
              </w:rPr>
              <w:t>19</w:t>
            </w:r>
            <w:r>
              <w:rPr>
                <w:rFonts w:ascii="Tahoma" w:hAnsi="Tahoma" w:cs="Tahoma"/>
                <w:lang w:val="en-US"/>
              </w:rPr>
              <w:t>,0</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16,9</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16,7</w:t>
            </w:r>
          </w:p>
        </w:tc>
      </w:tr>
      <w:tr w:rsidR="00652F81" w:rsidRPr="008F7CEA" w:rsidTr="00652F81">
        <w:trPr>
          <w:trHeight w:val="255"/>
        </w:trPr>
        <w:tc>
          <w:tcPr>
            <w:tcW w:w="960" w:type="dxa"/>
            <w:noWrap/>
            <w:vAlign w:val="bottom"/>
          </w:tcPr>
          <w:p w:rsidR="00652F81" w:rsidRPr="008F7CEA" w:rsidRDefault="00652F81" w:rsidP="00652F81">
            <w:pPr>
              <w:rPr>
                <w:rFonts w:ascii="Tahoma" w:hAnsi="Tahoma" w:cs="Tahoma"/>
                <w:b/>
                <w:bCs/>
              </w:rPr>
            </w:pPr>
            <w:r w:rsidRPr="008F7CEA">
              <w:rPr>
                <w:rFonts w:ascii="Tahoma" w:hAnsi="Tahoma" w:cs="Tahoma"/>
                <w:b/>
                <w:bCs/>
              </w:rPr>
              <w:t>EL</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19,1</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19,8</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18,5</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17,1</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17,5</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17,6</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15,5</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14,1</w:t>
            </w:r>
          </w:p>
        </w:tc>
        <w:tc>
          <w:tcPr>
            <w:tcW w:w="960" w:type="dxa"/>
            <w:noWrap/>
            <w:vAlign w:val="bottom"/>
          </w:tcPr>
          <w:p w:rsidR="00652F81" w:rsidRPr="0098194D" w:rsidRDefault="00652F81" w:rsidP="00652F81">
            <w:pPr>
              <w:jc w:val="right"/>
              <w:rPr>
                <w:rFonts w:ascii="Tahoma" w:hAnsi="Tahoma" w:cs="Tahoma"/>
              </w:rPr>
            </w:pPr>
            <w:r w:rsidRPr="0098194D">
              <w:rPr>
                <w:rFonts w:ascii="Tahoma" w:hAnsi="Tahoma" w:cs="Tahoma"/>
              </w:rPr>
              <w:t>11,9</w:t>
            </w:r>
          </w:p>
        </w:tc>
      </w:tr>
    </w:tbl>
    <w:p w:rsidR="00652F81" w:rsidRPr="00561946" w:rsidRDefault="00652F81" w:rsidP="00652F81">
      <w:pPr>
        <w:pStyle w:val="1"/>
        <w:rPr>
          <w:rFonts w:ascii="Tahoma" w:hAnsi="Tahoma" w:cs="Tahoma"/>
          <w:sz w:val="18"/>
          <w:szCs w:val="18"/>
        </w:rPr>
      </w:pPr>
      <w:r w:rsidRPr="00954CD1">
        <w:rPr>
          <w:rFonts w:ascii="Tahoma" w:hAnsi="Tahoma" w:cs="Tahoma"/>
          <w:sz w:val="18"/>
          <w:szCs w:val="18"/>
        </w:rPr>
        <w:t>Πηγή:</w:t>
      </w:r>
      <w:r w:rsidRPr="00561946">
        <w:rPr>
          <w:rFonts w:ascii="Tahoma" w:hAnsi="Tahoma" w:cs="Tahoma"/>
          <w:b w:val="0"/>
          <w:sz w:val="18"/>
          <w:szCs w:val="18"/>
        </w:rPr>
        <w:t xml:space="preserve"> </w:t>
      </w:r>
      <w:r w:rsidRPr="00561946">
        <w:rPr>
          <w:rFonts w:ascii="Tahoma" w:hAnsi="Tahoma" w:cs="Tahoma"/>
          <w:b w:val="0"/>
          <w:sz w:val="18"/>
          <w:szCs w:val="18"/>
          <w:lang w:val="en-US"/>
        </w:rPr>
        <w:t>Eurostat</w:t>
      </w:r>
    </w:p>
    <w:p w:rsidR="00652F81" w:rsidRPr="00CA63DE" w:rsidRDefault="00652F81" w:rsidP="00652F81"/>
    <w:p w:rsidR="00652F81" w:rsidRPr="00CA63DE" w:rsidRDefault="00652F81" w:rsidP="00652F81"/>
    <w:p w:rsidR="00652F81" w:rsidRPr="0023603C" w:rsidRDefault="00652F81" w:rsidP="00652F81">
      <w:pPr>
        <w:sectPr w:rsidR="00652F81" w:rsidRPr="0023603C" w:rsidSect="00652F81">
          <w:footerReference w:type="default" r:id="rId89"/>
          <w:pgSz w:w="11906" w:h="16838"/>
          <w:pgMar w:top="1701" w:right="1418" w:bottom="1418" w:left="1418" w:header="720" w:footer="720" w:gutter="0"/>
          <w:cols w:space="720"/>
        </w:sectPr>
      </w:pPr>
      <w:bookmarkStart w:id="448" w:name="_Toc150308599"/>
    </w:p>
    <w:p w:rsidR="00652F81" w:rsidRPr="00294913" w:rsidRDefault="00652F81" w:rsidP="00652F81">
      <w:pPr>
        <w:pStyle w:val="new6"/>
      </w:pPr>
      <w:bookmarkStart w:id="449" w:name="_Toc169881545"/>
      <w:bookmarkStart w:id="450" w:name="_Toc170201889"/>
      <w:r>
        <w:lastRenderedPageBreak/>
        <w:t>V-</w:t>
      </w:r>
      <w:r>
        <w:rPr>
          <w:lang w:val="en-US"/>
        </w:rPr>
        <w:t>A</w:t>
      </w:r>
      <w:r>
        <w:t>,</w:t>
      </w:r>
      <w:r>
        <w:tab/>
        <w:t xml:space="preserve">Κοινωνική </w:t>
      </w:r>
      <w:bookmarkEnd w:id="448"/>
      <w:bookmarkEnd w:id="449"/>
      <w:r>
        <w:t>Σ</w:t>
      </w:r>
      <w:r w:rsidRPr="00294913">
        <w:t>υνοχή</w:t>
      </w:r>
      <w:bookmarkEnd w:id="450"/>
    </w:p>
    <w:p w:rsidR="00652F81" w:rsidRPr="00294913" w:rsidRDefault="00652F81" w:rsidP="00652F81"/>
    <w:p w:rsidR="00652F81" w:rsidRPr="00294913" w:rsidRDefault="00652F81" w:rsidP="00652F81"/>
    <w:p w:rsidR="00652F81" w:rsidRPr="00744674" w:rsidRDefault="00652F81" w:rsidP="00652F81">
      <w:pPr>
        <w:pStyle w:val="new12"/>
      </w:pPr>
      <w:bookmarkStart w:id="451" w:name="_Toc150308600"/>
      <w:bookmarkStart w:id="452" w:name="_Toc169881546"/>
      <w:bookmarkStart w:id="453" w:name="_Toc170201890"/>
      <w:r w:rsidRPr="00294913">
        <w:rPr>
          <w:lang w:val="en-US"/>
        </w:rPr>
        <w:t>V</w:t>
      </w:r>
      <w:r w:rsidRPr="00294913">
        <w:t>-1α</w:t>
      </w:r>
      <w:r>
        <w:t>,</w:t>
      </w:r>
      <w:r w:rsidRPr="00294913">
        <w:tab/>
      </w:r>
      <w:r w:rsidRPr="00744674">
        <w:t>Ποσοστό Πληθυσμού στο Όριο της Φτώχειας</w:t>
      </w:r>
      <w:bookmarkEnd w:id="451"/>
      <w:bookmarkEnd w:id="452"/>
      <w:bookmarkEnd w:id="453"/>
      <w:r w:rsidRPr="00744674">
        <w:t xml:space="preserve"> </w:t>
      </w:r>
    </w:p>
    <w:p w:rsidR="00652F81" w:rsidRPr="00BA4EA0" w:rsidRDefault="00652F81" w:rsidP="00652F81">
      <w:pPr>
        <w:pStyle w:val="new1210pt"/>
      </w:pPr>
      <w:bookmarkStart w:id="454" w:name="_Toc150308601"/>
      <w:bookmarkStart w:id="455" w:name="_Toc170201891"/>
      <w:r w:rsidRPr="00744674">
        <w:t>(% ατόμων με διαθέσιμο εισόδημα κάτω του 60% του εθνικού διάμεσου διαθέσιμου εισοδήματος)</w:t>
      </w:r>
      <w:bookmarkEnd w:id="454"/>
      <w:bookmarkEnd w:id="455"/>
      <w:r>
        <w:t xml:space="preserve"> </w:t>
      </w:r>
    </w:p>
    <w:p w:rsidR="00652F81" w:rsidRPr="00C95884" w:rsidRDefault="00652F81" w:rsidP="00652F81">
      <w:r>
        <w:rPr>
          <w:noProof/>
          <w:lang w:val="en-US" w:eastAsia="en-US"/>
        </w:rPr>
        <w:drawing>
          <wp:inline distT="0" distB="0" distL="0" distR="0">
            <wp:extent cx="5162550" cy="3257550"/>
            <wp:effectExtent l="0" t="0" r="0" b="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0" cstate="print"/>
                    <a:srcRect/>
                    <a:stretch>
                      <a:fillRect/>
                    </a:stretch>
                  </pic:blipFill>
                  <pic:spPr bwMode="auto">
                    <a:xfrm>
                      <a:off x="0" y="0"/>
                      <a:ext cx="5162550" cy="3257550"/>
                    </a:xfrm>
                    <a:prstGeom prst="rect">
                      <a:avLst/>
                    </a:prstGeom>
                    <a:noFill/>
                    <a:ln w="9525">
                      <a:noFill/>
                      <a:miter lim="800000"/>
                      <a:headEnd/>
                      <a:tailEnd/>
                    </a:ln>
                  </pic:spPr>
                </pic:pic>
              </a:graphicData>
            </a:graphic>
          </wp:inline>
        </w:drawing>
      </w:r>
    </w:p>
    <w:p w:rsidR="00652F81" w:rsidRPr="00CD4118" w:rsidRDefault="00652F81" w:rsidP="00652F81"/>
    <w:tbl>
      <w:tblPr>
        <w:tblW w:w="9600" w:type="dxa"/>
        <w:tblBorders>
          <w:top w:val="single" w:sz="12" w:space="0" w:color="auto"/>
          <w:bottom w:val="single" w:sz="12" w:space="0" w:color="auto"/>
          <w:insideH w:val="dotted" w:sz="4" w:space="0" w:color="auto"/>
        </w:tblBorders>
        <w:tblLook w:val="00E0"/>
      </w:tblPr>
      <w:tblGrid>
        <w:gridCol w:w="960"/>
        <w:gridCol w:w="960"/>
        <w:gridCol w:w="960"/>
        <w:gridCol w:w="960"/>
        <w:gridCol w:w="960"/>
        <w:gridCol w:w="960"/>
        <w:gridCol w:w="960"/>
        <w:gridCol w:w="960"/>
        <w:gridCol w:w="960"/>
        <w:gridCol w:w="960"/>
      </w:tblGrid>
      <w:tr w:rsidR="00652F81" w:rsidRPr="00515DAC" w:rsidTr="00652F81">
        <w:trPr>
          <w:trHeight w:val="255"/>
        </w:trPr>
        <w:tc>
          <w:tcPr>
            <w:tcW w:w="960" w:type="dxa"/>
            <w:tcBorders>
              <w:top w:val="single" w:sz="12" w:space="0" w:color="auto"/>
              <w:bottom w:val="single" w:sz="8" w:space="0" w:color="auto"/>
            </w:tcBorders>
            <w:noWrap/>
            <w:vAlign w:val="bottom"/>
          </w:tcPr>
          <w:p w:rsidR="00652F81" w:rsidRPr="00EE3B0D" w:rsidRDefault="00652F81" w:rsidP="00652F81">
            <w:pPr>
              <w:rPr>
                <w:rFonts w:ascii="Tahoma" w:hAnsi="Tahoma" w:cs="Tahoma"/>
                <w:b/>
                <w:bCs/>
              </w:rPr>
            </w:pPr>
          </w:p>
        </w:tc>
        <w:tc>
          <w:tcPr>
            <w:tcW w:w="960" w:type="dxa"/>
            <w:tcBorders>
              <w:top w:val="single" w:sz="12" w:space="0" w:color="auto"/>
              <w:bottom w:val="single" w:sz="8" w:space="0" w:color="auto"/>
            </w:tcBorders>
            <w:noWrap/>
            <w:vAlign w:val="bottom"/>
          </w:tcPr>
          <w:p w:rsidR="00652F81" w:rsidRPr="003640A8" w:rsidRDefault="00652F81" w:rsidP="00652F81">
            <w:pPr>
              <w:jc w:val="center"/>
              <w:rPr>
                <w:rFonts w:ascii="Tahoma" w:hAnsi="Tahoma" w:cs="Tahoma"/>
                <w:b/>
                <w:bCs/>
              </w:rPr>
            </w:pPr>
            <w:r>
              <w:rPr>
                <w:rFonts w:ascii="Tahoma" w:hAnsi="Tahoma" w:cs="Tahoma"/>
                <w:b/>
                <w:bCs/>
                <w:lang w:val="en-US"/>
              </w:rPr>
              <w:t>200</w:t>
            </w:r>
            <w:r>
              <w:rPr>
                <w:rFonts w:ascii="Tahoma" w:hAnsi="Tahoma" w:cs="Tahoma"/>
                <w:b/>
                <w:bCs/>
              </w:rPr>
              <w:t>2</w:t>
            </w:r>
          </w:p>
        </w:tc>
        <w:tc>
          <w:tcPr>
            <w:tcW w:w="960" w:type="dxa"/>
            <w:tcBorders>
              <w:top w:val="single" w:sz="12" w:space="0" w:color="auto"/>
              <w:bottom w:val="single" w:sz="8" w:space="0" w:color="auto"/>
            </w:tcBorders>
            <w:noWrap/>
            <w:vAlign w:val="bottom"/>
          </w:tcPr>
          <w:p w:rsidR="00652F81" w:rsidRPr="003640A8" w:rsidRDefault="00652F81" w:rsidP="00652F81">
            <w:pPr>
              <w:jc w:val="center"/>
              <w:rPr>
                <w:rFonts w:ascii="Tahoma" w:hAnsi="Tahoma" w:cs="Tahoma"/>
                <w:b/>
                <w:bCs/>
              </w:rPr>
            </w:pPr>
            <w:r w:rsidRPr="00EE3B0D">
              <w:rPr>
                <w:rFonts w:ascii="Tahoma" w:hAnsi="Tahoma" w:cs="Tahoma"/>
                <w:b/>
                <w:bCs/>
              </w:rPr>
              <w:t>200</w:t>
            </w:r>
            <w:r>
              <w:rPr>
                <w:rFonts w:ascii="Tahoma" w:hAnsi="Tahoma" w:cs="Tahoma"/>
                <w:b/>
                <w:bCs/>
              </w:rPr>
              <w:t>3</w:t>
            </w:r>
          </w:p>
        </w:tc>
        <w:tc>
          <w:tcPr>
            <w:tcW w:w="960" w:type="dxa"/>
            <w:tcBorders>
              <w:top w:val="single" w:sz="12" w:space="0" w:color="auto"/>
              <w:bottom w:val="single" w:sz="8" w:space="0" w:color="auto"/>
            </w:tcBorders>
            <w:noWrap/>
            <w:vAlign w:val="bottom"/>
          </w:tcPr>
          <w:p w:rsidR="00652F81" w:rsidRPr="003640A8" w:rsidRDefault="00652F81" w:rsidP="00652F81">
            <w:pPr>
              <w:jc w:val="center"/>
              <w:rPr>
                <w:rFonts w:ascii="Tahoma" w:hAnsi="Tahoma" w:cs="Tahoma"/>
                <w:b/>
                <w:bCs/>
              </w:rPr>
            </w:pPr>
            <w:r w:rsidRPr="00EE3B0D">
              <w:rPr>
                <w:rFonts w:ascii="Tahoma" w:hAnsi="Tahoma" w:cs="Tahoma"/>
                <w:b/>
                <w:bCs/>
              </w:rPr>
              <w:t>200</w:t>
            </w:r>
            <w:r>
              <w:rPr>
                <w:rFonts w:ascii="Tahoma" w:hAnsi="Tahoma" w:cs="Tahoma"/>
                <w:b/>
                <w:bCs/>
              </w:rPr>
              <w:t>4</w:t>
            </w:r>
          </w:p>
        </w:tc>
        <w:tc>
          <w:tcPr>
            <w:tcW w:w="960" w:type="dxa"/>
            <w:tcBorders>
              <w:top w:val="single" w:sz="12" w:space="0" w:color="auto"/>
              <w:bottom w:val="single" w:sz="8" w:space="0" w:color="auto"/>
            </w:tcBorders>
            <w:noWrap/>
            <w:vAlign w:val="bottom"/>
          </w:tcPr>
          <w:p w:rsidR="00652F81" w:rsidRPr="003640A8" w:rsidRDefault="00652F81" w:rsidP="00652F81">
            <w:pPr>
              <w:jc w:val="center"/>
              <w:rPr>
                <w:rFonts w:ascii="Tahoma" w:hAnsi="Tahoma" w:cs="Tahoma"/>
                <w:b/>
                <w:bCs/>
              </w:rPr>
            </w:pPr>
            <w:r w:rsidRPr="00EE3B0D">
              <w:rPr>
                <w:rFonts w:ascii="Tahoma" w:hAnsi="Tahoma" w:cs="Tahoma"/>
                <w:b/>
                <w:bCs/>
              </w:rPr>
              <w:t>200</w:t>
            </w:r>
            <w:r>
              <w:rPr>
                <w:rFonts w:ascii="Tahoma" w:hAnsi="Tahoma" w:cs="Tahoma"/>
                <w:b/>
                <w:bCs/>
              </w:rPr>
              <w:t>5</w:t>
            </w:r>
          </w:p>
        </w:tc>
        <w:tc>
          <w:tcPr>
            <w:tcW w:w="960" w:type="dxa"/>
            <w:tcBorders>
              <w:top w:val="single" w:sz="12" w:space="0" w:color="auto"/>
              <w:bottom w:val="single" w:sz="8" w:space="0" w:color="auto"/>
            </w:tcBorders>
            <w:noWrap/>
            <w:vAlign w:val="bottom"/>
          </w:tcPr>
          <w:p w:rsidR="00652F81" w:rsidRPr="003640A8" w:rsidRDefault="00652F81" w:rsidP="00652F81">
            <w:pPr>
              <w:jc w:val="center"/>
              <w:rPr>
                <w:rFonts w:ascii="Tahoma" w:hAnsi="Tahoma" w:cs="Tahoma"/>
                <w:b/>
                <w:bCs/>
              </w:rPr>
            </w:pPr>
            <w:r w:rsidRPr="00EE3B0D">
              <w:rPr>
                <w:rFonts w:ascii="Tahoma" w:hAnsi="Tahoma" w:cs="Tahoma"/>
                <w:b/>
                <w:bCs/>
              </w:rPr>
              <w:t>200</w:t>
            </w:r>
            <w:r>
              <w:rPr>
                <w:rFonts w:ascii="Tahoma" w:hAnsi="Tahoma" w:cs="Tahoma"/>
                <w:b/>
                <w:bCs/>
              </w:rPr>
              <w:t>6</w:t>
            </w:r>
          </w:p>
        </w:tc>
        <w:tc>
          <w:tcPr>
            <w:tcW w:w="960" w:type="dxa"/>
            <w:tcBorders>
              <w:top w:val="single" w:sz="12" w:space="0" w:color="auto"/>
              <w:bottom w:val="single" w:sz="8" w:space="0" w:color="auto"/>
            </w:tcBorders>
            <w:noWrap/>
            <w:vAlign w:val="bottom"/>
          </w:tcPr>
          <w:p w:rsidR="00652F81" w:rsidRPr="003640A8" w:rsidRDefault="00652F81" w:rsidP="00652F81">
            <w:pPr>
              <w:jc w:val="center"/>
              <w:rPr>
                <w:rFonts w:ascii="Tahoma" w:hAnsi="Tahoma" w:cs="Tahoma"/>
                <w:b/>
                <w:bCs/>
              </w:rPr>
            </w:pPr>
            <w:r w:rsidRPr="00EE3B0D">
              <w:rPr>
                <w:rFonts w:ascii="Tahoma" w:hAnsi="Tahoma" w:cs="Tahoma"/>
                <w:b/>
                <w:bCs/>
              </w:rPr>
              <w:t>200</w:t>
            </w:r>
            <w:r>
              <w:rPr>
                <w:rFonts w:ascii="Tahoma" w:hAnsi="Tahoma" w:cs="Tahoma"/>
                <w:b/>
                <w:bCs/>
              </w:rPr>
              <w:t>7</w:t>
            </w:r>
          </w:p>
        </w:tc>
        <w:tc>
          <w:tcPr>
            <w:tcW w:w="960" w:type="dxa"/>
            <w:tcBorders>
              <w:top w:val="single" w:sz="12" w:space="0" w:color="auto"/>
              <w:bottom w:val="single" w:sz="8" w:space="0" w:color="auto"/>
            </w:tcBorders>
            <w:noWrap/>
            <w:vAlign w:val="bottom"/>
          </w:tcPr>
          <w:p w:rsidR="00652F81" w:rsidRPr="003640A8" w:rsidRDefault="00652F81" w:rsidP="00652F81">
            <w:pPr>
              <w:jc w:val="center"/>
              <w:rPr>
                <w:rFonts w:ascii="Tahoma" w:hAnsi="Tahoma" w:cs="Tahoma"/>
                <w:b/>
                <w:bCs/>
              </w:rPr>
            </w:pPr>
            <w:r w:rsidRPr="00EE3B0D">
              <w:rPr>
                <w:rFonts w:ascii="Tahoma" w:hAnsi="Tahoma" w:cs="Tahoma"/>
                <w:b/>
                <w:bCs/>
              </w:rPr>
              <w:t>200</w:t>
            </w:r>
            <w:r>
              <w:rPr>
                <w:rFonts w:ascii="Tahoma" w:hAnsi="Tahoma" w:cs="Tahoma"/>
                <w:b/>
                <w:bCs/>
              </w:rPr>
              <w:t>8</w:t>
            </w:r>
          </w:p>
        </w:tc>
        <w:tc>
          <w:tcPr>
            <w:tcW w:w="960" w:type="dxa"/>
            <w:tcBorders>
              <w:top w:val="single" w:sz="12" w:space="0" w:color="auto"/>
              <w:bottom w:val="single" w:sz="8" w:space="0" w:color="auto"/>
            </w:tcBorders>
            <w:noWrap/>
            <w:vAlign w:val="bottom"/>
          </w:tcPr>
          <w:p w:rsidR="00652F81" w:rsidRPr="003640A8" w:rsidRDefault="00652F81" w:rsidP="00652F81">
            <w:pPr>
              <w:jc w:val="center"/>
              <w:rPr>
                <w:rFonts w:ascii="Tahoma" w:hAnsi="Tahoma" w:cs="Tahoma"/>
                <w:b/>
                <w:bCs/>
              </w:rPr>
            </w:pPr>
            <w:r w:rsidRPr="00EE3B0D">
              <w:rPr>
                <w:rFonts w:ascii="Tahoma" w:hAnsi="Tahoma" w:cs="Tahoma"/>
                <w:b/>
                <w:bCs/>
              </w:rPr>
              <w:t>20</w:t>
            </w:r>
            <w:r>
              <w:rPr>
                <w:rFonts w:ascii="Tahoma" w:hAnsi="Tahoma" w:cs="Tahoma"/>
                <w:b/>
                <w:bCs/>
              </w:rPr>
              <w:t>09</w:t>
            </w:r>
          </w:p>
        </w:tc>
        <w:tc>
          <w:tcPr>
            <w:tcW w:w="960" w:type="dxa"/>
            <w:tcBorders>
              <w:top w:val="single" w:sz="12" w:space="0" w:color="auto"/>
              <w:bottom w:val="single" w:sz="8" w:space="0" w:color="auto"/>
            </w:tcBorders>
            <w:noWrap/>
            <w:vAlign w:val="bottom"/>
          </w:tcPr>
          <w:p w:rsidR="00652F81" w:rsidRPr="003640A8" w:rsidRDefault="00652F81" w:rsidP="00652F81">
            <w:pPr>
              <w:jc w:val="center"/>
              <w:rPr>
                <w:rFonts w:ascii="Tahoma" w:hAnsi="Tahoma" w:cs="Tahoma"/>
                <w:b/>
                <w:bCs/>
              </w:rPr>
            </w:pPr>
            <w:r>
              <w:rPr>
                <w:rFonts w:ascii="Tahoma" w:hAnsi="Tahoma" w:cs="Tahoma"/>
                <w:b/>
                <w:bCs/>
                <w:lang w:val="en-US"/>
              </w:rPr>
              <w:t>20</w:t>
            </w:r>
            <w:r>
              <w:rPr>
                <w:rFonts w:ascii="Tahoma" w:hAnsi="Tahoma" w:cs="Tahoma"/>
                <w:b/>
                <w:bCs/>
              </w:rPr>
              <w:t>10</w:t>
            </w:r>
          </w:p>
        </w:tc>
      </w:tr>
      <w:tr w:rsidR="00652F81" w:rsidRPr="00515DAC" w:rsidTr="00652F81">
        <w:trPr>
          <w:trHeight w:val="255"/>
        </w:trPr>
        <w:tc>
          <w:tcPr>
            <w:tcW w:w="960" w:type="dxa"/>
            <w:tcBorders>
              <w:top w:val="single" w:sz="8" w:space="0" w:color="auto"/>
            </w:tcBorders>
            <w:noWrap/>
            <w:vAlign w:val="bottom"/>
          </w:tcPr>
          <w:p w:rsidR="00652F81" w:rsidRPr="00EE3B0D" w:rsidRDefault="00652F81" w:rsidP="00652F81">
            <w:pPr>
              <w:rPr>
                <w:rFonts w:ascii="Tahoma" w:hAnsi="Tahoma" w:cs="Tahoma"/>
                <w:b/>
                <w:bCs/>
              </w:rPr>
            </w:pPr>
            <w:r w:rsidRPr="00EE3B0D">
              <w:rPr>
                <w:rFonts w:ascii="Tahoma" w:hAnsi="Tahoma" w:cs="Tahoma"/>
                <w:b/>
                <w:bCs/>
              </w:rPr>
              <w:t>EU27</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26</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26,2</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25,8</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25,1</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25,1</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25,7</w:t>
            </w:r>
          </w:p>
        </w:tc>
      </w:tr>
      <w:tr w:rsidR="00652F81" w:rsidRPr="00515DAC" w:rsidTr="00652F81">
        <w:trPr>
          <w:trHeight w:val="255"/>
        </w:trPr>
        <w:tc>
          <w:tcPr>
            <w:tcW w:w="960" w:type="dxa"/>
            <w:noWrap/>
            <w:vAlign w:val="bottom"/>
          </w:tcPr>
          <w:p w:rsidR="00652F81" w:rsidRPr="00EE3B0D" w:rsidRDefault="00652F81" w:rsidP="00652F81">
            <w:pPr>
              <w:rPr>
                <w:rFonts w:ascii="Tahoma" w:hAnsi="Tahoma" w:cs="Tahoma"/>
                <w:b/>
                <w:bCs/>
              </w:rPr>
            </w:pPr>
            <w:r w:rsidRPr="00EE3B0D">
              <w:rPr>
                <w:rFonts w:ascii="Tahoma" w:hAnsi="Tahoma" w:cs="Tahoma"/>
                <w:b/>
                <w:bCs/>
              </w:rPr>
              <w:t>EU25</w:t>
            </w:r>
          </w:p>
        </w:tc>
        <w:tc>
          <w:tcPr>
            <w:tcW w:w="960" w:type="dxa"/>
            <w:noWrap/>
            <w:vAlign w:val="bottom"/>
          </w:tcPr>
          <w:p w:rsidR="00652F81" w:rsidRDefault="00652F81" w:rsidP="00652F81">
            <w:pPr>
              <w:jc w:val="right"/>
              <w:rPr>
                <w:rFonts w:ascii="Tahoma" w:hAnsi="Tahoma" w:cs="Tahoma"/>
              </w:rPr>
            </w:pPr>
            <w:r>
              <w:rPr>
                <w:rFonts w:ascii="Tahoma" w:hAnsi="Tahoma" w:cs="Tahoma"/>
              </w:rPr>
              <w:t> </w:t>
            </w:r>
          </w:p>
        </w:tc>
        <w:tc>
          <w:tcPr>
            <w:tcW w:w="960" w:type="dxa"/>
            <w:noWrap/>
            <w:vAlign w:val="bottom"/>
          </w:tcPr>
          <w:p w:rsidR="00652F81" w:rsidRDefault="00652F81" w:rsidP="00652F81">
            <w:pPr>
              <w:jc w:val="right"/>
              <w:rPr>
                <w:rFonts w:ascii="Tahoma" w:hAnsi="Tahoma" w:cs="Tahoma"/>
              </w:rPr>
            </w:pPr>
            <w:r>
              <w:rPr>
                <w:rFonts w:ascii="Tahoma" w:hAnsi="Tahoma" w:cs="Tahoma"/>
              </w:rPr>
              <w:t> </w:t>
            </w:r>
          </w:p>
        </w:tc>
        <w:tc>
          <w:tcPr>
            <w:tcW w:w="960" w:type="dxa"/>
            <w:noWrap/>
            <w:vAlign w:val="bottom"/>
          </w:tcPr>
          <w:p w:rsidR="00652F81" w:rsidRDefault="00652F81" w:rsidP="00652F81">
            <w:pPr>
              <w:jc w:val="right"/>
              <w:rPr>
                <w:rFonts w:ascii="Tahoma" w:hAnsi="Tahoma" w:cs="Tahoma"/>
              </w:rPr>
            </w:pPr>
            <w:r>
              <w:rPr>
                <w:rFonts w:ascii="Tahoma" w:hAnsi="Tahoma" w:cs="Tahoma"/>
              </w:rPr>
              <w:t> </w:t>
            </w:r>
          </w:p>
        </w:tc>
        <w:tc>
          <w:tcPr>
            <w:tcW w:w="960" w:type="dxa"/>
            <w:noWrap/>
            <w:vAlign w:val="bottom"/>
          </w:tcPr>
          <w:p w:rsidR="00652F81" w:rsidRDefault="00652F81" w:rsidP="00652F81">
            <w:pPr>
              <w:rPr>
                <w:rFonts w:ascii="Tahoma" w:hAnsi="Tahoma" w:cs="Tahoma"/>
              </w:rPr>
            </w:pPr>
          </w:p>
        </w:tc>
        <w:tc>
          <w:tcPr>
            <w:tcW w:w="960" w:type="dxa"/>
            <w:noWrap/>
            <w:vAlign w:val="bottom"/>
          </w:tcPr>
          <w:p w:rsidR="00652F81" w:rsidRDefault="00652F81" w:rsidP="00652F81">
            <w:pPr>
              <w:rPr>
                <w:rFonts w:ascii="Tahoma" w:hAnsi="Tahoma" w:cs="Tahoma"/>
              </w:rPr>
            </w:pPr>
          </w:p>
        </w:tc>
        <w:tc>
          <w:tcPr>
            <w:tcW w:w="960" w:type="dxa"/>
            <w:noWrap/>
            <w:vAlign w:val="bottom"/>
          </w:tcPr>
          <w:p w:rsidR="00652F81" w:rsidRDefault="00652F81" w:rsidP="00652F81">
            <w:pPr>
              <w:rPr>
                <w:rFonts w:ascii="Tahoma" w:hAnsi="Tahoma" w:cs="Tahoma"/>
              </w:rPr>
            </w:pPr>
          </w:p>
        </w:tc>
        <w:tc>
          <w:tcPr>
            <w:tcW w:w="960" w:type="dxa"/>
            <w:noWrap/>
            <w:vAlign w:val="bottom"/>
          </w:tcPr>
          <w:p w:rsidR="00652F81" w:rsidRDefault="00652F81" w:rsidP="00652F81">
            <w:pPr>
              <w:rPr>
                <w:rFonts w:ascii="Tahoma" w:hAnsi="Tahoma" w:cs="Tahoma"/>
              </w:rPr>
            </w:pPr>
          </w:p>
        </w:tc>
        <w:tc>
          <w:tcPr>
            <w:tcW w:w="960" w:type="dxa"/>
            <w:noWrap/>
            <w:vAlign w:val="bottom"/>
          </w:tcPr>
          <w:p w:rsidR="00652F81" w:rsidRDefault="00652F81" w:rsidP="00652F81">
            <w:pPr>
              <w:rPr>
                <w:rFonts w:ascii="Tahoma" w:hAnsi="Tahoma" w:cs="Tahoma"/>
              </w:rPr>
            </w:pPr>
          </w:p>
        </w:tc>
        <w:tc>
          <w:tcPr>
            <w:tcW w:w="960" w:type="dxa"/>
            <w:noWrap/>
            <w:vAlign w:val="bottom"/>
          </w:tcPr>
          <w:p w:rsidR="00652F81" w:rsidRDefault="00652F81" w:rsidP="00652F81">
            <w:pPr>
              <w:rPr>
                <w:rFonts w:ascii="Tahoma" w:hAnsi="Tahoma" w:cs="Tahoma"/>
              </w:rPr>
            </w:pPr>
          </w:p>
        </w:tc>
      </w:tr>
      <w:tr w:rsidR="00652F81" w:rsidRPr="00515DAC" w:rsidTr="00652F81">
        <w:trPr>
          <w:trHeight w:val="255"/>
        </w:trPr>
        <w:tc>
          <w:tcPr>
            <w:tcW w:w="960" w:type="dxa"/>
            <w:noWrap/>
            <w:vAlign w:val="bottom"/>
          </w:tcPr>
          <w:p w:rsidR="00652F81" w:rsidRPr="00EE3B0D" w:rsidRDefault="00652F81" w:rsidP="00652F81">
            <w:pPr>
              <w:rPr>
                <w:rFonts w:ascii="Tahoma" w:hAnsi="Tahoma" w:cs="Tahoma"/>
                <w:b/>
                <w:bCs/>
              </w:rPr>
            </w:pPr>
            <w:r w:rsidRPr="00EE3B0D">
              <w:rPr>
                <w:rFonts w:ascii="Tahoma" w:hAnsi="Tahoma" w:cs="Tahoma"/>
                <w:b/>
                <w:bCs/>
              </w:rPr>
              <w:t>EU15</w:t>
            </w:r>
          </w:p>
        </w:tc>
        <w:tc>
          <w:tcPr>
            <w:tcW w:w="960" w:type="dxa"/>
            <w:noWrap/>
            <w:vAlign w:val="bottom"/>
          </w:tcPr>
          <w:p w:rsidR="00652F81" w:rsidRDefault="00652F81" w:rsidP="00652F81">
            <w:pPr>
              <w:jc w:val="right"/>
              <w:rPr>
                <w:rFonts w:ascii="Tahoma" w:hAnsi="Tahoma" w:cs="Tahoma"/>
              </w:rPr>
            </w:pPr>
            <w:r>
              <w:rPr>
                <w:rFonts w:ascii="Tahoma" w:hAnsi="Tahoma" w:cs="Tahoma"/>
              </w:rPr>
              <w:t>:</w:t>
            </w:r>
          </w:p>
        </w:tc>
        <w:tc>
          <w:tcPr>
            <w:tcW w:w="960" w:type="dxa"/>
            <w:noWrap/>
            <w:vAlign w:val="bottom"/>
          </w:tcPr>
          <w:p w:rsidR="00652F81" w:rsidRDefault="00652F81" w:rsidP="00652F81">
            <w:pPr>
              <w:jc w:val="right"/>
              <w:rPr>
                <w:rFonts w:ascii="Tahoma" w:hAnsi="Tahoma" w:cs="Tahoma"/>
              </w:rPr>
            </w:pPr>
            <w:r>
              <w:rPr>
                <w:rFonts w:ascii="Tahoma" w:hAnsi="Tahoma" w:cs="Tahoma"/>
              </w:rPr>
              <w:t>25</w:t>
            </w:r>
          </w:p>
        </w:tc>
        <w:tc>
          <w:tcPr>
            <w:tcW w:w="960" w:type="dxa"/>
            <w:noWrap/>
            <w:vAlign w:val="bottom"/>
          </w:tcPr>
          <w:p w:rsidR="00652F81" w:rsidRDefault="00652F81" w:rsidP="00652F81">
            <w:pPr>
              <w:jc w:val="right"/>
              <w:rPr>
                <w:rFonts w:ascii="Tahoma" w:hAnsi="Tahoma" w:cs="Tahoma"/>
              </w:rPr>
            </w:pPr>
            <w:r>
              <w:rPr>
                <w:rFonts w:ascii="Tahoma" w:hAnsi="Tahoma" w:cs="Tahoma"/>
              </w:rPr>
              <w:t>26</w:t>
            </w:r>
          </w:p>
        </w:tc>
        <w:tc>
          <w:tcPr>
            <w:tcW w:w="960" w:type="dxa"/>
            <w:noWrap/>
            <w:vAlign w:val="bottom"/>
          </w:tcPr>
          <w:p w:rsidR="00652F81" w:rsidRDefault="00652F81" w:rsidP="00652F81">
            <w:pPr>
              <w:jc w:val="right"/>
              <w:rPr>
                <w:rFonts w:ascii="Tahoma" w:hAnsi="Tahoma" w:cs="Tahoma"/>
              </w:rPr>
            </w:pPr>
            <w:r>
              <w:rPr>
                <w:rFonts w:ascii="Tahoma" w:hAnsi="Tahoma" w:cs="Tahoma"/>
              </w:rPr>
              <w:t>25,5</w:t>
            </w:r>
          </w:p>
        </w:tc>
        <w:tc>
          <w:tcPr>
            <w:tcW w:w="960" w:type="dxa"/>
            <w:noWrap/>
            <w:vAlign w:val="bottom"/>
          </w:tcPr>
          <w:p w:rsidR="00652F81" w:rsidRDefault="00652F81" w:rsidP="00652F81">
            <w:pPr>
              <w:jc w:val="right"/>
              <w:rPr>
                <w:rFonts w:ascii="Tahoma" w:hAnsi="Tahoma" w:cs="Tahoma"/>
              </w:rPr>
            </w:pPr>
            <w:r>
              <w:rPr>
                <w:rFonts w:ascii="Tahoma" w:hAnsi="Tahoma" w:cs="Tahoma"/>
              </w:rPr>
              <w:t>25,8</w:t>
            </w:r>
          </w:p>
        </w:tc>
        <w:tc>
          <w:tcPr>
            <w:tcW w:w="960" w:type="dxa"/>
            <w:noWrap/>
            <w:vAlign w:val="bottom"/>
          </w:tcPr>
          <w:p w:rsidR="00652F81" w:rsidRDefault="00652F81" w:rsidP="00652F81">
            <w:pPr>
              <w:jc w:val="right"/>
              <w:rPr>
                <w:rFonts w:ascii="Tahoma" w:hAnsi="Tahoma" w:cs="Tahoma"/>
              </w:rPr>
            </w:pPr>
            <w:r>
              <w:rPr>
                <w:rFonts w:ascii="Tahoma" w:hAnsi="Tahoma" w:cs="Tahoma"/>
              </w:rPr>
              <w:t>25,7</w:t>
            </w:r>
          </w:p>
        </w:tc>
        <w:tc>
          <w:tcPr>
            <w:tcW w:w="960" w:type="dxa"/>
            <w:noWrap/>
            <w:vAlign w:val="bottom"/>
          </w:tcPr>
          <w:p w:rsidR="00652F81" w:rsidRDefault="00652F81" w:rsidP="00652F81">
            <w:pPr>
              <w:jc w:val="right"/>
              <w:rPr>
                <w:rFonts w:ascii="Tahoma" w:hAnsi="Tahoma" w:cs="Tahoma"/>
              </w:rPr>
            </w:pPr>
            <w:r>
              <w:rPr>
                <w:rFonts w:ascii="Tahoma" w:hAnsi="Tahoma" w:cs="Tahoma"/>
              </w:rPr>
              <w:t>24,8</w:t>
            </w:r>
          </w:p>
        </w:tc>
        <w:tc>
          <w:tcPr>
            <w:tcW w:w="960" w:type="dxa"/>
            <w:noWrap/>
            <w:vAlign w:val="bottom"/>
          </w:tcPr>
          <w:p w:rsidR="00652F81" w:rsidRDefault="00652F81" w:rsidP="00652F81">
            <w:pPr>
              <w:jc w:val="right"/>
              <w:rPr>
                <w:rFonts w:ascii="Tahoma" w:hAnsi="Tahoma" w:cs="Tahoma"/>
              </w:rPr>
            </w:pPr>
            <w:r>
              <w:rPr>
                <w:rFonts w:ascii="Tahoma" w:hAnsi="Tahoma" w:cs="Tahoma"/>
              </w:rPr>
              <w:t>25,2</w:t>
            </w:r>
          </w:p>
        </w:tc>
        <w:tc>
          <w:tcPr>
            <w:tcW w:w="960" w:type="dxa"/>
            <w:noWrap/>
            <w:vAlign w:val="bottom"/>
          </w:tcPr>
          <w:p w:rsidR="00652F81" w:rsidRDefault="00652F81" w:rsidP="00652F81">
            <w:pPr>
              <w:jc w:val="right"/>
              <w:rPr>
                <w:rFonts w:ascii="Tahoma" w:hAnsi="Tahoma" w:cs="Tahoma"/>
              </w:rPr>
            </w:pPr>
            <w:r>
              <w:rPr>
                <w:rFonts w:ascii="Tahoma" w:hAnsi="Tahoma" w:cs="Tahoma"/>
              </w:rPr>
              <w:t>25,9</w:t>
            </w:r>
          </w:p>
        </w:tc>
      </w:tr>
      <w:tr w:rsidR="00652F81" w:rsidRPr="00515DAC" w:rsidTr="00652F81">
        <w:trPr>
          <w:trHeight w:val="255"/>
        </w:trPr>
        <w:tc>
          <w:tcPr>
            <w:tcW w:w="960" w:type="dxa"/>
            <w:noWrap/>
            <w:vAlign w:val="bottom"/>
          </w:tcPr>
          <w:p w:rsidR="00652F81" w:rsidRPr="00CD4118" w:rsidRDefault="00652F81" w:rsidP="00652F81">
            <w:pPr>
              <w:rPr>
                <w:rFonts w:ascii="Tahoma" w:hAnsi="Tahoma" w:cs="Tahoma"/>
                <w:b/>
                <w:bCs/>
              </w:rPr>
            </w:pPr>
            <w:r>
              <w:rPr>
                <w:rFonts w:ascii="Tahoma" w:hAnsi="Tahoma" w:cs="Tahoma"/>
                <w:b/>
                <w:bCs/>
              </w:rPr>
              <w:t>EA17</w:t>
            </w:r>
          </w:p>
        </w:tc>
        <w:tc>
          <w:tcPr>
            <w:tcW w:w="960" w:type="dxa"/>
            <w:noWrap/>
            <w:vAlign w:val="bottom"/>
          </w:tcPr>
          <w:p w:rsidR="00652F81" w:rsidRDefault="00652F81" w:rsidP="00652F81">
            <w:pPr>
              <w:jc w:val="right"/>
              <w:rPr>
                <w:rFonts w:ascii="Tahoma" w:hAnsi="Tahoma" w:cs="Tahoma"/>
              </w:rPr>
            </w:pPr>
            <w:r>
              <w:rPr>
                <w:rFonts w:ascii="Tahoma" w:hAnsi="Tahoma" w:cs="Tahoma"/>
              </w:rPr>
              <w:t>:</w:t>
            </w:r>
          </w:p>
        </w:tc>
        <w:tc>
          <w:tcPr>
            <w:tcW w:w="960" w:type="dxa"/>
            <w:noWrap/>
            <w:vAlign w:val="bottom"/>
          </w:tcPr>
          <w:p w:rsidR="00652F81" w:rsidRDefault="00652F81" w:rsidP="00652F81">
            <w:pPr>
              <w:jc w:val="right"/>
              <w:rPr>
                <w:rFonts w:ascii="Tahoma" w:hAnsi="Tahoma" w:cs="Tahoma"/>
              </w:rPr>
            </w:pPr>
            <w:r>
              <w:rPr>
                <w:rFonts w:ascii="Tahoma" w:hAnsi="Tahoma" w:cs="Tahoma"/>
              </w:rPr>
              <w:t>:</w:t>
            </w:r>
          </w:p>
        </w:tc>
        <w:tc>
          <w:tcPr>
            <w:tcW w:w="960" w:type="dxa"/>
            <w:noWrap/>
            <w:vAlign w:val="bottom"/>
          </w:tcPr>
          <w:p w:rsidR="00652F81" w:rsidRDefault="00652F81" w:rsidP="00652F81">
            <w:pPr>
              <w:jc w:val="right"/>
              <w:rPr>
                <w:rFonts w:ascii="Tahoma" w:hAnsi="Tahoma" w:cs="Tahoma"/>
              </w:rPr>
            </w:pPr>
            <w:r>
              <w:rPr>
                <w:rFonts w:ascii="Tahoma" w:hAnsi="Tahoma" w:cs="Tahoma"/>
              </w:rPr>
              <w:t>:</w:t>
            </w:r>
          </w:p>
        </w:tc>
        <w:tc>
          <w:tcPr>
            <w:tcW w:w="960" w:type="dxa"/>
            <w:noWrap/>
            <w:vAlign w:val="bottom"/>
          </w:tcPr>
          <w:p w:rsidR="00652F81" w:rsidRDefault="00652F81" w:rsidP="00652F81">
            <w:pPr>
              <w:jc w:val="right"/>
              <w:rPr>
                <w:rFonts w:ascii="Tahoma" w:hAnsi="Tahoma" w:cs="Tahoma"/>
              </w:rPr>
            </w:pPr>
            <w:r>
              <w:rPr>
                <w:rFonts w:ascii="Tahoma" w:hAnsi="Tahoma" w:cs="Tahoma"/>
              </w:rPr>
              <w:t>24,3</w:t>
            </w:r>
          </w:p>
        </w:tc>
        <w:tc>
          <w:tcPr>
            <w:tcW w:w="960" w:type="dxa"/>
            <w:noWrap/>
            <w:vAlign w:val="bottom"/>
          </w:tcPr>
          <w:p w:rsidR="00652F81" w:rsidRDefault="00652F81" w:rsidP="00652F81">
            <w:pPr>
              <w:jc w:val="right"/>
              <w:rPr>
                <w:rFonts w:ascii="Tahoma" w:hAnsi="Tahoma" w:cs="Tahoma"/>
              </w:rPr>
            </w:pPr>
            <w:r>
              <w:rPr>
                <w:rFonts w:ascii="Tahoma" w:hAnsi="Tahoma" w:cs="Tahoma"/>
              </w:rPr>
              <w:t>24,8</w:t>
            </w:r>
          </w:p>
        </w:tc>
        <w:tc>
          <w:tcPr>
            <w:tcW w:w="960" w:type="dxa"/>
            <w:noWrap/>
            <w:vAlign w:val="bottom"/>
          </w:tcPr>
          <w:p w:rsidR="00652F81" w:rsidRDefault="00652F81" w:rsidP="00652F81">
            <w:pPr>
              <w:jc w:val="right"/>
              <w:rPr>
                <w:rFonts w:ascii="Tahoma" w:hAnsi="Tahoma" w:cs="Tahoma"/>
              </w:rPr>
            </w:pPr>
            <w:r>
              <w:rPr>
                <w:rFonts w:ascii="Tahoma" w:hAnsi="Tahoma" w:cs="Tahoma"/>
              </w:rPr>
              <w:t>24,7</w:t>
            </w:r>
          </w:p>
        </w:tc>
        <w:tc>
          <w:tcPr>
            <w:tcW w:w="960" w:type="dxa"/>
            <w:noWrap/>
            <w:vAlign w:val="bottom"/>
          </w:tcPr>
          <w:p w:rsidR="00652F81" w:rsidRDefault="00652F81" w:rsidP="00652F81">
            <w:pPr>
              <w:jc w:val="right"/>
              <w:rPr>
                <w:rFonts w:ascii="Tahoma" w:hAnsi="Tahoma" w:cs="Tahoma"/>
              </w:rPr>
            </w:pPr>
            <w:r>
              <w:rPr>
                <w:rFonts w:ascii="Tahoma" w:hAnsi="Tahoma" w:cs="Tahoma"/>
              </w:rPr>
              <w:t>23,7</w:t>
            </w:r>
          </w:p>
        </w:tc>
        <w:tc>
          <w:tcPr>
            <w:tcW w:w="960" w:type="dxa"/>
            <w:noWrap/>
            <w:vAlign w:val="bottom"/>
          </w:tcPr>
          <w:p w:rsidR="00652F81" w:rsidRDefault="00652F81" w:rsidP="00652F81">
            <w:pPr>
              <w:jc w:val="right"/>
              <w:rPr>
                <w:rFonts w:ascii="Tahoma" w:hAnsi="Tahoma" w:cs="Tahoma"/>
              </w:rPr>
            </w:pPr>
            <w:r>
              <w:rPr>
                <w:rFonts w:ascii="Tahoma" w:hAnsi="Tahoma" w:cs="Tahoma"/>
              </w:rPr>
              <w:t>23,9</w:t>
            </w:r>
          </w:p>
        </w:tc>
        <w:tc>
          <w:tcPr>
            <w:tcW w:w="960" w:type="dxa"/>
            <w:noWrap/>
            <w:vAlign w:val="bottom"/>
          </w:tcPr>
          <w:p w:rsidR="00652F81" w:rsidRDefault="00652F81" w:rsidP="00652F81">
            <w:pPr>
              <w:jc w:val="right"/>
              <w:rPr>
                <w:rFonts w:ascii="Tahoma" w:hAnsi="Tahoma" w:cs="Tahoma"/>
              </w:rPr>
            </w:pPr>
            <w:r>
              <w:rPr>
                <w:rFonts w:ascii="Tahoma" w:hAnsi="Tahoma" w:cs="Tahoma"/>
              </w:rPr>
              <w:t>24,7</w:t>
            </w:r>
          </w:p>
        </w:tc>
      </w:tr>
      <w:tr w:rsidR="00652F81" w:rsidRPr="00515DAC" w:rsidTr="00652F81">
        <w:trPr>
          <w:trHeight w:val="255"/>
        </w:trPr>
        <w:tc>
          <w:tcPr>
            <w:tcW w:w="960" w:type="dxa"/>
            <w:tcBorders>
              <w:bottom w:val="single" w:sz="12" w:space="0" w:color="auto"/>
            </w:tcBorders>
            <w:noWrap/>
            <w:vAlign w:val="bottom"/>
          </w:tcPr>
          <w:p w:rsidR="00652F81" w:rsidRPr="00EE3B0D" w:rsidRDefault="00652F81" w:rsidP="00652F81">
            <w:pPr>
              <w:rPr>
                <w:rFonts w:ascii="Tahoma" w:hAnsi="Tahoma" w:cs="Tahoma"/>
                <w:b/>
                <w:bCs/>
              </w:rPr>
            </w:pPr>
            <w:r w:rsidRPr="00EE3B0D">
              <w:rPr>
                <w:rFonts w:ascii="Tahoma" w:hAnsi="Tahoma" w:cs="Tahoma"/>
                <w:b/>
                <w:bCs/>
              </w:rPr>
              <w:t>EL</w:t>
            </w:r>
          </w:p>
        </w:tc>
        <w:tc>
          <w:tcPr>
            <w:tcW w:w="960" w:type="dxa"/>
            <w:tcBorders>
              <w:bottom w:val="single" w:sz="12" w:space="0" w:color="auto"/>
            </w:tcBorders>
            <w:noWrap/>
            <w:vAlign w:val="bottom"/>
          </w:tcPr>
          <w:p w:rsidR="00652F81" w:rsidRDefault="00652F81" w:rsidP="00652F81">
            <w:pPr>
              <w:jc w:val="right"/>
              <w:rPr>
                <w:rFonts w:ascii="Tahoma" w:hAnsi="Tahoma" w:cs="Tahoma"/>
              </w:rPr>
            </w:pPr>
            <w:r>
              <w:rPr>
                <w:rFonts w:ascii="Tahoma" w:hAnsi="Tahoma" w:cs="Tahoma"/>
              </w:rPr>
              <w:t>:</w:t>
            </w:r>
          </w:p>
        </w:tc>
        <w:tc>
          <w:tcPr>
            <w:tcW w:w="960" w:type="dxa"/>
            <w:tcBorders>
              <w:bottom w:val="single" w:sz="12" w:space="0" w:color="auto"/>
            </w:tcBorders>
            <w:noWrap/>
            <w:vAlign w:val="bottom"/>
          </w:tcPr>
          <w:p w:rsidR="00652F81" w:rsidRDefault="00652F81" w:rsidP="00652F81">
            <w:pPr>
              <w:jc w:val="right"/>
              <w:rPr>
                <w:rFonts w:ascii="Tahoma" w:hAnsi="Tahoma" w:cs="Tahoma"/>
              </w:rPr>
            </w:pPr>
            <w:r>
              <w:rPr>
                <w:rFonts w:ascii="Tahoma" w:hAnsi="Tahoma" w:cs="Tahoma"/>
              </w:rPr>
              <w:t>23,7</w:t>
            </w:r>
          </w:p>
        </w:tc>
        <w:tc>
          <w:tcPr>
            <w:tcW w:w="960" w:type="dxa"/>
            <w:tcBorders>
              <w:bottom w:val="single" w:sz="12" w:space="0" w:color="auto"/>
            </w:tcBorders>
            <w:noWrap/>
            <w:vAlign w:val="bottom"/>
          </w:tcPr>
          <w:p w:rsidR="00652F81" w:rsidRDefault="00652F81" w:rsidP="00652F81">
            <w:pPr>
              <w:jc w:val="right"/>
              <w:rPr>
                <w:rFonts w:ascii="Tahoma" w:hAnsi="Tahoma" w:cs="Tahoma"/>
              </w:rPr>
            </w:pPr>
            <w:r>
              <w:rPr>
                <w:rFonts w:ascii="Tahoma" w:hAnsi="Tahoma" w:cs="Tahoma"/>
              </w:rPr>
              <w:t>22,5</w:t>
            </w:r>
          </w:p>
        </w:tc>
        <w:tc>
          <w:tcPr>
            <w:tcW w:w="960" w:type="dxa"/>
            <w:tcBorders>
              <w:bottom w:val="single" w:sz="12" w:space="0" w:color="auto"/>
            </w:tcBorders>
            <w:noWrap/>
            <w:vAlign w:val="bottom"/>
          </w:tcPr>
          <w:p w:rsidR="00652F81" w:rsidRDefault="00652F81" w:rsidP="00652F81">
            <w:pPr>
              <w:jc w:val="right"/>
              <w:rPr>
                <w:rFonts w:ascii="Tahoma" w:hAnsi="Tahoma" w:cs="Tahoma"/>
              </w:rPr>
            </w:pPr>
            <w:r>
              <w:rPr>
                <w:rFonts w:ascii="Tahoma" w:hAnsi="Tahoma" w:cs="Tahoma"/>
              </w:rPr>
              <w:t>22,6</w:t>
            </w:r>
          </w:p>
        </w:tc>
        <w:tc>
          <w:tcPr>
            <w:tcW w:w="960" w:type="dxa"/>
            <w:tcBorders>
              <w:bottom w:val="single" w:sz="12" w:space="0" w:color="auto"/>
            </w:tcBorders>
            <w:noWrap/>
            <w:vAlign w:val="bottom"/>
          </w:tcPr>
          <w:p w:rsidR="00652F81" w:rsidRDefault="00652F81" w:rsidP="00652F81">
            <w:pPr>
              <w:jc w:val="right"/>
              <w:rPr>
                <w:rFonts w:ascii="Tahoma" w:hAnsi="Tahoma" w:cs="Tahoma"/>
              </w:rPr>
            </w:pPr>
            <w:r>
              <w:rPr>
                <w:rFonts w:ascii="Tahoma" w:hAnsi="Tahoma" w:cs="Tahoma"/>
              </w:rPr>
              <w:t>23,4</w:t>
            </w:r>
          </w:p>
        </w:tc>
        <w:tc>
          <w:tcPr>
            <w:tcW w:w="960" w:type="dxa"/>
            <w:tcBorders>
              <w:bottom w:val="single" w:sz="12" w:space="0" w:color="auto"/>
            </w:tcBorders>
            <w:noWrap/>
            <w:vAlign w:val="bottom"/>
          </w:tcPr>
          <w:p w:rsidR="00652F81" w:rsidRDefault="00652F81" w:rsidP="00652F81">
            <w:pPr>
              <w:jc w:val="right"/>
              <w:rPr>
                <w:rFonts w:ascii="Tahoma" w:hAnsi="Tahoma" w:cs="Tahoma"/>
              </w:rPr>
            </w:pPr>
            <w:r>
              <w:rPr>
                <w:rFonts w:ascii="Tahoma" w:hAnsi="Tahoma" w:cs="Tahoma"/>
              </w:rPr>
              <w:t>23,7</w:t>
            </w:r>
          </w:p>
        </w:tc>
        <w:tc>
          <w:tcPr>
            <w:tcW w:w="960" w:type="dxa"/>
            <w:tcBorders>
              <w:bottom w:val="single" w:sz="12" w:space="0" w:color="auto"/>
            </w:tcBorders>
            <w:noWrap/>
            <w:vAlign w:val="bottom"/>
          </w:tcPr>
          <w:p w:rsidR="00652F81" w:rsidRDefault="00652F81" w:rsidP="00652F81">
            <w:pPr>
              <w:jc w:val="right"/>
              <w:rPr>
                <w:rFonts w:ascii="Tahoma" w:hAnsi="Tahoma" w:cs="Tahoma"/>
              </w:rPr>
            </w:pPr>
            <w:r>
              <w:rPr>
                <w:rFonts w:ascii="Tahoma" w:hAnsi="Tahoma" w:cs="Tahoma"/>
              </w:rPr>
              <w:t>23,3</w:t>
            </w:r>
          </w:p>
        </w:tc>
        <w:tc>
          <w:tcPr>
            <w:tcW w:w="960" w:type="dxa"/>
            <w:tcBorders>
              <w:bottom w:val="single" w:sz="12" w:space="0" w:color="auto"/>
            </w:tcBorders>
            <w:noWrap/>
            <w:vAlign w:val="bottom"/>
          </w:tcPr>
          <w:p w:rsidR="00652F81" w:rsidRDefault="00652F81" w:rsidP="00652F81">
            <w:pPr>
              <w:jc w:val="right"/>
              <w:rPr>
                <w:rFonts w:ascii="Tahoma" w:hAnsi="Tahoma" w:cs="Tahoma"/>
              </w:rPr>
            </w:pPr>
            <w:r>
              <w:rPr>
                <w:rFonts w:ascii="Tahoma" w:hAnsi="Tahoma" w:cs="Tahoma"/>
              </w:rPr>
              <w:t>22,7</w:t>
            </w:r>
          </w:p>
        </w:tc>
        <w:tc>
          <w:tcPr>
            <w:tcW w:w="960" w:type="dxa"/>
            <w:tcBorders>
              <w:bottom w:val="single" w:sz="12" w:space="0" w:color="auto"/>
            </w:tcBorders>
            <w:noWrap/>
            <w:vAlign w:val="bottom"/>
          </w:tcPr>
          <w:p w:rsidR="00652F81" w:rsidRDefault="00652F81" w:rsidP="00652F81">
            <w:pPr>
              <w:jc w:val="right"/>
              <w:rPr>
                <w:rFonts w:ascii="Tahoma" w:hAnsi="Tahoma" w:cs="Tahoma"/>
              </w:rPr>
            </w:pPr>
            <w:r>
              <w:rPr>
                <w:rFonts w:ascii="Tahoma" w:hAnsi="Tahoma" w:cs="Tahoma"/>
              </w:rPr>
              <w:t>23,8</w:t>
            </w:r>
          </w:p>
        </w:tc>
      </w:tr>
      <w:tr w:rsidR="00652F81" w:rsidRPr="00685784" w:rsidTr="00652F81">
        <w:trPr>
          <w:trHeight w:val="255"/>
        </w:trPr>
        <w:tc>
          <w:tcPr>
            <w:tcW w:w="9600" w:type="dxa"/>
            <w:gridSpan w:val="10"/>
            <w:tcBorders>
              <w:top w:val="single" w:sz="12" w:space="0" w:color="auto"/>
              <w:bottom w:val="single" w:sz="8" w:space="0" w:color="auto"/>
            </w:tcBorders>
            <w:noWrap/>
          </w:tcPr>
          <w:p w:rsidR="00652F81" w:rsidRPr="00545F7F" w:rsidRDefault="00652F81" w:rsidP="00652F81">
            <w:pPr>
              <w:rPr>
                <w:rFonts w:ascii="Tahoma" w:hAnsi="Tahoma" w:cs="Tahoma"/>
                <w:b/>
                <w:sz w:val="18"/>
                <w:szCs w:val="18"/>
                <w:highlight w:val="yellow"/>
              </w:rPr>
            </w:pPr>
            <w:r w:rsidRPr="00545F7F">
              <w:rPr>
                <w:rFonts w:ascii="Tahoma" w:hAnsi="Tahoma" w:cs="Tahoma"/>
                <w:b/>
                <w:sz w:val="18"/>
                <w:szCs w:val="18"/>
              </w:rPr>
              <w:t>Άντρες</w:t>
            </w:r>
          </w:p>
        </w:tc>
      </w:tr>
      <w:tr w:rsidR="00652F81" w:rsidRPr="00515DAC" w:rsidTr="00652F81">
        <w:trPr>
          <w:trHeight w:val="255"/>
        </w:trPr>
        <w:tc>
          <w:tcPr>
            <w:tcW w:w="960" w:type="dxa"/>
            <w:tcBorders>
              <w:top w:val="single" w:sz="8" w:space="0" w:color="auto"/>
            </w:tcBorders>
            <w:noWrap/>
            <w:vAlign w:val="bottom"/>
          </w:tcPr>
          <w:p w:rsidR="00652F81" w:rsidRPr="00EE3B0D" w:rsidRDefault="00652F81" w:rsidP="00652F81">
            <w:pPr>
              <w:rPr>
                <w:rFonts w:ascii="Tahoma" w:hAnsi="Tahoma" w:cs="Tahoma"/>
                <w:b/>
                <w:bCs/>
              </w:rPr>
            </w:pPr>
            <w:r w:rsidRPr="00EE3B0D">
              <w:rPr>
                <w:rFonts w:ascii="Tahoma" w:hAnsi="Tahoma" w:cs="Tahoma"/>
                <w:b/>
                <w:bCs/>
              </w:rPr>
              <w:t>EU27</w:t>
            </w:r>
          </w:p>
        </w:tc>
        <w:tc>
          <w:tcPr>
            <w:tcW w:w="960" w:type="dxa"/>
            <w:tcBorders>
              <w:top w:val="single" w:sz="8" w:space="0" w:color="auto"/>
            </w:tcBorders>
            <w:noWrap/>
            <w:vAlign w:val="bottom"/>
          </w:tcPr>
          <w:p w:rsidR="00652F81" w:rsidRPr="00CD4118" w:rsidRDefault="00652F81" w:rsidP="00652F81">
            <w:pPr>
              <w:jc w:val="right"/>
              <w:rPr>
                <w:rFonts w:ascii="Tahoma" w:hAnsi="Tahoma" w:cs="Tahoma"/>
              </w:rPr>
            </w:pPr>
            <w:r>
              <w:rPr>
                <w:rFonts w:ascii="Tahoma" w:hAnsi="Tahoma" w:cs="Tahoma"/>
              </w:rPr>
              <w:t>:</w:t>
            </w:r>
          </w:p>
        </w:tc>
        <w:tc>
          <w:tcPr>
            <w:tcW w:w="960" w:type="dxa"/>
            <w:tcBorders>
              <w:top w:val="single" w:sz="8" w:space="0" w:color="auto"/>
            </w:tcBorders>
            <w:noWrap/>
            <w:vAlign w:val="bottom"/>
          </w:tcPr>
          <w:p w:rsidR="00652F81" w:rsidRPr="00CD4118" w:rsidRDefault="00652F81" w:rsidP="00652F81">
            <w:pPr>
              <w:jc w:val="right"/>
              <w:rPr>
                <w:rFonts w:ascii="Tahoma" w:hAnsi="Tahoma" w:cs="Tahoma"/>
              </w:rPr>
            </w:pPr>
            <w:r>
              <w:rPr>
                <w:rFonts w:ascii="Tahoma" w:hAnsi="Tahoma" w:cs="Tahoma"/>
              </w:rPr>
              <w:t>:</w:t>
            </w:r>
          </w:p>
        </w:tc>
        <w:tc>
          <w:tcPr>
            <w:tcW w:w="960" w:type="dxa"/>
            <w:tcBorders>
              <w:top w:val="single" w:sz="8" w:space="0" w:color="auto"/>
            </w:tcBorders>
            <w:noWrap/>
            <w:vAlign w:val="bottom"/>
          </w:tcPr>
          <w:p w:rsidR="00652F81" w:rsidRPr="00CD4118" w:rsidRDefault="00652F81" w:rsidP="00652F81">
            <w:pPr>
              <w:jc w:val="right"/>
              <w:rPr>
                <w:rFonts w:ascii="Tahoma" w:hAnsi="Tahoma" w:cs="Tahoma"/>
              </w:rPr>
            </w:pPr>
            <w:r>
              <w:rPr>
                <w:rFonts w:ascii="Tahoma" w:hAnsi="Tahoma" w:cs="Tahoma"/>
              </w:rPr>
              <w:t>:</w:t>
            </w:r>
          </w:p>
        </w:tc>
        <w:tc>
          <w:tcPr>
            <w:tcW w:w="960" w:type="dxa"/>
            <w:tcBorders>
              <w:top w:val="single" w:sz="8" w:space="0" w:color="auto"/>
            </w:tcBorders>
            <w:noWrap/>
            <w:vAlign w:val="bottom"/>
          </w:tcPr>
          <w:p w:rsidR="00652F81" w:rsidRPr="00535B8B" w:rsidRDefault="00652F81" w:rsidP="00652F81">
            <w:pPr>
              <w:jc w:val="right"/>
              <w:rPr>
                <w:rFonts w:ascii="Tahoma" w:hAnsi="Tahoma" w:cs="Tahoma"/>
                <w:vertAlign w:val="superscript"/>
              </w:rPr>
            </w:pPr>
            <w:r>
              <w:rPr>
                <w:rFonts w:ascii="Tahoma" w:hAnsi="Tahoma" w:cs="Tahoma"/>
              </w:rPr>
              <w:t>25,0</w:t>
            </w:r>
          </w:p>
        </w:tc>
        <w:tc>
          <w:tcPr>
            <w:tcW w:w="960" w:type="dxa"/>
            <w:tcBorders>
              <w:top w:val="single" w:sz="8" w:space="0" w:color="auto"/>
            </w:tcBorders>
            <w:noWrap/>
            <w:vAlign w:val="bottom"/>
          </w:tcPr>
          <w:p w:rsidR="00652F81" w:rsidRPr="00535B8B" w:rsidRDefault="00652F81" w:rsidP="00652F81">
            <w:pPr>
              <w:jc w:val="right"/>
              <w:rPr>
                <w:rFonts w:ascii="Tahoma" w:hAnsi="Tahoma" w:cs="Tahoma"/>
              </w:rPr>
            </w:pPr>
            <w:r>
              <w:rPr>
                <w:rFonts w:ascii="Tahoma" w:hAnsi="Tahoma" w:cs="Tahoma"/>
              </w:rPr>
              <w:t>2</w:t>
            </w:r>
            <w:r>
              <w:rPr>
                <w:rFonts w:ascii="Tahoma" w:hAnsi="Tahoma" w:cs="Tahoma"/>
                <w:lang w:val="en-US"/>
              </w:rPr>
              <w:t>5,</w:t>
            </w:r>
            <w:r>
              <w:rPr>
                <w:rFonts w:ascii="Tahoma" w:hAnsi="Tahoma" w:cs="Tahoma"/>
              </w:rPr>
              <w:t>1</w:t>
            </w:r>
          </w:p>
        </w:tc>
        <w:tc>
          <w:tcPr>
            <w:tcW w:w="960" w:type="dxa"/>
            <w:tcBorders>
              <w:top w:val="single" w:sz="8" w:space="0" w:color="auto"/>
            </w:tcBorders>
            <w:noWrap/>
            <w:vAlign w:val="bottom"/>
          </w:tcPr>
          <w:p w:rsidR="00652F81" w:rsidRPr="00535B8B" w:rsidRDefault="00652F81" w:rsidP="00652F81">
            <w:pPr>
              <w:jc w:val="right"/>
              <w:rPr>
                <w:rFonts w:ascii="Tahoma" w:hAnsi="Tahoma" w:cs="Tahoma"/>
              </w:rPr>
            </w:pPr>
            <w:r>
              <w:rPr>
                <w:rFonts w:ascii="Tahoma" w:hAnsi="Tahoma" w:cs="Tahoma"/>
              </w:rPr>
              <w:t>24,8</w:t>
            </w:r>
          </w:p>
        </w:tc>
        <w:tc>
          <w:tcPr>
            <w:tcW w:w="960" w:type="dxa"/>
            <w:tcBorders>
              <w:top w:val="single" w:sz="8" w:space="0" w:color="auto"/>
            </w:tcBorders>
            <w:noWrap/>
            <w:vAlign w:val="bottom"/>
          </w:tcPr>
          <w:p w:rsidR="00652F81" w:rsidRPr="00535B8B" w:rsidRDefault="00652F81" w:rsidP="00652F81">
            <w:pPr>
              <w:jc w:val="right"/>
              <w:rPr>
                <w:rFonts w:ascii="Tahoma" w:hAnsi="Tahoma" w:cs="Tahoma"/>
              </w:rPr>
            </w:pPr>
            <w:r>
              <w:rPr>
                <w:rFonts w:ascii="Tahoma" w:hAnsi="Tahoma" w:cs="Tahoma"/>
              </w:rPr>
              <w:t>24,0</w:t>
            </w:r>
          </w:p>
        </w:tc>
        <w:tc>
          <w:tcPr>
            <w:tcW w:w="960" w:type="dxa"/>
            <w:tcBorders>
              <w:top w:val="single" w:sz="8" w:space="0" w:color="auto"/>
            </w:tcBorders>
            <w:noWrap/>
            <w:vAlign w:val="bottom"/>
          </w:tcPr>
          <w:p w:rsidR="00652F81" w:rsidRPr="00535B8B" w:rsidRDefault="00652F81" w:rsidP="00652F81">
            <w:pPr>
              <w:jc w:val="right"/>
              <w:rPr>
                <w:rFonts w:ascii="Tahoma" w:hAnsi="Tahoma" w:cs="Tahoma"/>
              </w:rPr>
            </w:pPr>
            <w:r>
              <w:rPr>
                <w:rFonts w:ascii="Tahoma" w:hAnsi="Tahoma" w:cs="Tahoma"/>
              </w:rPr>
              <w:t>24,1</w:t>
            </w:r>
          </w:p>
        </w:tc>
        <w:tc>
          <w:tcPr>
            <w:tcW w:w="960" w:type="dxa"/>
            <w:tcBorders>
              <w:top w:val="single" w:sz="8" w:space="0" w:color="auto"/>
            </w:tcBorders>
            <w:noWrap/>
            <w:vAlign w:val="bottom"/>
          </w:tcPr>
          <w:p w:rsidR="00652F81" w:rsidRPr="00535B8B" w:rsidRDefault="00652F81" w:rsidP="00652F81">
            <w:pPr>
              <w:jc w:val="right"/>
              <w:rPr>
                <w:rFonts w:ascii="Tahoma" w:hAnsi="Tahoma" w:cs="Tahoma"/>
              </w:rPr>
            </w:pPr>
            <w:r>
              <w:rPr>
                <w:rFonts w:ascii="Tahoma" w:hAnsi="Tahoma" w:cs="Tahoma"/>
              </w:rPr>
              <w:t>24,9</w:t>
            </w:r>
          </w:p>
        </w:tc>
      </w:tr>
      <w:tr w:rsidR="00652F81" w:rsidRPr="00515DAC" w:rsidTr="00652F81">
        <w:trPr>
          <w:trHeight w:val="255"/>
        </w:trPr>
        <w:tc>
          <w:tcPr>
            <w:tcW w:w="960" w:type="dxa"/>
            <w:noWrap/>
            <w:vAlign w:val="bottom"/>
          </w:tcPr>
          <w:p w:rsidR="00652F81" w:rsidRPr="00EE3B0D" w:rsidRDefault="00652F81" w:rsidP="00652F81">
            <w:pPr>
              <w:rPr>
                <w:rFonts w:ascii="Tahoma" w:hAnsi="Tahoma" w:cs="Tahoma"/>
                <w:b/>
                <w:bCs/>
              </w:rPr>
            </w:pPr>
            <w:r w:rsidRPr="00EE3B0D">
              <w:rPr>
                <w:rFonts w:ascii="Tahoma" w:hAnsi="Tahoma" w:cs="Tahoma"/>
                <w:b/>
                <w:bCs/>
              </w:rPr>
              <w:t>EU25</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w:t>
            </w:r>
          </w:p>
        </w:tc>
        <w:tc>
          <w:tcPr>
            <w:tcW w:w="960" w:type="dxa"/>
            <w:noWrap/>
            <w:vAlign w:val="bottom"/>
          </w:tcPr>
          <w:p w:rsidR="00652F81" w:rsidRPr="000C38B7" w:rsidRDefault="00652F81" w:rsidP="00652F81">
            <w:pPr>
              <w:jc w:val="right"/>
              <w:rPr>
                <w:rFonts w:ascii="Tahoma" w:hAnsi="Tahoma" w:cs="Tahoma"/>
                <w:lang w:val="en-US"/>
              </w:rPr>
            </w:pPr>
            <w:r>
              <w:rPr>
                <w:rFonts w:ascii="Tahoma" w:hAnsi="Tahoma" w:cs="Tahoma"/>
                <w:lang w:val="en-US"/>
              </w:rPr>
              <w:t>:</w:t>
            </w:r>
          </w:p>
        </w:tc>
        <w:tc>
          <w:tcPr>
            <w:tcW w:w="960" w:type="dxa"/>
            <w:noWrap/>
            <w:vAlign w:val="bottom"/>
          </w:tcPr>
          <w:p w:rsidR="00652F81" w:rsidRPr="003640A8" w:rsidRDefault="00652F81" w:rsidP="00652F81">
            <w:pPr>
              <w:jc w:val="right"/>
              <w:rPr>
                <w:rFonts w:ascii="Tahoma" w:hAnsi="Tahoma" w:cs="Tahoma"/>
              </w:rPr>
            </w:pPr>
            <w:r>
              <w:rPr>
                <w:rFonts w:ascii="Tahoma" w:hAnsi="Tahoma" w:cs="Tahoma"/>
              </w:rPr>
              <w:t>:</w:t>
            </w:r>
          </w:p>
        </w:tc>
      </w:tr>
      <w:tr w:rsidR="00652F81" w:rsidRPr="00515DAC" w:rsidTr="00652F81">
        <w:trPr>
          <w:trHeight w:val="255"/>
        </w:trPr>
        <w:tc>
          <w:tcPr>
            <w:tcW w:w="960" w:type="dxa"/>
            <w:noWrap/>
            <w:vAlign w:val="bottom"/>
          </w:tcPr>
          <w:p w:rsidR="00652F81" w:rsidRPr="00EE3B0D" w:rsidRDefault="00652F81" w:rsidP="00652F81">
            <w:pPr>
              <w:rPr>
                <w:rFonts w:ascii="Tahoma" w:hAnsi="Tahoma" w:cs="Tahoma"/>
                <w:b/>
                <w:bCs/>
              </w:rPr>
            </w:pPr>
            <w:r w:rsidRPr="00EE3B0D">
              <w:rPr>
                <w:rFonts w:ascii="Tahoma" w:hAnsi="Tahoma" w:cs="Tahoma"/>
                <w:b/>
                <w:bCs/>
              </w:rPr>
              <w:t>EU15</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w:t>
            </w:r>
          </w:p>
        </w:tc>
        <w:tc>
          <w:tcPr>
            <w:tcW w:w="960" w:type="dxa"/>
            <w:noWrap/>
            <w:vAlign w:val="bottom"/>
          </w:tcPr>
          <w:p w:rsidR="00652F81" w:rsidRPr="00535B8B" w:rsidRDefault="00652F81" w:rsidP="00652F81">
            <w:pPr>
              <w:jc w:val="right"/>
              <w:rPr>
                <w:rFonts w:ascii="Tahoma" w:hAnsi="Tahoma" w:cs="Tahoma"/>
              </w:rPr>
            </w:pPr>
            <w:r>
              <w:rPr>
                <w:rFonts w:ascii="Tahoma" w:hAnsi="Tahoma" w:cs="Tahoma"/>
              </w:rPr>
              <w:t>23,0</w:t>
            </w:r>
          </w:p>
        </w:tc>
        <w:tc>
          <w:tcPr>
            <w:tcW w:w="960" w:type="dxa"/>
            <w:noWrap/>
            <w:vAlign w:val="bottom"/>
          </w:tcPr>
          <w:p w:rsidR="00652F81" w:rsidRPr="00535B8B" w:rsidRDefault="00652F81" w:rsidP="00652F81">
            <w:pPr>
              <w:jc w:val="right"/>
              <w:rPr>
                <w:rFonts w:ascii="Tahoma" w:hAnsi="Tahoma" w:cs="Tahoma"/>
              </w:rPr>
            </w:pPr>
            <w:r>
              <w:rPr>
                <w:rFonts w:ascii="Tahoma" w:hAnsi="Tahoma" w:cs="Tahoma"/>
              </w:rPr>
              <w:t>24,0</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24,2</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24,5</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24,4</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23,5</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24,0</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24,9</w:t>
            </w:r>
          </w:p>
        </w:tc>
      </w:tr>
      <w:tr w:rsidR="00652F81" w:rsidRPr="00515DAC" w:rsidTr="00652F81">
        <w:trPr>
          <w:trHeight w:val="255"/>
        </w:trPr>
        <w:tc>
          <w:tcPr>
            <w:tcW w:w="960" w:type="dxa"/>
            <w:noWrap/>
            <w:vAlign w:val="bottom"/>
          </w:tcPr>
          <w:p w:rsidR="00652F81" w:rsidRPr="00CD4118" w:rsidRDefault="00652F81" w:rsidP="00652F81">
            <w:pPr>
              <w:rPr>
                <w:rFonts w:ascii="Tahoma" w:hAnsi="Tahoma" w:cs="Tahoma"/>
                <w:b/>
                <w:bCs/>
              </w:rPr>
            </w:pPr>
            <w:r>
              <w:rPr>
                <w:rFonts w:ascii="Tahoma" w:hAnsi="Tahoma" w:cs="Tahoma"/>
                <w:b/>
                <w:bCs/>
              </w:rPr>
              <w:t>EA17</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23,1</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23,6</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23,6</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22,6</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22,9</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23,9</w:t>
            </w:r>
          </w:p>
        </w:tc>
      </w:tr>
      <w:tr w:rsidR="00652F81" w:rsidRPr="00515DAC" w:rsidTr="00652F81">
        <w:trPr>
          <w:trHeight w:val="255"/>
        </w:trPr>
        <w:tc>
          <w:tcPr>
            <w:tcW w:w="960" w:type="dxa"/>
            <w:tcBorders>
              <w:bottom w:val="single" w:sz="12" w:space="0" w:color="auto"/>
            </w:tcBorders>
            <w:noWrap/>
            <w:vAlign w:val="bottom"/>
          </w:tcPr>
          <w:p w:rsidR="00652F81" w:rsidRPr="00EE3B0D" w:rsidRDefault="00652F81" w:rsidP="00652F81">
            <w:pPr>
              <w:rPr>
                <w:rFonts w:ascii="Tahoma" w:hAnsi="Tahoma" w:cs="Tahoma"/>
                <w:b/>
                <w:bCs/>
              </w:rPr>
            </w:pPr>
            <w:r w:rsidRPr="00EE3B0D">
              <w:rPr>
                <w:rFonts w:ascii="Tahoma" w:hAnsi="Tahoma" w:cs="Tahoma"/>
                <w:b/>
                <w:bCs/>
              </w:rPr>
              <w:t>EL</w:t>
            </w:r>
          </w:p>
        </w:tc>
        <w:tc>
          <w:tcPr>
            <w:tcW w:w="960" w:type="dxa"/>
            <w:tcBorders>
              <w:bottom w:val="single" w:sz="12" w:space="0" w:color="auto"/>
            </w:tcBorders>
            <w:noWrap/>
            <w:vAlign w:val="bottom"/>
          </w:tcPr>
          <w:p w:rsidR="00652F81" w:rsidRPr="000C38B7" w:rsidRDefault="00652F81" w:rsidP="00652F81">
            <w:pPr>
              <w:jc w:val="right"/>
              <w:rPr>
                <w:rFonts w:ascii="Tahoma" w:hAnsi="Tahoma" w:cs="Tahoma"/>
                <w:lang w:val="en-US"/>
              </w:rPr>
            </w:pPr>
            <w:r>
              <w:rPr>
                <w:rFonts w:ascii="Tahoma" w:hAnsi="Tahoma" w:cs="Tahoma"/>
                <w:lang w:val="en-US"/>
              </w:rPr>
              <w:t>:</w:t>
            </w:r>
          </w:p>
        </w:tc>
        <w:tc>
          <w:tcPr>
            <w:tcW w:w="960" w:type="dxa"/>
            <w:tcBorders>
              <w:bottom w:val="single" w:sz="12" w:space="0" w:color="auto"/>
            </w:tcBorders>
            <w:noWrap/>
            <w:vAlign w:val="bottom"/>
          </w:tcPr>
          <w:p w:rsidR="00652F81" w:rsidRPr="00CD4118" w:rsidRDefault="00652F81" w:rsidP="00652F81">
            <w:pPr>
              <w:jc w:val="right"/>
              <w:rPr>
                <w:rFonts w:ascii="Tahoma" w:hAnsi="Tahoma" w:cs="Tahoma"/>
              </w:rPr>
            </w:pPr>
            <w:r>
              <w:rPr>
                <w:rFonts w:ascii="Tahoma" w:hAnsi="Tahoma" w:cs="Tahoma"/>
              </w:rPr>
              <w:t>22,9</w:t>
            </w:r>
          </w:p>
        </w:tc>
        <w:tc>
          <w:tcPr>
            <w:tcW w:w="960" w:type="dxa"/>
            <w:tcBorders>
              <w:bottom w:val="single" w:sz="12" w:space="0" w:color="auto"/>
            </w:tcBorders>
            <w:noWrap/>
            <w:vAlign w:val="bottom"/>
          </w:tcPr>
          <w:p w:rsidR="00652F81" w:rsidRPr="00CD4118" w:rsidRDefault="00652F81" w:rsidP="00652F81">
            <w:pPr>
              <w:jc w:val="right"/>
              <w:rPr>
                <w:rFonts w:ascii="Tahoma" w:hAnsi="Tahoma" w:cs="Tahoma"/>
              </w:rPr>
            </w:pPr>
            <w:r>
              <w:rPr>
                <w:rFonts w:ascii="Tahoma" w:hAnsi="Tahoma" w:cs="Tahoma"/>
              </w:rPr>
              <w:t>21,2</w:t>
            </w:r>
          </w:p>
        </w:tc>
        <w:tc>
          <w:tcPr>
            <w:tcW w:w="960" w:type="dxa"/>
            <w:tcBorders>
              <w:bottom w:val="single" w:sz="12" w:space="0" w:color="auto"/>
            </w:tcBorders>
            <w:noWrap/>
            <w:vAlign w:val="bottom"/>
          </w:tcPr>
          <w:p w:rsidR="00652F81" w:rsidRPr="00CD4118" w:rsidRDefault="00652F81" w:rsidP="00652F81">
            <w:pPr>
              <w:jc w:val="right"/>
              <w:rPr>
                <w:rFonts w:ascii="Tahoma" w:hAnsi="Tahoma" w:cs="Tahoma"/>
              </w:rPr>
            </w:pPr>
            <w:r>
              <w:rPr>
                <w:rFonts w:ascii="Tahoma" w:hAnsi="Tahoma" w:cs="Tahoma"/>
              </w:rPr>
              <w:t>21,1</w:t>
            </w:r>
          </w:p>
        </w:tc>
        <w:tc>
          <w:tcPr>
            <w:tcW w:w="960" w:type="dxa"/>
            <w:tcBorders>
              <w:bottom w:val="single" w:sz="12" w:space="0" w:color="auto"/>
            </w:tcBorders>
            <w:noWrap/>
            <w:vAlign w:val="bottom"/>
          </w:tcPr>
          <w:p w:rsidR="00652F81" w:rsidRPr="00CD4118" w:rsidRDefault="00652F81" w:rsidP="00652F81">
            <w:pPr>
              <w:jc w:val="right"/>
              <w:rPr>
                <w:rFonts w:ascii="Tahoma" w:hAnsi="Tahoma" w:cs="Tahoma"/>
              </w:rPr>
            </w:pPr>
            <w:r>
              <w:rPr>
                <w:rFonts w:ascii="Tahoma" w:hAnsi="Tahoma" w:cs="Tahoma"/>
              </w:rPr>
              <w:t>22,1</w:t>
            </w:r>
          </w:p>
        </w:tc>
        <w:tc>
          <w:tcPr>
            <w:tcW w:w="960" w:type="dxa"/>
            <w:tcBorders>
              <w:bottom w:val="single" w:sz="12" w:space="0" w:color="auto"/>
            </w:tcBorders>
            <w:noWrap/>
            <w:vAlign w:val="bottom"/>
          </w:tcPr>
          <w:p w:rsidR="00652F81" w:rsidRPr="00CD4118" w:rsidRDefault="00652F81" w:rsidP="00652F81">
            <w:pPr>
              <w:jc w:val="right"/>
              <w:rPr>
                <w:rFonts w:ascii="Tahoma" w:hAnsi="Tahoma" w:cs="Tahoma"/>
              </w:rPr>
            </w:pPr>
            <w:r>
              <w:rPr>
                <w:rFonts w:ascii="Tahoma" w:hAnsi="Tahoma" w:cs="Tahoma"/>
              </w:rPr>
              <w:t>22,7</w:t>
            </w:r>
          </w:p>
        </w:tc>
        <w:tc>
          <w:tcPr>
            <w:tcW w:w="960" w:type="dxa"/>
            <w:tcBorders>
              <w:bottom w:val="single" w:sz="12" w:space="0" w:color="auto"/>
            </w:tcBorders>
            <w:noWrap/>
            <w:vAlign w:val="bottom"/>
          </w:tcPr>
          <w:p w:rsidR="00652F81" w:rsidRPr="00CD4118" w:rsidRDefault="00652F81" w:rsidP="00652F81">
            <w:pPr>
              <w:jc w:val="right"/>
              <w:rPr>
                <w:rFonts w:ascii="Tahoma" w:hAnsi="Tahoma" w:cs="Tahoma"/>
              </w:rPr>
            </w:pPr>
            <w:r>
              <w:rPr>
                <w:rFonts w:ascii="Tahoma" w:hAnsi="Tahoma" w:cs="Tahoma"/>
              </w:rPr>
              <w:t>22,3</w:t>
            </w:r>
          </w:p>
        </w:tc>
        <w:tc>
          <w:tcPr>
            <w:tcW w:w="960" w:type="dxa"/>
            <w:tcBorders>
              <w:bottom w:val="single" w:sz="12" w:space="0" w:color="auto"/>
            </w:tcBorders>
            <w:noWrap/>
            <w:vAlign w:val="bottom"/>
          </w:tcPr>
          <w:p w:rsidR="00652F81" w:rsidRPr="00CD4118" w:rsidRDefault="00652F81" w:rsidP="00652F81">
            <w:pPr>
              <w:jc w:val="right"/>
              <w:rPr>
                <w:rFonts w:ascii="Tahoma" w:hAnsi="Tahoma" w:cs="Tahoma"/>
              </w:rPr>
            </w:pPr>
            <w:r>
              <w:rPr>
                <w:rFonts w:ascii="Tahoma" w:hAnsi="Tahoma" w:cs="Tahoma"/>
              </w:rPr>
              <w:t>21,6</w:t>
            </w:r>
          </w:p>
        </w:tc>
        <w:tc>
          <w:tcPr>
            <w:tcW w:w="960" w:type="dxa"/>
            <w:tcBorders>
              <w:bottom w:val="single" w:sz="12" w:space="0" w:color="auto"/>
            </w:tcBorders>
            <w:noWrap/>
            <w:vAlign w:val="bottom"/>
          </w:tcPr>
          <w:p w:rsidR="00652F81" w:rsidRPr="00CD4118" w:rsidRDefault="00652F81" w:rsidP="00652F81">
            <w:pPr>
              <w:jc w:val="right"/>
              <w:rPr>
                <w:rFonts w:ascii="Tahoma" w:hAnsi="Tahoma" w:cs="Tahoma"/>
              </w:rPr>
            </w:pPr>
            <w:r>
              <w:rPr>
                <w:rFonts w:ascii="Tahoma" w:hAnsi="Tahoma" w:cs="Tahoma"/>
              </w:rPr>
              <w:t>22,7</w:t>
            </w:r>
          </w:p>
        </w:tc>
      </w:tr>
      <w:tr w:rsidR="00652F81" w:rsidRPr="00685784" w:rsidTr="00652F81">
        <w:trPr>
          <w:trHeight w:val="255"/>
        </w:trPr>
        <w:tc>
          <w:tcPr>
            <w:tcW w:w="9600" w:type="dxa"/>
            <w:gridSpan w:val="10"/>
            <w:tcBorders>
              <w:top w:val="single" w:sz="12" w:space="0" w:color="auto"/>
              <w:bottom w:val="single" w:sz="8" w:space="0" w:color="auto"/>
            </w:tcBorders>
            <w:noWrap/>
          </w:tcPr>
          <w:p w:rsidR="00652F81" w:rsidRPr="00545F7F" w:rsidRDefault="00652F81" w:rsidP="00652F81">
            <w:pPr>
              <w:rPr>
                <w:rFonts w:ascii="Tahoma" w:hAnsi="Tahoma" w:cs="Tahoma"/>
                <w:b/>
                <w:sz w:val="18"/>
                <w:szCs w:val="18"/>
                <w:highlight w:val="yellow"/>
              </w:rPr>
            </w:pPr>
            <w:r w:rsidRPr="00545F7F">
              <w:rPr>
                <w:rFonts w:ascii="Tahoma" w:hAnsi="Tahoma" w:cs="Tahoma"/>
                <w:b/>
                <w:sz w:val="18"/>
                <w:szCs w:val="18"/>
              </w:rPr>
              <w:t>Γυναίκες</w:t>
            </w:r>
          </w:p>
        </w:tc>
      </w:tr>
      <w:tr w:rsidR="00652F81" w:rsidRPr="00515DAC" w:rsidTr="00652F81">
        <w:trPr>
          <w:trHeight w:val="255"/>
        </w:trPr>
        <w:tc>
          <w:tcPr>
            <w:tcW w:w="960" w:type="dxa"/>
            <w:tcBorders>
              <w:top w:val="single" w:sz="8" w:space="0" w:color="auto"/>
            </w:tcBorders>
            <w:noWrap/>
            <w:vAlign w:val="bottom"/>
          </w:tcPr>
          <w:p w:rsidR="00652F81" w:rsidRPr="00EE3B0D" w:rsidRDefault="00652F81" w:rsidP="00652F81">
            <w:pPr>
              <w:rPr>
                <w:rFonts w:ascii="Tahoma" w:hAnsi="Tahoma" w:cs="Tahoma"/>
                <w:b/>
                <w:bCs/>
              </w:rPr>
            </w:pPr>
            <w:r w:rsidRPr="00EE3B0D">
              <w:rPr>
                <w:rFonts w:ascii="Tahoma" w:hAnsi="Tahoma" w:cs="Tahoma"/>
                <w:b/>
                <w:bCs/>
              </w:rPr>
              <w:t>EU27</w:t>
            </w:r>
          </w:p>
        </w:tc>
        <w:tc>
          <w:tcPr>
            <w:tcW w:w="960" w:type="dxa"/>
            <w:tcBorders>
              <w:top w:val="single" w:sz="8" w:space="0" w:color="auto"/>
            </w:tcBorders>
            <w:noWrap/>
            <w:vAlign w:val="bottom"/>
          </w:tcPr>
          <w:p w:rsidR="00652F81" w:rsidRPr="0000452B" w:rsidRDefault="00652F81" w:rsidP="00652F81">
            <w:pPr>
              <w:jc w:val="right"/>
              <w:rPr>
                <w:rFonts w:ascii="Tahoma" w:hAnsi="Tahoma" w:cs="Tahoma"/>
              </w:rPr>
            </w:pPr>
            <w:r w:rsidRPr="0000452B">
              <w:rPr>
                <w:rFonts w:ascii="Tahoma" w:hAnsi="Tahoma" w:cs="Tahoma"/>
              </w:rPr>
              <w:t>:</w:t>
            </w:r>
          </w:p>
        </w:tc>
        <w:tc>
          <w:tcPr>
            <w:tcW w:w="960" w:type="dxa"/>
            <w:tcBorders>
              <w:top w:val="single" w:sz="8" w:space="0" w:color="auto"/>
            </w:tcBorders>
            <w:noWrap/>
            <w:vAlign w:val="bottom"/>
          </w:tcPr>
          <w:p w:rsidR="00652F81" w:rsidRPr="0000452B" w:rsidRDefault="00652F81" w:rsidP="00652F81">
            <w:pPr>
              <w:jc w:val="right"/>
              <w:rPr>
                <w:rFonts w:ascii="Tahoma" w:hAnsi="Tahoma" w:cs="Tahoma"/>
              </w:rPr>
            </w:pPr>
            <w:r w:rsidRPr="0000452B">
              <w:rPr>
                <w:rFonts w:ascii="Tahoma" w:hAnsi="Tahoma" w:cs="Tahoma"/>
              </w:rPr>
              <w:t>:</w:t>
            </w:r>
          </w:p>
        </w:tc>
        <w:tc>
          <w:tcPr>
            <w:tcW w:w="960" w:type="dxa"/>
            <w:tcBorders>
              <w:top w:val="single" w:sz="8" w:space="0" w:color="auto"/>
            </w:tcBorders>
            <w:noWrap/>
            <w:vAlign w:val="bottom"/>
          </w:tcPr>
          <w:p w:rsidR="00652F81" w:rsidRPr="0000452B" w:rsidRDefault="00652F81" w:rsidP="00652F81">
            <w:pPr>
              <w:jc w:val="right"/>
              <w:rPr>
                <w:rFonts w:ascii="Tahoma" w:hAnsi="Tahoma" w:cs="Tahoma"/>
              </w:rPr>
            </w:pPr>
            <w:r w:rsidRPr="0000452B">
              <w:rPr>
                <w:rFonts w:ascii="Tahoma" w:hAnsi="Tahoma" w:cs="Tahoma"/>
              </w:rPr>
              <w:t>:</w:t>
            </w:r>
          </w:p>
        </w:tc>
        <w:tc>
          <w:tcPr>
            <w:tcW w:w="960" w:type="dxa"/>
            <w:tcBorders>
              <w:top w:val="single" w:sz="8" w:space="0" w:color="auto"/>
            </w:tcBorders>
            <w:noWrap/>
            <w:vAlign w:val="bottom"/>
          </w:tcPr>
          <w:p w:rsidR="00652F81" w:rsidRPr="00535B8B" w:rsidRDefault="00652F81" w:rsidP="00652F81">
            <w:pPr>
              <w:jc w:val="right"/>
              <w:rPr>
                <w:rFonts w:ascii="Tahoma" w:hAnsi="Tahoma" w:cs="Tahoma"/>
              </w:rPr>
            </w:pPr>
            <w:r w:rsidRPr="0000452B">
              <w:rPr>
                <w:rFonts w:ascii="Tahoma" w:hAnsi="Tahoma" w:cs="Tahoma"/>
              </w:rPr>
              <w:t>26,9</w:t>
            </w:r>
          </w:p>
        </w:tc>
        <w:tc>
          <w:tcPr>
            <w:tcW w:w="960" w:type="dxa"/>
            <w:tcBorders>
              <w:top w:val="single" w:sz="8" w:space="0" w:color="auto"/>
            </w:tcBorders>
            <w:noWrap/>
            <w:vAlign w:val="bottom"/>
          </w:tcPr>
          <w:p w:rsidR="00652F81" w:rsidRPr="0000452B" w:rsidRDefault="00652F81" w:rsidP="00652F81">
            <w:pPr>
              <w:jc w:val="right"/>
              <w:rPr>
                <w:rFonts w:ascii="Tahoma" w:hAnsi="Tahoma" w:cs="Tahoma"/>
              </w:rPr>
            </w:pPr>
            <w:r w:rsidRPr="0000452B">
              <w:rPr>
                <w:rFonts w:ascii="Tahoma" w:hAnsi="Tahoma" w:cs="Tahoma"/>
              </w:rPr>
              <w:t>27,0</w:t>
            </w:r>
            <w:r w:rsidRPr="00CD4118">
              <w:rPr>
                <w:rFonts w:ascii="Tahoma" w:hAnsi="Tahoma" w:cs="Tahoma"/>
                <w:sz w:val="16"/>
                <w:szCs w:val="16"/>
                <w:vertAlign w:val="superscript"/>
                <w:lang w:val="en-US"/>
              </w:rPr>
              <w:t>s</w:t>
            </w:r>
          </w:p>
        </w:tc>
        <w:tc>
          <w:tcPr>
            <w:tcW w:w="960" w:type="dxa"/>
            <w:tcBorders>
              <w:top w:val="single" w:sz="8" w:space="0" w:color="auto"/>
            </w:tcBorders>
            <w:noWrap/>
            <w:vAlign w:val="bottom"/>
          </w:tcPr>
          <w:p w:rsidR="00652F81" w:rsidRPr="0000452B" w:rsidRDefault="00652F81" w:rsidP="00652F81">
            <w:pPr>
              <w:jc w:val="right"/>
              <w:rPr>
                <w:rFonts w:ascii="Tahoma" w:hAnsi="Tahoma" w:cs="Tahoma"/>
              </w:rPr>
            </w:pPr>
            <w:r w:rsidRPr="0000452B">
              <w:rPr>
                <w:rFonts w:ascii="Tahoma" w:hAnsi="Tahoma" w:cs="Tahoma"/>
              </w:rPr>
              <w:t>26,9</w:t>
            </w:r>
          </w:p>
        </w:tc>
        <w:tc>
          <w:tcPr>
            <w:tcW w:w="960" w:type="dxa"/>
            <w:tcBorders>
              <w:top w:val="single" w:sz="8" w:space="0" w:color="auto"/>
            </w:tcBorders>
            <w:noWrap/>
            <w:vAlign w:val="bottom"/>
          </w:tcPr>
          <w:p w:rsidR="00652F81" w:rsidRPr="0000452B" w:rsidRDefault="00652F81" w:rsidP="00652F81">
            <w:pPr>
              <w:jc w:val="right"/>
              <w:rPr>
                <w:rFonts w:ascii="Tahoma" w:hAnsi="Tahoma" w:cs="Tahoma"/>
              </w:rPr>
            </w:pPr>
            <w:r w:rsidRPr="0000452B">
              <w:rPr>
                <w:rFonts w:ascii="Tahoma" w:hAnsi="Tahoma" w:cs="Tahoma"/>
              </w:rPr>
              <w:t>26,1</w:t>
            </w:r>
          </w:p>
        </w:tc>
        <w:tc>
          <w:tcPr>
            <w:tcW w:w="960" w:type="dxa"/>
            <w:tcBorders>
              <w:top w:val="single" w:sz="8" w:space="0" w:color="auto"/>
            </w:tcBorders>
            <w:noWrap/>
            <w:vAlign w:val="bottom"/>
          </w:tcPr>
          <w:p w:rsidR="00652F81" w:rsidRPr="0000452B" w:rsidRDefault="00652F81" w:rsidP="00652F81">
            <w:pPr>
              <w:jc w:val="right"/>
              <w:rPr>
                <w:rFonts w:ascii="Tahoma" w:hAnsi="Tahoma" w:cs="Tahoma"/>
              </w:rPr>
            </w:pPr>
            <w:r w:rsidRPr="0000452B">
              <w:rPr>
                <w:rFonts w:ascii="Tahoma" w:hAnsi="Tahoma" w:cs="Tahoma"/>
              </w:rPr>
              <w:t>26,1</w:t>
            </w:r>
          </w:p>
        </w:tc>
        <w:tc>
          <w:tcPr>
            <w:tcW w:w="960" w:type="dxa"/>
            <w:tcBorders>
              <w:top w:val="single" w:sz="8" w:space="0" w:color="auto"/>
            </w:tcBorders>
            <w:noWrap/>
            <w:vAlign w:val="bottom"/>
          </w:tcPr>
          <w:p w:rsidR="00652F81" w:rsidRPr="0000452B" w:rsidRDefault="00652F81" w:rsidP="00652F81">
            <w:pPr>
              <w:jc w:val="right"/>
              <w:rPr>
                <w:rFonts w:ascii="Tahoma" w:hAnsi="Tahoma" w:cs="Tahoma"/>
              </w:rPr>
            </w:pPr>
            <w:r>
              <w:rPr>
                <w:rFonts w:ascii="Tahoma" w:hAnsi="Tahoma" w:cs="Tahoma"/>
              </w:rPr>
              <w:t>26,5</w:t>
            </w:r>
          </w:p>
        </w:tc>
      </w:tr>
      <w:tr w:rsidR="00652F81" w:rsidRPr="00515DAC" w:rsidTr="00652F81">
        <w:trPr>
          <w:trHeight w:val="255"/>
        </w:trPr>
        <w:tc>
          <w:tcPr>
            <w:tcW w:w="960" w:type="dxa"/>
            <w:noWrap/>
            <w:vAlign w:val="bottom"/>
          </w:tcPr>
          <w:p w:rsidR="00652F81" w:rsidRPr="00EE3B0D" w:rsidRDefault="00652F81" w:rsidP="00652F81">
            <w:pPr>
              <w:rPr>
                <w:rFonts w:ascii="Tahoma" w:hAnsi="Tahoma" w:cs="Tahoma"/>
                <w:b/>
                <w:bCs/>
              </w:rPr>
            </w:pPr>
            <w:r w:rsidRPr="00EE3B0D">
              <w:rPr>
                <w:rFonts w:ascii="Tahoma" w:hAnsi="Tahoma" w:cs="Tahoma"/>
                <w:b/>
                <w:bCs/>
              </w:rPr>
              <w:t>EU25</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w:t>
            </w:r>
          </w:p>
        </w:tc>
        <w:tc>
          <w:tcPr>
            <w:tcW w:w="960" w:type="dxa"/>
            <w:noWrap/>
            <w:vAlign w:val="bottom"/>
          </w:tcPr>
          <w:p w:rsidR="00652F81" w:rsidRPr="00CD4118" w:rsidRDefault="00652F81" w:rsidP="00652F81">
            <w:pPr>
              <w:jc w:val="right"/>
              <w:rPr>
                <w:rFonts w:ascii="Tahoma" w:hAnsi="Tahoma" w:cs="Tahoma"/>
              </w:rPr>
            </w:pPr>
            <w:r>
              <w:rPr>
                <w:rFonts w:ascii="Tahoma" w:hAnsi="Tahoma" w:cs="Tahoma"/>
              </w:rPr>
              <w:t>:</w:t>
            </w:r>
          </w:p>
        </w:tc>
        <w:tc>
          <w:tcPr>
            <w:tcW w:w="960" w:type="dxa"/>
            <w:noWrap/>
            <w:vAlign w:val="bottom"/>
          </w:tcPr>
          <w:p w:rsidR="00652F81" w:rsidRPr="000C38B7" w:rsidRDefault="00652F81" w:rsidP="00652F81">
            <w:pPr>
              <w:jc w:val="right"/>
              <w:rPr>
                <w:rFonts w:ascii="Tahoma" w:hAnsi="Tahoma" w:cs="Tahoma"/>
                <w:lang w:val="en-US"/>
              </w:rPr>
            </w:pPr>
            <w:r>
              <w:rPr>
                <w:rFonts w:ascii="Tahoma" w:hAnsi="Tahoma" w:cs="Tahoma"/>
                <w:lang w:val="en-US"/>
              </w:rPr>
              <w:t>:</w:t>
            </w:r>
          </w:p>
        </w:tc>
        <w:tc>
          <w:tcPr>
            <w:tcW w:w="960" w:type="dxa"/>
            <w:noWrap/>
            <w:vAlign w:val="bottom"/>
          </w:tcPr>
          <w:p w:rsidR="00652F81" w:rsidRPr="00C95884" w:rsidRDefault="00652F81" w:rsidP="00652F81">
            <w:pPr>
              <w:jc w:val="right"/>
              <w:rPr>
                <w:rFonts w:ascii="Tahoma" w:hAnsi="Tahoma" w:cs="Tahoma"/>
              </w:rPr>
            </w:pPr>
            <w:r>
              <w:rPr>
                <w:rFonts w:ascii="Tahoma" w:hAnsi="Tahoma" w:cs="Tahoma"/>
              </w:rPr>
              <w:t>:</w:t>
            </w:r>
          </w:p>
        </w:tc>
      </w:tr>
      <w:tr w:rsidR="00652F81" w:rsidRPr="00515DAC" w:rsidTr="00652F81">
        <w:trPr>
          <w:trHeight w:val="255"/>
        </w:trPr>
        <w:tc>
          <w:tcPr>
            <w:tcW w:w="960" w:type="dxa"/>
            <w:noWrap/>
            <w:vAlign w:val="bottom"/>
          </w:tcPr>
          <w:p w:rsidR="00652F81" w:rsidRPr="00EE3B0D" w:rsidRDefault="00652F81" w:rsidP="00652F81">
            <w:pPr>
              <w:rPr>
                <w:rFonts w:ascii="Tahoma" w:hAnsi="Tahoma" w:cs="Tahoma"/>
                <w:b/>
                <w:bCs/>
              </w:rPr>
            </w:pPr>
            <w:r w:rsidRPr="00EE3B0D">
              <w:rPr>
                <w:rFonts w:ascii="Tahoma" w:hAnsi="Tahoma" w:cs="Tahoma"/>
                <w:b/>
                <w:bCs/>
              </w:rPr>
              <w:t>EU15</w:t>
            </w:r>
          </w:p>
        </w:tc>
        <w:tc>
          <w:tcPr>
            <w:tcW w:w="960" w:type="dxa"/>
            <w:noWrap/>
            <w:vAlign w:val="bottom"/>
          </w:tcPr>
          <w:p w:rsidR="00652F81" w:rsidRPr="0000452B" w:rsidRDefault="00652F81" w:rsidP="00652F81">
            <w:pPr>
              <w:jc w:val="right"/>
              <w:rPr>
                <w:rFonts w:ascii="Tahoma" w:hAnsi="Tahoma" w:cs="Tahoma"/>
              </w:rPr>
            </w:pPr>
            <w:r>
              <w:rPr>
                <w:rFonts w:ascii="Tahoma" w:hAnsi="Tahoma" w:cs="Tahoma"/>
              </w:rPr>
              <w:t>:</w:t>
            </w:r>
          </w:p>
        </w:tc>
        <w:tc>
          <w:tcPr>
            <w:tcW w:w="960" w:type="dxa"/>
            <w:noWrap/>
            <w:vAlign w:val="bottom"/>
          </w:tcPr>
          <w:p w:rsidR="00652F81" w:rsidRPr="00535B8B" w:rsidRDefault="00652F81" w:rsidP="00652F81">
            <w:pPr>
              <w:jc w:val="right"/>
              <w:rPr>
                <w:rFonts w:ascii="Tahoma" w:hAnsi="Tahoma" w:cs="Tahoma"/>
              </w:rPr>
            </w:pPr>
            <w:r>
              <w:rPr>
                <w:rFonts w:ascii="Tahoma" w:hAnsi="Tahoma" w:cs="Tahoma"/>
              </w:rPr>
              <w:t>26,0</w:t>
            </w:r>
          </w:p>
        </w:tc>
        <w:tc>
          <w:tcPr>
            <w:tcW w:w="960" w:type="dxa"/>
            <w:noWrap/>
            <w:vAlign w:val="bottom"/>
          </w:tcPr>
          <w:p w:rsidR="00652F81" w:rsidRPr="00535B8B" w:rsidRDefault="00652F81" w:rsidP="00652F81">
            <w:pPr>
              <w:jc w:val="right"/>
              <w:rPr>
                <w:rFonts w:ascii="Tahoma" w:hAnsi="Tahoma" w:cs="Tahoma"/>
              </w:rPr>
            </w:pPr>
            <w:r>
              <w:rPr>
                <w:rFonts w:ascii="Tahoma" w:hAnsi="Tahoma" w:cs="Tahoma"/>
              </w:rPr>
              <w:t>27,0</w:t>
            </w:r>
          </w:p>
        </w:tc>
        <w:tc>
          <w:tcPr>
            <w:tcW w:w="960" w:type="dxa"/>
            <w:noWrap/>
            <w:vAlign w:val="bottom"/>
          </w:tcPr>
          <w:p w:rsidR="00652F81" w:rsidRPr="0000452B" w:rsidRDefault="00652F81" w:rsidP="00652F81">
            <w:pPr>
              <w:jc w:val="right"/>
              <w:rPr>
                <w:rFonts w:ascii="Tahoma" w:hAnsi="Tahoma" w:cs="Tahoma"/>
              </w:rPr>
            </w:pPr>
            <w:r>
              <w:rPr>
                <w:rFonts w:ascii="Tahoma" w:hAnsi="Tahoma" w:cs="Tahoma"/>
              </w:rPr>
              <w:t>26,6</w:t>
            </w:r>
          </w:p>
        </w:tc>
        <w:tc>
          <w:tcPr>
            <w:tcW w:w="960" w:type="dxa"/>
            <w:noWrap/>
            <w:vAlign w:val="bottom"/>
          </w:tcPr>
          <w:p w:rsidR="00652F81" w:rsidRPr="0000452B" w:rsidRDefault="00652F81" w:rsidP="00652F81">
            <w:pPr>
              <w:jc w:val="right"/>
              <w:rPr>
                <w:rFonts w:ascii="Tahoma" w:hAnsi="Tahoma" w:cs="Tahoma"/>
              </w:rPr>
            </w:pPr>
            <w:r>
              <w:rPr>
                <w:rFonts w:ascii="Tahoma" w:hAnsi="Tahoma" w:cs="Tahoma"/>
              </w:rPr>
              <w:t>26,9</w:t>
            </w:r>
          </w:p>
        </w:tc>
        <w:tc>
          <w:tcPr>
            <w:tcW w:w="960" w:type="dxa"/>
            <w:noWrap/>
            <w:vAlign w:val="bottom"/>
          </w:tcPr>
          <w:p w:rsidR="00652F81" w:rsidRPr="0000452B" w:rsidRDefault="00652F81" w:rsidP="00652F81">
            <w:pPr>
              <w:jc w:val="right"/>
              <w:rPr>
                <w:rFonts w:ascii="Tahoma" w:hAnsi="Tahoma" w:cs="Tahoma"/>
              </w:rPr>
            </w:pPr>
            <w:r>
              <w:rPr>
                <w:rFonts w:ascii="Tahoma" w:hAnsi="Tahoma" w:cs="Tahoma"/>
              </w:rPr>
              <w:t>26,9</w:t>
            </w:r>
          </w:p>
        </w:tc>
        <w:tc>
          <w:tcPr>
            <w:tcW w:w="960" w:type="dxa"/>
            <w:noWrap/>
            <w:vAlign w:val="bottom"/>
          </w:tcPr>
          <w:p w:rsidR="00652F81" w:rsidRPr="0000452B" w:rsidRDefault="00652F81" w:rsidP="00652F81">
            <w:pPr>
              <w:jc w:val="right"/>
              <w:rPr>
                <w:rFonts w:ascii="Tahoma" w:hAnsi="Tahoma" w:cs="Tahoma"/>
              </w:rPr>
            </w:pPr>
            <w:r>
              <w:rPr>
                <w:rFonts w:ascii="Tahoma" w:hAnsi="Tahoma" w:cs="Tahoma"/>
              </w:rPr>
              <w:t>26,0</w:t>
            </w:r>
          </w:p>
        </w:tc>
        <w:tc>
          <w:tcPr>
            <w:tcW w:w="960" w:type="dxa"/>
            <w:noWrap/>
            <w:vAlign w:val="bottom"/>
          </w:tcPr>
          <w:p w:rsidR="00652F81" w:rsidRPr="0000452B" w:rsidRDefault="00652F81" w:rsidP="00652F81">
            <w:pPr>
              <w:jc w:val="right"/>
              <w:rPr>
                <w:rFonts w:ascii="Tahoma" w:hAnsi="Tahoma" w:cs="Tahoma"/>
              </w:rPr>
            </w:pPr>
            <w:r>
              <w:rPr>
                <w:rFonts w:ascii="Tahoma" w:hAnsi="Tahoma" w:cs="Tahoma"/>
              </w:rPr>
              <w:t>26,2</w:t>
            </w:r>
          </w:p>
        </w:tc>
        <w:tc>
          <w:tcPr>
            <w:tcW w:w="960" w:type="dxa"/>
            <w:noWrap/>
            <w:vAlign w:val="bottom"/>
          </w:tcPr>
          <w:p w:rsidR="00652F81" w:rsidRPr="0000452B" w:rsidRDefault="00652F81" w:rsidP="00652F81">
            <w:pPr>
              <w:jc w:val="right"/>
              <w:rPr>
                <w:rFonts w:ascii="Tahoma" w:hAnsi="Tahoma" w:cs="Tahoma"/>
              </w:rPr>
            </w:pPr>
            <w:r>
              <w:rPr>
                <w:rFonts w:ascii="Tahoma" w:hAnsi="Tahoma" w:cs="Tahoma"/>
              </w:rPr>
              <w:t>26,9</w:t>
            </w:r>
          </w:p>
        </w:tc>
      </w:tr>
      <w:tr w:rsidR="00652F81" w:rsidRPr="00515DAC" w:rsidTr="00652F81">
        <w:trPr>
          <w:trHeight w:val="255"/>
        </w:trPr>
        <w:tc>
          <w:tcPr>
            <w:tcW w:w="960" w:type="dxa"/>
            <w:noWrap/>
            <w:vAlign w:val="bottom"/>
          </w:tcPr>
          <w:p w:rsidR="00652F81" w:rsidRPr="00CD4118" w:rsidRDefault="00652F81" w:rsidP="00652F81">
            <w:pPr>
              <w:rPr>
                <w:rFonts w:ascii="Tahoma" w:hAnsi="Tahoma" w:cs="Tahoma"/>
                <w:b/>
                <w:bCs/>
              </w:rPr>
            </w:pPr>
            <w:r>
              <w:rPr>
                <w:rFonts w:ascii="Tahoma" w:hAnsi="Tahoma" w:cs="Tahoma"/>
                <w:b/>
                <w:bCs/>
              </w:rPr>
              <w:t>EA17</w:t>
            </w:r>
          </w:p>
        </w:tc>
        <w:tc>
          <w:tcPr>
            <w:tcW w:w="960" w:type="dxa"/>
            <w:noWrap/>
            <w:vAlign w:val="bottom"/>
          </w:tcPr>
          <w:p w:rsidR="00652F81" w:rsidRPr="0000452B" w:rsidRDefault="00652F81" w:rsidP="00652F81">
            <w:pPr>
              <w:jc w:val="right"/>
              <w:rPr>
                <w:rFonts w:ascii="Tahoma" w:hAnsi="Tahoma" w:cs="Tahoma"/>
              </w:rPr>
            </w:pPr>
            <w:r>
              <w:rPr>
                <w:rFonts w:ascii="Tahoma" w:hAnsi="Tahoma" w:cs="Tahoma"/>
              </w:rPr>
              <w:t>:</w:t>
            </w:r>
          </w:p>
        </w:tc>
        <w:tc>
          <w:tcPr>
            <w:tcW w:w="960" w:type="dxa"/>
            <w:noWrap/>
            <w:vAlign w:val="bottom"/>
          </w:tcPr>
          <w:p w:rsidR="00652F81" w:rsidRPr="0000452B" w:rsidRDefault="00652F81" w:rsidP="00652F81">
            <w:pPr>
              <w:jc w:val="right"/>
              <w:rPr>
                <w:rFonts w:ascii="Tahoma" w:hAnsi="Tahoma" w:cs="Tahoma"/>
              </w:rPr>
            </w:pPr>
            <w:r>
              <w:rPr>
                <w:rFonts w:ascii="Tahoma" w:hAnsi="Tahoma" w:cs="Tahoma"/>
              </w:rPr>
              <w:t>:</w:t>
            </w:r>
          </w:p>
        </w:tc>
        <w:tc>
          <w:tcPr>
            <w:tcW w:w="960" w:type="dxa"/>
            <w:noWrap/>
            <w:vAlign w:val="bottom"/>
          </w:tcPr>
          <w:p w:rsidR="00652F81" w:rsidRPr="0000452B" w:rsidRDefault="00652F81" w:rsidP="00652F81">
            <w:pPr>
              <w:jc w:val="right"/>
              <w:rPr>
                <w:rFonts w:ascii="Tahoma" w:hAnsi="Tahoma" w:cs="Tahoma"/>
              </w:rPr>
            </w:pPr>
            <w:r>
              <w:rPr>
                <w:rFonts w:ascii="Tahoma" w:hAnsi="Tahoma" w:cs="Tahoma"/>
              </w:rPr>
              <w:t>:</w:t>
            </w:r>
          </w:p>
        </w:tc>
        <w:tc>
          <w:tcPr>
            <w:tcW w:w="960" w:type="dxa"/>
            <w:noWrap/>
            <w:vAlign w:val="bottom"/>
          </w:tcPr>
          <w:p w:rsidR="00652F81" w:rsidRPr="0000452B" w:rsidRDefault="00652F81" w:rsidP="00652F81">
            <w:pPr>
              <w:jc w:val="right"/>
              <w:rPr>
                <w:rFonts w:ascii="Tahoma" w:hAnsi="Tahoma" w:cs="Tahoma"/>
              </w:rPr>
            </w:pPr>
            <w:r>
              <w:rPr>
                <w:rFonts w:ascii="Tahoma" w:hAnsi="Tahoma" w:cs="Tahoma"/>
              </w:rPr>
              <w:t>25,3</w:t>
            </w:r>
          </w:p>
        </w:tc>
        <w:tc>
          <w:tcPr>
            <w:tcW w:w="960" w:type="dxa"/>
            <w:noWrap/>
            <w:vAlign w:val="bottom"/>
          </w:tcPr>
          <w:p w:rsidR="00652F81" w:rsidRPr="0000452B" w:rsidRDefault="00652F81" w:rsidP="00652F81">
            <w:pPr>
              <w:jc w:val="right"/>
              <w:rPr>
                <w:rFonts w:ascii="Tahoma" w:hAnsi="Tahoma" w:cs="Tahoma"/>
              </w:rPr>
            </w:pPr>
            <w:r>
              <w:rPr>
                <w:rFonts w:ascii="Tahoma" w:hAnsi="Tahoma" w:cs="Tahoma"/>
              </w:rPr>
              <w:t>25,7</w:t>
            </w:r>
          </w:p>
        </w:tc>
        <w:tc>
          <w:tcPr>
            <w:tcW w:w="960" w:type="dxa"/>
            <w:noWrap/>
            <w:vAlign w:val="bottom"/>
          </w:tcPr>
          <w:p w:rsidR="00652F81" w:rsidRPr="0000452B" w:rsidRDefault="00652F81" w:rsidP="00652F81">
            <w:pPr>
              <w:jc w:val="right"/>
              <w:rPr>
                <w:rFonts w:ascii="Tahoma" w:hAnsi="Tahoma" w:cs="Tahoma"/>
              </w:rPr>
            </w:pPr>
            <w:r>
              <w:rPr>
                <w:rFonts w:ascii="Tahoma" w:hAnsi="Tahoma" w:cs="Tahoma"/>
              </w:rPr>
              <w:t>25,8</w:t>
            </w:r>
          </w:p>
        </w:tc>
        <w:tc>
          <w:tcPr>
            <w:tcW w:w="960" w:type="dxa"/>
            <w:noWrap/>
            <w:vAlign w:val="bottom"/>
          </w:tcPr>
          <w:p w:rsidR="00652F81" w:rsidRPr="0000452B" w:rsidRDefault="00652F81" w:rsidP="00652F81">
            <w:pPr>
              <w:jc w:val="right"/>
              <w:rPr>
                <w:rFonts w:ascii="Tahoma" w:hAnsi="Tahoma" w:cs="Tahoma"/>
              </w:rPr>
            </w:pPr>
            <w:r>
              <w:rPr>
                <w:rFonts w:ascii="Tahoma" w:hAnsi="Tahoma" w:cs="Tahoma"/>
              </w:rPr>
              <w:t>24,8</w:t>
            </w:r>
          </w:p>
        </w:tc>
        <w:tc>
          <w:tcPr>
            <w:tcW w:w="960" w:type="dxa"/>
            <w:noWrap/>
            <w:vAlign w:val="bottom"/>
          </w:tcPr>
          <w:p w:rsidR="00652F81" w:rsidRPr="0000452B" w:rsidRDefault="00652F81" w:rsidP="00652F81">
            <w:pPr>
              <w:jc w:val="right"/>
              <w:rPr>
                <w:rFonts w:ascii="Tahoma" w:hAnsi="Tahoma" w:cs="Tahoma"/>
              </w:rPr>
            </w:pPr>
            <w:r>
              <w:rPr>
                <w:rFonts w:ascii="Tahoma" w:hAnsi="Tahoma" w:cs="Tahoma"/>
              </w:rPr>
              <w:t>24,8</w:t>
            </w:r>
          </w:p>
        </w:tc>
        <w:tc>
          <w:tcPr>
            <w:tcW w:w="960" w:type="dxa"/>
            <w:noWrap/>
            <w:vAlign w:val="bottom"/>
          </w:tcPr>
          <w:p w:rsidR="00652F81" w:rsidRPr="0000452B" w:rsidRDefault="00652F81" w:rsidP="00652F81">
            <w:pPr>
              <w:jc w:val="right"/>
              <w:rPr>
                <w:rFonts w:ascii="Tahoma" w:hAnsi="Tahoma" w:cs="Tahoma"/>
              </w:rPr>
            </w:pPr>
            <w:r>
              <w:rPr>
                <w:rFonts w:ascii="Tahoma" w:hAnsi="Tahoma" w:cs="Tahoma"/>
              </w:rPr>
              <w:t>25,5</w:t>
            </w:r>
          </w:p>
        </w:tc>
      </w:tr>
      <w:tr w:rsidR="00652F81" w:rsidRPr="001E1981" w:rsidTr="00652F81">
        <w:trPr>
          <w:trHeight w:val="255"/>
        </w:trPr>
        <w:tc>
          <w:tcPr>
            <w:tcW w:w="960" w:type="dxa"/>
            <w:noWrap/>
            <w:vAlign w:val="bottom"/>
          </w:tcPr>
          <w:p w:rsidR="00652F81" w:rsidRPr="00EE3B0D" w:rsidRDefault="00652F81" w:rsidP="00652F81">
            <w:pPr>
              <w:rPr>
                <w:rFonts w:ascii="Tahoma" w:hAnsi="Tahoma" w:cs="Tahoma"/>
                <w:b/>
                <w:bCs/>
              </w:rPr>
            </w:pPr>
            <w:r w:rsidRPr="00EE3B0D">
              <w:rPr>
                <w:rFonts w:ascii="Tahoma" w:hAnsi="Tahoma" w:cs="Tahoma"/>
                <w:b/>
                <w:bCs/>
              </w:rPr>
              <w:t>EL</w:t>
            </w:r>
          </w:p>
        </w:tc>
        <w:tc>
          <w:tcPr>
            <w:tcW w:w="960" w:type="dxa"/>
            <w:noWrap/>
            <w:vAlign w:val="bottom"/>
          </w:tcPr>
          <w:p w:rsidR="00652F81" w:rsidRPr="0000452B" w:rsidRDefault="00652F81" w:rsidP="00652F81">
            <w:pPr>
              <w:jc w:val="right"/>
              <w:rPr>
                <w:rFonts w:ascii="Tahoma" w:hAnsi="Tahoma" w:cs="Tahoma"/>
              </w:rPr>
            </w:pPr>
          </w:p>
        </w:tc>
        <w:tc>
          <w:tcPr>
            <w:tcW w:w="960" w:type="dxa"/>
            <w:noWrap/>
            <w:vAlign w:val="bottom"/>
          </w:tcPr>
          <w:p w:rsidR="00652F81" w:rsidRPr="0000452B" w:rsidRDefault="00652F81" w:rsidP="00652F81">
            <w:pPr>
              <w:jc w:val="right"/>
              <w:rPr>
                <w:rFonts w:ascii="Tahoma" w:hAnsi="Tahoma" w:cs="Tahoma"/>
              </w:rPr>
            </w:pPr>
            <w:r>
              <w:rPr>
                <w:rFonts w:ascii="Tahoma" w:hAnsi="Tahoma" w:cs="Tahoma"/>
              </w:rPr>
              <w:t>24,5</w:t>
            </w:r>
          </w:p>
        </w:tc>
        <w:tc>
          <w:tcPr>
            <w:tcW w:w="960" w:type="dxa"/>
            <w:noWrap/>
            <w:vAlign w:val="bottom"/>
          </w:tcPr>
          <w:p w:rsidR="00652F81" w:rsidRPr="0000452B" w:rsidRDefault="00652F81" w:rsidP="00652F81">
            <w:pPr>
              <w:jc w:val="right"/>
              <w:rPr>
                <w:rFonts w:ascii="Tahoma" w:hAnsi="Tahoma" w:cs="Tahoma"/>
              </w:rPr>
            </w:pPr>
            <w:r>
              <w:rPr>
                <w:rFonts w:ascii="Tahoma" w:hAnsi="Tahoma" w:cs="Tahoma"/>
              </w:rPr>
              <w:t>23,8</w:t>
            </w:r>
          </w:p>
        </w:tc>
        <w:tc>
          <w:tcPr>
            <w:tcW w:w="960" w:type="dxa"/>
            <w:noWrap/>
            <w:vAlign w:val="bottom"/>
          </w:tcPr>
          <w:p w:rsidR="00652F81" w:rsidRPr="0000452B" w:rsidRDefault="00652F81" w:rsidP="00652F81">
            <w:pPr>
              <w:jc w:val="right"/>
              <w:rPr>
                <w:rFonts w:ascii="Tahoma" w:hAnsi="Tahoma" w:cs="Tahoma"/>
              </w:rPr>
            </w:pPr>
            <w:r>
              <w:rPr>
                <w:rFonts w:ascii="Tahoma" w:hAnsi="Tahoma" w:cs="Tahoma"/>
              </w:rPr>
              <w:t>24,1</w:t>
            </w:r>
          </w:p>
        </w:tc>
        <w:tc>
          <w:tcPr>
            <w:tcW w:w="960" w:type="dxa"/>
            <w:noWrap/>
            <w:vAlign w:val="bottom"/>
          </w:tcPr>
          <w:p w:rsidR="00652F81" w:rsidRPr="0000452B" w:rsidRDefault="00652F81" w:rsidP="00652F81">
            <w:pPr>
              <w:jc w:val="right"/>
              <w:rPr>
                <w:rFonts w:ascii="Tahoma" w:hAnsi="Tahoma" w:cs="Tahoma"/>
              </w:rPr>
            </w:pPr>
            <w:r>
              <w:rPr>
                <w:rFonts w:ascii="Tahoma" w:hAnsi="Tahoma" w:cs="Tahoma"/>
              </w:rPr>
              <w:t>24,7</w:t>
            </w:r>
          </w:p>
        </w:tc>
        <w:tc>
          <w:tcPr>
            <w:tcW w:w="960" w:type="dxa"/>
            <w:noWrap/>
            <w:vAlign w:val="bottom"/>
          </w:tcPr>
          <w:p w:rsidR="00652F81" w:rsidRPr="0000452B" w:rsidRDefault="00652F81" w:rsidP="00652F81">
            <w:pPr>
              <w:jc w:val="right"/>
              <w:rPr>
                <w:rFonts w:ascii="Tahoma" w:hAnsi="Tahoma" w:cs="Tahoma"/>
              </w:rPr>
            </w:pPr>
            <w:r>
              <w:rPr>
                <w:rFonts w:ascii="Tahoma" w:hAnsi="Tahoma" w:cs="Tahoma"/>
              </w:rPr>
              <w:t>24,7</w:t>
            </w:r>
          </w:p>
        </w:tc>
        <w:tc>
          <w:tcPr>
            <w:tcW w:w="960" w:type="dxa"/>
            <w:noWrap/>
            <w:vAlign w:val="bottom"/>
          </w:tcPr>
          <w:p w:rsidR="00652F81" w:rsidRPr="0000452B" w:rsidRDefault="00652F81" w:rsidP="00652F81">
            <w:pPr>
              <w:jc w:val="right"/>
              <w:rPr>
                <w:rFonts w:ascii="Tahoma" w:hAnsi="Tahoma" w:cs="Tahoma"/>
              </w:rPr>
            </w:pPr>
            <w:r>
              <w:rPr>
                <w:rFonts w:ascii="Tahoma" w:hAnsi="Tahoma" w:cs="Tahoma"/>
              </w:rPr>
              <w:t>24,3</w:t>
            </w:r>
          </w:p>
        </w:tc>
        <w:tc>
          <w:tcPr>
            <w:tcW w:w="960" w:type="dxa"/>
            <w:noWrap/>
            <w:vAlign w:val="bottom"/>
          </w:tcPr>
          <w:p w:rsidR="00652F81" w:rsidRPr="0000452B" w:rsidRDefault="00652F81" w:rsidP="00652F81">
            <w:pPr>
              <w:jc w:val="right"/>
              <w:rPr>
                <w:rFonts w:ascii="Tahoma" w:hAnsi="Tahoma" w:cs="Tahoma"/>
              </w:rPr>
            </w:pPr>
            <w:r>
              <w:rPr>
                <w:rFonts w:ascii="Tahoma" w:hAnsi="Tahoma" w:cs="Tahoma"/>
              </w:rPr>
              <w:t>23,7</w:t>
            </w:r>
          </w:p>
        </w:tc>
        <w:tc>
          <w:tcPr>
            <w:tcW w:w="960" w:type="dxa"/>
            <w:noWrap/>
            <w:vAlign w:val="bottom"/>
          </w:tcPr>
          <w:p w:rsidR="00652F81" w:rsidRPr="0000452B" w:rsidRDefault="00652F81" w:rsidP="00652F81">
            <w:pPr>
              <w:jc w:val="right"/>
              <w:rPr>
                <w:rFonts w:ascii="Tahoma" w:hAnsi="Tahoma" w:cs="Tahoma"/>
              </w:rPr>
            </w:pPr>
            <w:r>
              <w:rPr>
                <w:rFonts w:ascii="Tahoma" w:hAnsi="Tahoma" w:cs="Tahoma"/>
              </w:rPr>
              <w:t>24,9</w:t>
            </w:r>
          </w:p>
        </w:tc>
      </w:tr>
    </w:tbl>
    <w:p w:rsidR="00652F81" w:rsidRPr="000C38B7" w:rsidRDefault="00652F81" w:rsidP="00652F81">
      <w:pPr>
        <w:pStyle w:val="1"/>
        <w:rPr>
          <w:rFonts w:ascii="Tahoma" w:hAnsi="Tahoma" w:cs="Tahoma"/>
          <w:b w:val="0"/>
          <w:sz w:val="18"/>
          <w:szCs w:val="18"/>
        </w:rPr>
      </w:pPr>
      <w:bookmarkStart w:id="456" w:name="_Toc70767310"/>
      <w:bookmarkStart w:id="457" w:name="_Toc150308602"/>
      <w:r w:rsidRPr="00954CD1">
        <w:rPr>
          <w:rFonts w:ascii="Tahoma" w:hAnsi="Tahoma" w:cs="Tahoma"/>
          <w:sz w:val="18"/>
          <w:szCs w:val="18"/>
        </w:rPr>
        <w:t>Πηγή:</w:t>
      </w:r>
      <w:r w:rsidRPr="000C38B7">
        <w:rPr>
          <w:rFonts w:ascii="Tahoma" w:hAnsi="Tahoma" w:cs="Tahoma"/>
          <w:b w:val="0"/>
          <w:sz w:val="18"/>
          <w:szCs w:val="18"/>
        </w:rPr>
        <w:t xml:space="preserve"> </w:t>
      </w:r>
      <w:r w:rsidRPr="00132F3A">
        <w:rPr>
          <w:rFonts w:ascii="Tahoma" w:hAnsi="Tahoma" w:cs="Tahoma"/>
          <w:b w:val="0"/>
          <w:sz w:val="18"/>
          <w:szCs w:val="18"/>
          <w:lang w:val="en-US"/>
        </w:rPr>
        <w:t>Eurostat</w:t>
      </w:r>
    </w:p>
    <w:p w:rsidR="00652F81" w:rsidRPr="000C38B7" w:rsidRDefault="00652F81" w:rsidP="00652F81">
      <w:pPr>
        <w:sectPr w:rsidR="00652F81" w:rsidRPr="000C38B7" w:rsidSect="00652F81">
          <w:footerReference w:type="default" r:id="rId91"/>
          <w:pgSz w:w="11906" w:h="16838"/>
          <w:pgMar w:top="1701" w:right="1418" w:bottom="1418" w:left="1418" w:header="720" w:footer="720" w:gutter="0"/>
          <w:cols w:space="720"/>
        </w:sectPr>
      </w:pPr>
    </w:p>
    <w:p w:rsidR="00652F81" w:rsidRPr="00294913" w:rsidRDefault="00652F81" w:rsidP="00652F81">
      <w:pPr>
        <w:pStyle w:val="new12"/>
        <w:ind w:right="-110"/>
      </w:pPr>
      <w:bookmarkStart w:id="458" w:name="_Toc169881547"/>
      <w:bookmarkStart w:id="459" w:name="_Toc170201892"/>
      <w:r w:rsidRPr="00294913">
        <w:rPr>
          <w:lang w:val="en-US"/>
        </w:rPr>
        <w:lastRenderedPageBreak/>
        <w:t>V</w:t>
      </w:r>
      <w:r>
        <w:t>-2α</w:t>
      </w:r>
      <w:r>
        <w:tab/>
        <w:t>Διασπορά Ποσοστών Συνολικής Α</w:t>
      </w:r>
      <w:r w:rsidRPr="00294913">
        <w:t xml:space="preserve">πασχόλησης ανά </w:t>
      </w:r>
      <w:bookmarkEnd w:id="456"/>
      <w:r>
        <w:t>Π</w:t>
      </w:r>
      <w:r w:rsidRPr="00294913">
        <w:t>εριφέρεια</w:t>
      </w:r>
      <w:bookmarkEnd w:id="457"/>
      <w:bookmarkEnd w:id="458"/>
      <w:bookmarkEnd w:id="459"/>
    </w:p>
    <w:p w:rsidR="00652F81" w:rsidRPr="00C27EEB" w:rsidRDefault="00652F81" w:rsidP="00652F81">
      <w:pPr>
        <w:pStyle w:val="new1210pt"/>
      </w:pPr>
      <w:bookmarkStart w:id="460" w:name="_Toc70767311"/>
      <w:bookmarkStart w:id="461" w:name="_Toc150308603"/>
      <w:bookmarkStart w:id="462" w:name="_Toc170201893"/>
      <w:r w:rsidRPr="00294913">
        <w:t xml:space="preserve">(Συντελεστής διασποράς ποσοστών απασχόλησης μεταξύ περιφερειών της κάθε χώρας, </w:t>
      </w:r>
      <w:r w:rsidRPr="00294913">
        <w:rPr>
          <w:lang w:val="en-US"/>
        </w:rPr>
        <w:t>NUTS</w:t>
      </w:r>
      <w:r w:rsidRPr="00294913">
        <w:t xml:space="preserve"> 2)</w:t>
      </w:r>
      <w:bookmarkEnd w:id="460"/>
      <w:bookmarkEnd w:id="461"/>
      <w:bookmarkEnd w:id="462"/>
    </w:p>
    <w:p w:rsidR="00652F81" w:rsidRPr="00C27EEB" w:rsidRDefault="00652F81" w:rsidP="00652F81"/>
    <w:p w:rsidR="00652F81" w:rsidRPr="005E71A3" w:rsidRDefault="00652F81" w:rsidP="00652F81">
      <w:r>
        <w:rPr>
          <w:noProof/>
          <w:lang w:val="en-US" w:eastAsia="en-US"/>
        </w:rPr>
        <w:drawing>
          <wp:inline distT="0" distB="0" distL="0" distR="0">
            <wp:extent cx="5400675" cy="3324225"/>
            <wp:effectExtent l="0" t="0" r="0" b="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2" cstate="print"/>
                    <a:srcRect/>
                    <a:stretch>
                      <a:fillRect/>
                    </a:stretch>
                  </pic:blipFill>
                  <pic:spPr bwMode="auto">
                    <a:xfrm>
                      <a:off x="0" y="0"/>
                      <a:ext cx="5400675" cy="3324225"/>
                    </a:xfrm>
                    <a:prstGeom prst="rect">
                      <a:avLst/>
                    </a:prstGeom>
                    <a:noFill/>
                    <a:ln w="9525">
                      <a:noFill/>
                      <a:miter lim="800000"/>
                      <a:headEnd/>
                      <a:tailEnd/>
                    </a:ln>
                  </pic:spPr>
                </pic:pic>
              </a:graphicData>
            </a:graphic>
          </wp:inline>
        </w:drawing>
      </w:r>
    </w:p>
    <w:p w:rsidR="00652F81" w:rsidRPr="00D84806" w:rsidRDefault="00652F81" w:rsidP="00652F81">
      <w:pPr>
        <w:rPr>
          <w:lang w:val="en-US"/>
        </w:rPr>
      </w:pPr>
    </w:p>
    <w:tbl>
      <w:tblPr>
        <w:tblW w:w="9600" w:type="dxa"/>
        <w:tblBorders>
          <w:top w:val="single" w:sz="12" w:space="0" w:color="auto"/>
          <w:bottom w:val="single" w:sz="12" w:space="0" w:color="auto"/>
          <w:insideH w:val="dotted" w:sz="4" w:space="0" w:color="auto"/>
        </w:tblBorders>
        <w:tblLook w:val="00E0"/>
      </w:tblPr>
      <w:tblGrid>
        <w:gridCol w:w="960"/>
        <w:gridCol w:w="960"/>
        <w:gridCol w:w="960"/>
        <w:gridCol w:w="960"/>
        <w:gridCol w:w="960"/>
        <w:gridCol w:w="960"/>
        <w:gridCol w:w="960"/>
        <w:gridCol w:w="960"/>
        <w:gridCol w:w="960"/>
        <w:gridCol w:w="960"/>
      </w:tblGrid>
      <w:tr w:rsidR="00652F81" w:rsidRPr="00D9172B" w:rsidTr="00652F81">
        <w:trPr>
          <w:trHeight w:val="255"/>
        </w:trPr>
        <w:tc>
          <w:tcPr>
            <w:tcW w:w="960" w:type="dxa"/>
            <w:tcBorders>
              <w:top w:val="single" w:sz="12" w:space="0" w:color="auto"/>
              <w:bottom w:val="single" w:sz="8" w:space="0" w:color="auto"/>
            </w:tcBorders>
            <w:noWrap/>
          </w:tcPr>
          <w:p w:rsidR="00652F81" w:rsidRPr="00D9172B" w:rsidRDefault="00652F81" w:rsidP="00652F81">
            <w:pPr>
              <w:jc w:val="center"/>
              <w:rPr>
                <w:rFonts w:ascii="Tahoma" w:hAnsi="Tahoma" w:cs="Tahoma"/>
              </w:rPr>
            </w:pPr>
          </w:p>
        </w:tc>
        <w:tc>
          <w:tcPr>
            <w:tcW w:w="960" w:type="dxa"/>
            <w:tcBorders>
              <w:top w:val="single" w:sz="12" w:space="0" w:color="auto"/>
              <w:bottom w:val="single" w:sz="8" w:space="0" w:color="auto"/>
            </w:tcBorders>
            <w:noWrap/>
            <w:vAlign w:val="bottom"/>
          </w:tcPr>
          <w:p w:rsidR="00652F81" w:rsidRPr="0094774E"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2</w:t>
            </w:r>
          </w:p>
        </w:tc>
        <w:tc>
          <w:tcPr>
            <w:tcW w:w="960" w:type="dxa"/>
            <w:tcBorders>
              <w:top w:val="single" w:sz="12" w:space="0" w:color="auto"/>
              <w:bottom w:val="single" w:sz="8" w:space="0" w:color="auto"/>
            </w:tcBorders>
            <w:noWrap/>
            <w:vAlign w:val="bottom"/>
          </w:tcPr>
          <w:p w:rsidR="00652F81" w:rsidRPr="0094774E"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3</w:t>
            </w:r>
          </w:p>
        </w:tc>
        <w:tc>
          <w:tcPr>
            <w:tcW w:w="960" w:type="dxa"/>
            <w:tcBorders>
              <w:top w:val="single" w:sz="12" w:space="0" w:color="auto"/>
              <w:bottom w:val="single" w:sz="8" w:space="0" w:color="auto"/>
            </w:tcBorders>
            <w:noWrap/>
            <w:vAlign w:val="bottom"/>
          </w:tcPr>
          <w:p w:rsidR="00652F81" w:rsidRPr="0094774E"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4</w:t>
            </w:r>
          </w:p>
        </w:tc>
        <w:tc>
          <w:tcPr>
            <w:tcW w:w="960" w:type="dxa"/>
            <w:tcBorders>
              <w:top w:val="single" w:sz="12" w:space="0" w:color="auto"/>
              <w:bottom w:val="single" w:sz="8" w:space="0" w:color="auto"/>
            </w:tcBorders>
            <w:noWrap/>
            <w:vAlign w:val="bottom"/>
          </w:tcPr>
          <w:p w:rsidR="00652F81" w:rsidRPr="0094774E"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5</w:t>
            </w:r>
          </w:p>
        </w:tc>
        <w:tc>
          <w:tcPr>
            <w:tcW w:w="960" w:type="dxa"/>
            <w:tcBorders>
              <w:top w:val="single" w:sz="12" w:space="0" w:color="auto"/>
              <w:bottom w:val="single" w:sz="8" w:space="0" w:color="auto"/>
            </w:tcBorders>
            <w:noWrap/>
            <w:vAlign w:val="bottom"/>
          </w:tcPr>
          <w:p w:rsidR="00652F81" w:rsidRPr="0094774E"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6</w:t>
            </w:r>
          </w:p>
        </w:tc>
        <w:tc>
          <w:tcPr>
            <w:tcW w:w="960" w:type="dxa"/>
            <w:tcBorders>
              <w:top w:val="single" w:sz="12" w:space="0" w:color="auto"/>
              <w:bottom w:val="single" w:sz="8" w:space="0" w:color="auto"/>
            </w:tcBorders>
            <w:noWrap/>
            <w:vAlign w:val="bottom"/>
          </w:tcPr>
          <w:p w:rsidR="00652F81" w:rsidRPr="0094774E"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7</w:t>
            </w:r>
          </w:p>
        </w:tc>
        <w:tc>
          <w:tcPr>
            <w:tcW w:w="960" w:type="dxa"/>
            <w:tcBorders>
              <w:top w:val="single" w:sz="12" w:space="0" w:color="auto"/>
              <w:bottom w:val="single" w:sz="8" w:space="0" w:color="auto"/>
            </w:tcBorders>
            <w:noWrap/>
            <w:vAlign w:val="bottom"/>
          </w:tcPr>
          <w:p w:rsidR="00652F81" w:rsidRPr="0094774E"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8</w:t>
            </w:r>
          </w:p>
        </w:tc>
        <w:tc>
          <w:tcPr>
            <w:tcW w:w="960" w:type="dxa"/>
            <w:tcBorders>
              <w:top w:val="single" w:sz="12" w:space="0" w:color="auto"/>
              <w:bottom w:val="single" w:sz="8" w:space="0" w:color="auto"/>
            </w:tcBorders>
            <w:noWrap/>
            <w:vAlign w:val="bottom"/>
          </w:tcPr>
          <w:p w:rsidR="00652F81" w:rsidRPr="0094774E"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9</w:t>
            </w:r>
          </w:p>
        </w:tc>
        <w:tc>
          <w:tcPr>
            <w:tcW w:w="960" w:type="dxa"/>
            <w:tcBorders>
              <w:top w:val="single" w:sz="12" w:space="0" w:color="auto"/>
              <w:bottom w:val="single" w:sz="8" w:space="0" w:color="auto"/>
            </w:tcBorders>
            <w:noWrap/>
            <w:vAlign w:val="bottom"/>
          </w:tcPr>
          <w:p w:rsidR="00652F81" w:rsidRPr="005E71A3" w:rsidRDefault="00652F81" w:rsidP="00652F81">
            <w:pPr>
              <w:jc w:val="center"/>
              <w:rPr>
                <w:rFonts w:ascii="Tahoma" w:hAnsi="Tahoma" w:cs="Tahoma"/>
                <w:b/>
                <w:bCs/>
              </w:rPr>
            </w:pPr>
            <w:r>
              <w:rPr>
                <w:rFonts w:ascii="Tahoma" w:hAnsi="Tahoma" w:cs="Tahoma"/>
                <w:b/>
                <w:bCs/>
              </w:rPr>
              <w:t>2010</w:t>
            </w:r>
          </w:p>
        </w:tc>
      </w:tr>
      <w:tr w:rsidR="00652F81" w:rsidRPr="00D9172B" w:rsidTr="00652F81">
        <w:trPr>
          <w:trHeight w:val="255"/>
        </w:trPr>
        <w:tc>
          <w:tcPr>
            <w:tcW w:w="960" w:type="dxa"/>
            <w:tcBorders>
              <w:top w:val="single" w:sz="8" w:space="0" w:color="auto"/>
            </w:tcBorders>
            <w:noWrap/>
            <w:vAlign w:val="bottom"/>
          </w:tcPr>
          <w:p w:rsidR="00652F81" w:rsidRPr="00D9172B" w:rsidRDefault="00652F81" w:rsidP="00652F81">
            <w:pPr>
              <w:rPr>
                <w:rFonts w:ascii="Tahoma" w:hAnsi="Tahoma" w:cs="Tahoma"/>
                <w:b/>
                <w:bCs/>
              </w:rPr>
            </w:pPr>
            <w:r w:rsidRPr="00D9172B">
              <w:rPr>
                <w:rFonts w:ascii="Tahoma" w:hAnsi="Tahoma" w:cs="Tahoma"/>
                <w:b/>
                <w:bCs/>
              </w:rPr>
              <w:t>EU27</w:t>
            </w:r>
          </w:p>
        </w:tc>
        <w:tc>
          <w:tcPr>
            <w:tcW w:w="960" w:type="dxa"/>
            <w:tcBorders>
              <w:top w:val="single" w:sz="8" w:space="0" w:color="auto"/>
            </w:tcBorders>
            <w:noWrap/>
            <w:vAlign w:val="bottom"/>
          </w:tcPr>
          <w:p w:rsidR="00652F81" w:rsidRPr="005E71A3" w:rsidRDefault="00652F81" w:rsidP="00652F81">
            <w:pPr>
              <w:jc w:val="right"/>
              <w:rPr>
                <w:rFonts w:ascii="Tahoma" w:hAnsi="Tahoma" w:cs="Tahoma"/>
              </w:rPr>
            </w:pPr>
            <w:r w:rsidRPr="005E71A3">
              <w:rPr>
                <w:rFonts w:ascii="Tahoma" w:hAnsi="Tahoma" w:cs="Tahoma"/>
              </w:rPr>
              <w:t>13,2</w:t>
            </w:r>
          </w:p>
        </w:tc>
        <w:tc>
          <w:tcPr>
            <w:tcW w:w="960" w:type="dxa"/>
            <w:tcBorders>
              <w:top w:val="single" w:sz="8" w:space="0" w:color="auto"/>
            </w:tcBorders>
            <w:noWrap/>
            <w:vAlign w:val="bottom"/>
          </w:tcPr>
          <w:p w:rsidR="00652F81" w:rsidRPr="005E71A3" w:rsidRDefault="00652F81" w:rsidP="00652F81">
            <w:pPr>
              <w:jc w:val="right"/>
              <w:rPr>
                <w:rFonts w:ascii="Tahoma" w:hAnsi="Tahoma" w:cs="Tahoma"/>
              </w:rPr>
            </w:pPr>
            <w:r w:rsidRPr="005E71A3">
              <w:rPr>
                <w:rFonts w:ascii="Tahoma" w:hAnsi="Tahoma" w:cs="Tahoma"/>
              </w:rPr>
              <w:t>12,9</w:t>
            </w:r>
          </w:p>
        </w:tc>
        <w:tc>
          <w:tcPr>
            <w:tcW w:w="960" w:type="dxa"/>
            <w:tcBorders>
              <w:top w:val="single" w:sz="8" w:space="0" w:color="auto"/>
            </w:tcBorders>
            <w:noWrap/>
            <w:vAlign w:val="bottom"/>
          </w:tcPr>
          <w:p w:rsidR="00652F81" w:rsidRPr="005E71A3" w:rsidRDefault="00652F81" w:rsidP="00652F81">
            <w:pPr>
              <w:jc w:val="right"/>
              <w:rPr>
                <w:rFonts w:ascii="Tahoma" w:hAnsi="Tahoma" w:cs="Tahoma"/>
              </w:rPr>
            </w:pPr>
            <w:r w:rsidRPr="005E71A3">
              <w:rPr>
                <w:rFonts w:ascii="Tahoma" w:hAnsi="Tahoma" w:cs="Tahoma"/>
              </w:rPr>
              <w:t>12,1</w:t>
            </w:r>
          </w:p>
        </w:tc>
        <w:tc>
          <w:tcPr>
            <w:tcW w:w="960" w:type="dxa"/>
            <w:tcBorders>
              <w:top w:val="single" w:sz="8" w:space="0" w:color="auto"/>
            </w:tcBorders>
            <w:noWrap/>
            <w:vAlign w:val="bottom"/>
          </w:tcPr>
          <w:p w:rsidR="00652F81" w:rsidRPr="005E71A3" w:rsidRDefault="00652F81" w:rsidP="00652F81">
            <w:pPr>
              <w:jc w:val="right"/>
              <w:rPr>
                <w:rFonts w:ascii="Tahoma" w:hAnsi="Tahoma" w:cs="Tahoma"/>
              </w:rPr>
            </w:pPr>
            <w:r w:rsidRPr="005E71A3">
              <w:rPr>
                <w:rFonts w:ascii="Tahoma" w:hAnsi="Tahoma" w:cs="Tahoma"/>
              </w:rPr>
              <w:t>11,9</w:t>
            </w:r>
          </w:p>
        </w:tc>
        <w:tc>
          <w:tcPr>
            <w:tcW w:w="960" w:type="dxa"/>
            <w:tcBorders>
              <w:top w:val="single" w:sz="8" w:space="0" w:color="auto"/>
            </w:tcBorders>
            <w:noWrap/>
            <w:vAlign w:val="bottom"/>
          </w:tcPr>
          <w:p w:rsidR="00652F81" w:rsidRPr="005E71A3" w:rsidRDefault="00652F81" w:rsidP="00652F81">
            <w:pPr>
              <w:jc w:val="right"/>
              <w:rPr>
                <w:rFonts w:ascii="Tahoma" w:hAnsi="Tahoma" w:cs="Tahoma"/>
              </w:rPr>
            </w:pPr>
            <w:r w:rsidRPr="005E71A3">
              <w:rPr>
                <w:rFonts w:ascii="Tahoma" w:hAnsi="Tahoma" w:cs="Tahoma"/>
              </w:rPr>
              <w:t>11,4</w:t>
            </w:r>
          </w:p>
        </w:tc>
        <w:tc>
          <w:tcPr>
            <w:tcW w:w="960" w:type="dxa"/>
            <w:tcBorders>
              <w:top w:val="single" w:sz="8" w:space="0" w:color="auto"/>
            </w:tcBorders>
            <w:noWrap/>
            <w:vAlign w:val="bottom"/>
          </w:tcPr>
          <w:p w:rsidR="00652F81" w:rsidRPr="005E71A3" w:rsidRDefault="00652F81" w:rsidP="00652F81">
            <w:pPr>
              <w:jc w:val="right"/>
              <w:rPr>
                <w:rFonts w:ascii="Tahoma" w:hAnsi="Tahoma" w:cs="Tahoma"/>
              </w:rPr>
            </w:pPr>
            <w:r w:rsidRPr="005E71A3">
              <w:rPr>
                <w:rFonts w:ascii="Tahoma" w:hAnsi="Tahoma" w:cs="Tahoma"/>
              </w:rPr>
              <w:t>11,1</w:t>
            </w:r>
          </w:p>
        </w:tc>
        <w:tc>
          <w:tcPr>
            <w:tcW w:w="960" w:type="dxa"/>
            <w:tcBorders>
              <w:top w:val="single" w:sz="8" w:space="0" w:color="auto"/>
            </w:tcBorders>
            <w:noWrap/>
            <w:vAlign w:val="bottom"/>
          </w:tcPr>
          <w:p w:rsidR="00652F81" w:rsidRPr="005E71A3" w:rsidRDefault="00652F81" w:rsidP="00652F81">
            <w:pPr>
              <w:jc w:val="right"/>
              <w:rPr>
                <w:rFonts w:ascii="Tahoma" w:hAnsi="Tahoma" w:cs="Tahoma"/>
              </w:rPr>
            </w:pPr>
            <w:r w:rsidRPr="005E71A3">
              <w:rPr>
                <w:rFonts w:ascii="Tahoma" w:hAnsi="Tahoma" w:cs="Tahoma"/>
              </w:rPr>
              <w:t>11,3</w:t>
            </w:r>
          </w:p>
        </w:tc>
        <w:tc>
          <w:tcPr>
            <w:tcW w:w="960" w:type="dxa"/>
            <w:tcBorders>
              <w:top w:val="single" w:sz="8" w:space="0" w:color="auto"/>
            </w:tcBorders>
            <w:noWrap/>
            <w:vAlign w:val="bottom"/>
          </w:tcPr>
          <w:p w:rsidR="00652F81" w:rsidRPr="005E71A3" w:rsidRDefault="00652F81" w:rsidP="00652F81">
            <w:pPr>
              <w:jc w:val="right"/>
              <w:rPr>
                <w:rFonts w:ascii="Tahoma" w:hAnsi="Tahoma" w:cs="Tahoma"/>
              </w:rPr>
            </w:pPr>
            <w:r w:rsidRPr="005E71A3">
              <w:rPr>
                <w:rFonts w:ascii="Tahoma" w:hAnsi="Tahoma" w:cs="Tahoma"/>
              </w:rPr>
              <w:t>11,8</w:t>
            </w:r>
          </w:p>
        </w:tc>
        <w:tc>
          <w:tcPr>
            <w:tcW w:w="960" w:type="dxa"/>
            <w:tcBorders>
              <w:top w:val="single" w:sz="8" w:space="0" w:color="auto"/>
            </w:tcBorders>
            <w:noWrap/>
            <w:vAlign w:val="bottom"/>
          </w:tcPr>
          <w:p w:rsidR="00652F81" w:rsidRPr="005E71A3" w:rsidRDefault="00652F81" w:rsidP="00652F81">
            <w:pPr>
              <w:jc w:val="right"/>
              <w:rPr>
                <w:rFonts w:ascii="Tahoma" w:hAnsi="Tahoma" w:cs="Tahoma"/>
              </w:rPr>
            </w:pPr>
            <w:r w:rsidRPr="005E71A3">
              <w:rPr>
                <w:rFonts w:ascii="Tahoma" w:hAnsi="Tahoma" w:cs="Tahoma"/>
              </w:rPr>
              <w:t>11,9</w:t>
            </w:r>
          </w:p>
        </w:tc>
      </w:tr>
      <w:tr w:rsidR="00652F81" w:rsidRPr="00D9172B" w:rsidTr="00652F81">
        <w:trPr>
          <w:trHeight w:val="255"/>
        </w:trPr>
        <w:tc>
          <w:tcPr>
            <w:tcW w:w="960" w:type="dxa"/>
            <w:noWrap/>
            <w:vAlign w:val="bottom"/>
          </w:tcPr>
          <w:p w:rsidR="00652F81" w:rsidRPr="00D9172B" w:rsidRDefault="00652F81" w:rsidP="00652F81">
            <w:pPr>
              <w:rPr>
                <w:rFonts w:ascii="Tahoma" w:hAnsi="Tahoma" w:cs="Tahoma"/>
                <w:b/>
                <w:bCs/>
              </w:rPr>
            </w:pPr>
            <w:r w:rsidRPr="00D9172B">
              <w:rPr>
                <w:rFonts w:ascii="Tahoma" w:hAnsi="Tahoma" w:cs="Tahoma"/>
                <w:b/>
                <w:bCs/>
              </w:rPr>
              <w:t>EU25</w:t>
            </w:r>
          </w:p>
        </w:tc>
        <w:tc>
          <w:tcPr>
            <w:tcW w:w="960" w:type="dxa"/>
            <w:noWrap/>
            <w:vAlign w:val="bottom"/>
          </w:tcPr>
          <w:p w:rsidR="00652F81" w:rsidRPr="005E71A3" w:rsidRDefault="00652F81" w:rsidP="00652F81">
            <w:pPr>
              <w:jc w:val="right"/>
              <w:rPr>
                <w:rFonts w:ascii="Tahoma" w:hAnsi="Tahoma" w:cs="Tahoma"/>
              </w:rPr>
            </w:pPr>
            <w:r>
              <w:rPr>
                <w:rFonts w:ascii="Tahoma" w:hAnsi="Tahoma" w:cs="Tahoma"/>
              </w:rPr>
              <w:t>:</w:t>
            </w:r>
          </w:p>
        </w:tc>
        <w:tc>
          <w:tcPr>
            <w:tcW w:w="960" w:type="dxa"/>
            <w:noWrap/>
            <w:vAlign w:val="bottom"/>
          </w:tcPr>
          <w:p w:rsidR="00652F81" w:rsidRPr="005E71A3" w:rsidRDefault="00652F81" w:rsidP="00652F81">
            <w:pPr>
              <w:jc w:val="right"/>
              <w:rPr>
                <w:rFonts w:ascii="Tahoma" w:hAnsi="Tahoma" w:cs="Tahoma"/>
              </w:rPr>
            </w:pPr>
            <w:r>
              <w:rPr>
                <w:rFonts w:ascii="Tahoma" w:hAnsi="Tahoma" w:cs="Tahoma"/>
              </w:rPr>
              <w:t>:</w:t>
            </w:r>
          </w:p>
        </w:tc>
        <w:tc>
          <w:tcPr>
            <w:tcW w:w="960" w:type="dxa"/>
            <w:noWrap/>
            <w:vAlign w:val="bottom"/>
          </w:tcPr>
          <w:p w:rsidR="00652F81" w:rsidRPr="005E71A3" w:rsidRDefault="00652F81" w:rsidP="00652F81">
            <w:pPr>
              <w:jc w:val="right"/>
              <w:rPr>
                <w:rFonts w:ascii="Tahoma" w:hAnsi="Tahoma" w:cs="Tahoma"/>
              </w:rPr>
            </w:pPr>
            <w:r>
              <w:rPr>
                <w:rFonts w:ascii="Tahoma" w:hAnsi="Tahoma" w:cs="Tahoma"/>
              </w:rPr>
              <w:t>:</w:t>
            </w:r>
          </w:p>
        </w:tc>
        <w:tc>
          <w:tcPr>
            <w:tcW w:w="960" w:type="dxa"/>
            <w:noWrap/>
            <w:vAlign w:val="bottom"/>
          </w:tcPr>
          <w:p w:rsidR="00652F81" w:rsidRPr="005E71A3" w:rsidRDefault="00652F81" w:rsidP="00652F81">
            <w:pPr>
              <w:jc w:val="right"/>
              <w:rPr>
                <w:rFonts w:ascii="Tahoma" w:hAnsi="Tahoma" w:cs="Tahoma"/>
              </w:rPr>
            </w:pPr>
            <w:r>
              <w:rPr>
                <w:rFonts w:ascii="Tahoma" w:hAnsi="Tahoma" w:cs="Tahoma"/>
              </w:rPr>
              <w:t>:</w:t>
            </w:r>
          </w:p>
        </w:tc>
        <w:tc>
          <w:tcPr>
            <w:tcW w:w="960" w:type="dxa"/>
            <w:noWrap/>
            <w:vAlign w:val="bottom"/>
          </w:tcPr>
          <w:p w:rsidR="00652F81" w:rsidRPr="005E71A3" w:rsidRDefault="00652F81" w:rsidP="00652F81">
            <w:pPr>
              <w:jc w:val="right"/>
              <w:rPr>
                <w:rFonts w:ascii="Tahoma" w:hAnsi="Tahoma" w:cs="Tahoma"/>
              </w:rPr>
            </w:pPr>
            <w:r>
              <w:rPr>
                <w:rFonts w:ascii="Tahoma" w:hAnsi="Tahoma" w:cs="Tahoma"/>
              </w:rPr>
              <w:t>:</w:t>
            </w:r>
          </w:p>
        </w:tc>
        <w:tc>
          <w:tcPr>
            <w:tcW w:w="960" w:type="dxa"/>
            <w:noWrap/>
            <w:vAlign w:val="bottom"/>
          </w:tcPr>
          <w:p w:rsidR="00652F81" w:rsidRPr="005E71A3" w:rsidRDefault="00652F81" w:rsidP="00652F81">
            <w:pPr>
              <w:jc w:val="right"/>
              <w:rPr>
                <w:rFonts w:ascii="Tahoma" w:hAnsi="Tahoma" w:cs="Tahoma"/>
              </w:rPr>
            </w:pPr>
            <w:r>
              <w:rPr>
                <w:rFonts w:ascii="Tahoma" w:hAnsi="Tahoma" w:cs="Tahoma"/>
              </w:rPr>
              <w:t>:</w:t>
            </w:r>
          </w:p>
        </w:tc>
        <w:tc>
          <w:tcPr>
            <w:tcW w:w="960" w:type="dxa"/>
            <w:noWrap/>
            <w:vAlign w:val="bottom"/>
          </w:tcPr>
          <w:p w:rsidR="00652F81" w:rsidRPr="005E71A3" w:rsidRDefault="00652F81" w:rsidP="00652F81">
            <w:pPr>
              <w:jc w:val="right"/>
              <w:rPr>
                <w:rFonts w:ascii="Tahoma" w:hAnsi="Tahoma" w:cs="Tahoma"/>
              </w:rPr>
            </w:pPr>
            <w:r>
              <w:rPr>
                <w:rFonts w:ascii="Tahoma" w:hAnsi="Tahoma" w:cs="Tahoma"/>
              </w:rPr>
              <w:t>:</w:t>
            </w:r>
          </w:p>
        </w:tc>
        <w:tc>
          <w:tcPr>
            <w:tcW w:w="960" w:type="dxa"/>
            <w:noWrap/>
            <w:vAlign w:val="bottom"/>
          </w:tcPr>
          <w:p w:rsidR="00652F81" w:rsidRPr="005E71A3" w:rsidRDefault="00652F81" w:rsidP="00652F81">
            <w:pPr>
              <w:jc w:val="right"/>
              <w:rPr>
                <w:rFonts w:ascii="Tahoma" w:hAnsi="Tahoma" w:cs="Tahoma"/>
              </w:rPr>
            </w:pPr>
            <w:r>
              <w:rPr>
                <w:rFonts w:ascii="Tahoma" w:hAnsi="Tahoma" w:cs="Tahoma"/>
              </w:rPr>
              <w:t>:</w:t>
            </w:r>
          </w:p>
        </w:tc>
        <w:tc>
          <w:tcPr>
            <w:tcW w:w="960" w:type="dxa"/>
            <w:noWrap/>
            <w:vAlign w:val="bottom"/>
          </w:tcPr>
          <w:p w:rsidR="00652F81" w:rsidRPr="005E71A3" w:rsidRDefault="00652F81" w:rsidP="00652F81">
            <w:pPr>
              <w:jc w:val="right"/>
              <w:rPr>
                <w:rFonts w:ascii="Tahoma" w:hAnsi="Tahoma" w:cs="Tahoma"/>
              </w:rPr>
            </w:pPr>
            <w:r>
              <w:rPr>
                <w:rFonts w:ascii="Tahoma" w:hAnsi="Tahoma" w:cs="Tahoma"/>
              </w:rPr>
              <w:t>:</w:t>
            </w:r>
          </w:p>
        </w:tc>
      </w:tr>
      <w:tr w:rsidR="00652F81" w:rsidRPr="00D9172B" w:rsidTr="00652F81">
        <w:trPr>
          <w:trHeight w:val="255"/>
        </w:trPr>
        <w:tc>
          <w:tcPr>
            <w:tcW w:w="960" w:type="dxa"/>
            <w:noWrap/>
            <w:vAlign w:val="bottom"/>
          </w:tcPr>
          <w:p w:rsidR="00652F81" w:rsidRPr="00D9172B" w:rsidRDefault="00652F81" w:rsidP="00652F81">
            <w:pPr>
              <w:rPr>
                <w:rFonts w:ascii="Tahoma" w:hAnsi="Tahoma" w:cs="Tahoma"/>
                <w:b/>
                <w:bCs/>
              </w:rPr>
            </w:pPr>
            <w:r w:rsidRPr="00D9172B">
              <w:rPr>
                <w:rFonts w:ascii="Tahoma" w:hAnsi="Tahoma" w:cs="Tahoma"/>
                <w:b/>
                <w:bCs/>
              </w:rPr>
              <w:t>EU15</w:t>
            </w:r>
          </w:p>
        </w:tc>
        <w:tc>
          <w:tcPr>
            <w:tcW w:w="960" w:type="dxa"/>
            <w:noWrap/>
            <w:vAlign w:val="bottom"/>
          </w:tcPr>
          <w:p w:rsidR="00652F81" w:rsidRPr="005E71A3" w:rsidRDefault="00652F81" w:rsidP="00652F81">
            <w:pPr>
              <w:jc w:val="right"/>
              <w:rPr>
                <w:rFonts w:ascii="Tahoma" w:hAnsi="Tahoma" w:cs="Tahoma"/>
              </w:rPr>
            </w:pPr>
            <w:r w:rsidRPr="005E71A3">
              <w:rPr>
                <w:rFonts w:ascii="Tahoma" w:hAnsi="Tahoma" w:cs="Tahoma"/>
              </w:rPr>
              <w:t>12,4</w:t>
            </w:r>
          </w:p>
        </w:tc>
        <w:tc>
          <w:tcPr>
            <w:tcW w:w="960" w:type="dxa"/>
            <w:noWrap/>
            <w:vAlign w:val="bottom"/>
          </w:tcPr>
          <w:p w:rsidR="00652F81" w:rsidRPr="005E71A3" w:rsidRDefault="00652F81" w:rsidP="00652F81">
            <w:pPr>
              <w:jc w:val="right"/>
              <w:rPr>
                <w:rFonts w:ascii="Tahoma" w:hAnsi="Tahoma" w:cs="Tahoma"/>
              </w:rPr>
            </w:pPr>
            <w:r w:rsidRPr="005E71A3">
              <w:rPr>
                <w:rFonts w:ascii="Tahoma" w:hAnsi="Tahoma" w:cs="Tahoma"/>
              </w:rPr>
              <w:t>11,8</w:t>
            </w:r>
          </w:p>
        </w:tc>
        <w:tc>
          <w:tcPr>
            <w:tcW w:w="960" w:type="dxa"/>
            <w:noWrap/>
            <w:vAlign w:val="bottom"/>
          </w:tcPr>
          <w:p w:rsidR="00652F81" w:rsidRPr="005E71A3" w:rsidRDefault="00652F81" w:rsidP="00652F81">
            <w:pPr>
              <w:jc w:val="right"/>
              <w:rPr>
                <w:rFonts w:ascii="Tahoma" w:hAnsi="Tahoma" w:cs="Tahoma"/>
              </w:rPr>
            </w:pPr>
            <w:r w:rsidRPr="005E71A3">
              <w:rPr>
                <w:rFonts w:ascii="Tahoma" w:hAnsi="Tahoma" w:cs="Tahoma"/>
              </w:rPr>
              <w:t>11</w:t>
            </w:r>
          </w:p>
        </w:tc>
        <w:tc>
          <w:tcPr>
            <w:tcW w:w="960" w:type="dxa"/>
            <w:noWrap/>
            <w:vAlign w:val="bottom"/>
          </w:tcPr>
          <w:p w:rsidR="00652F81" w:rsidRPr="005E71A3" w:rsidRDefault="00652F81" w:rsidP="00652F81">
            <w:pPr>
              <w:jc w:val="right"/>
              <w:rPr>
                <w:rFonts w:ascii="Tahoma" w:hAnsi="Tahoma" w:cs="Tahoma"/>
              </w:rPr>
            </w:pPr>
            <w:r w:rsidRPr="005E71A3">
              <w:rPr>
                <w:rFonts w:ascii="Tahoma" w:hAnsi="Tahoma" w:cs="Tahoma"/>
              </w:rPr>
              <w:t>10,8</w:t>
            </w:r>
          </w:p>
        </w:tc>
        <w:tc>
          <w:tcPr>
            <w:tcW w:w="960" w:type="dxa"/>
            <w:noWrap/>
            <w:vAlign w:val="bottom"/>
          </w:tcPr>
          <w:p w:rsidR="00652F81" w:rsidRPr="005E71A3" w:rsidRDefault="00652F81" w:rsidP="00652F81">
            <w:pPr>
              <w:jc w:val="right"/>
              <w:rPr>
                <w:rFonts w:ascii="Tahoma" w:hAnsi="Tahoma" w:cs="Tahoma"/>
              </w:rPr>
            </w:pPr>
            <w:r w:rsidRPr="005E71A3">
              <w:rPr>
                <w:rFonts w:ascii="Tahoma" w:hAnsi="Tahoma" w:cs="Tahoma"/>
              </w:rPr>
              <w:t>10,6</w:t>
            </w:r>
          </w:p>
        </w:tc>
        <w:tc>
          <w:tcPr>
            <w:tcW w:w="960" w:type="dxa"/>
            <w:noWrap/>
            <w:vAlign w:val="bottom"/>
          </w:tcPr>
          <w:p w:rsidR="00652F81" w:rsidRPr="005E71A3" w:rsidRDefault="00652F81" w:rsidP="00652F81">
            <w:pPr>
              <w:jc w:val="right"/>
              <w:rPr>
                <w:rFonts w:ascii="Tahoma" w:hAnsi="Tahoma" w:cs="Tahoma"/>
              </w:rPr>
            </w:pPr>
            <w:r w:rsidRPr="005E71A3">
              <w:rPr>
                <w:rFonts w:ascii="Tahoma" w:hAnsi="Tahoma" w:cs="Tahoma"/>
              </w:rPr>
              <w:t>10,6</w:t>
            </w:r>
          </w:p>
        </w:tc>
        <w:tc>
          <w:tcPr>
            <w:tcW w:w="960" w:type="dxa"/>
            <w:noWrap/>
            <w:vAlign w:val="bottom"/>
          </w:tcPr>
          <w:p w:rsidR="00652F81" w:rsidRPr="005E71A3" w:rsidRDefault="00652F81" w:rsidP="00652F81">
            <w:pPr>
              <w:jc w:val="right"/>
              <w:rPr>
                <w:rFonts w:ascii="Tahoma" w:hAnsi="Tahoma" w:cs="Tahoma"/>
              </w:rPr>
            </w:pPr>
            <w:r w:rsidRPr="005E71A3">
              <w:rPr>
                <w:rFonts w:ascii="Tahoma" w:hAnsi="Tahoma" w:cs="Tahoma"/>
              </w:rPr>
              <w:t>11,1</w:t>
            </w:r>
          </w:p>
        </w:tc>
        <w:tc>
          <w:tcPr>
            <w:tcW w:w="960" w:type="dxa"/>
            <w:noWrap/>
            <w:vAlign w:val="bottom"/>
          </w:tcPr>
          <w:p w:rsidR="00652F81" w:rsidRPr="005E71A3" w:rsidRDefault="00652F81" w:rsidP="00652F81">
            <w:pPr>
              <w:jc w:val="right"/>
              <w:rPr>
                <w:rFonts w:ascii="Tahoma" w:hAnsi="Tahoma" w:cs="Tahoma"/>
              </w:rPr>
            </w:pPr>
            <w:r w:rsidRPr="005E71A3">
              <w:rPr>
                <w:rFonts w:ascii="Tahoma" w:hAnsi="Tahoma" w:cs="Tahoma"/>
              </w:rPr>
              <w:t>11,9</w:t>
            </w:r>
          </w:p>
        </w:tc>
        <w:tc>
          <w:tcPr>
            <w:tcW w:w="960" w:type="dxa"/>
            <w:noWrap/>
            <w:vAlign w:val="bottom"/>
          </w:tcPr>
          <w:p w:rsidR="00652F81" w:rsidRPr="005E71A3" w:rsidRDefault="00652F81" w:rsidP="00652F81">
            <w:pPr>
              <w:jc w:val="right"/>
              <w:rPr>
                <w:rFonts w:ascii="Tahoma" w:hAnsi="Tahoma" w:cs="Tahoma"/>
              </w:rPr>
            </w:pPr>
            <w:r w:rsidRPr="005E71A3">
              <w:rPr>
                <w:rFonts w:ascii="Tahoma" w:hAnsi="Tahoma" w:cs="Tahoma"/>
              </w:rPr>
              <w:t>12,1</w:t>
            </w:r>
          </w:p>
        </w:tc>
      </w:tr>
      <w:tr w:rsidR="00652F81" w:rsidRPr="00D9172B" w:rsidTr="00652F81">
        <w:trPr>
          <w:trHeight w:val="255"/>
        </w:trPr>
        <w:tc>
          <w:tcPr>
            <w:tcW w:w="960" w:type="dxa"/>
            <w:noWrap/>
            <w:vAlign w:val="bottom"/>
          </w:tcPr>
          <w:p w:rsidR="00652F81" w:rsidRPr="005E71A3" w:rsidRDefault="00652F81" w:rsidP="00652F81">
            <w:pPr>
              <w:rPr>
                <w:rFonts w:ascii="Tahoma" w:hAnsi="Tahoma" w:cs="Tahoma"/>
                <w:b/>
                <w:bCs/>
                <w:vertAlign w:val="superscript"/>
              </w:rPr>
            </w:pPr>
            <w:r>
              <w:rPr>
                <w:rFonts w:ascii="Tahoma" w:hAnsi="Tahoma" w:cs="Tahoma"/>
                <w:b/>
                <w:bCs/>
              </w:rPr>
              <w:t>EA17</w:t>
            </w:r>
          </w:p>
        </w:tc>
        <w:tc>
          <w:tcPr>
            <w:tcW w:w="960" w:type="dxa"/>
            <w:noWrap/>
            <w:vAlign w:val="bottom"/>
          </w:tcPr>
          <w:p w:rsidR="00652F81" w:rsidRPr="005E71A3" w:rsidRDefault="00652F81" w:rsidP="00652F81">
            <w:pPr>
              <w:jc w:val="right"/>
              <w:rPr>
                <w:rFonts w:ascii="Tahoma" w:hAnsi="Tahoma" w:cs="Tahoma"/>
              </w:rPr>
            </w:pPr>
            <w:r>
              <w:rPr>
                <w:rFonts w:ascii="Tahoma" w:hAnsi="Tahoma" w:cs="Tahoma"/>
              </w:rPr>
              <w:t>:</w:t>
            </w:r>
          </w:p>
        </w:tc>
        <w:tc>
          <w:tcPr>
            <w:tcW w:w="960" w:type="dxa"/>
            <w:noWrap/>
            <w:vAlign w:val="bottom"/>
          </w:tcPr>
          <w:p w:rsidR="00652F81" w:rsidRPr="005E71A3" w:rsidRDefault="00652F81" w:rsidP="00652F81">
            <w:pPr>
              <w:jc w:val="right"/>
              <w:rPr>
                <w:rFonts w:ascii="Tahoma" w:hAnsi="Tahoma" w:cs="Tahoma"/>
              </w:rPr>
            </w:pPr>
            <w:r>
              <w:rPr>
                <w:rFonts w:ascii="Tahoma" w:hAnsi="Tahoma" w:cs="Tahoma"/>
              </w:rPr>
              <w:t>:</w:t>
            </w:r>
          </w:p>
        </w:tc>
        <w:tc>
          <w:tcPr>
            <w:tcW w:w="960" w:type="dxa"/>
            <w:noWrap/>
            <w:vAlign w:val="bottom"/>
          </w:tcPr>
          <w:p w:rsidR="00652F81" w:rsidRPr="005E71A3" w:rsidRDefault="00652F81" w:rsidP="00652F81">
            <w:pPr>
              <w:jc w:val="right"/>
              <w:rPr>
                <w:rFonts w:ascii="Tahoma" w:hAnsi="Tahoma" w:cs="Tahoma"/>
              </w:rPr>
            </w:pPr>
            <w:r>
              <w:rPr>
                <w:rFonts w:ascii="Tahoma" w:hAnsi="Tahoma" w:cs="Tahoma"/>
              </w:rPr>
              <w:t>:</w:t>
            </w:r>
          </w:p>
        </w:tc>
        <w:tc>
          <w:tcPr>
            <w:tcW w:w="960" w:type="dxa"/>
            <w:noWrap/>
            <w:vAlign w:val="bottom"/>
          </w:tcPr>
          <w:p w:rsidR="00652F81" w:rsidRPr="005E71A3" w:rsidRDefault="00652F81" w:rsidP="00652F81">
            <w:pPr>
              <w:jc w:val="right"/>
              <w:rPr>
                <w:rFonts w:ascii="Tahoma" w:hAnsi="Tahoma" w:cs="Tahoma"/>
              </w:rPr>
            </w:pPr>
            <w:r>
              <w:rPr>
                <w:rFonts w:ascii="Tahoma" w:hAnsi="Tahoma" w:cs="Tahoma"/>
              </w:rPr>
              <w:t>:</w:t>
            </w:r>
          </w:p>
        </w:tc>
        <w:tc>
          <w:tcPr>
            <w:tcW w:w="960" w:type="dxa"/>
            <w:noWrap/>
            <w:vAlign w:val="bottom"/>
          </w:tcPr>
          <w:p w:rsidR="00652F81" w:rsidRPr="005E71A3" w:rsidRDefault="00652F81" w:rsidP="00652F81">
            <w:pPr>
              <w:jc w:val="right"/>
              <w:rPr>
                <w:rFonts w:ascii="Tahoma" w:hAnsi="Tahoma" w:cs="Tahoma"/>
              </w:rPr>
            </w:pPr>
            <w:r>
              <w:rPr>
                <w:rFonts w:ascii="Tahoma" w:hAnsi="Tahoma" w:cs="Tahoma"/>
              </w:rPr>
              <w:t>:</w:t>
            </w:r>
          </w:p>
        </w:tc>
        <w:tc>
          <w:tcPr>
            <w:tcW w:w="960" w:type="dxa"/>
            <w:noWrap/>
            <w:vAlign w:val="bottom"/>
          </w:tcPr>
          <w:p w:rsidR="00652F81" w:rsidRPr="005E71A3" w:rsidRDefault="00652F81" w:rsidP="00652F81">
            <w:pPr>
              <w:jc w:val="right"/>
              <w:rPr>
                <w:rFonts w:ascii="Tahoma" w:hAnsi="Tahoma" w:cs="Tahoma"/>
              </w:rPr>
            </w:pPr>
            <w:r>
              <w:rPr>
                <w:rFonts w:ascii="Tahoma" w:hAnsi="Tahoma" w:cs="Tahoma"/>
              </w:rPr>
              <w:t>:</w:t>
            </w:r>
          </w:p>
        </w:tc>
        <w:tc>
          <w:tcPr>
            <w:tcW w:w="960" w:type="dxa"/>
            <w:noWrap/>
            <w:vAlign w:val="bottom"/>
          </w:tcPr>
          <w:p w:rsidR="00652F81" w:rsidRPr="005E71A3" w:rsidRDefault="00652F81" w:rsidP="00652F81">
            <w:pPr>
              <w:jc w:val="right"/>
              <w:rPr>
                <w:rFonts w:ascii="Tahoma" w:hAnsi="Tahoma" w:cs="Tahoma"/>
              </w:rPr>
            </w:pPr>
            <w:r>
              <w:rPr>
                <w:rFonts w:ascii="Tahoma" w:hAnsi="Tahoma" w:cs="Tahoma"/>
              </w:rPr>
              <w:t>:</w:t>
            </w:r>
          </w:p>
        </w:tc>
        <w:tc>
          <w:tcPr>
            <w:tcW w:w="960" w:type="dxa"/>
            <w:noWrap/>
            <w:vAlign w:val="bottom"/>
          </w:tcPr>
          <w:p w:rsidR="00652F81" w:rsidRPr="005E71A3" w:rsidRDefault="00652F81" w:rsidP="00652F81">
            <w:pPr>
              <w:jc w:val="right"/>
              <w:rPr>
                <w:rFonts w:ascii="Tahoma" w:hAnsi="Tahoma" w:cs="Tahoma"/>
              </w:rPr>
            </w:pPr>
            <w:r>
              <w:rPr>
                <w:rFonts w:ascii="Tahoma" w:hAnsi="Tahoma" w:cs="Tahoma"/>
              </w:rPr>
              <w:t>:</w:t>
            </w:r>
          </w:p>
        </w:tc>
        <w:tc>
          <w:tcPr>
            <w:tcW w:w="960" w:type="dxa"/>
            <w:noWrap/>
            <w:vAlign w:val="bottom"/>
          </w:tcPr>
          <w:p w:rsidR="00652F81" w:rsidRPr="005E71A3" w:rsidRDefault="00652F81" w:rsidP="00652F81">
            <w:pPr>
              <w:jc w:val="right"/>
              <w:rPr>
                <w:rFonts w:ascii="Tahoma" w:hAnsi="Tahoma" w:cs="Tahoma"/>
              </w:rPr>
            </w:pPr>
            <w:r>
              <w:rPr>
                <w:rFonts w:ascii="Tahoma" w:hAnsi="Tahoma" w:cs="Tahoma"/>
              </w:rPr>
              <w:t>:</w:t>
            </w:r>
          </w:p>
        </w:tc>
      </w:tr>
      <w:tr w:rsidR="00652F81" w:rsidRPr="00D9172B" w:rsidTr="00652F81">
        <w:trPr>
          <w:trHeight w:val="255"/>
        </w:trPr>
        <w:tc>
          <w:tcPr>
            <w:tcW w:w="960" w:type="dxa"/>
            <w:noWrap/>
            <w:vAlign w:val="bottom"/>
          </w:tcPr>
          <w:p w:rsidR="00652F81" w:rsidRPr="00D9172B" w:rsidRDefault="00652F81" w:rsidP="00652F81">
            <w:pPr>
              <w:rPr>
                <w:rFonts w:ascii="Tahoma" w:hAnsi="Tahoma" w:cs="Tahoma"/>
                <w:b/>
                <w:bCs/>
              </w:rPr>
            </w:pPr>
            <w:r w:rsidRPr="00D9172B">
              <w:rPr>
                <w:rFonts w:ascii="Tahoma" w:hAnsi="Tahoma" w:cs="Tahoma"/>
                <w:b/>
                <w:bCs/>
              </w:rPr>
              <w:t>EL</w:t>
            </w:r>
          </w:p>
        </w:tc>
        <w:tc>
          <w:tcPr>
            <w:tcW w:w="960" w:type="dxa"/>
            <w:noWrap/>
            <w:vAlign w:val="bottom"/>
          </w:tcPr>
          <w:p w:rsidR="00652F81" w:rsidRPr="005E71A3" w:rsidRDefault="00652F81" w:rsidP="00652F81">
            <w:pPr>
              <w:jc w:val="right"/>
              <w:rPr>
                <w:rFonts w:ascii="Tahoma" w:hAnsi="Tahoma" w:cs="Tahoma"/>
              </w:rPr>
            </w:pPr>
            <w:r w:rsidRPr="005E71A3">
              <w:rPr>
                <w:rFonts w:ascii="Tahoma" w:hAnsi="Tahoma" w:cs="Tahoma"/>
              </w:rPr>
              <w:t>3,8</w:t>
            </w:r>
          </w:p>
        </w:tc>
        <w:tc>
          <w:tcPr>
            <w:tcW w:w="960" w:type="dxa"/>
            <w:noWrap/>
            <w:vAlign w:val="bottom"/>
          </w:tcPr>
          <w:p w:rsidR="00652F81" w:rsidRPr="005E71A3" w:rsidRDefault="00652F81" w:rsidP="00652F81">
            <w:pPr>
              <w:jc w:val="right"/>
              <w:rPr>
                <w:rFonts w:ascii="Tahoma" w:hAnsi="Tahoma" w:cs="Tahoma"/>
              </w:rPr>
            </w:pPr>
            <w:r w:rsidRPr="005E71A3">
              <w:rPr>
                <w:rFonts w:ascii="Tahoma" w:hAnsi="Tahoma" w:cs="Tahoma"/>
              </w:rPr>
              <w:t>3,2</w:t>
            </w:r>
          </w:p>
        </w:tc>
        <w:tc>
          <w:tcPr>
            <w:tcW w:w="960" w:type="dxa"/>
            <w:noWrap/>
            <w:vAlign w:val="bottom"/>
          </w:tcPr>
          <w:p w:rsidR="00652F81" w:rsidRPr="005E71A3" w:rsidRDefault="00652F81" w:rsidP="00652F81">
            <w:pPr>
              <w:jc w:val="right"/>
              <w:rPr>
                <w:rFonts w:ascii="Tahoma" w:hAnsi="Tahoma" w:cs="Tahoma"/>
              </w:rPr>
            </w:pPr>
            <w:r w:rsidRPr="005E71A3">
              <w:rPr>
                <w:rFonts w:ascii="Tahoma" w:hAnsi="Tahoma" w:cs="Tahoma"/>
              </w:rPr>
              <w:t>4,1</w:t>
            </w:r>
          </w:p>
        </w:tc>
        <w:tc>
          <w:tcPr>
            <w:tcW w:w="960" w:type="dxa"/>
            <w:noWrap/>
            <w:vAlign w:val="bottom"/>
          </w:tcPr>
          <w:p w:rsidR="00652F81" w:rsidRPr="005E71A3" w:rsidRDefault="00652F81" w:rsidP="00652F81">
            <w:pPr>
              <w:jc w:val="right"/>
              <w:rPr>
                <w:rFonts w:ascii="Tahoma" w:hAnsi="Tahoma" w:cs="Tahoma"/>
              </w:rPr>
            </w:pPr>
            <w:r w:rsidRPr="005E71A3">
              <w:rPr>
                <w:rFonts w:ascii="Tahoma" w:hAnsi="Tahoma" w:cs="Tahoma"/>
              </w:rPr>
              <w:t>4,3</w:t>
            </w:r>
          </w:p>
        </w:tc>
        <w:tc>
          <w:tcPr>
            <w:tcW w:w="960" w:type="dxa"/>
            <w:noWrap/>
            <w:vAlign w:val="bottom"/>
          </w:tcPr>
          <w:p w:rsidR="00652F81" w:rsidRPr="005E71A3" w:rsidRDefault="00652F81" w:rsidP="00652F81">
            <w:pPr>
              <w:jc w:val="right"/>
              <w:rPr>
                <w:rFonts w:ascii="Tahoma" w:hAnsi="Tahoma" w:cs="Tahoma"/>
              </w:rPr>
            </w:pPr>
            <w:r w:rsidRPr="005E71A3">
              <w:rPr>
                <w:rFonts w:ascii="Tahoma" w:hAnsi="Tahoma" w:cs="Tahoma"/>
              </w:rPr>
              <w:t>3,7</w:t>
            </w:r>
          </w:p>
        </w:tc>
        <w:tc>
          <w:tcPr>
            <w:tcW w:w="960" w:type="dxa"/>
            <w:noWrap/>
            <w:vAlign w:val="bottom"/>
          </w:tcPr>
          <w:p w:rsidR="00652F81" w:rsidRPr="005E71A3" w:rsidRDefault="00652F81" w:rsidP="00652F81">
            <w:pPr>
              <w:jc w:val="right"/>
              <w:rPr>
                <w:rFonts w:ascii="Tahoma" w:hAnsi="Tahoma" w:cs="Tahoma"/>
              </w:rPr>
            </w:pPr>
            <w:r w:rsidRPr="005E71A3">
              <w:rPr>
                <w:rFonts w:ascii="Tahoma" w:hAnsi="Tahoma" w:cs="Tahoma"/>
              </w:rPr>
              <w:t>3,5</w:t>
            </w:r>
          </w:p>
        </w:tc>
        <w:tc>
          <w:tcPr>
            <w:tcW w:w="960" w:type="dxa"/>
            <w:noWrap/>
            <w:vAlign w:val="bottom"/>
          </w:tcPr>
          <w:p w:rsidR="00652F81" w:rsidRPr="005E71A3" w:rsidRDefault="00652F81" w:rsidP="00652F81">
            <w:pPr>
              <w:jc w:val="right"/>
              <w:rPr>
                <w:rFonts w:ascii="Tahoma" w:hAnsi="Tahoma" w:cs="Tahoma"/>
              </w:rPr>
            </w:pPr>
            <w:r w:rsidRPr="005E71A3">
              <w:rPr>
                <w:rFonts w:ascii="Tahoma" w:hAnsi="Tahoma" w:cs="Tahoma"/>
              </w:rPr>
              <w:t>3,6</w:t>
            </w:r>
          </w:p>
        </w:tc>
        <w:tc>
          <w:tcPr>
            <w:tcW w:w="960" w:type="dxa"/>
            <w:noWrap/>
            <w:vAlign w:val="bottom"/>
          </w:tcPr>
          <w:p w:rsidR="00652F81" w:rsidRPr="005E71A3" w:rsidRDefault="00652F81" w:rsidP="00652F81">
            <w:pPr>
              <w:jc w:val="right"/>
              <w:rPr>
                <w:rFonts w:ascii="Tahoma" w:hAnsi="Tahoma" w:cs="Tahoma"/>
              </w:rPr>
            </w:pPr>
            <w:r w:rsidRPr="005E71A3">
              <w:rPr>
                <w:rFonts w:ascii="Tahoma" w:hAnsi="Tahoma" w:cs="Tahoma"/>
              </w:rPr>
              <w:t>3,4</w:t>
            </w:r>
          </w:p>
        </w:tc>
        <w:tc>
          <w:tcPr>
            <w:tcW w:w="960" w:type="dxa"/>
            <w:noWrap/>
            <w:vAlign w:val="bottom"/>
          </w:tcPr>
          <w:p w:rsidR="00652F81" w:rsidRPr="005E71A3" w:rsidRDefault="00652F81" w:rsidP="00652F81">
            <w:pPr>
              <w:jc w:val="right"/>
              <w:rPr>
                <w:rFonts w:ascii="Tahoma" w:hAnsi="Tahoma" w:cs="Tahoma"/>
              </w:rPr>
            </w:pPr>
            <w:r w:rsidRPr="005E71A3">
              <w:rPr>
                <w:rFonts w:ascii="Tahoma" w:hAnsi="Tahoma" w:cs="Tahoma"/>
              </w:rPr>
              <w:t>2,8</w:t>
            </w:r>
          </w:p>
        </w:tc>
      </w:tr>
    </w:tbl>
    <w:p w:rsidR="00652F81" w:rsidRPr="00BA0444" w:rsidRDefault="00652F81" w:rsidP="00652F81">
      <w:pPr>
        <w:pStyle w:val="1"/>
        <w:rPr>
          <w:rFonts w:ascii="Tahoma" w:hAnsi="Tahoma" w:cs="Tahoma"/>
          <w:b w:val="0"/>
          <w:sz w:val="18"/>
          <w:szCs w:val="18"/>
        </w:rPr>
      </w:pPr>
      <w:r w:rsidRPr="00954CD1">
        <w:rPr>
          <w:rFonts w:ascii="Tahoma" w:hAnsi="Tahoma" w:cs="Tahoma"/>
          <w:sz w:val="18"/>
          <w:szCs w:val="18"/>
        </w:rPr>
        <w:t>Πηγή:</w:t>
      </w:r>
      <w:r w:rsidRPr="006566AC">
        <w:rPr>
          <w:rFonts w:ascii="Tahoma" w:hAnsi="Tahoma" w:cs="Tahoma"/>
          <w:b w:val="0"/>
          <w:sz w:val="18"/>
          <w:szCs w:val="18"/>
        </w:rPr>
        <w:t xml:space="preserve"> </w:t>
      </w:r>
      <w:r w:rsidRPr="006566AC">
        <w:rPr>
          <w:rFonts w:ascii="Tahoma" w:hAnsi="Tahoma" w:cs="Tahoma"/>
          <w:b w:val="0"/>
          <w:sz w:val="18"/>
          <w:szCs w:val="18"/>
          <w:lang w:val="en-US"/>
        </w:rPr>
        <w:t>Eurostat</w:t>
      </w:r>
    </w:p>
    <w:p w:rsidR="00652F81" w:rsidRPr="005735CD" w:rsidRDefault="00652F81" w:rsidP="00652F81"/>
    <w:p w:rsidR="00652F81" w:rsidRPr="005735CD" w:rsidRDefault="00652F81" w:rsidP="00652F81"/>
    <w:p w:rsidR="00652F81" w:rsidRPr="005735CD" w:rsidRDefault="00652F81" w:rsidP="00652F81">
      <w:pPr>
        <w:pStyle w:val="new12"/>
        <w:sectPr w:rsidR="00652F81" w:rsidRPr="005735CD" w:rsidSect="00652F81">
          <w:footerReference w:type="default" r:id="rId93"/>
          <w:pgSz w:w="11906" w:h="16838"/>
          <w:pgMar w:top="1701" w:right="1418" w:bottom="1418" w:left="1418" w:header="720" w:footer="720" w:gutter="0"/>
          <w:cols w:space="720"/>
        </w:sectPr>
      </w:pPr>
      <w:bookmarkStart w:id="463" w:name="_Toc70767314"/>
      <w:bookmarkStart w:id="464" w:name="_Toc150308606"/>
    </w:p>
    <w:p w:rsidR="00652F81" w:rsidRDefault="00652F81" w:rsidP="00652F81">
      <w:pPr>
        <w:pStyle w:val="new12"/>
        <w:jc w:val="both"/>
      </w:pPr>
      <w:bookmarkStart w:id="465" w:name="_Toc169881548"/>
      <w:bookmarkStart w:id="466" w:name="_Toc170201894"/>
      <w:r w:rsidRPr="00294913">
        <w:rPr>
          <w:lang w:val="en-US"/>
        </w:rPr>
        <w:lastRenderedPageBreak/>
        <w:t>V</w:t>
      </w:r>
      <w:r w:rsidRPr="00294913">
        <w:t>-3α</w:t>
      </w:r>
      <w:r w:rsidRPr="00294913">
        <w:tab/>
        <w:t xml:space="preserve">Ποσοστό </w:t>
      </w:r>
      <w:r>
        <w:t>Μακροχρόνιας Α</w:t>
      </w:r>
      <w:r w:rsidRPr="00294913">
        <w:t>νεργία</w:t>
      </w:r>
      <w:bookmarkEnd w:id="463"/>
      <w:r w:rsidRPr="00294913">
        <w:t>ς</w:t>
      </w:r>
      <w:bookmarkStart w:id="467" w:name="_Toc70767315"/>
      <w:bookmarkStart w:id="468" w:name="_Toc150308607"/>
      <w:bookmarkStart w:id="469" w:name="_Toc170201895"/>
      <w:bookmarkEnd w:id="464"/>
      <w:bookmarkEnd w:id="465"/>
      <w:bookmarkEnd w:id="466"/>
      <w:r>
        <w:t xml:space="preserve"> </w:t>
      </w:r>
      <w:r w:rsidRPr="00BA0444">
        <w:t>(% των ανέργων άνω των 12 μηνών στο σύνολο του οικονομικά ενεργού πληθυσμού)</w:t>
      </w:r>
      <w:bookmarkEnd w:id="467"/>
      <w:bookmarkEnd w:id="468"/>
      <w:bookmarkEnd w:id="469"/>
      <w:r>
        <w:t xml:space="preserve"> </w:t>
      </w:r>
    </w:p>
    <w:p w:rsidR="00652F81" w:rsidRPr="00C27EEB" w:rsidRDefault="00652F81" w:rsidP="00652F81">
      <w:pPr>
        <w:pStyle w:val="new12"/>
        <w:jc w:val="both"/>
        <w:rPr>
          <w:sz w:val="10"/>
          <w:szCs w:val="10"/>
        </w:rPr>
      </w:pPr>
    </w:p>
    <w:p w:rsidR="00652F81" w:rsidRPr="003A709D" w:rsidRDefault="00652F81" w:rsidP="00652F81">
      <w:pPr>
        <w:spacing w:line="288" w:lineRule="auto"/>
        <w:jc w:val="both"/>
        <w:rPr>
          <w:rFonts w:ascii="Tahoma" w:hAnsi="Tahoma" w:cs="Tahoma"/>
        </w:rPr>
      </w:pPr>
      <w:r w:rsidRPr="003A709D">
        <w:rPr>
          <w:rFonts w:ascii="Tahoma" w:hAnsi="Tahoma" w:cs="Tahoma"/>
        </w:rPr>
        <w:t>Ως άνεργους θεωρούμε τα άτομα τουλάχιστον 15 ετών τα οποία δεν μένουν σε συλλογικές κατοικίες και δεν θα  εργαστούν ή θα ξεκινήσουν να εργάζονται τις επόμενες δυο εβδομάδες καθώς ψάχνουν για εργασία</w:t>
      </w:r>
      <w:r w:rsidR="00141B93" w:rsidRPr="00141B93">
        <w:rPr>
          <w:rFonts w:ascii="Tahoma" w:hAnsi="Tahoma" w:cs="Tahoma"/>
        </w:rPr>
        <w:t>.</w:t>
      </w:r>
      <w:r w:rsidRPr="003A709D">
        <w:rPr>
          <w:rFonts w:ascii="Tahoma" w:hAnsi="Tahoma" w:cs="Tahoma"/>
        </w:rPr>
        <w:t xml:space="preserve"> Η διάρκεια ανεργίας ορίζεται ως το χρονικό διάστημα: που ψάχνουν για εργασία (μεγαλύτερο των 12 μηνών) </w:t>
      </w:r>
    </w:p>
    <w:p w:rsidR="00652F81" w:rsidRPr="00EC2282" w:rsidRDefault="00652F81" w:rsidP="00652F81">
      <w:pPr>
        <w:rPr>
          <w:lang w:val="en-US"/>
        </w:rPr>
      </w:pPr>
      <w:r>
        <w:rPr>
          <w:noProof/>
          <w:lang w:val="en-US" w:eastAsia="en-US"/>
        </w:rPr>
        <w:drawing>
          <wp:inline distT="0" distB="0" distL="0" distR="0">
            <wp:extent cx="5391150" cy="3409950"/>
            <wp:effectExtent l="0" t="0" r="0" b="0"/>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4" cstate="print"/>
                    <a:srcRect/>
                    <a:stretch>
                      <a:fillRect/>
                    </a:stretch>
                  </pic:blipFill>
                  <pic:spPr bwMode="auto">
                    <a:xfrm>
                      <a:off x="0" y="0"/>
                      <a:ext cx="5391150" cy="3409950"/>
                    </a:xfrm>
                    <a:prstGeom prst="rect">
                      <a:avLst/>
                    </a:prstGeom>
                    <a:noFill/>
                    <a:ln w="9525">
                      <a:noFill/>
                      <a:miter lim="800000"/>
                      <a:headEnd/>
                      <a:tailEnd/>
                    </a:ln>
                  </pic:spPr>
                </pic:pic>
              </a:graphicData>
            </a:graphic>
          </wp:inline>
        </w:drawing>
      </w:r>
    </w:p>
    <w:p w:rsidR="00652F81" w:rsidRPr="00792AE4" w:rsidRDefault="00652F81" w:rsidP="00652F81">
      <w:pPr>
        <w:rPr>
          <w:rFonts w:ascii="Tahoma" w:hAnsi="Tahoma" w:cs="Tahoma"/>
          <w:lang w:val="en-US"/>
        </w:rPr>
      </w:pPr>
    </w:p>
    <w:tbl>
      <w:tblPr>
        <w:tblW w:w="9600" w:type="dxa"/>
        <w:tblBorders>
          <w:top w:val="single" w:sz="12" w:space="0" w:color="auto"/>
          <w:bottom w:val="single" w:sz="12" w:space="0" w:color="auto"/>
          <w:insideH w:val="dotted" w:sz="4" w:space="0" w:color="auto"/>
        </w:tblBorders>
        <w:tblLook w:val="00E0"/>
      </w:tblPr>
      <w:tblGrid>
        <w:gridCol w:w="960"/>
        <w:gridCol w:w="960"/>
        <w:gridCol w:w="960"/>
        <w:gridCol w:w="960"/>
        <w:gridCol w:w="960"/>
        <w:gridCol w:w="960"/>
        <w:gridCol w:w="960"/>
        <w:gridCol w:w="960"/>
        <w:gridCol w:w="960"/>
        <w:gridCol w:w="960"/>
      </w:tblGrid>
      <w:tr w:rsidR="00652F81" w:rsidRPr="00D9172B" w:rsidTr="00652F81">
        <w:trPr>
          <w:trHeight w:val="255"/>
        </w:trPr>
        <w:tc>
          <w:tcPr>
            <w:tcW w:w="960" w:type="dxa"/>
            <w:tcBorders>
              <w:top w:val="single" w:sz="12" w:space="0" w:color="auto"/>
              <w:bottom w:val="single" w:sz="4" w:space="0" w:color="auto"/>
            </w:tcBorders>
            <w:noWrap/>
          </w:tcPr>
          <w:p w:rsidR="00652F81" w:rsidRPr="00C01E38" w:rsidRDefault="00652F81" w:rsidP="00652F81">
            <w:pPr>
              <w:jc w:val="center"/>
              <w:rPr>
                <w:rFonts w:ascii="Tahoma" w:hAnsi="Tahoma" w:cs="Tahoma"/>
              </w:rPr>
            </w:pPr>
          </w:p>
        </w:tc>
        <w:tc>
          <w:tcPr>
            <w:tcW w:w="960" w:type="dxa"/>
            <w:tcBorders>
              <w:top w:val="single" w:sz="12" w:space="0" w:color="auto"/>
              <w:bottom w:val="single" w:sz="4" w:space="0" w:color="auto"/>
            </w:tcBorders>
            <w:noWrap/>
            <w:vAlign w:val="bottom"/>
          </w:tcPr>
          <w:p w:rsidR="00652F81" w:rsidRPr="00C01E38" w:rsidRDefault="00652F81" w:rsidP="00652F81">
            <w:pPr>
              <w:jc w:val="center"/>
              <w:rPr>
                <w:rFonts w:ascii="Tahoma" w:hAnsi="Tahoma" w:cs="Tahoma"/>
                <w:b/>
                <w:bCs/>
              </w:rPr>
            </w:pPr>
            <w:r w:rsidRPr="00C01E38">
              <w:rPr>
                <w:rFonts w:ascii="Tahoma" w:hAnsi="Tahoma" w:cs="Tahoma"/>
                <w:b/>
                <w:bCs/>
              </w:rPr>
              <w:t>2002</w:t>
            </w:r>
          </w:p>
        </w:tc>
        <w:tc>
          <w:tcPr>
            <w:tcW w:w="960" w:type="dxa"/>
            <w:tcBorders>
              <w:top w:val="single" w:sz="12" w:space="0" w:color="auto"/>
              <w:bottom w:val="single" w:sz="4" w:space="0" w:color="auto"/>
            </w:tcBorders>
            <w:noWrap/>
            <w:vAlign w:val="bottom"/>
          </w:tcPr>
          <w:p w:rsidR="00652F81" w:rsidRPr="00C01E38" w:rsidRDefault="00652F81" w:rsidP="00652F81">
            <w:pPr>
              <w:jc w:val="center"/>
              <w:rPr>
                <w:rFonts w:ascii="Tahoma" w:hAnsi="Tahoma" w:cs="Tahoma"/>
                <w:b/>
                <w:bCs/>
              </w:rPr>
            </w:pPr>
            <w:r w:rsidRPr="00C01E38">
              <w:rPr>
                <w:rFonts w:ascii="Tahoma" w:hAnsi="Tahoma" w:cs="Tahoma"/>
                <w:b/>
                <w:bCs/>
              </w:rPr>
              <w:t>2003</w:t>
            </w:r>
          </w:p>
        </w:tc>
        <w:tc>
          <w:tcPr>
            <w:tcW w:w="960" w:type="dxa"/>
            <w:tcBorders>
              <w:top w:val="single" w:sz="12" w:space="0" w:color="auto"/>
              <w:bottom w:val="single" w:sz="4" w:space="0" w:color="auto"/>
            </w:tcBorders>
            <w:noWrap/>
            <w:vAlign w:val="bottom"/>
          </w:tcPr>
          <w:p w:rsidR="00652F81" w:rsidRPr="00C01E38" w:rsidRDefault="00652F81" w:rsidP="00652F81">
            <w:pPr>
              <w:jc w:val="center"/>
              <w:rPr>
                <w:rFonts w:ascii="Tahoma" w:hAnsi="Tahoma" w:cs="Tahoma"/>
                <w:b/>
                <w:bCs/>
              </w:rPr>
            </w:pPr>
            <w:r w:rsidRPr="00C01E38">
              <w:rPr>
                <w:rFonts w:ascii="Tahoma" w:hAnsi="Tahoma" w:cs="Tahoma"/>
                <w:b/>
                <w:bCs/>
              </w:rPr>
              <w:t>2004</w:t>
            </w:r>
          </w:p>
        </w:tc>
        <w:tc>
          <w:tcPr>
            <w:tcW w:w="960" w:type="dxa"/>
            <w:tcBorders>
              <w:top w:val="single" w:sz="12" w:space="0" w:color="auto"/>
              <w:bottom w:val="single" w:sz="4" w:space="0" w:color="auto"/>
            </w:tcBorders>
            <w:noWrap/>
            <w:vAlign w:val="bottom"/>
          </w:tcPr>
          <w:p w:rsidR="00652F81" w:rsidRPr="00C01E38" w:rsidRDefault="00652F81" w:rsidP="00652F81">
            <w:pPr>
              <w:jc w:val="center"/>
              <w:rPr>
                <w:rFonts w:ascii="Tahoma" w:hAnsi="Tahoma" w:cs="Tahoma"/>
                <w:b/>
                <w:bCs/>
              </w:rPr>
            </w:pPr>
            <w:r w:rsidRPr="00C01E38">
              <w:rPr>
                <w:rFonts w:ascii="Tahoma" w:hAnsi="Tahoma" w:cs="Tahoma"/>
                <w:b/>
                <w:bCs/>
              </w:rPr>
              <w:t>2005</w:t>
            </w:r>
          </w:p>
        </w:tc>
        <w:tc>
          <w:tcPr>
            <w:tcW w:w="960" w:type="dxa"/>
            <w:tcBorders>
              <w:top w:val="single" w:sz="12" w:space="0" w:color="auto"/>
              <w:bottom w:val="single" w:sz="4" w:space="0" w:color="auto"/>
            </w:tcBorders>
            <w:noWrap/>
            <w:vAlign w:val="bottom"/>
          </w:tcPr>
          <w:p w:rsidR="00652F81" w:rsidRPr="00C01E38" w:rsidRDefault="00652F81" w:rsidP="00652F81">
            <w:pPr>
              <w:jc w:val="center"/>
              <w:rPr>
                <w:rFonts w:ascii="Tahoma" w:hAnsi="Tahoma" w:cs="Tahoma"/>
                <w:b/>
                <w:bCs/>
              </w:rPr>
            </w:pPr>
            <w:r w:rsidRPr="00C01E38">
              <w:rPr>
                <w:rFonts w:ascii="Tahoma" w:hAnsi="Tahoma" w:cs="Tahoma"/>
                <w:b/>
                <w:bCs/>
              </w:rPr>
              <w:t>2006</w:t>
            </w:r>
          </w:p>
        </w:tc>
        <w:tc>
          <w:tcPr>
            <w:tcW w:w="960" w:type="dxa"/>
            <w:tcBorders>
              <w:top w:val="single" w:sz="12" w:space="0" w:color="auto"/>
              <w:bottom w:val="single" w:sz="4" w:space="0" w:color="auto"/>
            </w:tcBorders>
            <w:noWrap/>
            <w:vAlign w:val="bottom"/>
          </w:tcPr>
          <w:p w:rsidR="00652F81" w:rsidRPr="00C01E38" w:rsidRDefault="00652F81" w:rsidP="00652F81">
            <w:pPr>
              <w:jc w:val="center"/>
              <w:rPr>
                <w:rFonts w:ascii="Tahoma" w:hAnsi="Tahoma" w:cs="Tahoma"/>
                <w:b/>
                <w:bCs/>
                <w:lang w:val="en-US"/>
              </w:rPr>
            </w:pPr>
            <w:r w:rsidRPr="00C01E38">
              <w:rPr>
                <w:rFonts w:ascii="Tahoma" w:hAnsi="Tahoma" w:cs="Tahoma"/>
                <w:b/>
                <w:bCs/>
              </w:rPr>
              <w:t>200</w:t>
            </w:r>
            <w:r w:rsidRPr="00C01E38">
              <w:rPr>
                <w:rFonts w:ascii="Tahoma" w:hAnsi="Tahoma" w:cs="Tahoma"/>
                <w:b/>
                <w:bCs/>
                <w:lang w:val="en-US"/>
              </w:rPr>
              <w:t>7</w:t>
            </w:r>
          </w:p>
        </w:tc>
        <w:tc>
          <w:tcPr>
            <w:tcW w:w="960" w:type="dxa"/>
            <w:tcBorders>
              <w:top w:val="single" w:sz="12" w:space="0" w:color="auto"/>
              <w:bottom w:val="single" w:sz="4" w:space="0" w:color="auto"/>
            </w:tcBorders>
            <w:noWrap/>
            <w:vAlign w:val="bottom"/>
          </w:tcPr>
          <w:p w:rsidR="00652F81" w:rsidRPr="004D62C4" w:rsidRDefault="00652F81" w:rsidP="00652F81">
            <w:pPr>
              <w:jc w:val="center"/>
              <w:rPr>
                <w:rFonts w:ascii="Tahoma" w:hAnsi="Tahoma" w:cs="Tahoma"/>
                <w:b/>
                <w:bCs/>
              </w:rPr>
            </w:pPr>
            <w:r w:rsidRPr="00C01E38">
              <w:rPr>
                <w:rFonts w:ascii="Tahoma" w:hAnsi="Tahoma" w:cs="Tahoma"/>
                <w:b/>
                <w:bCs/>
              </w:rPr>
              <w:t>200</w:t>
            </w:r>
            <w:r>
              <w:rPr>
                <w:rFonts w:ascii="Tahoma" w:hAnsi="Tahoma" w:cs="Tahoma"/>
                <w:b/>
                <w:bCs/>
              </w:rPr>
              <w:t>8</w:t>
            </w:r>
          </w:p>
        </w:tc>
        <w:tc>
          <w:tcPr>
            <w:tcW w:w="960" w:type="dxa"/>
            <w:tcBorders>
              <w:top w:val="single" w:sz="12" w:space="0" w:color="auto"/>
              <w:bottom w:val="single" w:sz="4" w:space="0" w:color="auto"/>
            </w:tcBorders>
            <w:noWrap/>
            <w:vAlign w:val="bottom"/>
          </w:tcPr>
          <w:p w:rsidR="00652F81" w:rsidRPr="00C73699" w:rsidRDefault="00652F81" w:rsidP="00652F81">
            <w:pPr>
              <w:jc w:val="center"/>
              <w:rPr>
                <w:rFonts w:ascii="Tahoma" w:hAnsi="Tahoma" w:cs="Tahoma"/>
                <w:b/>
                <w:bCs/>
                <w:lang w:val="en-US"/>
              </w:rPr>
            </w:pPr>
            <w:r>
              <w:rPr>
                <w:rFonts w:ascii="Tahoma" w:hAnsi="Tahoma" w:cs="Tahoma"/>
                <w:b/>
                <w:bCs/>
                <w:lang w:val="en-US"/>
              </w:rPr>
              <w:t>2009</w:t>
            </w:r>
          </w:p>
        </w:tc>
        <w:tc>
          <w:tcPr>
            <w:tcW w:w="960" w:type="dxa"/>
            <w:tcBorders>
              <w:top w:val="single" w:sz="12" w:space="0" w:color="auto"/>
              <w:bottom w:val="single" w:sz="4" w:space="0" w:color="auto"/>
            </w:tcBorders>
            <w:noWrap/>
            <w:vAlign w:val="bottom"/>
          </w:tcPr>
          <w:p w:rsidR="00652F81" w:rsidRPr="00DE6DF7" w:rsidRDefault="00652F81" w:rsidP="00652F81">
            <w:pPr>
              <w:jc w:val="center"/>
              <w:rPr>
                <w:rFonts w:ascii="Tahoma" w:hAnsi="Tahoma" w:cs="Tahoma"/>
                <w:b/>
                <w:bCs/>
              </w:rPr>
            </w:pPr>
            <w:r>
              <w:rPr>
                <w:rFonts w:ascii="Tahoma" w:hAnsi="Tahoma" w:cs="Tahoma"/>
                <w:b/>
                <w:bCs/>
              </w:rPr>
              <w:t>2010</w:t>
            </w:r>
          </w:p>
        </w:tc>
      </w:tr>
      <w:tr w:rsidR="00652F81" w:rsidRPr="00D9172B" w:rsidTr="00652F81">
        <w:trPr>
          <w:trHeight w:val="255"/>
        </w:trPr>
        <w:tc>
          <w:tcPr>
            <w:tcW w:w="960" w:type="dxa"/>
            <w:tcBorders>
              <w:top w:val="single" w:sz="4" w:space="0" w:color="auto"/>
            </w:tcBorders>
            <w:noWrap/>
            <w:vAlign w:val="bottom"/>
          </w:tcPr>
          <w:p w:rsidR="00652F81" w:rsidRPr="00C01E38" w:rsidRDefault="00652F81" w:rsidP="00652F81">
            <w:pPr>
              <w:rPr>
                <w:rFonts w:ascii="Tahoma" w:hAnsi="Tahoma" w:cs="Tahoma"/>
                <w:b/>
                <w:bCs/>
              </w:rPr>
            </w:pPr>
            <w:r w:rsidRPr="00C01E38">
              <w:rPr>
                <w:rFonts w:ascii="Tahoma" w:hAnsi="Tahoma" w:cs="Tahoma"/>
                <w:b/>
                <w:bCs/>
              </w:rPr>
              <w:t>EU27</w:t>
            </w:r>
          </w:p>
        </w:tc>
        <w:tc>
          <w:tcPr>
            <w:tcW w:w="960" w:type="dxa"/>
            <w:tcBorders>
              <w:top w:val="single" w:sz="4"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4,0</w:t>
            </w:r>
          </w:p>
        </w:tc>
        <w:tc>
          <w:tcPr>
            <w:tcW w:w="960" w:type="dxa"/>
            <w:tcBorders>
              <w:top w:val="single" w:sz="4"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4,1</w:t>
            </w:r>
          </w:p>
        </w:tc>
        <w:tc>
          <w:tcPr>
            <w:tcW w:w="960" w:type="dxa"/>
            <w:tcBorders>
              <w:top w:val="single" w:sz="4"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4,2</w:t>
            </w:r>
          </w:p>
        </w:tc>
        <w:tc>
          <w:tcPr>
            <w:tcW w:w="960" w:type="dxa"/>
            <w:tcBorders>
              <w:top w:val="single" w:sz="4"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4,1</w:t>
            </w:r>
          </w:p>
        </w:tc>
        <w:tc>
          <w:tcPr>
            <w:tcW w:w="960" w:type="dxa"/>
            <w:tcBorders>
              <w:top w:val="single" w:sz="4"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3,7</w:t>
            </w:r>
          </w:p>
        </w:tc>
        <w:tc>
          <w:tcPr>
            <w:tcW w:w="960" w:type="dxa"/>
            <w:tcBorders>
              <w:top w:val="single" w:sz="4"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3,1</w:t>
            </w:r>
          </w:p>
        </w:tc>
        <w:tc>
          <w:tcPr>
            <w:tcW w:w="960" w:type="dxa"/>
            <w:tcBorders>
              <w:top w:val="single" w:sz="4"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2,6</w:t>
            </w:r>
          </w:p>
        </w:tc>
        <w:tc>
          <w:tcPr>
            <w:tcW w:w="960" w:type="dxa"/>
            <w:tcBorders>
              <w:top w:val="single" w:sz="4"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3,0</w:t>
            </w:r>
          </w:p>
        </w:tc>
        <w:tc>
          <w:tcPr>
            <w:tcW w:w="960" w:type="dxa"/>
            <w:tcBorders>
              <w:top w:val="single" w:sz="4" w:space="0" w:color="auto"/>
              <w:bottom w:val="nil"/>
            </w:tcBorders>
            <w:noWrap/>
            <w:vAlign w:val="bottom"/>
          </w:tcPr>
          <w:p w:rsidR="00652F81" w:rsidRPr="00DE6DF7" w:rsidRDefault="00652F81" w:rsidP="00652F81">
            <w:pPr>
              <w:jc w:val="right"/>
              <w:rPr>
                <w:rFonts w:ascii="Tahoma" w:hAnsi="Tahoma" w:cs="Tahoma"/>
              </w:rPr>
            </w:pPr>
            <w:r w:rsidRPr="00DE6DF7">
              <w:rPr>
                <w:rFonts w:ascii="Tahoma" w:hAnsi="Tahoma" w:cs="Tahoma"/>
              </w:rPr>
              <w:t>3,8</w:t>
            </w:r>
          </w:p>
        </w:tc>
      </w:tr>
      <w:tr w:rsidR="00652F81" w:rsidRPr="00D9172B" w:rsidTr="00652F81">
        <w:trPr>
          <w:trHeight w:val="255"/>
        </w:trPr>
        <w:tc>
          <w:tcPr>
            <w:tcW w:w="960" w:type="dxa"/>
            <w:noWrap/>
            <w:vAlign w:val="bottom"/>
          </w:tcPr>
          <w:p w:rsidR="00652F81" w:rsidRPr="00C01E38" w:rsidRDefault="00652F81" w:rsidP="00652F81">
            <w:pPr>
              <w:rPr>
                <w:rFonts w:ascii="Tahoma" w:hAnsi="Tahoma" w:cs="Tahoma"/>
                <w:b/>
                <w:bCs/>
              </w:rPr>
            </w:pPr>
            <w:r w:rsidRPr="00C01E38">
              <w:rPr>
                <w:rFonts w:ascii="Tahoma" w:hAnsi="Tahoma" w:cs="Tahoma"/>
                <w:b/>
                <w:bCs/>
              </w:rPr>
              <w:t>EU25</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3,9</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4,0</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4,1</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4,1</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3,7</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3,0</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2,6</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3,0</w:t>
            </w:r>
          </w:p>
        </w:tc>
        <w:tc>
          <w:tcPr>
            <w:tcW w:w="960" w:type="dxa"/>
            <w:tcBorders>
              <w:top w:val="nil"/>
              <w:bottom w:val="nil"/>
            </w:tcBorders>
            <w:noWrap/>
            <w:vAlign w:val="bottom"/>
          </w:tcPr>
          <w:p w:rsidR="00652F81" w:rsidRPr="00DE6DF7" w:rsidRDefault="00652F81" w:rsidP="00652F81">
            <w:pPr>
              <w:jc w:val="right"/>
              <w:rPr>
                <w:rFonts w:ascii="Tahoma" w:hAnsi="Tahoma" w:cs="Tahoma"/>
              </w:rPr>
            </w:pPr>
            <w:r w:rsidRPr="00DE6DF7">
              <w:rPr>
                <w:rFonts w:ascii="Tahoma" w:hAnsi="Tahoma" w:cs="Tahoma"/>
              </w:rPr>
              <w:t>3,9</w:t>
            </w:r>
          </w:p>
        </w:tc>
      </w:tr>
      <w:tr w:rsidR="00652F81" w:rsidRPr="00D9172B" w:rsidTr="00652F81">
        <w:trPr>
          <w:trHeight w:val="255"/>
        </w:trPr>
        <w:tc>
          <w:tcPr>
            <w:tcW w:w="960" w:type="dxa"/>
            <w:noWrap/>
            <w:vAlign w:val="bottom"/>
          </w:tcPr>
          <w:p w:rsidR="00652F81" w:rsidRPr="00C01E38" w:rsidRDefault="00652F81" w:rsidP="00652F81">
            <w:pPr>
              <w:rPr>
                <w:rFonts w:ascii="Tahoma" w:hAnsi="Tahoma" w:cs="Tahoma"/>
                <w:b/>
                <w:bCs/>
              </w:rPr>
            </w:pPr>
            <w:r w:rsidRPr="00C01E38">
              <w:rPr>
                <w:rFonts w:ascii="Tahoma" w:hAnsi="Tahoma" w:cs="Tahoma"/>
                <w:b/>
                <w:bCs/>
              </w:rPr>
              <w:t>EU15</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3,1</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3,3</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3,4</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3,4</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3,2</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2,8</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2,6</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3,0</w:t>
            </w:r>
          </w:p>
        </w:tc>
        <w:tc>
          <w:tcPr>
            <w:tcW w:w="960" w:type="dxa"/>
            <w:tcBorders>
              <w:top w:val="nil"/>
              <w:bottom w:val="nil"/>
            </w:tcBorders>
            <w:noWrap/>
            <w:vAlign w:val="bottom"/>
          </w:tcPr>
          <w:p w:rsidR="00652F81" w:rsidRPr="00DE6DF7" w:rsidRDefault="00652F81" w:rsidP="00652F81">
            <w:pPr>
              <w:jc w:val="right"/>
              <w:rPr>
                <w:rFonts w:ascii="Tahoma" w:hAnsi="Tahoma" w:cs="Tahoma"/>
              </w:rPr>
            </w:pPr>
            <w:r w:rsidRPr="00DE6DF7">
              <w:rPr>
                <w:rFonts w:ascii="Tahoma" w:hAnsi="Tahoma" w:cs="Tahoma"/>
              </w:rPr>
              <w:t>3,8</w:t>
            </w:r>
          </w:p>
        </w:tc>
      </w:tr>
      <w:tr w:rsidR="00652F81" w:rsidRPr="00D9172B" w:rsidTr="00652F81">
        <w:trPr>
          <w:trHeight w:val="255"/>
        </w:trPr>
        <w:tc>
          <w:tcPr>
            <w:tcW w:w="960" w:type="dxa"/>
            <w:noWrap/>
            <w:vAlign w:val="bottom"/>
          </w:tcPr>
          <w:p w:rsidR="00652F81" w:rsidRPr="00CF6B76" w:rsidRDefault="00652F81" w:rsidP="00652F81">
            <w:pPr>
              <w:rPr>
                <w:rFonts w:ascii="Tahoma" w:hAnsi="Tahoma" w:cs="Tahoma"/>
                <w:b/>
                <w:bCs/>
              </w:rPr>
            </w:pPr>
            <w:r>
              <w:rPr>
                <w:rFonts w:ascii="Tahoma" w:hAnsi="Tahoma" w:cs="Tahoma"/>
                <w:b/>
                <w:bCs/>
              </w:rPr>
              <w:t>EA17</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3,7</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4,0</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4,2</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4,1</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3,9</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3,3</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3,0</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3,4</w:t>
            </w:r>
          </w:p>
        </w:tc>
        <w:tc>
          <w:tcPr>
            <w:tcW w:w="960" w:type="dxa"/>
            <w:tcBorders>
              <w:top w:val="nil"/>
              <w:bottom w:val="nil"/>
            </w:tcBorders>
            <w:noWrap/>
            <w:vAlign w:val="bottom"/>
          </w:tcPr>
          <w:p w:rsidR="00652F81" w:rsidRPr="00DE6DF7" w:rsidRDefault="00652F81" w:rsidP="00652F81">
            <w:pPr>
              <w:jc w:val="right"/>
              <w:rPr>
                <w:rFonts w:ascii="Tahoma" w:hAnsi="Tahoma" w:cs="Tahoma"/>
              </w:rPr>
            </w:pPr>
            <w:r w:rsidRPr="00DE6DF7">
              <w:rPr>
                <w:rFonts w:ascii="Tahoma" w:hAnsi="Tahoma" w:cs="Tahoma"/>
              </w:rPr>
              <w:t>4,3</w:t>
            </w:r>
          </w:p>
        </w:tc>
      </w:tr>
      <w:tr w:rsidR="00652F81" w:rsidRPr="00D9172B" w:rsidTr="00652F81">
        <w:trPr>
          <w:trHeight w:val="255"/>
        </w:trPr>
        <w:tc>
          <w:tcPr>
            <w:tcW w:w="960" w:type="dxa"/>
            <w:tcBorders>
              <w:bottom w:val="single" w:sz="12" w:space="0" w:color="auto"/>
            </w:tcBorders>
            <w:noWrap/>
            <w:vAlign w:val="bottom"/>
          </w:tcPr>
          <w:p w:rsidR="00652F81" w:rsidRPr="00C01E38" w:rsidRDefault="00652F81" w:rsidP="00652F81">
            <w:pPr>
              <w:rPr>
                <w:rFonts w:ascii="Tahoma" w:hAnsi="Tahoma" w:cs="Tahoma"/>
                <w:b/>
                <w:bCs/>
              </w:rPr>
            </w:pPr>
            <w:r w:rsidRPr="00C01E38">
              <w:rPr>
                <w:rFonts w:ascii="Tahoma" w:hAnsi="Tahoma" w:cs="Tahoma"/>
                <w:b/>
                <w:bCs/>
              </w:rPr>
              <w:t>EL</w:t>
            </w:r>
          </w:p>
        </w:tc>
        <w:tc>
          <w:tcPr>
            <w:tcW w:w="960" w:type="dxa"/>
            <w:tcBorders>
              <w:bottom w:val="single" w:sz="12"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5,3</w:t>
            </w:r>
          </w:p>
        </w:tc>
        <w:tc>
          <w:tcPr>
            <w:tcW w:w="960" w:type="dxa"/>
            <w:tcBorders>
              <w:bottom w:val="single" w:sz="12"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5,3</w:t>
            </w:r>
          </w:p>
        </w:tc>
        <w:tc>
          <w:tcPr>
            <w:tcW w:w="960" w:type="dxa"/>
            <w:tcBorders>
              <w:bottom w:val="single" w:sz="12"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5,6</w:t>
            </w:r>
          </w:p>
        </w:tc>
        <w:tc>
          <w:tcPr>
            <w:tcW w:w="960" w:type="dxa"/>
            <w:tcBorders>
              <w:bottom w:val="single" w:sz="12"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5,1</w:t>
            </w:r>
          </w:p>
        </w:tc>
        <w:tc>
          <w:tcPr>
            <w:tcW w:w="960" w:type="dxa"/>
            <w:tcBorders>
              <w:bottom w:val="single" w:sz="12"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4,8</w:t>
            </w:r>
          </w:p>
        </w:tc>
        <w:tc>
          <w:tcPr>
            <w:tcW w:w="960" w:type="dxa"/>
            <w:tcBorders>
              <w:bottom w:val="single" w:sz="12"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4,1</w:t>
            </w:r>
          </w:p>
        </w:tc>
        <w:tc>
          <w:tcPr>
            <w:tcW w:w="960" w:type="dxa"/>
            <w:tcBorders>
              <w:bottom w:val="single" w:sz="12"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3,6</w:t>
            </w:r>
          </w:p>
        </w:tc>
        <w:tc>
          <w:tcPr>
            <w:tcW w:w="960" w:type="dxa"/>
            <w:tcBorders>
              <w:bottom w:val="single" w:sz="12"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3,9</w:t>
            </w:r>
          </w:p>
        </w:tc>
        <w:tc>
          <w:tcPr>
            <w:tcW w:w="960" w:type="dxa"/>
            <w:tcBorders>
              <w:top w:val="nil"/>
              <w:bottom w:val="nil"/>
            </w:tcBorders>
            <w:noWrap/>
            <w:vAlign w:val="bottom"/>
          </w:tcPr>
          <w:p w:rsidR="00652F81" w:rsidRPr="00DE6DF7" w:rsidRDefault="00652F81" w:rsidP="00652F81">
            <w:pPr>
              <w:jc w:val="right"/>
              <w:rPr>
                <w:rFonts w:ascii="Tahoma" w:hAnsi="Tahoma" w:cs="Tahoma"/>
              </w:rPr>
            </w:pPr>
            <w:r w:rsidRPr="00DE6DF7">
              <w:rPr>
                <w:rFonts w:ascii="Tahoma" w:hAnsi="Tahoma" w:cs="Tahoma"/>
              </w:rPr>
              <w:t>5,7</w:t>
            </w:r>
          </w:p>
        </w:tc>
      </w:tr>
      <w:tr w:rsidR="00652F81" w:rsidRPr="00D9172B" w:rsidTr="00652F81">
        <w:trPr>
          <w:trHeight w:val="255"/>
        </w:trPr>
        <w:tc>
          <w:tcPr>
            <w:tcW w:w="9600" w:type="dxa"/>
            <w:gridSpan w:val="10"/>
            <w:tcBorders>
              <w:top w:val="single" w:sz="12" w:space="0" w:color="auto"/>
              <w:bottom w:val="single" w:sz="8" w:space="0" w:color="auto"/>
            </w:tcBorders>
            <w:noWrap/>
          </w:tcPr>
          <w:p w:rsidR="00652F81" w:rsidRPr="00545F7F" w:rsidRDefault="00652F81" w:rsidP="00652F81">
            <w:pPr>
              <w:rPr>
                <w:rFonts w:ascii="Tahoma" w:hAnsi="Tahoma" w:cs="Tahoma"/>
                <w:b/>
                <w:sz w:val="18"/>
                <w:szCs w:val="18"/>
              </w:rPr>
            </w:pPr>
            <w:r w:rsidRPr="00545F7F">
              <w:rPr>
                <w:rFonts w:ascii="Tahoma" w:hAnsi="Tahoma" w:cs="Tahoma"/>
                <w:b/>
                <w:sz w:val="18"/>
                <w:szCs w:val="18"/>
              </w:rPr>
              <w:t>Άντρες</w:t>
            </w:r>
          </w:p>
        </w:tc>
      </w:tr>
      <w:tr w:rsidR="00652F81" w:rsidRPr="00D9172B" w:rsidTr="00652F81">
        <w:trPr>
          <w:trHeight w:val="255"/>
        </w:trPr>
        <w:tc>
          <w:tcPr>
            <w:tcW w:w="960" w:type="dxa"/>
            <w:tcBorders>
              <w:top w:val="single" w:sz="8" w:space="0" w:color="auto"/>
            </w:tcBorders>
            <w:noWrap/>
            <w:vAlign w:val="bottom"/>
          </w:tcPr>
          <w:p w:rsidR="00652F81" w:rsidRPr="00C01E38" w:rsidRDefault="00652F81" w:rsidP="00652F81">
            <w:pPr>
              <w:rPr>
                <w:rFonts w:ascii="Tahoma" w:hAnsi="Tahoma" w:cs="Tahoma"/>
                <w:b/>
                <w:bCs/>
              </w:rPr>
            </w:pPr>
            <w:r w:rsidRPr="00C01E38">
              <w:rPr>
                <w:rFonts w:ascii="Tahoma" w:hAnsi="Tahoma" w:cs="Tahoma"/>
                <w:b/>
                <w:bCs/>
              </w:rPr>
              <w:t>EU27</w:t>
            </w:r>
          </w:p>
        </w:tc>
        <w:tc>
          <w:tcPr>
            <w:tcW w:w="960" w:type="dxa"/>
            <w:tcBorders>
              <w:top w:val="single" w:sz="8"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3,6</w:t>
            </w:r>
          </w:p>
        </w:tc>
        <w:tc>
          <w:tcPr>
            <w:tcW w:w="960" w:type="dxa"/>
            <w:tcBorders>
              <w:top w:val="single" w:sz="8"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3,8</w:t>
            </w:r>
          </w:p>
        </w:tc>
        <w:tc>
          <w:tcPr>
            <w:tcW w:w="960" w:type="dxa"/>
            <w:tcBorders>
              <w:top w:val="single" w:sz="8"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3,9</w:t>
            </w:r>
          </w:p>
        </w:tc>
        <w:tc>
          <w:tcPr>
            <w:tcW w:w="960" w:type="dxa"/>
            <w:tcBorders>
              <w:top w:val="single" w:sz="8"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3,8</w:t>
            </w:r>
          </w:p>
        </w:tc>
        <w:tc>
          <w:tcPr>
            <w:tcW w:w="960" w:type="dxa"/>
            <w:tcBorders>
              <w:top w:val="single" w:sz="8"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3,5</w:t>
            </w:r>
          </w:p>
        </w:tc>
        <w:tc>
          <w:tcPr>
            <w:tcW w:w="960" w:type="dxa"/>
            <w:tcBorders>
              <w:top w:val="single" w:sz="8"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2,8</w:t>
            </w:r>
          </w:p>
        </w:tc>
        <w:tc>
          <w:tcPr>
            <w:tcW w:w="960" w:type="dxa"/>
            <w:tcBorders>
              <w:top w:val="single" w:sz="8"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2,4</w:t>
            </w:r>
          </w:p>
        </w:tc>
        <w:tc>
          <w:tcPr>
            <w:tcW w:w="960" w:type="dxa"/>
            <w:tcBorders>
              <w:top w:val="single" w:sz="8"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2,9</w:t>
            </w:r>
          </w:p>
        </w:tc>
        <w:tc>
          <w:tcPr>
            <w:tcW w:w="960" w:type="dxa"/>
            <w:tcBorders>
              <w:top w:val="single" w:sz="8"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3,9</w:t>
            </w:r>
          </w:p>
        </w:tc>
      </w:tr>
      <w:tr w:rsidR="00652F81" w:rsidRPr="00D9172B" w:rsidTr="00652F81">
        <w:trPr>
          <w:trHeight w:val="255"/>
        </w:trPr>
        <w:tc>
          <w:tcPr>
            <w:tcW w:w="960" w:type="dxa"/>
            <w:noWrap/>
            <w:vAlign w:val="bottom"/>
          </w:tcPr>
          <w:p w:rsidR="00652F81" w:rsidRPr="00C01E38" w:rsidRDefault="00652F81" w:rsidP="00652F81">
            <w:pPr>
              <w:rPr>
                <w:rFonts w:ascii="Tahoma" w:hAnsi="Tahoma" w:cs="Tahoma"/>
                <w:b/>
                <w:bCs/>
              </w:rPr>
            </w:pPr>
            <w:r w:rsidRPr="00C01E38">
              <w:rPr>
                <w:rFonts w:ascii="Tahoma" w:hAnsi="Tahoma" w:cs="Tahoma"/>
                <w:b/>
                <w:bCs/>
              </w:rPr>
              <w:t>EU25</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3,4</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3,7</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3,7</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3,7</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3,4</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2,8</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2,4</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2,9</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3,9</w:t>
            </w:r>
          </w:p>
        </w:tc>
      </w:tr>
      <w:tr w:rsidR="00652F81" w:rsidRPr="00D9172B" w:rsidTr="00652F81">
        <w:trPr>
          <w:trHeight w:val="255"/>
        </w:trPr>
        <w:tc>
          <w:tcPr>
            <w:tcW w:w="960" w:type="dxa"/>
            <w:noWrap/>
            <w:vAlign w:val="bottom"/>
          </w:tcPr>
          <w:p w:rsidR="00652F81" w:rsidRPr="00C01E38" w:rsidRDefault="00652F81" w:rsidP="00652F81">
            <w:pPr>
              <w:rPr>
                <w:rFonts w:ascii="Tahoma" w:hAnsi="Tahoma" w:cs="Tahoma"/>
                <w:b/>
                <w:bCs/>
              </w:rPr>
            </w:pPr>
            <w:r w:rsidRPr="00C01E38">
              <w:rPr>
                <w:rFonts w:ascii="Tahoma" w:hAnsi="Tahoma" w:cs="Tahoma"/>
                <w:b/>
                <w:bCs/>
              </w:rPr>
              <w:t>EU15</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2,7</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3,0</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3,1</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3,1</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3,0</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2,6</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2,4</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2,9</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3,9</w:t>
            </w:r>
          </w:p>
        </w:tc>
      </w:tr>
      <w:tr w:rsidR="00652F81" w:rsidRPr="00D9172B" w:rsidTr="00652F81">
        <w:trPr>
          <w:trHeight w:val="255"/>
        </w:trPr>
        <w:tc>
          <w:tcPr>
            <w:tcW w:w="960" w:type="dxa"/>
            <w:noWrap/>
            <w:vAlign w:val="bottom"/>
          </w:tcPr>
          <w:p w:rsidR="00652F81" w:rsidRPr="00CF6B76" w:rsidRDefault="00652F81" w:rsidP="00652F81">
            <w:pPr>
              <w:rPr>
                <w:rFonts w:ascii="Tahoma" w:hAnsi="Tahoma" w:cs="Tahoma"/>
                <w:b/>
                <w:bCs/>
              </w:rPr>
            </w:pPr>
            <w:r>
              <w:rPr>
                <w:rFonts w:ascii="Tahoma" w:hAnsi="Tahoma" w:cs="Tahoma"/>
                <w:b/>
                <w:bCs/>
              </w:rPr>
              <w:t>EA17</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3,2</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3,5</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3,7</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3,7</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3,5</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3,0</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2,7</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3,2</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4,2</w:t>
            </w:r>
          </w:p>
        </w:tc>
      </w:tr>
      <w:tr w:rsidR="00652F81" w:rsidRPr="00D9172B" w:rsidTr="00652F81">
        <w:trPr>
          <w:trHeight w:val="255"/>
        </w:trPr>
        <w:tc>
          <w:tcPr>
            <w:tcW w:w="960" w:type="dxa"/>
            <w:tcBorders>
              <w:bottom w:val="single" w:sz="12" w:space="0" w:color="auto"/>
            </w:tcBorders>
            <w:noWrap/>
            <w:vAlign w:val="bottom"/>
          </w:tcPr>
          <w:p w:rsidR="00652F81" w:rsidRPr="00C01E38" w:rsidRDefault="00652F81" w:rsidP="00652F81">
            <w:pPr>
              <w:rPr>
                <w:rFonts w:ascii="Tahoma" w:hAnsi="Tahoma" w:cs="Tahoma"/>
                <w:b/>
                <w:bCs/>
              </w:rPr>
            </w:pPr>
            <w:r w:rsidRPr="00C01E38">
              <w:rPr>
                <w:rFonts w:ascii="Tahoma" w:hAnsi="Tahoma" w:cs="Tahoma"/>
                <w:b/>
                <w:bCs/>
              </w:rPr>
              <w:t>EL</w:t>
            </w:r>
          </w:p>
        </w:tc>
        <w:tc>
          <w:tcPr>
            <w:tcW w:w="960" w:type="dxa"/>
            <w:tcBorders>
              <w:bottom w:val="single" w:sz="12"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3,1</w:t>
            </w:r>
          </w:p>
        </w:tc>
        <w:tc>
          <w:tcPr>
            <w:tcW w:w="960" w:type="dxa"/>
            <w:tcBorders>
              <w:bottom w:val="single" w:sz="12"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3,0</w:t>
            </w:r>
          </w:p>
        </w:tc>
        <w:tc>
          <w:tcPr>
            <w:tcW w:w="960" w:type="dxa"/>
            <w:tcBorders>
              <w:bottom w:val="single" w:sz="12"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3,0</w:t>
            </w:r>
          </w:p>
        </w:tc>
        <w:tc>
          <w:tcPr>
            <w:tcW w:w="960" w:type="dxa"/>
            <w:tcBorders>
              <w:bottom w:val="single" w:sz="12"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2,6</w:t>
            </w:r>
          </w:p>
        </w:tc>
        <w:tc>
          <w:tcPr>
            <w:tcW w:w="960" w:type="dxa"/>
            <w:tcBorders>
              <w:bottom w:val="single" w:sz="12"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2,6</w:t>
            </w:r>
          </w:p>
        </w:tc>
        <w:tc>
          <w:tcPr>
            <w:tcW w:w="960" w:type="dxa"/>
            <w:tcBorders>
              <w:bottom w:val="single" w:sz="12"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2,2</w:t>
            </w:r>
          </w:p>
        </w:tc>
        <w:tc>
          <w:tcPr>
            <w:tcW w:w="960" w:type="dxa"/>
            <w:tcBorders>
              <w:bottom w:val="single" w:sz="12"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2,1</w:t>
            </w:r>
          </w:p>
        </w:tc>
        <w:tc>
          <w:tcPr>
            <w:tcW w:w="960" w:type="dxa"/>
            <w:tcBorders>
              <w:bottom w:val="single" w:sz="12"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2,4</w:t>
            </w:r>
          </w:p>
        </w:tc>
        <w:tc>
          <w:tcPr>
            <w:tcW w:w="960" w:type="dxa"/>
            <w:tcBorders>
              <w:bottom w:val="single" w:sz="12"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3,9</w:t>
            </w:r>
          </w:p>
        </w:tc>
      </w:tr>
      <w:tr w:rsidR="00652F81" w:rsidRPr="00D9172B" w:rsidTr="00652F81">
        <w:trPr>
          <w:trHeight w:val="255"/>
        </w:trPr>
        <w:tc>
          <w:tcPr>
            <w:tcW w:w="9600" w:type="dxa"/>
            <w:gridSpan w:val="10"/>
            <w:tcBorders>
              <w:top w:val="single" w:sz="8" w:space="0" w:color="auto"/>
            </w:tcBorders>
            <w:noWrap/>
            <w:vAlign w:val="bottom"/>
          </w:tcPr>
          <w:p w:rsidR="00652F81" w:rsidRPr="00EF3D9B" w:rsidRDefault="00652F81" w:rsidP="00652F81">
            <w:pPr>
              <w:rPr>
                <w:rFonts w:ascii="Tahoma" w:hAnsi="Tahoma" w:cs="Tahoma"/>
                <w:b/>
                <w:sz w:val="18"/>
                <w:szCs w:val="18"/>
              </w:rPr>
            </w:pPr>
            <w:r>
              <w:rPr>
                <w:rFonts w:ascii="Tahoma" w:hAnsi="Tahoma" w:cs="Tahoma"/>
                <w:b/>
                <w:sz w:val="18"/>
                <w:szCs w:val="18"/>
              </w:rPr>
              <w:t>Γυναίκες</w:t>
            </w:r>
          </w:p>
        </w:tc>
      </w:tr>
      <w:tr w:rsidR="00652F81" w:rsidRPr="00D9172B" w:rsidTr="00652F81">
        <w:trPr>
          <w:trHeight w:val="255"/>
        </w:trPr>
        <w:tc>
          <w:tcPr>
            <w:tcW w:w="960" w:type="dxa"/>
            <w:tcBorders>
              <w:top w:val="single" w:sz="8" w:space="0" w:color="auto"/>
            </w:tcBorders>
            <w:noWrap/>
            <w:vAlign w:val="bottom"/>
          </w:tcPr>
          <w:p w:rsidR="00652F81" w:rsidRPr="00C01E38" w:rsidRDefault="00652F81" w:rsidP="00652F81">
            <w:pPr>
              <w:rPr>
                <w:rFonts w:ascii="Tahoma" w:hAnsi="Tahoma" w:cs="Tahoma"/>
                <w:b/>
                <w:bCs/>
              </w:rPr>
            </w:pPr>
            <w:r w:rsidRPr="00C01E38">
              <w:rPr>
                <w:rFonts w:ascii="Tahoma" w:hAnsi="Tahoma" w:cs="Tahoma"/>
                <w:b/>
                <w:bCs/>
              </w:rPr>
              <w:t>EU27</w:t>
            </w:r>
          </w:p>
        </w:tc>
        <w:tc>
          <w:tcPr>
            <w:tcW w:w="960" w:type="dxa"/>
            <w:tcBorders>
              <w:top w:val="single" w:sz="8"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4,5</w:t>
            </w:r>
          </w:p>
        </w:tc>
        <w:tc>
          <w:tcPr>
            <w:tcW w:w="960" w:type="dxa"/>
            <w:tcBorders>
              <w:top w:val="single" w:sz="8"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4,5</w:t>
            </w:r>
          </w:p>
        </w:tc>
        <w:tc>
          <w:tcPr>
            <w:tcW w:w="960" w:type="dxa"/>
            <w:tcBorders>
              <w:top w:val="single" w:sz="8"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4,6</w:t>
            </w:r>
          </w:p>
        </w:tc>
        <w:tc>
          <w:tcPr>
            <w:tcW w:w="960" w:type="dxa"/>
            <w:tcBorders>
              <w:top w:val="single" w:sz="8"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4,5</w:t>
            </w:r>
          </w:p>
        </w:tc>
        <w:tc>
          <w:tcPr>
            <w:tcW w:w="960" w:type="dxa"/>
            <w:tcBorders>
              <w:top w:val="single" w:sz="8"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4,0</w:t>
            </w:r>
          </w:p>
        </w:tc>
        <w:tc>
          <w:tcPr>
            <w:tcW w:w="960" w:type="dxa"/>
            <w:tcBorders>
              <w:top w:val="single" w:sz="8"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3,3</w:t>
            </w:r>
          </w:p>
        </w:tc>
        <w:tc>
          <w:tcPr>
            <w:tcW w:w="960" w:type="dxa"/>
            <w:tcBorders>
              <w:top w:val="single" w:sz="8"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2,8</w:t>
            </w:r>
          </w:p>
        </w:tc>
        <w:tc>
          <w:tcPr>
            <w:tcW w:w="960" w:type="dxa"/>
            <w:tcBorders>
              <w:top w:val="single" w:sz="8"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3,1</w:t>
            </w:r>
          </w:p>
        </w:tc>
        <w:tc>
          <w:tcPr>
            <w:tcW w:w="960" w:type="dxa"/>
            <w:tcBorders>
              <w:top w:val="single" w:sz="8" w:space="0" w:color="auto"/>
            </w:tcBorders>
            <w:noWrap/>
            <w:vAlign w:val="bottom"/>
          </w:tcPr>
          <w:p w:rsidR="00652F81" w:rsidRPr="00DE6DF7" w:rsidRDefault="00652F81" w:rsidP="00652F81">
            <w:pPr>
              <w:jc w:val="right"/>
              <w:rPr>
                <w:rFonts w:ascii="Tahoma" w:hAnsi="Tahoma" w:cs="Tahoma"/>
              </w:rPr>
            </w:pPr>
            <w:r w:rsidRPr="00DE6DF7">
              <w:rPr>
                <w:rFonts w:ascii="Tahoma" w:hAnsi="Tahoma" w:cs="Tahoma"/>
              </w:rPr>
              <w:t>3,7</w:t>
            </w:r>
          </w:p>
        </w:tc>
      </w:tr>
      <w:tr w:rsidR="00652F81" w:rsidRPr="00D9172B" w:rsidTr="00652F81">
        <w:trPr>
          <w:trHeight w:val="255"/>
        </w:trPr>
        <w:tc>
          <w:tcPr>
            <w:tcW w:w="960" w:type="dxa"/>
            <w:noWrap/>
            <w:vAlign w:val="bottom"/>
          </w:tcPr>
          <w:p w:rsidR="00652F81" w:rsidRPr="00C01E38" w:rsidRDefault="00652F81" w:rsidP="00652F81">
            <w:pPr>
              <w:rPr>
                <w:rFonts w:ascii="Tahoma" w:hAnsi="Tahoma" w:cs="Tahoma"/>
                <w:b/>
                <w:bCs/>
              </w:rPr>
            </w:pPr>
            <w:r w:rsidRPr="00C01E38">
              <w:rPr>
                <w:rFonts w:ascii="Tahoma" w:hAnsi="Tahoma" w:cs="Tahoma"/>
                <w:b/>
                <w:bCs/>
              </w:rPr>
              <w:t>EU25</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4,4</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4,5</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4,6</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4,5</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4,0</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3,3</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2,8</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3,1</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3,8</w:t>
            </w:r>
          </w:p>
        </w:tc>
      </w:tr>
      <w:tr w:rsidR="00652F81" w:rsidRPr="00D9172B" w:rsidTr="00652F81">
        <w:trPr>
          <w:trHeight w:val="255"/>
        </w:trPr>
        <w:tc>
          <w:tcPr>
            <w:tcW w:w="960" w:type="dxa"/>
            <w:noWrap/>
            <w:vAlign w:val="bottom"/>
          </w:tcPr>
          <w:p w:rsidR="00652F81" w:rsidRPr="00C01E38" w:rsidRDefault="00652F81" w:rsidP="00652F81">
            <w:pPr>
              <w:rPr>
                <w:rFonts w:ascii="Tahoma" w:hAnsi="Tahoma" w:cs="Tahoma"/>
                <w:b/>
                <w:bCs/>
              </w:rPr>
            </w:pPr>
            <w:r w:rsidRPr="00C01E38">
              <w:rPr>
                <w:rFonts w:ascii="Tahoma" w:hAnsi="Tahoma" w:cs="Tahoma"/>
                <w:b/>
                <w:bCs/>
              </w:rPr>
              <w:t>EU15</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3,6</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3,7</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3,9</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3,7</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3,5</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3,1</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2,8</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3,1</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3,7</w:t>
            </w:r>
          </w:p>
        </w:tc>
      </w:tr>
      <w:tr w:rsidR="00652F81" w:rsidRPr="00D9172B" w:rsidTr="00652F81">
        <w:trPr>
          <w:trHeight w:val="255"/>
        </w:trPr>
        <w:tc>
          <w:tcPr>
            <w:tcW w:w="960" w:type="dxa"/>
            <w:noWrap/>
            <w:vAlign w:val="bottom"/>
          </w:tcPr>
          <w:p w:rsidR="00652F81" w:rsidRPr="00CF6B76" w:rsidRDefault="00652F81" w:rsidP="00652F81">
            <w:pPr>
              <w:rPr>
                <w:rFonts w:ascii="Tahoma" w:hAnsi="Tahoma" w:cs="Tahoma"/>
                <w:b/>
                <w:bCs/>
              </w:rPr>
            </w:pPr>
            <w:r>
              <w:rPr>
                <w:rFonts w:ascii="Tahoma" w:hAnsi="Tahoma" w:cs="Tahoma"/>
                <w:b/>
                <w:bCs/>
              </w:rPr>
              <w:t>EA17</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4,4</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4,6</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4,8</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4,6</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4,3</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3,8</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3,3</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3,6</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4,3</w:t>
            </w:r>
          </w:p>
        </w:tc>
      </w:tr>
      <w:tr w:rsidR="00652F81" w:rsidRPr="00D9172B" w:rsidTr="00652F81">
        <w:trPr>
          <w:trHeight w:val="255"/>
        </w:trPr>
        <w:tc>
          <w:tcPr>
            <w:tcW w:w="960" w:type="dxa"/>
            <w:noWrap/>
            <w:vAlign w:val="bottom"/>
          </w:tcPr>
          <w:p w:rsidR="00652F81" w:rsidRPr="00C01E38" w:rsidRDefault="00652F81" w:rsidP="00652F81">
            <w:pPr>
              <w:rPr>
                <w:rFonts w:ascii="Tahoma" w:hAnsi="Tahoma" w:cs="Tahoma"/>
                <w:b/>
                <w:bCs/>
              </w:rPr>
            </w:pPr>
            <w:r w:rsidRPr="00C01E38">
              <w:rPr>
                <w:rFonts w:ascii="Tahoma" w:hAnsi="Tahoma" w:cs="Tahoma"/>
                <w:b/>
                <w:bCs/>
              </w:rPr>
              <w:t>EL</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8,6</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8,9</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9,4</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8,9</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8,1</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7,0</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6,0</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6,0</w:t>
            </w:r>
          </w:p>
        </w:tc>
        <w:tc>
          <w:tcPr>
            <w:tcW w:w="960" w:type="dxa"/>
            <w:noWrap/>
            <w:vAlign w:val="bottom"/>
          </w:tcPr>
          <w:p w:rsidR="00652F81" w:rsidRPr="00DE6DF7" w:rsidRDefault="00652F81" w:rsidP="00652F81">
            <w:pPr>
              <w:jc w:val="right"/>
              <w:rPr>
                <w:rFonts w:ascii="Tahoma" w:hAnsi="Tahoma" w:cs="Tahoma"/>
              </w:rPr>
            </w:pPr>
            <w:r w:rsidRPr="00DE6DF7">
              <w:rPr>
                <w:rFonts w:ascii="Tahoma" w:hAnsi="Tahoma" w:cs="Tahoma"/>
              </w:rPr>
              <w:t>8,1</w:t>
            </w:r>
          </w:p>
        </w:tc>
      </w:tr>
    </w:tbl>
    <w:p w:rsidR="00652F81" w:rsidRPr="004D62C4" w:rsidRDefault="00652F81" w:rsidP="00652F81">
      <w:pPr>
        <w:pStyle w:val="1"/>
        <w:rPr>
          <w:rFonts w:ascii="Tahoma" w:hAnsi="Tahoma" w:cs="Tahoma"/>
          <w:b w:val="0"/>
          <w:sz w:val="18"/>
          <w:szCs w:val="18"/>
        </w:rPr>
      </w:pPr>
      <w:r w:rsidRPr="00954CD1">
        <w:rPr>
          <w:rFonts w:ascii="Tahoma" w:hAnsi="Tahoma" w:cs="Tahoma"/>
          <w:sz w:val="18"/>
          <w:szCs w:val="18"/>
        </w:rPr>
        <w:t>Πηγή:</w:t>
      </w:r>
      <w:r w:rsidRPr="004D62C4">
        <w:rPr>
          <w:rFonts w:ascii="Tahoma" w:hAnsi="Tahoma" w:cs="Tahoma"/>
          <w:b w:val="0"/>
          <w:sz w:val="18"/>
          <w:szCs w:val="18"/>
        </w:rPr>
        <w:t xml:space="preserve"> </w:t>
      </w:r>
      <w:r w:rsidRPr="004D62C4">
        <w:rPr>
          <w:rFonts w:ascii="Tahoma" w:hAnsi="Tahoma" w:cs="Tahoma"/>
          <w:b w:val="0"/>
          <w:sz w:val="18"/>
          <w:szCs w:val="18"/>
          <w:lang w:val="en-US"/>
        </w:rPr>
        <w:t>Eurostat</w:t>
      </w:r>
    </w:p>
    <w:p w:rsidR="00652F81" w:rsidRPr="0076518C" w:rsidRDefault="00652F81" w:rsidP="00652F81">
      <w:pPr>
        <w:spacing w:line="288" w:lineRule="auto"/>
        <w:rPr>
          <w:rFonts w:ascii="Tahoma" w:hAnsi="Tahoma" w:cs="Tahoma"/>
        </w:rPr>
        <w:sectPr w:rsidR="00652F81" w:rsidRPr="0076518C" w:rsidSect="00652F81">
          <w:footerReference w:type="default" r:id="rId95"/>
          <w:pgSz w:w="11906" w:h="16838"/>
          <w:pgMar w:top="1701" w:right="1418" w:bottom="1418" w:left="1418" w:header="720" w:footer="720" w:gutter="0"/>
          <w:cols w:space="720"/>
        </w:sectPr>
      </w:pPr>
    </w:p>
    <w:p w:rsidR="00652F81" w:rsidRPr="00294913" w:rsidRDefault="00652F81" w:rsidP="00652F81">
      <w:pPr>
        <w:pStyle w:val="new6"/>
        <w:tabs>
          <w:tab w:val="left" w:pos="1080"/>
        </w:tabs>
      </w:pPr>
      <w:bookmarkStart w:id="470" w:name="_Toc150308610"/>
      <w:bookmarkStart w:id="471" w:name="_Toc169881549"/>
      <w:bookmarkStart w:id="472" w:name="_Toc170201896"/>
      <w:r w:rsidRPr="00294913">
        <w:rPr>
          <w:lang w:val="en-US"/>
        </w:rPr>
        <w:lastRenderedPageBreak/>
        <w:t>V</w:t>
      </w:r>
      <w:r>
        <w:t>Ι-Α,</w:t>
      </w:r>
      <w:r>
        <w:tab/>
      </w:r>
      <w:bookmarkEnd w:id="470"/>
      <w:bookmarkEnd w:id="471"/>
      <w:r w:rsidRPr="00294913">
        <w:t>Π</w:t>
      </w:r>
      <w:r>
        <w:t>εριβάλλον</w:t>
      </w:r>
      <w:bookmarkEnd w:id="472"/>
      <w:r>
        <w:t xml:space="preserve"> </w:t>
      </w:r>
    </w:p>
    <w:p w:rsidR="00652F81" w:rsidRPr="00294913" w:rsidRDefault="00652F81" w:rsidP="00652F81"/>
    <w:p w:rsidR="00652F81" w:rsidRPr="00294913" w:rsidRDefault="00652F81" w:rsidP="00652F81"/>
    <w:p w:rsidR="00652F81" w:rsidRPr="00294913" w:rsidRDefault="00652F81" w:rsidP="00652F81">
      <w:pPr>
        <w:pStyle w:val="new12"/>
        <w:ind w:left="964" w:hanging="964"/>
      </w:pPr>
      <w:bookmarkStart w:id="473" w:name="_Toc150308611"/>
      <w:bookmarkStart w:id="474" w:name="_Toc169881550"/>
      <w:bookmarkStart w:id="475" w:name="_Toc170201897"/>
      <w:r w:rsidRPr="00294913">
        <w:rPr>
          <w:lang w:val="en-US"/>
        </w:rPr>
        <w:t>VI</w:t>
      </w:r>
      <w:r w:rsidRPr="00294913">
        <w:t>-1α</w:t>
      </w:r>
      <w:r>
        <w:t>,</w:t>
      </w:r>
      <w:r w:rsidRPr="00294913">
        <w:tab/>
        <w:t xml:space="preserve">Εκποµπές </w:t>
      </w:r>
      <w:r>
        <w:t>Αερίων που σχετίζονται με το Φ</w:t>
      </w:r>
      <w:r w:rsidRPr="00294913">
        <w:t>αινόµε</w:t>
      </w:r>
      <w:r>
        <w:t>νο του Θ</w:t>
      </w:r>
      <w:r w:rsidRPr="00294913">
        <w:t>ερµοκηπίου</w:t>
      </w:r>
      <w:bookmarkEnd w:id="473"/>
      <w:bookmarkEnd w:id="474"/>
      <w:bookmarkEnd w:id="475"/>
    </w:p>
    <w:p w:rsidR="00652F81" w:rsidRDefault="00652F81" w:rsidP="00652F81">
      <w:pPr>
        <w:pStyle w:val="new1210pt"/>
      </w:pPr>
      <w:bookmarkStart w:id="476" w:name="_Toc150308612"/>
      <w:bookmarkStart w:id="477" w:name="_Toc170201898"/>
      <w:r w:rsidRPr="00294913">
        <w:t xml:space="preserve">(ποσοστιαία μεταβολή από το έτος βάσης ως προς τους στόχους του Κιότο, σε ισοδύναμα </w:t>
      </w:r>
      <w:r w:rsidRPr="00294913">
        <w:rPr>
          <w:lang w:val="en-US"/>
        </w:rPr>
        <w:t>CO</w:t>
      </w:r>
      <w:r w:rsidRPr="00294913">
        <w:rPr>
          <w:vertAlign w:val="subscript"/>
        </w:rPr>
        <w:t>2</w:t>
      </w:r>
      <w:r w:rsidRPr="00294913">
        <w:t>)</w:t>
      </w:r>
      <w:bookmarkEnd w:id="476"/>
      <w:bookmarkEnd w:id="477"/>
    </w:p>
    <w:p w:rsidR="00652F81" w:rsidRPr="00C27EEB" w:rsidRDefault="00652F81" w:rsidP="00652F81"/>
    <w:p w:rsidR="00652F81" w:rsidRPr="000521A4" w:rsidRDefault="00652F81" w:rsidP="00652F81">
      <w:r>
        <w:rPr>
          <w:noProof/>
          <w:lang w:val="en-US" w:eastAsia="en-US"/>
        </w:rPr>
        <w:drawing>
          <wp:inline distT="0" distB="0" distL="0" distR="0">
            <wp:extent cx="5600700" cy="3343275"/>
            <wp:effectExtent l="0" t="0" r="0" b="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6" cstate="print"/>
                    <a:srcRect/>
                    <a:stretch>
                      <a:fillRect/>
                    </a:stretch>
                  </pic:blipFill>
                  <pic:spPr bwMode="auto">
                    <a:xfrm>
                      <a:off x="0" y="0"/>
                      <a:ext cx="5600700" cy="3343275"/>
                    </a:xfrm>
                    <a:prstGeom prst="rect">
                      <a:avLst/>
                    </a:prstGeom>
                    <a:noFill/>
                    <a:ln w="9525">
                      <a:noFill/>
                      <a:miter lim="800000"/>
                      <a:headEnd/>
                      <a:tailEnd/>
                    </a:ln>
                  </pic:spPr>
                </pic:pic>
              </a:graphicData>
            </a:graphic>
          </wp:inline>
        </w:drawing>
      </w:r>
      <w:r>
        <w:tab/>
      </w:r>
    </w:p>
    <w:tbl>
      <w:tblPr>
        <w:tblW w:w="9600" w:type="dxa"/>
        <w:tblBorders>
          <w:top w:val="single" w:sz="12" w:space="0" w:color="auto"/>
          <w:bottom w:val="single" w:sz="12" w:space="0" w:color="auto"/>
          <w:insideH w:val="dotted" w:sz="4" w:space="0" w:color="auto"/>
        </w:tblBorders>
        <w:tblLook w:val="00E0"/>
      </w:tblPr>
      <w:tblGrid>
        <w:gridCol w:w="960"/>
        <w:gridCol w:w="960"/>
        <w:gridCol w:w="960"/>
        <w:gridCol w:w="960"/>
        <w:gridCol w:w="960"/>
        <w:gridCol w:w="960"/>
        <w:gridCol w:w="960"/>
        <w:gridCol w:w="960"/>
        <w:gridCol w:w="960"/>
        <w:gridCol w:w="960"/>
      </w:tblGrid>
      <w:tr w:rsidR="00652F81" w:rsidRPr="00515DAC" w:rsidTr="00652F81">
        <w:trPr>
          <w:trHeight w:val="255"/>
        </w:trPr>
        <w:tc>
          <w:tcPr>
            <w:tcW w:w="960" w:type="dxa"/>
            <w:tcBorders>
              <w:top w:val="single" w:sz="12" w:space="0" w:color="auto"/>
              <w:bottom w:val="single" w:sz="8" w:space="0" w:color="auto"/>
            </w:tcBorders>
            <w:noWrap/>
          </w:tcPr>
          <w:p w:rsidR="00652F81" w:rsidRPr="00D9172B" w:rsidRDefault="00652F81" w:rsidP="00652F81">
            <w:pPr>
              <w:jc w:val="center"/>
              <w:rPr>
                <w:rFonts w:ascii="Tahoma" w:hAnsi="Tahoma" w:cs="Tahoma"/>
              </w:rPr>
            </w:pPr>
          </w:p>
        </w:tc>
        <w:tc>
          <w:tcPr>
            <w:tcW w:w="960" w:type="dxa"/>
            <w:tcBorders>
              <w:top w:val="single" w:sz="12" w:space="0" w:color="auto"/>
              <w:bottom w:val="single" w:sz="8" w:space="0" w:color="auto"/>
            </w:tcBorders>
            <w:noWrap/>
            <w:vAlign w:val="bottom"/>
          </w:tcPr>
          <w:p w:rsidR="00652F81" w:rsidRPr="00D9172B" w:rsidRDefault="00652F81" w:rsidP="00652F81">
            <w:pPr>
              <w:jc w:val="center"/>
              <w:rPr>
                <w:rFonts w:ascii="Tahoma" w:hAnsi="Tahoma" w:cs="Tahoma"/>
                <w:b/>
                <w:bCs/>
              </w:rPr>
            </w:pPr>
            <w:r>
              <w:rPr>
                <w:rFonts w:ascii="Tahoma" w:hAnsi="Tahoma" w:cs="Tahoma"/>
                <w:b/>
                <w:bCs/>
              </w:rPr>
              <w:t>2002</w:t>
            </w:r>
          </w:p>
        </w:tc>
        <w:tc>
          <w:tcPr>
            <w:tcW w:w="960" w:type="dxa"/>
            <w:tcBorders>
              <w:top w:val="single" w:sz="12" w:space="0" w:color="auto"/>
              <w:bottom w:val="single" w:sz="8" w:space="0" w:color="auto"/>
            </w:tcBorders>
            <w:noWrap/>
            <w:vAlign w:val="bottom"/>
          </w:tcPr>
          <w:p w:rsidR="00652F81" w:rsidRPr="00D9172B" w:rsidRDefault="00652F81" w:rsidP="00652F81">
            <w:pPr>
              <w:jc w:val="center"/>
              <w:rPr>
                <w:rFonts w:ascii="Tahoma" w:hAnsi="Tahoma" w:cs="Tahoma"/>
                <w:b/>
                <w:bCs/>
              </w:rPr>
            </w:pPr>
            <w:r>
              <w:rPr>
                <w:rFonts w:ascii="Tahoma" w:hAnsi="Tahoma" w:cs="Tahoma"/>
                <w:b/>
                <w:bCs/>
              </w:rPr>
              <w:t>2003</w:t>
            </w:r>
          </w:p>
        </w:tc>
        <w:tc>
          <w:tcPr>
            <w:tcW w:w="960" w:type="dxa"/>
            <w:tcBorders>
              <w:top w:val="single" w:sz="12" w:space="0" w:color="auto"/>
              <w:bottom w:val="single" w:sz="8" w:space="0" w:color="auto"/>
            </w:tcBorders>
            <w:noWrap/>
            <w:vAlign w:val="bottom"/>
          </w:tcPr>
          <w:p w:rsidR="00652F81" w:rsidRPr="00D9172B" w:rsidRDefault="00652F81" w:rsidP="00652F81">
            <w:pPr>
              <w:jc w:val="center"/>
              <w:rPr>
                <w:rFonts w:ascii="Tahoma" w:hAnsi="Tahoma" w:cs="Tahoma"/>
                <w:b/>
                <w:bCs/>
              </w:rPr>
            </w:pPr>
            <w:r>
              <w:rPr>
                <w:rFonts w:ascii="Tahoma" w:hAnsi="Tahoma" w:cs="Tahoma"/>
                <w:b/>
                <w:bCs/>
              </w:rPr>
              <w:t>2004</w:t>
            </w:r>
          </w:p>
        </w:tc>
        <w:tc>
          <w:tcPr>
            <w:tcW w:w="960" w:type="dxa"/>
            <w:tcBorders>
              <w:top w:val="single" w:sz="12" w:space="0" w:color="auto"/>
              <w:bottom w:val="single" w:sz="8" w:space="0" w:color="auto"/>
            </w:tcBorders>
            <w:noWrap/>
            <w:vAlign w:val="bottom"/>
          </w:tcPr>
          <w:p w:rsidR="00652F81" w:rsidRPr="00D9172B" w:rsidRDefault="00652F81" w:rsidP="00652F81">
            <w:pPr>
              <w:jc w:val="center"/>
              <w:rPr>
                <w:rFonts w:ascii="Tahoma" w:hAnsi="Tahoma" w:cs="Tahoma"/>
                <w:b/>
                <w:bCs/>
              </w:rPr>
            </w:pPr>
            <w:r>
              <w:rPr>
                <w:rFonts w:ascii="Tahoma" w:hAnsi="Tahoma" w:cs="Tahoma"/>
                <w:b/>
                <w:bCs/>
              </w:rPr>
              <w:t>2005</w:t>
            </w:r>
          </w:p>
        </w:tc>
        <w:tc>
          <w:tcPr>
            <w:tcW w:w="960" w:type="dxa"/>
            <w:tcBorders>
              <w:top w:val="single" w:sz="12" w:space="0" w:color="auto"/>
              <w:bottom w:val="single" w:sz="8" w:space="0" w:color="auto"/>
            </w:tcBorders>
            <w:noWrap/>
            <w:vAlign w:val="bottom"/>
          </w:tcPr>
          <w:p w:rsidR="00652F81" w:rsidRPr="00D9172B" w:rsidRDefault="00652F81" w:rsidP="00652F81">
            <w:pPr>
              <w:jc w:val="center"/>
              <w:rPr>
                <w:rFonts w:ascii="Tahoma" w:hAnsi="Tahoma" w:cs="Tahoma"/>
                <w:b/>
                <w:bCs/>
              </w:rPr>
            </w:pPr>
            <w:r>
              <w:rPr>
                <w:rFonts w:ascii="Tahoma" w:hAnsi="Tahoma" w:cs="Tahoma"/>
                <w:b/>
                <w:bCs/>
              </w:rPr>
              <w:t>2006</w:t>
            </w:r>
          </w:p>
        </w:tc>
        <w:tc>
          <w:tcPr>
            <w:tcW w:w="960" w:type="dxa"/>
            <w:tcBorders>
              <w:top w:val="single" w:sz="12" w:space="0" w:color="auto"/>
              <w:bottom w:val="single" w:sz="8" w:space="0" w:color="auto"/>
            </w:tcBorders>
            <w:noWrap/>
            <w:vAlign w:val="bottom"/>
          </w:tcPr>
          <w:p w:rsidR="00652F81" w:rsidRPr="00D9172B" w:rsidRDefault="00652F81" w:rsidP="00652F81">
            <w:pPr>
              <w:jc w:val="center"/>
              <w:rPr>
                <w:rFonts w:ascii="Tahoma" w:hAnsi="Tahoma" w:cs="Tahoma"/>
                <w:b/>
                <w:bCs/>
              </w:rPr>
            </w:pPr>
            <w:r>
              <w:rPr>
                <w:rFonts w:ascii="Tahoma" w:hAnsi="Tahoma" w:cs="Tahoma"/>
                <w:b/>
                <w:bCs/>
              </w:rPr>
              <w:t>2007</w:t>
            </w:r>
          </w:p>
        </w:tc>
        <w:tc>
          <w:tcPr>
            <w:tcW w:w="960" w:type="dxa"/>
            <w:tcBorders>
              <w:top w:val="single" w:sz="12" w:space="0" w:color="auto"/>
              <w:bottom w:val="single" w:sz="8" w:space="0" w:color="auto"/>
            </w:tcBorders>
            <w:noWrap/>
            <w:vAlign w:val="bottom"/>
          </w:tcPr>
          <w:p w:rsidR="00652F81" w:rsidRPr="00D9172B" w:rsidRDefault="00652F81" w:rsidP="00652F81">
            <w:pPr>
              <w:jc w:val="center"/>
              <w:rPr>
                <w:rFonts w:ascii="Tahoma" w:hAnsi="Tahoma" w:cs="Tahoma"/>
                <w:b/>
                <w:bCs/>
              </w:rPr>
            </w:pPr>
            <w:r>
              <w:rPr>
                <w:rFonts w:ascii="Tahoma" w:hAnsi="Tahoma" w:cs="Tahoma"/>
                <w:b/>
                <w:bCs/>
              </w:rPr>
              <w:t>2008</w:t>
            </w:r>
          </w:p>
        </w:tc>
        <w:tc>
          <w:tcPr>
            <w:tcW w:w="960" w:type="dxa"/>
            <w:tcBorders>
              <w:top w:val="single" w:sz="12" w:space="0" w:color="auto"/>
              <w:bottom w:val="single" w:sz="8" w:space="0" w:color="auto"/>
            </w:tcBorders>
            <w:noWrap/>
            <w:vAlign w:val="bottom"/>
          </w:tcPr>
          <w:p w:rsidR="00652F81" w:rsidRPr="00D9172B" w:rsidRDefault="00652F81" w:rsidP="00652F81">
            <w:pPr>
              <w:jc w:val="center"/>
              <w:rPr>
                <w:rFonts w:ascii="Tahoma" w:hAnsi="Tahoma" w:cs="Tahoma"/>
                <w:b/>
                <w:bCs/>
              </w:rPr>
            </w:pPr>
            <w:r>
              <w:rPr>
                <w:rFonts w:ascii="Tahoma" w:hAnsi="Tahoma" w:cs="Tahoma"/>
                <w:b/>
                <w:bCs/>
              </w:rPr>
              <w:t>2009</w:t>
            </w:r>
          </w:p>
        </w:tc>
        <w:tc>
          <w:tcPr>
            <w:tcW w:w="960" w:type="dxa"/>
            <w:tcBorders>
              <w:top w:val="single" w:sz="12" w:space="0" w:color="auto"/>
              <w:bottom w:val="single" w:sz="8" w:space="0" w:color="auto"/>
            </w:tcBorders>
            <w:noWrap/>
            <w:vAlign w:val="bottom"/>
          </w:tcPr>
          <w:p w:rsidR="00652F81" w:rsidRPr="00D9172B" w:rsidRDefault="00652F81" w:rsidP="00652F81">
            <w:pPr>
              <w:jc w:val="center"/>
              <w:rPr>
                <w:rFonts w:ascii="Tahoma" w:hAnsi="Tahoma" w:cs="Tahoma"/>
                <w:b/>
                <w:bCs/>
              </w:rPr>
            </w:pPr>
            <w:r>
              <w:rPr>
                <w:rFonts w:ascii="Tahoma" w:hAnsi="Tahoma" w:cs="Tahoma"/>
                <w:b/>
                <w:bCs/>
              </w:rPr>
              <w:t>Στόχος</w:t>
            </w:r>
          </w:p>
        </w:tc>
      </w:tr>
      <w:tr w:rsidR="00652F81" w:rsidRPr="00515DAC" w:rsidTr="00652F81">
        <w:trPr>
          <w:trHeight w:val="255"/>
        </w:trPr>
        <w:tc>
          <w:tcPr>
            <w:tcW w:w="960" w:type="dxa"/>
            <w:tcBorders>
              <w:top w:val="single" w:sz="8" w:space="0" w:color="auto"/>
            </w:tcBorders>
            <w:noWrap/>
            <w:vAlign w:val="bottom"/>
          </w:tcPr>
          <w:p w:rsidR="00652F81" w:rsidRPr="00D9172B" w:rsidRDefault="00652F81" w:rsidP="00652F81">
            <w:pPr>
              <w:rPr>
                <w:rFonts w:ascii="Tahoma" w:hAnsi="Tahoma" w:cs="Tahoma"/>
                <w:b/>
                <w:bCs/>
              </w:rPr>
            </w:pPr>
            <w:r w:rsidRPr="00D9172B">
              <w:rPr>
                <w:rFonts w:ascii="Tahoma" w:hAnsi="Tahoma" w:cs="Tahoma"/>
                <w:b/>
                <w:bCs/>
              </w:rPr>
              <w:t>EU27</w:t>
            </w:r>
          </w:p>
        </w:tc>
        <w:tc>
          <w:tcPr>
            <w:tcW w:w="960" w:type="dxa"/>
            <w:tcBorders>
              <w:top w:val="single" w:sz="8" w:space="0" w:color="auto"/>
            </w:tcBorders>
            <w:noWrap/>
            <w:vAlign w:val="bottom"/>
          </w:tcPr>
          <w:p w:rsidR="00652F81" w:rsidRPr="001808A9" w:rsidRDefault="00652F81" w:rsidP="00652F81">
            <w:pPr>
              <w:jc w:val="right"/>
              <w:rPr>
                <w:rFonts w:ascii="Tahoma" w:hAnsi="Tahoma" w:cs="Tahoma"/>
              </w:rPr>
            </w:pPr>
            <w:r w:rsidRPr="001808A9">
              <w:rPr>
                <w:rFonts w:ascii="Tahoma" w:hAnsi="Tahoma" w:cs="Tahoma"/>
              </w:rPr>
              <w:t>91</w:t>
            </w:r>
          </w:p>
        </w:tc>
        <w:tc>
          <w:tcPr>
            <w:tcW w:w="960" w:type="dxa"/>
            <w:tcBorders>
              <w:top w:val="single" w:sz="8" w:space="0" w:color="auto"/>
            </w:tcBorders>
            <w:noWrap/>
            <w:vAlign w:val="bottom"/>
          </w:tcPr>
          <w:p w:rsidR="00652F81" w:rsidRPr="001808A9" w:rsidRDefault="00652F81" w:rsidP="00652F81">
            <w:pPr>
              <w:jc w:val="right"/>
              <w:rPr>
                <w:rFonts w:ascii="Tahoma" w:hAnsi="Tahoma" w:cs="Tahoma"/>
              </w:rPr>
            </w:pPr>
            <w:r w:rsidRPr="001808A9">
              <w:rPr>
                <w:rFonts w:ascii="Tahoma" w:hAnsi="Tahoma" w:cs="Tahoma"/>
              </w:rPr>
              <w:t>93</w:t>
            </w:r>
          </w:p>
        </w:tc>
        <w:tc>
          <w:tcPr>
            <w:tcW w:w="960" w:type="dxa"/>
            <w:tcBorders>
              <w:top w:val="single" w:sz="8" w:space="0" w:color="auto"/>
            </w:tcBorders>
            <w:noWrap/>
            <w:vAlign w:val="bottom"/>
          </w:tcPr>
          <w:p w:rsidR="00652F81" w:rsidRPr="001808A9" w:rsidRDefault="00652F81" w:rsidP="00652F81">
            <w:pPr>
              <w:jc w:val="right"/>
              <w:rPr>
                <w:rFonts w:ascii="Tahoma" w:hAnsi="Tahoma" w:cs="Tahoma"/>
              </w:rPr>
            </w:pPr>
            <w:r w:rsidRPr="001808A9">
              <w:rPr>
                <w:rFonts w:ascii="Tahoma" w:hAnsi="Tahoma" w:cs="Tahoma"/>
              </w:rPr>
              <w:t>93</w:t>
            </w:r>
          </w:p>
        </w:tc>
        <w:tc>
          <w:tcPr>
            <w:tcW w:w="960" w:type="dxa"/>
            <w:tcBorders>
              <w:top w:val="single" w:sz="8" w:space="0" w:color="auto"/>
            </w:tcBorders>
            <w:noWrap/>
            <w:vAlign w:val="bottom"/>
          </w:tcPr>
          <w:p w:rsidR="00652F81" w:rsidRPr="001808A9" w:rsidRDefault="00652F81" w:rsidP="00652F81">
            <w:pPr>
              <w:jc w:val="right"/>
              <w:rPr>
                <w:rFonts w:ascii="Tahoma" w:hAnsi="Tahoma" w:cs="Tahoma"/>
              </w:rPr>
            </w:pPr>
            <w:r w:rsidRPr="001808A9">
              <w:rPr>
                <w:rFonts w:ascii="Tahoma" w:hAnsi="Tahoma" w:cs="Tahoma"/>
              </w:rPr>
              <w:t>92</w:t>
            </w:r>
          </w:p>
        </w:tc>
        <w:tc>
          <w:tcPr>
            <w:tcW w:w="960" w:type="dxa"/>
            <w:tcBorders>
              <w:top w:val="single" w:sz="8" w:space="0" w:color="auto"/>
            </w:tcBorders>
            <w:noWrap/>
            <w:vAlign w:val="bottom"/>
          </w:tcPr>
          <w:p w:rsidR="00652F81" w:rsidRPr="001808A9" w:rsidRDefault="00652F81" w:rsidP="00652F81">
            <w:pPr>
              <w:jc w:val="right"/>
              <w:rPr>
                <w:rFonts w:ascii="Tahoma" w:hAnsi="Tahoma" w:cs="Tahoma"/>
              </w:rPr>
            </w:pPr>
            <w:r w:rsidRPr="001808A9">
              <w:rPr>
                <w:rFonts w:ascii="Tahoma" w:hAnsi="Tahoma" w:cs="Tahoma"/>
              </w:rPr>
              <w:t>92</w:t>
            </w:r>
          </w:p>
        </w:tc>
        <w:tc>
          <w:tcPr>
            <w:tcW w:w="960" w:type="dxa"/>
            <w:tcBorders>
              <w:top w:val="single" w:sz="8" w:space="0" w:color="auto"/>
            </w:tcBorders>
            <w:noWrap/>
            <w:vAlign w:val="bottom"/>
          </w:tcPr>
          <w:p w:rsidR="00652F81" w:rsidRPr="001808A9" w:rsidRDefault="00652F81" w:rsidP="00652F81">
            <w:pPr>
              <w:jc w:val="right"/>
              <w:rPr>
                <w:rFonts w:ascii="Tahoma" w:hAnsi="Tahoma" w:cs="Tahoma"/>
              </w:rPr>
            </w:pPr>
            <w:r w:rsidRPr="001808A9">
              <w:rPr>
                <w:rFonts w:ascii="Tahoma" w:hAnsi="Tahoma" w:cs="Tahoma"/>
              </w:rPr>
              <w:t>91</w:t>
            </w:r>
          </w:p>
        </w:tc>
        <w:tc>
          <w:tcPr>
            <w:tcW w:w="960" w:type="dxa"/>
            <w:tcBorders>
              <w:top w:val="single" w:sz="8" w:space="0" w:color="auto"/>
            </w:tcBorders>
            <w:noWrap/>
            <w:vAlign w:val="bottom"/>
          </w:tcPr>
          <w:p w:rsidR="00652F81" w:rsidRPr="001808A9" w:rsidRDefault="00652F81" w:rsidP="00652F81">
            <w:pPr>
              <w:jc w:val="right"/>
              <w:rPr>
                <w:rFonts w:ascii="Tahoma" w:hAnsi="Tahoma" w:cs="Tahoma"/>
              </w:rPr>
            </w:pPr>
            <w:r w:rsidRPr="001808A9">
              <w:rPr>
                <w:rFonts w:ascii="Tahoma" w:hAnsi="Tahoma" w:cs="Tahoma"/>
              </w:rPr>
              <w:t>89</w:t>
            </w:r>
          </w:p>
        </w:tc>
        <w:tc>
          <w:tcPr>
            <w:tcW w:w="960" w:type="dxa"/>
            <w:tcBorders>
              <w:top w:val="single" w:sz="8" w:space="0" w:color="auto"/>
            </w:tcBorders>
            <w:noWrap/>
            <w:vAlign w:val="bottom"/>
          </w:tcPr>
          <w:p w:rsidR="00652F81" w:rsidRPr="001808A9" w:rsidRDefault="00652F81" w:rsidP="00652F81">
            <w:pPr>
              <w:jc w:val="right"/>
              <w:rPr>
                <w:rFonts w:ascii="Tahoma" w:hAnsi="Tahoma" w:cs="Tahoma"/>
              </w:rPr>
            </w:pPr>
            <w:r w:rsidRPr="001808A9">
              <w:rPr>
                <w:rFonts w:ascii="Tahoma" w:hAnsi="Tahoma" w:cs="Tahoma"/>
              </w:rPr>
              <w:t>83</w:t>
            </w:r>
          </w:p>
        </w:tc>
        <w:tc>
          <w:tcPr>
            <w:tcW w:w="960" w:type="dxa"/>
            <w:tcBorders>
              <w:top w:val="single" w:sz="8" w:space="0" w:color="auto"/>
            </w:tcBorders>
            <w:noWrap/>
            <w:vAlign w:val="bottom"/>
          </w:tcPr>
          <w:p w:rsidR="00652F81" w:rsidRPr="001808A9" w:rsidRDefault="00652F81" w:rsidP="00652F81">
            <w:pPr>
              <w:jc w:val="right"/>
              <w:rPr>
                <w:rFonts w:ascii="Tahoma" w:hAnsi="Tahoma" w:cs="Tahoma"/>
              </w:rPr>
            </w:pPr>
            <w:r w:rsidRPr="001808A9">
              <w:rPr>
                <w:rFonts w:ascii="Tahoma" w:hAnsi="Tahoma" w:cs="Tahoma"/>
              </w:rPr>
              <w:t>80</w:t>
            </w:r>
          </w:p>
        </w:tc>
      </w:tr>
      <w:tr w:rsidR="00652F81" w:rsidRPr="00515DAC" w:rsidTr="00652F81">
        <w:trPr>
          <w:trHeight w:val="255"/>
        </w:trPr>
        <w:tc>
          <w:tcPr>
            <w:tcW w:w="960" w:type="dxa"/>
            <w:noWrap/>
            <w:vAlign w:val="bottom"/>
          </w:tcPr>
          <w:p w:rsidR="00652F81" w:rsidRPr="00D9172B" w:rsidRDefault="00652F81" w:rsidP="00652F81">
            <w:pPr>
              <w:rPr>
                <w:rFonts w:ascii="Tahoma" w:hAnsi="Tahoma" w:cs="Tahoma"/>
                <w:b/>
                <w:bCs/>
              </w:rPr>
            </w:pPr>
            <w:r w:rsidRPr="00D9172B">
              <w:rPr>
                <w:rFonts w:ascii="Tahoma" w:hAnsi="Tahoma" w:cs="Tahoma"/>
                <w:b/>
                <w:bCs/>
              </w:rPr>
              <w:t>EU25</w:t>
            </w:r>
          </w:p>
        </w:tc>
        <w:tc>
          <w:tcPr>
            <w:tcW w:w="960" w:type="dxa"/>
            <w:noWrap/>
            <w:vAlign w:val="bottom"/>
          </w:tcPr>
          <w:p w:rsidR="00652F81" w:rsidRPr="001808A9" w:rsidRDefault="00652F81" w:rsidP="00652F81">
            <w:pPr>
              <w:rPr>
                <w:rFonts w:ascii="Tahoma" w:hAnsi="Tahoma" w:cs="Tahoma"/>
              </w:rPr>
            </w:pPr>
          </w:p>
        </w:tc>
        <w:tc>
          <w:tcPr>
            <w:tcW w:w="960" w:type="dxa"/>
            <w:noWrap/>
            <w:vAlign w:val="bottom"/>
          </w:tcPr>
          <w:p w:rsidR="00652F81" w:rsidRPr="001808A9" w:rsidRDefault="00652F81" w:rsidP="00652F81">
            <w:pPr>
              <w:rPr>
                <w:rFonts w:ascii="Tahoma" w:hAnsi="Tahoma" w:cs="Tahoma"/>
              </w:rPr>
            </w:pPr>
          </w:p>
        </w:tc>
        <w:tc>
          <w:tcPr>
            <w:tcW w:w="960" w:type="dxa"/>
            <w:noWrap/>
            <w:vAlign w:val="bottom"/>
          </w:tcPr>
          <w:p w:rsidR="00652F81" w:rsidRPr="001808A9" w:rsidRDefault="00652F81" w:rsidP="00652F81">
            <w:pPr>
              <w:rPr>
                <w:rFonts w:ascii="Tahoma" w:hAnsi="Tahoma" w:cs="Tahoma"/>
              </w:rPr>
            </w:pPr>
          </w:p>
        </w:tc>
        <w:tc>
          <w:tcPr>
            <w:tcW w:w="960" w:type="dxa"/>
            <w:noWrap/>
            <w:vAlign w:val="bottom"/>
          </w:tcPr>
          <w:p w:rsidR="00652F81" w:rsidRPr="001808A9" w:rsidRDefault="00652F81" w:rsidP="00652F81">
            <w:pPr>
              <w:rPr>
                <w:rFonts w:ascii="Tahoma" w:hAnsi="Tahoma" w:cs="Tahoma"/>
              </w:rPr>
            </w:pPr>
          </w:p>
        </w:tc>
        <w:tc>
          <w:tcPr>
            <w:tcW w:w="960" w:type="dxa"/>
            <w:noWrap/>
            <w:vAlign w:val="bottom"/>
          </w:tcPr>
          <w:p w:rsidR="00652F81" w:rsidRPr="001808A9" w:rsidRDefault="00652F81" w:rsidP="00652F81">
            <w:pPr>
              <w:rPr>
                <w:rFonts w:ascii="Tahoma" w:hAnsi="Tahoma" w:cs="Tahoma"/>
              </w:rPr>
            </w:pPr>
          </w:p>
        </w:tc>
        <w:tc>
          <w:tcPr>
            <w:tcW w:w="960" w:type="dxa"/>
            <w:noWrap/>
            <w:vAlign w:val="bottom"/>
          </w:tcPr>
          <w:p w:rsidR="00652F81" w:rsidRPr="001808A9" w:rsidRDefault="00652F81" w:rsidP="00652F81">
            <w:pPr>
              <w:rPr>
                <w:rFonts w:ascii="Tahoma" w:hAnsi="Tahoma" w:cs="Tahoma"/>
              </w:rPr>
            </w:pPr>
          </w:p>
        </w:tc>
        <w:tc>
          <w:tcPr>
            <w:tcW w:w="960" w:type="dxa"/>
            <w:noWrap/>
            <w:vAlign w:val="bottom"/>
          </w:tcPr>
          <w:p w:rsidR="00652F81" w:rsidRPr="001808A9" w:rsidRDefault="00652F81" w:rsidP="00652F81">
            <w:pPr>
              <w:rPr>
                <w:rFonts w:ascii="Tahoma" w:hAnsi="Tahoma" w:cs="Tahoma"/>
              </w:rPr>
            </w:pPr>
          </w:p>
        </w:tc>
        <w:tc>
          <w:tcPr>
            <w:tcW w:w="960" w:type="dxa"/>
            <w:noWrap/>
            <w:vAlign w:val="bottom"/>
          </w:tcPr>
          <w:p w:rsidR="00652F81" w:rsidRPr="001808A9" w:rsidRDefault="00652F81" w:rsidP="00652F81">
            <w:pPr>
              <w:rPr>
                <w:rFonts w:ascii="Tahoma" w:hAnsi="Tahoma" w:cs="Tahoma"/>
              </w:rPr>
            </w:pPr>
          </w:p>
        </w:tc>
        <w:tc>
          <w:tcPr>
            <w:tcW w:w="960" w:type="dxa"/>
            <w:noWrap/>
            <w:vAlign w:val="bottom"/>
          </w:tcPr>
          <w:p w:rsidR="00652F81" w:rsidRPr="001808A9" w:rsidRDefault="00652F81" w:rsidP="00652F81">
            <w:pPr>
              <w:rPr>
                <w:rFonts w:ascii="Tahoma" w:hAnsi="Tahoma" w:cs="Tahoma"/>
              </w:rPr>
            </w:pPr>
          </w:p>
        </w:tc>
      </w:tr>
      <w:tr w:rsidR="00652F81" w:rsidRPr="00515DAC" w:rsidTr="00652F81">
        <w:trPr>
          <w:trHeight w:val="255"/>
        </w:trPr>
        <w:tc>
          <w:tcPr>
            <w:tcW w:w="960" w:type="dxa"/>
            <w:noWrap/>
            <w:vAlign w:val="bottom"/>
          </w:tcPr>
          <w:p w:rsidR="00652F81" w:rsidRPr="00D9172B" w:rsidRDefault="00652F81" w:rsidP="00652F81">
            <w:pPr>
              <w:rPr>
                <w:rFonts w:ascii="Tahoma" w:hAnsi="Tahoma" w:cs="Tahoma"/>
                <w:b/>
                <w:bCs/>
              </w:rPr>
            </w:pPr>
            <w:r w:rsidRPr="00D9172B">
              <w:rPr>
                <w:rFonts w:ascii="Tahoma" w:hAnsi="Tahoma" w:cs="Tahoma"/>
                <w:b/>
                <w:bCs/>
              </w:rPr>
              <w:t>EU15</w:t>
            </w:r>
          </w:p>
        </w:tc>
        <w:tc>
          <w:tcPr>
            <w:tcW w:w="960" w:type="dxa"/>
            <w:noWrap/>
            <w:vAlign w:val="bottom"/>
          </w:tcPr>
          <w:p w:rsidR="00652F81" w:rsidRPr="001808A9" w:rsidRDefault="00652F81" w:rsidP="00652F81">
            <w:pPr>
              <w:rPr>
                <w:rFonts w:ascii="Tahoma" w:hAnsi="Tahoma" w:cs="Tahoma"/>
              </w:rPr>
            </w:pPr>
          </w:p>
        </w:tc>
        <w:tc>
          <w:tcPr>
            <w:tcW w:w="960" w:type="dxa"/>
            <w:noWrap/>
            <w:vAlign w:val="bottom"/>
          </w:tcPr>
          <w:p w:rsidR="00652F81" w:rsidRPr="001808A9" w:rsidRDefault="00652F81" w:rsidP="00652F81">
            <w:pPr>
              <w:rPr>
                <w:rFonts w:ascii="Tahoma" w:hAnsi="Tahoma" w:cs="Tahoma"/>
              </w:rPr>
            </w:pPr>
          </w:p>
        </w:tc>
        <w:tc>
          <w:tcPr>
            <w:tcW w:w="960" w:type="dxa"/>
            <w:noWrap/>
            <w:vAlign w:val="bottom"/>
          </w:tcPr>
          <w:p w:rsidR="00652F81" w:rsidRPr="001808A9" w:rsidRDefault="00652F81" w:rsidP="00652F81">
            <w:pPr>
              <w:rPr>
                <w:rFonts w:ascii="Tahoma" w:hAnsi="Tahoma" w:cs="Tahoma"/>
              </w:rPr>
            </w:pPr>
          </w:p>
        </w:tc>
        <w:tc>
          <w:tcPr>
            <w:tcW w:w="960" w:type="dxa"/>
            <w:noWrap/>
            <w:vAlign w:val="bottom"/>
          </w:tcPr>
          <w:p w:rsidR="00652F81" w:rsidRPr="001808A9" w:rsidRDefault="00652F81" w:rsidP="00652F81">
            <w:pPr>
              <w:rPr>
                <w:rFonts w:ascii="Tahoma" w:hAnsi="Tahoma" w:cs="Tahoma"/>
              </w:rPr>
            </w:pPr>
          </w:p>
        </w:tc>
        <w:tc>
          <w:tcPr>
            <w:tcW w:w="960" w:type="dxa"/>
            <w:noWrap/>
            <w:vAlign w:val="bottom"/>
          </w:tcPr>
          <w:p w:rsidR="00652F81" w:rsidRPr="001808A9" w:rsidRDefault="00652F81" w:rsidP="00652F81">
            <w:pPr>
              <w:rPr>
                <w:rFonts w:ascii="Tahoma" w:hAnsi="Tahoma" w:cs="Tahoma"/>
              </w:rPr>
            </w:pPr>
          </w:p>
        </w:tc>
        <w:tc>
          <w:tcPr>
            <w:tcW w:w="960" w:type="dxa"/>
            <w:noWrap/>
            <w:vAlign w:val="bottom"/>
          </w:tcPr>
          <w:p w:rsidR="00652F81" w:rsidRPr="001808A9" w:rsidRDefault="00652F81" w:rsidP="00652F81">
            <w:pPr>
              <w:rPr>
                <w:rFonts w:ascii="Tahoma" w:hAnsi="Tahoma" w:cs="Tahoma"/>
              </w:rPr>
            </w:pPr>
          </w:p>
        </w:tc>
        <w:tc>
          <w:tcPr>
            <w:tcW w:w="960" w:type="dxa"/>
            <w:noWrap/>
            <w:vAlign w:val="bottom"/>
          </w:tcPr>
          <w:p w:rsidR="00652F81" w:rsidRPr="001808A9" w:rsidRDefault="00652F81" w:rsidP="00652F81">
            <w:pPr>
              <w:rPr>
                <w:rFonts w:ascii="Tahoma" w:hAnsi="Tahoma" w:cs="Tahoma"/>
              </w:rPr>
            </w:pPr>
          </w:p>
        </w:tc>
        <w:tc>
          <w:tcPr>
            <w:tcW w:w="960" w:type="dxa"/>
            <w:noWrap/>
            <w:vAlign w:val="bottom"/>
          </w:tcPr>
          <w:p w:rsidR="00652F81" w:rsidRPr="001808A9" w:rsidRDefault="00652F81" w:rsidP="00652F81">
            <w:pPr>
              <w:rPr>
                <w:rFonts w:ascii="Tahoma" w:hAnsi="Tahoma" w:cs="Tahoma"/>
              </w:rPr>
            </w:pPr>
          </w:p>
        </w:tc>
        <w:tc>
          <w:tcPr>
            <w:tcW w:w="960" w:type="dxa"/>
            <w:noWrap/>
            <w:vAlign w:val="bottom"/>
          </w:tcPr>
          <w:p w:rsidR="00652F81" w:rsidRPr="001808A9" w:rsidRDefault="00652F81" w:rsidP="00652F81">
            <w:pPr>
              <w:rPr>
                <w:rFonts w:ascii="Tahoma" w:hAnsi="Tahoma" w:cs="Tahoma"/>
              </w:rPr>
            </w:pPr>
          </w:p>
        </w:tc>
      </w:tr>
      <w:tr w:rsidR="00652F81" w:rsidRPr="00515DAC" w:rsidTr="00652F81">
        <w:trPr>
          <w:trHeight w:val="255"/>
        </w:trPr>
        <w:tc>
          <w:tcPr>
            <w:tcW w:w="960" w:type="dxa"/>
            <w:noWrap/>
            <w:vAlign w:val="bottom"/>
          </w:tcPr>
          <w:p w:rsidR="00652F81" w:rsidRPr="00CF6B76" w:rsidRDefault="00652F81" w:rsidP="00652F81">
            <w:pPr>
              <w:rPr>
                <w:rFonts w:ascii="Tahoma" w:hAnsi="Tahoma" w:cs="Tahoma"/>
                <w:b/>
                <w:bCs/>
              </w:rPr>
            </w:pPr>
            <w:r>
              <w:rPr>
                <w:rFonts w:ascii="Tahoma" w:hAnsi="Tahoma" w:cs="Tahoma"/>
                <w:b/>
                <w:bCs/>
              </w:rPr>
              <w:t>EA17</w:t>
            </w:r>
          </w:p>
        </w:tc>
        <w:tc>
          <w:tcPr>
            <w:tcW w:w="960" w:type="dxa"/>
            <w:noWrap/>
            <w:vAlign w:val="bottom"/>
          </w:tcPr>
          <w:p w:rsidR="00652F81" w:rsidRPr="001808A9" w:rsidRDefault="00652F81" w:rsidP="00652F81">
            <w:pPr>
              <w:jc w:val="right"/>
              <w:rPr>
                <w:rFonts w:ascii="Tahoma" w:hAnsi="Tahoma" w:cs="Tahoma"/>
              </w:rPr>
            </w:pPr>
            <w:r w:rsidRPr="001808A9">
              <w:rPr>
                <w:rFonts w:ascii="Tahoma" w:hAnsi="Tahoma" w:cs="Tahoma"/>
              </w:rPr>
              <w:t>:</w:t>
            </w:r>
          </w:p>
        </w:tc>
        <w:tc>
          <w:tcPr>
            <w:tcW w:w="960" w:type="dxa"/>
            <w:noWrap/>
            <w:vAlign w:val="bottom"/>
          </w:tcPr>
          <w:p w:rsidR="00652F81" w:rsidRPr="001808A9" w:rsidRDefault="00652F81" w:rsidP="00652F81">
            <w:pPr>
              <w:jc w:val="right"/>
              <w:rPr>
                <w:rFonts w:ascii="Tahoma" w:hAnsi="Tahoma" w:cs="Tahoma"/>
              </w:rPr>
            </w:pPr>
            <w:r w:rsidRPr="001808A9">
              <w:rPr>
                <w:rFonts w:ascii="Tahoma" w:hAnsi="Tahoma" w:cs="Tahoma"/>
              </w:rPr>
              <w:t>:</w:t>
            </w:r>
          </w:p>
        </w:tc>
        <w:tc>
          <w:tcPr>
            <w:tcW w:w="960" w:type="dxa"/>
            <w:noWrap/>
            <w:vAlign w:val="bottom"/>
          </w:tcPr>
          <w:p w:rsidR="00652F81" w:rsidRPr="001808A9" w:rsidRDefault="00652F81" w:rsidP="00652F81">
            <w:pPr>
              <w:jc w:val="right"/>
              <w:rPr>
                <w:rFonts w:ascii="Tahoma" w:hAnsi="Tahoma" w:cs="Tahoma"/>
              </w:rPr>
            </w:pPr>
            <w:r w:rsidRPr="001808A9">
              <w:rPr>
                <w:rFonts w:ascii="Tahoma" w:hAnsi="Tahoma" w:cs="Tahoma"/>
              </w:rPr>
              <w:t>:</w:t>
            </w:r>
          </w:p>
        </w:tc>
        <w:tc>
          <w:tcPr>
            <w:tcW w:w="960" w:type="dxa"/>
            <w:noWrap/>
            <w:vAlign w:val="bottom"/>
          </w:tcPr>
          <w:p w:rsidR="00652F81" w:rsidRPr="001808A9" w:rsidRDefault="00652F81" w:rsidP="00652F81">
            <w:pPr>
              <w:jc w:val="right"/>
              <w:rPr>
                <w:rFonts w:ascii="Tahoma" w:hAnsi="Tahoma" w:cs="Tahoma"/>
              </w:rPr>
            </w:pPr>
            <w:r w:rsidRPr="001808A9">
              <w:rPr>
                <w:rFonts w:ascii="Tahoma" w:hAnsi="Tahoma" w:cs="Tahoma"/>
              </w:rPr>
              <w:t>:</w:t>
            </w:r>
          </w:p>
        </w:tc>
        <w:tc>
          <w:tcPr>
            <w:tcW w:w="960" w:type="dxa"/>
            <w:noWrap/>
            <w:vAlign w:val="bottom"/>
          </w:tcPr>
          <w:p w:rsidR="00652F81" w:rsidRPr="001808A9" w:rsidRDefault="00652F81" w:rsidP="00652F81">
            <w:pPr>
              <w:jc w:val="right"/>
              <w:rPr>
                <w:rFonts w:ascii="Tahoma" w:hAnsi="Tahoma" w:cs="Tahoma"/>
              </w:rPr>
            </w:pPr>
            <w:r w:rsidRPr="001808A9">
              <w:rPr>
                <w:rFonts w:ascii="Tahoma" w:hAnsi="Tahoma" w:cs="Tahoma"/>
              </w:rPr>
              <w:t>:</w:t>
            </w:r>
          </w:p>
        </w:tc>
        <w:tc>
          <w:tcPr>
            <w:tcW w:w="960" w:type="dxa"/>
            <w:noWrap/>
            <w:vAlign w:val="bottom"/>
          </w:tcPr>
          <w:p w:rsidR="00652F81" w:rsidRPr="001808A9" w:rsidRDefault="00652F81" w:rsidP="00652F81">
            <w:pPr>
              <w:jc w:val="right"/>
              <w:rPr>
                <w:rFonts w:ascii="Tahoma" w:hAnsi="Tahoma" w:cs="Tahoma"/>
              </w:rPr>
            </w:pPr>
            <w:r w:rsidRPr="001808A9">
              <w:rPr>
                <w:rFonts w:ascii="Tahoma" w:hAnsi="Tahoma" w:cs="Tahoma"/>
              </w:rPr>
              <w:t>:</w:t>
            </w:r>
          </w:p>
        </w:tc>
        <w:tc>
          <w:tcPr>
            <w:tcW w:w="960" w:type="dxa"/>
            <w:noWrap/>
            <w:vAlign w:val="bottom"/>
          </w:tcPr>
          <w:p w:rsidR="00652F81" w:rsidRPr="001808A9" w:rsidRDefault="00652F81" w:rsidP="00652F81">
            <w:pPr>
              <w:jc w:val="right"/>
              <w:rPr>
                <w:rFonts w:ascii="Tahoma" w:hAnsi="Tahoma" w:cs="Tahoma"/>
              </w:rPr>
            </w:pPr>
            <w:r w:rsidRPr="001808A9">
              <w:rPr>
                <w:rFonts w:ascii="Tahoma" w:hAnsi="Tahoma" w:cs="Tahoma"/>
              </w:rPr>
              <w:t>:</w:t>
            </w:r>
          </w:p>
        </w:tc>
        <w:tc>
          <w:tcPr>
            <w:tcW w:w="960" w:type="dxa"/>
            <w:noWrap/>
            <w:vAlign w:val="bottom"/>
          </w:tcPr>
          <w:p w:rsidR="00652F81" w:rsidRPr="001808A9" w:rsidRDefault="00652F81" w:rsidP="00652F81">
            <w:pPr>
              <w:jc w:val="right"/>
              <w:rPr>
                <w:rFonts w:ascii="Tahoma" w:hAnsi="Tahoma" w:cs="Tahoma"/>
              </w:rPr>
            </w:pPr>
            <w:r w:rsidRPr="001808A9">
              <w:rPr>
                <w:rFonts w:ascii="Tahoma" w:hAnsi="Tahoma" w:cs="Tahoma"/>
              </w:rPr>
              <w:t>:</w:t>
            </w:r>
          </w:p>
        </w:tc>
        <w:tc>
          <w:tcPr>
            <w:tcW w:w="960" w:type="dxa"/>
            <w:noWrap/>
            <w:vAlign w:val="bottom"/>
          </w:tcPr>
          <w:p w:rsidR="00652F81" w:rsidRPr="001808A9" w:rsidRDefault="00652F81" w:rsidP="00652F81">
            <w:pPr>
              <w:jc w:val="right"/>
              <w:rPr>
                <w:rFonts w:ascii="Tahoma" w:hAnsi="Tahoma" w:cs="Tahoma"/>
              </w:rPr>
            </w:pPr>
            <w:r w:rsidRPr="001808A9">
              <w:rPr>
                <w:rFonts w:ascii="Tahoma" w:hAnsi="Tahoma" w:cs="Tahoma"/>
              </w:rPr>
              <w:t>:</w:t>
            </w:r>
          </w:p>
        </w:tc>
      </w:tr>
      <w:tr w:rsidR="00652F81" w:rsidRPr="001E1981" w:rsidTr="00652F81">
        <w:trPr>
          <w:trHeight w:val="255"/>
        </w:trPr>
        <w:tc>
          <w:tcPr>
            <w:tcW w:w="960" w:type="dxa"/>
            <w:noWrap/>
            <w:vAlign w:val="bottom"/>
          </w:tcPr>
          <w:p w:rsidR="00652F81" w:rsidRPr="00D9172B" w:rsidRDefault="00652F81" w:rsidP="00652F81">
            <w:pPr>
              <w:rPr>
                <w:rFonts w:ascii="Tahoma" w:hAnsi="Tahoma" w:cs="Tahoma"/>
                <w:b/>
                <w:bCs/>
              </w:rPr>
            </w:pPr>
            <w:r w:rsidRPr="00D9172B">
              <w:rPr>
                <w:rFonts w:ascii="Tahoma" w:hAnsi="Tahoma" w:cs="Tahoma"/>
                <w:b/>
                <w:bCs/>
              </w:rPr>
              <w:t>EL</w:t>
            </w:r>
          </w:p>
        </w:tc>
        <w:tc>
          <w:tcPr>
            <w:tcW w:w="960" w:type="dxa"/>
            <w:noWrap/>
            <w:vAlign w:val="bottom"/>
          </w:tcPr>
          <w:p w:rsidR="00652F81" w:rsidRPr="001808A9" w:rsidRDefault="00652F81" w:rsidP="00652F81">
            <w:pPr>
              <w:jc w:val="right"/>
              <w:rPr>
                <w:rFonts w:ascii="Tahoma" w:hAnsi="Tahoma" w:cs="Tahoma"/>
              </w:rPr>
            </w:pPr>
            <w:r w:rsidRPr="001808A9">
              <w:rPr>
                <w:rFonts w:ascii="Tahoma" w:hAnsi="Tahoma" w:cs="Tahoma"/>
              </w:rPr>
              <w:t>122</w:t>
            </w:r>
          </w:p>
        </w:tc>
        <w:tc>
          <w:tcPr>
            <w:tcW w:w="960" w:type="dxa"/>
            <w:noWrap/>
            <w:vAlign w:val="bottom"/>
          </w:tcPr>
          <w:p w:rsidR="00652F81" w:rsidRPr="001808A9" w:rsidRDefault="00652F81" w:rsidP="00652F81">
            <w:pPr>
              <w:jc w:val="right"/>
              <w:rPr>
                <w:rFonts w:ascii="Tahoma" w:hAnsi="Tahoma" w:cs="Tahoma"/>
              </w:rPr>
            </w:pPr>
            <w:r w:rsidRPr="001808A9">
              <w:rPr>
                <w:rFonts w:ascii="Tahoma" w:hAnsi="Tahoma" w:cs="Tahoma"/>
              </w:rPr>
              <w:t>125</w:t>
            </w:r>
          </w:p>
        </w:tc>
        <w:tc>
          <w:tcPr>
            <w:tcW w:w="960" w:type="dxa"/>
            <w:noWrap/>
            <w:vAlign w:val="bottom"/>
          </w:tcPr>
          <w:p w:rsidR="00652F81" w:rsidRPr="001808A9" w:rsidRDefault="00652F81" w:rsidP="00652F81">
            <w:pPr>
              <w:jc w:val="right"/>
              <w:rPr>
                <w:rFonts w:ascii="Tahoma" w:hAnsi="Tahoma" w:cs="Tahoma"/>
              </w:rPr>
            </w:pPr>
            <w:r w:rsidRPr="001808A9">
              <w:rPr>
                <w:rFonts w:ascii="Tahoma" w:hAnsi="Tahoma" w:cs="Tahoma"/>
              </w:rPr>
              <w:t>126</w:t>
            </w:r>
          </w:p>
        </w:tc>
        <w:tc>
          <w:tcPr>
            <w:tcW w:w="960" w:type="dxa"/>
            <w:noWrap/>
            <w:vAlign w:val="bottom"/>
          </w:tcPr>
          <w:p w:rsidR="00652F81" w:rsidRPr="001808A9" w:rsidRDefault="00652F81" w:rsidP="00652F81">
            <w:pPr>
              <w:jc w:val="right"/>
              <w:rPr>
                <w:rFonts w:ascii="Tahoma" w:hAnsi="Tahoma" w:cs="Tahoma"/>
              </w:rPr>
            </w:pPr>
            <w:r w:rsidRPr="001808A9">
              <w:rPr>
                <w:rFonts w:ascii="Tahoma" w:hAnsi="Tahoma" w:cs="Tahoma"/>
              </w:rPr>
              <w:t>129</w:t>
            </w:r>
          </w:p>
        </w:tc>
        <w:tc>
          <w:tcPr>
            <w:tcW w:w="960" w:type="dxa"/>
            <w:noWrap/>
            <w:vAlign w:val="bottom"/>
          </w:tcPr>
          <w:p w:rsidR="00652F81" w:rsidRPr="001808A9" w:rsidRDefault="00652F81" w:rsidP="00652F81">
            <w:pPr>
              <w:jc w:val="right"/>
              <w:rPr>
                <w:rFonts w:ascii="Tahoma" w:hAnsi="Tahoma" w:cs="Tahoma"/>
              </w:rPr>
            </w:pPr>
            <w:r w:rsidRPr="001808A9">
              <w:rPr>
                <w:rFonts w:ascii="Tahoma" w:hAnsi="Tahoma" w:cs="Tahoma"/>
              </w:rPr>
              <w:t>125</w:t>
            </w:r>
          </w:p>
        </w:tc>
        <w:tc>
          <w:tcPr>
            <w:tcW w:w="960" w:type="dxa"/>
            <w:noWrap/>
            <w:vAlign w:val="bottom"/>
          </w:tcPr>
          <w:p w:rsidR="00652F81" w:rsidRPr="001808A9" w:rsidRDefault="00652F81" w:rsidP="00652F81">
            <w:pPr>
              <w:jc w:val="right"/>
              <w:rPr>
                <w:rFonts w:ascii="Tahoma" w:hAnsi="Tahoma" w:cs="Tahoma"/>
              </w:rPr>
            </w:pPr>
            <w:r w:rsidRPr="001808A9">
              <w:rPr>
                <w:rFonts w:ascii="Tahoma" w:hAnsi="Tahoma" w:cs="Tahoma"/>
              </w:rPr>
              <w:t>128</w:t>
            </w:r>
          </w:p>
        </w:tc>
        <w:tc>
          <w:tcPr>
            <w:tcW w:w="960" w:type="dxa"/>
            <w:noWrap/>
            <w:vAlign w:val="bottom"/>
          </w:tcPr>
          <w:p w:rsidR="00652F81" w:rsidRPr="001808A9" w:rsidRDefault="00652F81" w:rsidP="00652F81">
            <w:pPr>
              <w:jc w:val="right"/>
              <w:rPr>
                <w:rFonts w:ascii="Tahoma" w:hAnsi="Tahoma" w:cs="Tahoma"/>
              </w:rPr>
            </w:pPr>
            <w:r w:rsidRPr="001808A9">
              <w:rPr>
                <w:rFonts w:ascii="Tahoma" w:hAnsi="Tahoma" w:cs="Tahoma"/>
              </w:rPr>
              <w:t>123</w:t>
            </w:r>
          </w:p>
        </w:tc>
        <w:tc>
          <w:tcPr>
            <w:tcW w:w="960" w:type="dxa"/>
            <w:noWrap/>
            <w:vAlign w:val="bottom"/>
          </w:tcPr>
          <w:p w:rsidR="00652F81" w:rsidRPr="001808A9" w:rsidRDefault="00652F81" w:rsidP="00652F81">
            <w:pPr>
              <w:jc w:val="right"/>
              <w:rPr>
                <w:rFonts w:ascii="Tahoma" w:hAnsi="Tahoma" w:cs="Tahoma"/>
              </w:rPr>
            </w:pPr>
            <w:r w:rsidRPr="001808A9">
              <w:rPr>
                <w:rFonts w:ascii="Tahoma" w:hAnsi="Tahoma" w:cs="Tahoma"/>
              </w:rPr>
              <w:t>117</w:t>
            </w:r>
          </w:p>
        </w:tc>
        <w:tc>
          <w:tcPr>
            <w:tcW w:w="960" w:type="dxa"/>
            <w:noWrap/>
            <w:vAlign w:val="bottom"/>
          </w:tcPr>
          <w:p w:rsidR="00652F81" w:rsidRPr="001808A9" w:rsidRDefault="00652F81" w:rsidP="00652F81">
            <w:pPr>
              <w:jc w:val="right"/>
              <w:rPr>
                <w:rFonts w:ascii="Tahoma" w:hAnsi="Tahoma" w:cs="Tahoma"/>
              </w:rPr>
            </w:pPr>
            <w:r w:rsidRPr="001808A9">
              <w:rPr>
                <w:rFonts w:ascii="Tahoma" w:hAnsi="Tahoma" w:cs="Tahoma"/>
              </w:rPr>
              <w:t>:</w:t>
            </w:r>
          </w:p>
        </w:tc>
      </w:tr>
    </w:tbl>
    <w:p w:rsidR="00652F81" w:rsidRPr="002846F5" w:rsidRDefault="00652F81" w:rsidP="00652F81">
      <w:pPr>
        <w:pStyle w:val="1"/>
        <w:rPr>
          <w:rFonts w:ascii="Tahoma" w:hAnsi="Tahoma" w:cs="Tahoma"/>
          <w:sz w:val="18"/>
          <w:szCs w:val="18"/>
          <w:lang w:val="en-US"/>
        </w:rPr>
      </w:pPr>
      <w:r w:rsidRPr="00954CD1">
        <w:rPr>
          <w:rFonts w:ascii="Tahoma" w:hAnsi="Tahoma" w:cs="Tahoma"/>
          <w:sz w:val="18"/>
          <w:szCs w:val="18"/>
        </w:rPr>
        <w:t>Πηγή</w:t>
      </w:r>
      <w:r w:rsidRPr="00954CD1">
        <w:rPr>
          <w:rFonts w:ascii="Tahoma" w:hAnsi="Tahoma" w:cs="Tahoma"/>
          <w:sz w:val="18"/>
          <w:szCs w:val="18"/>
          <w:lang w:val="en-US"/>
        </w:rPr>
        <w:t>:</w:t>
      </w:r>
      <w:r w:rsidRPr="002846F5">
        <w:rPr>
          <w:rFonts w:ascii="Tahoma" w:hAnsi="Tahoma" w:cs="Tahoma"/>
          <w:b w:val="0"/>
          <w:sz w:val="18"/>
          <w:szCs w:val="18"/>
          <w:lang w:val="en-US"/>
        </w:rPr>
        <w:t xml:space="preserve"> Eurostat</w:t>
      </w:r>
    </w:p>
    <w:p w:rsidR="00652F81" w:rsidRPr="00515DAC" w:rsidRDefault="00652F81" w:rsidP="00652F81">
      <w:pPr>
        <w:pStyle w:val="Oooe4"/>
        <w:spacing w:before="0" w:after="0" w:line="288" w:lineRule="auto"/>
        <w:rPr>
          <w:rFonts w:ascii="Tahoma" w:hAnsi="Tahoma" w:cs="Tahoma"/>
          <w:lang w:val="en-US"/>
        </w:rPr>
      </w:pPr>
    </w:p>
    <w:p w:rsidR="00652F81" w:rsidRPr="00294913" w:rsidRDefault="00652F81" w:rsidP="00652F81">
      <w:pPr>
        <w:pStyle w:val="Oooe4"/>
        <w:spacing w:before="0" w:after="0" w:line="288" w:lineRule="auto"/>
        <w:rPr>
          <w:rFonts w:ascii="Tahoma" w:hAnsi="Tahoma" w:cs="Tahoma"/>
        </w:rPr>
      </w:pPr>
    </w:p>
    <w:p w:rsidR="00652F81" w:rsidRDefault="00652F81" w:rsidP="00652F81">
      <w:pPr>
        <w:pStyle w:val="new12"/>
        <w:rPr>
          <w:lang w:val="en-US"/>
        </w:rPr>
        <w:sectPr w:rsidR="00652F81" w:rsidSect="00652F81">
          <w:footerReference w:type="default" r:id="rId97"/>
          <w:pgSz w:w="11906" w:h="16838"/>
          <w:pgMar w:top="1701" w:right="1418" w:bottom="1418" w:left="1418" w:header="720" w:footer="720" w:gutter="0"/>
          <w:cols w:space="720"/>
        </w:sectPr>
      </w:pPr>
      <w:bookmarkStart w:id="478" w:name="_Toc150308614"/>
    </w:p>
    <w:p w:rsidR="00652F81" w:rsidRPr="00294913" w:rsidRDefault="00652F81" w:rsidP="00652F81">
      <w:pPr>
        <w:pStyle w:val="new12"/>
      </w:pPr>
      <w:bookmarkStart w:id="479" w:name="_Toc169881551"/>
      <w:bookmarkStart w:id="480" w:name="_Toc170201899"/>
      <w:r w:rsidRPr="00294913">
        <w:rPr>
          <w:lang w:val="en-US"/>
        </w:rPr>
        <w:lastRenderedPageBreak/>
        <w:t>VI</w:t>
      </w:r>
      <w:r>
        <w:t>-2α,</w:t>
      </w:r>
      <w:r>
        <w:tab/>
        <w:t>Ενεργειακή Ένταση της Ο</w:t>
      </w:r>
      <w:r w:rsidRPr="00294913">
        <w:t>ικονομίας</w:t>
      </w:r>
      <w:bookmarkEnd w:id="478"/>
      <w:bookmarkEnd w:id="479"/>
      <w:bookmarkEnd w:id="480"/>
      <w:r w:rsidRPr="00294913">
        <w:t xml:space="preserve"> </w:t>
      </w:r>
    </w:p>
    <w:p w:rsidR="00652F81" w:rsidRPr="00C27EEB" w:rsidRDefault="00652F81" w:rsidP="00652F81">
      <w:pPr>
        <w:pStyle w:val="new1210pt"/>
      </w:pPr>
      <w:bookmarkStart w:id="481" w:name="_Toc150308615"/>
      <w:bookmarkStart w:id="482" w:name="_Toc170201900"/>
      <w:r w:rsidRPr="00294913">
        <w:t xml:space="preserve">(ακαθάριστη εγχώρια κατανάλωση ενέργειας ως προς ΑΕΠ (σταθερές τιμές 1995), </w:t>
      </w:r>
      <w:r w:rsidRPr="00294913">
        <w:rPr>
          <w:lang w:val="en-US"/>
        </w:rPr>
        <w:t>kilogram</w:t>
      </w:r>
      <w:r w:rsidRPr="00294913">
        <w:t xml:space="preserve"> ισοδύναμου πετρελαίου (kgoe) ανά 1000 €)</w:t>
      </w:r>
      <w:bookmarkEnd w:id="481"/>
      <w:bookmarkEnd w:id="482"/>
      <w:r w:rsidRPr="00294913">
        <w:t xml:space="preserve"> </w:t>
      </w:r>
    </w:p>
    <w:p w:rsidR="00652F81" w:rsidRPr="00C27EEB" w:rsidRDefault="00652F81" w:rsidP="00652F81"/>
    <w:p w:rsidR="00652F81" w:rsidRPr="009013D5" w:rsidRDefault="00652F81" w:rsidP="00652F81">
      <w:pPr>
        <w:rPr>
          <w:lang w:val="en-US"/>
        </w:rPr>
      </w:pPr>
      <w:r>
        <w:rPr>
          <w:noProof/>
          <w:lang w:val="en-US" w:eastAsia="en-US"/>
        </w:rPr>
        <w:drawing>
          <wp:inline distT="0" distB="0" distL="0" distR="0">
            <wp:extent cx="5372100" cy="3400425"/>
            <wp:effectExtent l="0" t="0" r="0" b="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8" cstate="print"/>
                    <a:srcRect/>
                    <a:stretch>
                      <a:fillRect/>
                    </a:stretch>
                  </pic:blipFill>
                  <pic:spPr bwMode="auto">
                    <a:xfrm>
                      <a:off x="0" y="0"/>
                      <a:ext cx="5372100" cy="3400425"/>
                    </a:xfrm>
                    <a:prstGeom prst="rect">
                      <a:avLst/>
                    </a:prstGeom>
                    <a:noFill/>
                    <a:ln w="9525">
                      <a:noFill/>
                      <a:miter lim="800000"/>
                      <a:headEnd/>
                      <a:tailEnd/>
                    </a:ln>
                  </pic:spPr>
                </pic:pic>
              </a:graphicData>
            </a:graphic>
          </wp:inline>
        </w:drawing>
      </w:r>
    </w:p>
    <w:p w:rsidR="00652F81" w:rsidRDefault="00652F81" w:rsidP="00652F81">
      <w:pPr>
        <w:rPr>
          <w:lang w:val="en-US"/>
        </w:rPr>
      </w:pPr>
    </w:p>
    <w:tbl>
      <w:tblPr>
        <w:tblW w:w="9600" w:type="dxa"/>
        <w:tblBorders>
          <w:top w:val="single" w:sz="12" w:space="0" w:color="auto"/>
          <w:bottom w:val="single" w:sz="12" w:space="0" w:color="auto"/>
          <w:insideH w:val="dotted" w:sz="4" w:space="0" w:color="auto"/>
        </w:tblBorders>
        <w:tblLook w:val="00E0"/>
      </w:tblPr>
      <w:tblGrid>
        <w:gridCol w:w="960"/>
        <w:gridCol w:w="960"/>
        <w:gridCol w:w="960"/>
        <w:gridCol w:w="960"/>
        <w:gridCol w:w="960"/>
        <w:gridCol w:w="960"/>
        <w:gridCol w:w="960"/>
        <w:gridCol w:w="960"/>
        <w:gridCol w:w="960"/>
        <w:gridCol w:w="960"/>
      </w:tblGrid>
      <w:tr w:rsidR="00652F81" w:rsidRPr="00515DAC" w:rsidTr="00652F81">
        <w:trPr>
          <w:trHeight w:val="300"/>
        </w:trPr>
        <w:tc>
          <w:tcPr>
            <w:tcW w:w="960" w:type="dxa"/>
            <w:tcBorders>
              <w:top w:val="single" w:sz="12" w:space="0" w:color="auto"/>
              <w:bottom w:val="dotted" w:sz="4" w:space="0" w:color="auto"/>
            </w:tcBorders>
            <w:noWrap/>
          </w:tcPr>
          <w:p w:rsidR="00652F81" w:rsidRPr="00D9172B" w:rsidRDefault="00652F81" w:rsidP="00652F81">
            <w:pPr>
              <w:jc w:val="center"/>
              <w:rPr>
                <w:rFonts w:ascii="Tahoma" w:hAnsi="Tahoma" w:cs="Tahoma"/>
              </w:rPr>
            </w:pPr>
          </w:p>
        </w:tc>
        <w:tc>
          <w:tcPr>
            <w:tcW w:w="960" w:type="dxa"/>
            <w:tcBorders>
              <w:top w:val="single" w:sz="12" w:space="0" w:color="auto"/>
              <w:bottom w:val="dotted" w:sz="4" w:space="0" w:color="auto"/>
            </w:tcBorders>
            <w:noWrap/>
            <w:vAlign w:val="bottom"/>
          </w:tcPr>
          <w:p w:rsidR="00652F81" w:rsidRPr="00A515EB" w:rsidRDefault="00652F81" w:rsidP="00652F81">
            <w:pPr>
              <w:jc w:val="center"/>
              <w:rPr>
                <w:rFonts w:ascii="Tahoma" w:hAnsi="Tahoma" w:cs="Tahoma"/>
                <w:b/>
                <w:bCs/>
                <w:lang w:val="en-US"/>
              </w:rPr>
            </w:pPr>
            <w:r>
              <w:rPr>
                <w:rFonts w:ascii="Tahoma" w:hAnsi="Tahoma" w:cs="Tahoma"/>
                <w:b/>
                <w:bCs/>
                <w:lang w:val="en-US"/>
              </w:rPr>
              <w:t>2001</w:t>
            </w:r>
          </w:p>
        </w:tc>
        <w:tc>
          <w:tcPr>
            <w:tcW w:w="960" w:type="dxa"/>
            <w:tcBorders>
              <w:top w:val="single" w:sz="12" w:space="0" w:color="auto"/>
              <w:bottom w:val="dotted" w:sz="4" w:space="0" w:color="auto"/>
            </w:tcBorders>
            <w:noWrap/>
            <w:vAlign w:val="bottom"/>
          </w:tcPr>
          <w:p w:rsidR="00652F81" w:rsidRPr="00A515EB" w:rsidRDefault="00652F81" w:rsidP="00652F81">
            <w:pPr>
              <w:jc w:val="center"/>
              <w:rPr>
                <w:rFonts w:ascii="Tahoma" w:hAnsi="Tahoma" w:cs="Tahoma"/>
                <w:b/>
                <w:bCs/>
                <w:lang w:val="en-US"/>
              </w:rPr>
            </w:pPr>
            <w:r>
              <w:rPr>
                <w:rFonts w:ascii="Tahoma" w:hAnsi="Tahoma" w:cs="Tahoma"/>
                <w:b/>
                <w:bCs/>
                <w:lang w:val="en-US"/>
              </w:rPr>
              <w:t>2002</w:t>
            </w:r>
          </w:p>
        </w:tc>
        <w:tc>
          <w:tcPr>
            <w:tcW w:w="960" w:type="dxa"/>
            <w:tcBorders>
              <w:top w:val="single" w:sz="12" w:space="0" w:color="auto"/>
              <w:bottom w:val="dotted" w:sz="4" w:space="0" w:color="auto"/>
            </w:tcBorders>
            <w:noWrap/>
            <w:vAlign w:val="bottom"/>
          </w:tcPr>
          <w:p w:rsidR="00652F81" w:rsidRPr="00A515EB" w:rsidRDefault="00652F81" w:rsidP="00652F81">
            <w:pPr>
              <w:jc w:val="center"/>
              <w:rPr>
                <w:rFonts w:ascii="Tahoma" w:hAnsi="Tahoma" w:cs="Tahoma"/>
                <w:b/>
                <w:bCs/>
                <w:lang w:val="en-US"/>
              </w:rPr>
            </w:pPr>
            <w:r>
              <w:rPr>
                <w:rFonts w:ascii="Tahoma" w:hAnsi="Tahoma" w:cs="Tahoma"/>
                <w:b/>
                <w:bCs/>
                <w:lang w:val="en-US"/>
              </w:rPr>
              <w:t>2003</w:t>
            </w:r>
          </w:p>
        </w:tc>
        <w:tc>
          <w:tcPr>
            <w:tcW w:w="960" w:type="dxa"/>
            <w:tcBorders>
              <w:top w:val="single" w:sz="12" w:space="0" w:color="auto"/>
              <w:bottom w:val="dotted" w:sz="4" w:space="0" w:color="auto"/>
            </w:tcBorders>
            <w:noWrap/>
            <w:vAlign w:val="bottom"/>
          </w:tcPr>
          <w:p w:rsidR="00652F81" w:rsidRPr="00A515EB" w:rsidRDefault="00652F81" w:rsidP="00652F81">
            <w:pPr>
              <w:jc w:val="center"/>
              <w:rPr>
                <w:rFonts w:ascii="Tahoma" w:hAnsi="Tahoma" w:cs="Tahoma"/>
                <w:b/>
                <w:bCs/>
                <w:lang w:val="en-US"/>
              </w:rPr>
            </w:pPr>
            <w:r>
              <w:rPr>
                <w:rFonts w:ascii="Tahoma" w:hAnsi="Tahoma" w:cs="Tahoma"/>
                <w:b/>
                <w:bCs/>
                <w:lang w:val="en-US"/>
              </w:rPr>
              <w:t>2004</w:t>
            </w:r>
          </w:p>
        </w:tc>
        <w:tc>
          <w:tcPr>
            <w:tcW w:w="960" w:type="dxa"/>
            <w:tcBorders>
              <w:top w:val="single" w:sz="12" w:space="0" w:color="auto"/>
              <w:bottom w:val="dotted" w:sz="4" w:space="0" w:color="auto"/>
            </w:tcBorders>
            <w:noWrap/>
            <w:vAlign w:val="bottom"/>
          </w:tcPr>
          <w:p w:rsidR="00652F81" w:rsidRPr="00A515EB" w:rsidRDefault="00652F81" w:rsidP="00652F81">
            <w:pPr>
              <w:jc w:val="center"/>
              <w:rPr>
                <w:rFonts w:ascii="Tahoma" w:hAnsi="Tahoma" w:cs="Tahoma"/>
                <w:b/>
                <w:bCs/>
                <w:lang w:val="en-US"/>
              </w:rPr>
            </w:pPr>
            <w:r>
              <w:rPr>
                <w:rFonts w:ascii="Tahoma" w:hAnsi="Tahoma" w:cs="Tahoma"/>
                <w:b/>
                <w:bCs/>
                <w:lang w:val="en-US"/>
              </w:rPr>
              <w:t>2005</w:t>
            </w:r>
          </w:p>
        </w:tc>
        <w:tc>
          <w:tcPr>
            <w:tcW w:w="960" w:type="dxa"/>
            <w:tcBorders>
              <w:top w:val="single" w:sz="12" w:space="0" w:color="auto"/>
              <w:bottom w:val="dotted" w:sz="4" w:space="0" w:color="auto"/>
            </w:tcBorders>
            <w:noWrap/>
            <w:vAlign w:val="bottom"/>
          </w:tcPr>
          <w:p w:rsidR="00652F81" w:rsidRPr="00A515EB" w:rsidRDefault="00652F81" w:rsidP="00652F81">
            <w:pPr>
              <w:jc w:val="center"/>
              <w:rPr>
                <w:rFonts w:ascii="Tahoma" w:hAnsi="Tahoma" w:cs="Tahoma"/>
                <w:b/>
                <w:bCs/>
                <w:lang w:val="en-US"/>
              </w:rPr>
            </w:pPr>
            <w:r>
              <w:rPr>
                <w:rFonts w:ascii="Tahoma" w:hAnsi="Tahoma" w:cs="Tahoma"/>
                <w:b/>
                <w:bCs/>
                <w:lang w:val="en-US"/>
              </w:rPr>
              <w:t>2006</w:t>
            </w:r>
          </w:p>
        </w:tc>
        <w:tc>
          <w:tcPr>
            <w:tcW w:w="960" w:type="dxa"/>
            <w:tcBorders>
              <w:top w:val="single" w:sz="12" w:space="0" w:color="auto"/>
              <w:bottom w:val="dotted" w:sz="4" w:space="0" w:color="auto"/>
            </w:tcBorders>
            <w:noWrap/>
            <w:vAlign w:val="bottom"/>
          </w:tcPr>
          <w:p w:rsidR="00652F81" w:rsidRPr="00D9172B" w:rsidRDefault="00652F81" w:rsidP="00652F81">
            <w:pPr>
              <w:jc w:val="center"/>
              <w:rPr>
                <w:rFonts w:ascii="Tahoma" w:hAnsi="Tahoma" w:cs="Tahoma"/>
                <w:b/>
                <w:bCs/>
                <w:lang w:val="en-US"/>
              </w:rPr>
            </w:pPr>
            <w:r>
              <w:rPr>
                <w:rFonts w:ascii="Tahoma" w:hAnsi="Tahoma" w:cs="Tahoma"/>
                <w:b/>
                <w:bCs/>
                <w:lang w:val="en-US"/>
              </w:rPr>
              <w:t>2007</w:t>
            </w:r>
          </w:p>
        </w:tc>
        <w:tc>
          <w:tcPr>
            <w:tcW w:w="960" w:type="dxa"/>
            <w:tcBorders>
              <w:top w:val="single" w:sz="12" w:space="0" w:color="auto"/>
              <w:bottom w:val="dotted" w:sz="4" w:space="0" w:color="auto"/>
            </w:tcBorders>
            <w:noWrap/>
            <w:vAlign w:val="bottom"/>
          </w:tcPr>
          <w:p w:rsidR="00652F81" w:rsidRPr="00D9172B" w:rsidRDefault="00652F81" w:rsidP="00652F81">
            <w:pPr>
              <w:jc w:val="center"/>
              <w:rPr>
                <w:rFonts w:ascii="Tahoma" w:hAnsi="Tahoma" w:cs="Tahoma"/>
                <w:b/>
                <w:bCs/>
                <w:lang w:val="en-US"/>
              </w:rPr>
            </w:pPr>
            <w:r>
              <w:rPr>
                <w:rFonts w:ascii="Tahoma" w:hAnsi="Tahoma" w:cs="Tahoma"/>
                <w:b/>
                <w:bCs/>
                <w:lang w:val="en-US"/>
              </w:rPr>
              <w:t>2008</w:t>
            </w:r>
          </w:p>
        </w:tc>
        <w:tc>
          <w:tcPr>
            <w:tcW w:w="960" w:type="dxa"/>
            <w:tcBorders>
              <w:top w:val="single" w:sz="12" w:space="0" w:color="auto"/>
              <w:bottom w:val="dotted" w:sz="4" w:space="0" w:color="auto"/>
            </w:tcBorders>
            <w:noWrap/>
            <w:vAlign w:val="bottom"/>
          </w:tcPr>
          <w:p w:rsidR="00652F81" w:rsidRPr="009013D5" w:rsidRDefault="00652F81" w:rsidP="00652F81">
            <w:pPr>
              <w:jc w:val="center"/>
              <w:rPr>
                <w:rFonts w:ascii="Tahoma" w:hAnsi="Tahoma" w:cs="Tahoma"/>
                <w:b/>
                <w:bCs/>
              </w:rPr>
            </w:pPr>
            <w:r>
              <w:rPr>
                <w:rFonts w:ascii="Tahoma" w:hAnsi="Tahoma" w:cs="Tahoma"/>
                <w:b/>
                <w:bCs/>
              </w:rPr>
              <w:t>2009</w:t>
            </w:r>
          </w:p>
        </w:tc>
      </w:tr>
      <w:tr w:rsidR="00652F81" w:rsidRPr="00515DAC" w:rsidTr="00652F81">
        <w:trPr>
          <w:trHeight w:val="255"/>
        </w:trPr>
        <w:tc>
          <w:tcPr>
            <w:tcW w:w="960" w:type="dxa"/>
            <w:tcBorders>
              <w:top w:val="dotted" w:sz="4" w:space="0" w:color="auto"/>
              <w:bottom w:val="dotted" w:sz="4" w:space="0" w:color="auto"/>
            </w:tcBorders>
            <w:noWrap/>
            <w:vAlign w:val="bottom"/>
          </w:tcPr>
          <w:p w:rsidR="00652F81" w:rsidRPr="00D9172B" w:rsidRDefault="00652F81" w:rsidP="00652F81">
            <w:pPr>
              <w:rPr>
                <w:rFonts w:ascii="Tahoma" w:hAnsi="Tahoma" w:cs="Tahoma"/>
                <w:b/>
                <w:bCs/>
              </w:rPr>
            </w:pPr>
            <w:r w:rsidRPr="00D9172B">
              <w:rPr>
                <w:rFonts w:ascii="Tahoma" w:hAnsi="Tahoma" w:cs="Tahoma"/>
                <w:b/>
                <w:bCs/>
              </w:rPr>
              <w:t>EU27</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187,7</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184,9</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186,7</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184,1</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181,0</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175,5</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168,7</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167,4</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165,2</w:t>
            </w:r>
          </w:p>
        </w:tc>
      </w:tr>
      <w:tr w:rsidR="00652F81" w:rsidRPr="00515DAC" w:rsidTr="00652F81">
        <w:trPr>
          <w:trHeight w:val="255"/>
        </w:trPr>
        <w:tc>
          <w:tcPr>
            <w:tcW w:w="960" w:type="dxa"/>
            <w:tcBorders>
              <w:top w:val="dotted" w:sz="4" w:space="0" w:color="auto"/>
              <w:bottom w:val="dotted" w:sz="4" w:space="0" w:color="auto"/>
            </w:tcBorders>
            <w:noWrap/>
            <w:vAlign w:val="bottom"/>
          </w:tcPr>
          <w:p w:rsidR="00652F81" w:rsidRPr="00F23447" w:rsidRDefault="00652F81" w:rsidP="00652F81">
            <w:pPr>
              <w:rPr>
                <w:rFonts w:ascii="Tahoma" w:hAnsi="Tahoma" w:cs="Tahoma"/>
                <w:b/>
                <w:bCs/>
                <w:lang w:val="en-US"/>
              </w:rPr>
            </w:pPr>
            <w:r>
              <w:rPr>
                <w:rFonts w:ascii="Tahoma" w:hAnsi="Tahoma" w:cs="Tahoma"/>
                <w:b/>
                <w:bCs/>
                <w:lang w:val="en-US"/>
              </w:rPr>
              <w:t>EU25</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182,8</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179,9</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181,7</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179,4</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176,4</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170,9</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164,3</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163,2</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161,4</w:t>
            </w:r>
          </w:p>
        </w:tc>
      </w:tr>
      <w:tr w:rsidR="00652F81" w:rsidRPr="00515DAC" w:rsidTr="00652F81">
        <w:trPr>
          <w:trHeight w:val="255"/>
        </w:trPr>
        <w:tc>
          <w:tcPr>
            <w:tcW w:w="960" w:type="dxa"/>
            <w:tcBorders>
              <w:top w:val="dotted" w:sz="4" w:space="0" w:color="auto"/>
              <w:bottom w:val="dotted" w:sz="4" w:space="0" w:color="auto"/>
            </w:tcBorders>
            <w:noWrap/>
            <w:vAlign w:val="bottom"/>
          </w:tcPr>
          <w:p w:rsidR="00652F81" w:rsidRPr="00F23447" w:rsidRDefault="00652F81" w:rsidP="00652F81">
            <w:pPr>
              <w:rPr>
                <w:rFonts w:ascii="Tahoma" w:hAnsi="Tahoma" w:cs="Tahoma"/>
                <w:b/>
                <w:bCs/>
                <w:lang w:val="en-US"/>
              </w:rPr>
            </w:pPr>
            <w:r>
              <w:rPr>
                <w:rFonts w:ascii="Tahoma" w:hAnsi="Tahoma" w:cs="Tahoma"/>
                <w:b/>
                <w:bCs/>
                <w:lang w:val="en-US"/>
              </w:rPr>
              <w:t>EU15</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167,9</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165,3</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167,0</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165,2</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162,4</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157,1</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151,2</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150,3</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148,8</w:t>
            </w:r>
          </w:p>
        </w:tc>
      </w:tr>
      <w:tr w:rsidR="00652F81" w:rsidRPr="00515DAC" w:rsidTr="00652F81">
        <w:trPr>
          <w:trHeight w:val="255"/>
        </w:trPr>
        <w:tc>
          <w:tcPr>
            <w:tcW w:w="960" w:type="dxa"/>
            <w:tcBorders>
              <w:top w:val="dotted" w:sz="4" w:space="0" w:color="auto"/>
              <w:bottom w:val="dotted" w:sz="4" w:space="0" w:color="auto"/>
            </w:tcBorders>
            <w:noWrap/>
            <w:vAlign w:val="bottom"/>
          </w:tcPr>
          <w:p w:rsidR="00652F81" w:rsidRPr="000D3936" w:rsidRDefault="00652F81" w:rsidP="00652F81">
            <w:pPr>
              <w:rPr>
                <w:rFonts w:ascii="Tahoma" w:hAnsi="Tahoma" w:cs="Tahoma"/>
                <w:b/>
                <w:bCs/>
              </w:rPr>
            </w:pPr>
            <w:r>
              <w:rPr>
                <w:rFonts w:ascii="Tahoma" w:hAnsi="Tahoma" w:cs="Tahoma"/>
                <w:b/>
                <w:bCs/>
                <w:lang w:val="en-US"/>
              </w:rPr>
              <w:t>EA1</w:t>
            </w:r>
            <w:r>
              <w:rPr>
                <w:rFonts w:ascii="Tahoma" w:hAnsi="Tahoma" w:cs="Tahoma"/>
                <w:b/>
                <w:bCs/>
              </w:rPr>
              <w:t>7</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w:t>
            </w:r>
          </w:p>
        </w:tc>
        <w:tc>
          <w:tcPr>
            <w:tcW w:w="960" w:type="dxa"/>
            <w:tcBorders>
              <w:top w:val="dotted" w:sz="4" w:space="0" w:color="auto"/>
              <w:bottom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w:t>
            </w:r>
          </w:p>
        </w:tc>
      </w:tr>
      <w:tr w:rsidR="00652F81" w:rsidRPr="001E1981" w:rsidTr="00652F81">
        <w:trPr>
          <w:trHeight w:val="255"/>
        </w:trPr>
        <w:tc>
          <w:tcPr>
            <w:tcW w:w="960" w:type="dxa"/>
            <w:tcBorders>
              <w:top w:val="dotted" w:sz="4" w:space="0" w:color="auto"/>
            </w:tcBorders>
            <w:noWrap/>
            <w:vAlign w:val="bottom"/>
          </w:tcPr>
          <w:p w:rsidR="00652F81" w:rsidRPr="00D9172B" w:rsidRDefault="00652F81" w:rsidP="00652F81">
            <w:pPr>
              <w:rPr>
                <w:rFonts w:ascii="Tahoma" w:hAnsi="Tahoma" w:cs="Tahoma"/>
                <w:b/>
                <w:bCs/>
              </w:rPr>
            </w:pPr>
            <w:r w:rsidRPr="00D9172B">
              <w:rPr>
                <w:rFonts w:ascii="Tahoma" w:hAnsi="Tahoma" w:cs="Tahoma"/>
                <w:b/>
                <w:bCs/>
              </w:rPr>
              <w:t>EL</w:t>
            </w:r>
          </w:p>
        </w:tc>
        <w:tc>
          <w:tcPr>
            <w:tcW w:w="960" w:type="dxa"/>
            <w:tcBorders>
              <w:top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202,5</w:t>
            </w:r>
          </w:p>
        </w:tc>
        <w:tc>
          <w:tcPr>
            <w:tcW w:w="960" w:type="dxa"/>
            <w:tcBorders>
              <w:top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198,8</w:t>
            </w:r>
          </w:p>
        </w:tc>
        <w:tc>
          <w:tcPr>
            <w:tcW w:w="960" w:type="dxa"/>
            <w:tcBorders>
              <w:top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192,6</w:t>
            </w:r>
          </w:p>
        </w:tc>
        <w:tc>
          <w:tcPr>
            <w:tcW w:w="960" w:type="dxa"/>
            <w:tcBorders>
              <w:top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187,4</w:t>
            </w:r>
          </w:p>
        </w:tc>
        <w:tc>
          <w:tcPr>
            <w:tcW w:w="960" w:type="dxa"/>
            <w:tcBorders>
              <w:top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186,7</w:t>
            </w:r>
          </w:p>
        </w:tc>
        <w:tc>
          <w:tcPr>
            <w:tcW w:w="960" w:type="dxa"/>
            <w:tcBorders>
              <w:top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178,5</w:t>
            </w:r>
          </w:p>
        </w:tc>
        <w:tc>
          <w:tcPr>
            <w:tcW w:w="960" w:type="dxa"/>
            <w:tcBorders>
              <w:top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171,4</w:t>
            </w:r>
          </w:p>
        </w:tc>
        <w:tc>
          <w:tcPr>
            <w:tcW w:w="960" w:type="dxa"/>
            <w:tcBorders>
              <w:top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171,0</w:t>
            </w:r>
          </w:p>
        </w:tc>
        <w:tc>
          <w:tcPr>
            <w:tcW w:w="960" w:type="dxa"/>
            <w:tcBorders>
              <w:top w:val="dotted" w:sz="4" w:space="0" w:color="auto"/>
            </w:tcBorders>
            <w:noWrap/>
            <w:vAlign w:val="bottom"/>
          </w:tcPr>
          <w:p w:rsidR="00652F81" w:rsidRPr="009013D5" w:rsidRDefault="00652F81" w:rsidP="00652F81">
            <w:pPr>
              <w:jc w:val="right"/>
              <w:rPr>
                <w:rFonts w:ascii="Tahoma" w:hAnsi="Tahoma" w:cs="Tahoma"/>
              </w:rPr>
            </w:pPr>
            <w:r w:rsidRPr="009013D5">
              <w:rPr>
                <w:rFonts w:ascii="Tahoma" w:hAnsi="Tahoma" w:cs="Tahoma"/>
              </w:rPr>
              <w:t>167,9</w:t>
            </w:r>
          </w:p>
        </w:tc>
      </w:tr>
    </w:tbl>
    <w:p w:rsidR="00652F81" w:rsidRPr="005A5BBB" w:rsidRDefault="00652F81" w:rsidP="00652F81">
      <w:pPr>
        <w:pStyle w:val="1"/>
        <w:rPr>
          <w:rFonts w:ascii="Tahoma" w:hAnsi="Tahoma" w:cs="Tahoma"/>
          <w:sz w:val="18"/>
          <w:szCs w:val="18"/>
        </w:rPr>
      </w:pPr>
      <w:r w:rsidRPr="00954CD1">
        <w:rPr>
          <w:rFonts w:ascii="Tahoma" w:hAnsi="Tahoma" w:cs="Tahoma"/>
          <w:sz w:val="18"/>
          <w:szCs w:val="18"/>
        </w:rPr>
        <w:t>Πηγή:</w:t>
      </w:r>
      <w:r w:rsidRPr="005A5BBB">
        <w:rPr>
          <w:rFonts w:ascii="Tahoma" w:hAnsi="Tahoma" w:cs="Tahoma"/>
          <w:b w:val="0"/>
          <w:sz w:val="18"/>
          <w:szCs w:val="18"/>
        </w:rPr>
        <w:t xml:space="preserve"> </w:t>
      </w:r>
      <w:r w:rsidRPr="005A5BBB">
        <w:rPr>
          <w:rFonts w:ascii="Tahoma" w:hAnsi="Tahoma" w:cs="Tahoma"/>
          <w:b w:val="0"/>
          <w:sz w:val="18"/>
          <w:szCs w:val="18"/>
          <w:lang w:val="en-US"/>
        </w:rPr>
        <w:t>Eurostat</w:t>
      </w:r>
    </w:p>
    <w:p w:rsidR="00652F81" w:rsidRPr="005735CD" w:rsidRDefault="00652F81" w:rsidP="00652F81"/>
    <w:p w:rsidR="00652F81" w:rsidRPr="005735CD" w:rsidRDefault="00652F81" w:rsidP="00652F81">
      <w:pPr>
        <w:ind w:left="-180"/>
        <w:rPr>
          <w:rFonts w:ascii="Tahoma" w:hAnsi="Tahoma" w:cs="Tahoma"/>
          <w:b/>
          <w:i/>
        </w:rPr>
      </w:pPr>
    </w:p>
    <w:p w:rsidR="00652F81" w:rsidRPr="005735CD" w:rsidRDefault="00652F81" w:rsidP="00652F81">
      <w:pPr>
        <w:pStyle w:val="new12"/>
        <w:sectPr w:rsidR="00652F81" w:rsidRPr="005735CD" w:rsidSect="00652F81">
          <w:footerReference w:type="default" r:id="rId99"/>
          <w:pgSz w:w="11906" w:h="16838"/>
          <w:pgMar w:top="1701" w:right="1418" w:bottom="1418" w:left="1418" w:header="720" w:footer="720" w:gutter="0"/>
          <w:paperSrc w:first="242" w:other="242"/>
          <w:cols w:space="720"/>
        </w:sectPr>
      </w:pPr>
      <w:bookmarkStart w:id="483" w:name="_Toc150308618"/>
    </w:p>
    <w:p w:rsidR="00652F81" w:rsidRPr="00294913" w:rsidRDefault="00652F81" w:rsidP="00652F81">
      <w:pPr>
        <w:pStyle w:val="new12"/>
      </w:pPr>
      <w:bookmarkStart w:id="484" w:name="_Toc169881552"/>
      <w:bookmarkStart w:id="485" w:name="_Toc170201901"/>
      <w:r w:rsidRPr="00294913">
        <w:rPr>
          <w:lang w:val="en-US"/>
        </w:rPr>
        <w:lastRenderedPageBreak/>
        <w:t>VI</w:t>
      </w:r>
      <w:r>
        <w:t>-3α,</w:t>
      </w:r>
      <w:r>
        <w:tab/>
        <w:t>Όγκος Μεταφερόμενων Ε</w:t>
      </w:r>
      <w:r w:rsidRPr="00294913">
        <w:t>µπορευµάτων</w:t>
      </w:r>
      <w:bookmarkEnd w:id="483"/>
      <w:bookmarkEnd w:id="484"/>
      <w:bookmarkEnd w:id="485"/>
    </w:p>
    <w:p w:rsidR="00652F81" w:rsidRPr="00294913" w:rsidRDefault="00652F81" w:rsidP="00652F81">
      <w:pPr>
        <w:pStyle w:val="new1210pt"/>
      </w:pPr>
      <w:bookmarkStart w:id="486" w:name="_Toc150308619"/>
      <w:bookmarkStart w:id="487" w:name="_Toc170201902"/>
      <w:r w:rsidRPr="00294913">
        <w:t xml:space="preserve">(ως προς του ΑΕΠ (σε σταθερές τιμές </w:t>
      </w:r>
      <w:r w:rsidRPr="00073A14">
        <w:t>2000</w:t>
      </w:r>
      <w:r w:rsidRPr="00294913">
        <w:t xml:space="preserve">, σε τόνους ανά χλμ, Δείκτης </w:t>
      </w:r>
      <w:r w:rsidRPr="00073A14">
        <w:t>2000</w:t>
      </w:r>
      <w:r w:rsidRPr="00294913">
        <w:t>=100 )</w:t>
      </w:r>
      <w:bookmarkEnd w:id="486"/>
      <w:bookmarkEnd w:id="487"/>
    </w:p>
    <w:p w:rsidR="00652F81" w:rsidRPr="00C27EEB" w:rsidRDefault="00652F81" w:rsidP="00652F81"/>
    <w:p w:rsidR="00652F81" w:rsidRPr="003829DD" w:rsidRDefault="00652F81" w:rsidP="00652F81">
      <w:r>
        <w:rPr>
          <w:noProof/>
          <w:lang w:val="en-US" w:eastAsia="en-US"/>
        </w:rPr>
        <w:drawing>
          <wp:inline distT="0" distB="0" distL="0" distR="0">
            <wp:extent cx="5276850" cy="3419475"/>
            <wp:effectExtent l="0" t="0" r="0" b="0"/>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0" cstate="print"/>
                    <a:srcRect/>
                    <a:stretch>
                      <a:fillRect/>
                    </a:stretch>
                  </pic:blipFill>
                  <pic:spPr bwMode="auto">
                    <a:xfrm>
                      <a:off x="0" y="0"/>
                      <a:ext cx="5276850" cy="3419475"/>
                    </a:xfrm>
                    <a:prstGeom prst="rect">
                      <a:avLst/>
                    </a:prstGeom>
                    <a:noFill/>
                    <a:ln w="9525">
                      <a:noFill/>
                      <a:miter lim="800000"/>
                      <a:headEnd/>
                      <a:tailEnd/>
                    </a:ln>
                  </pic:spPr>
                </pic:pic>
              </a:graphicData>
            </a:graphic>
          </wp:inline>
        </w:drawing>
      </w:r>
    </w:p>
    <w:p w:rsidR="00652F81" w:rsidRDefault="00652F81" w:rsidP="00652F81">
      <w:pPr>
        <w:rPr>
          <w:lang w:val="en-US"/>
        </w:rPr>
      </w:pPr>
    </w:p>
    <w:p w:rsidR="00652F81" w:rsidRDefault="00652F81" w:rsidP="00652F81">
      <w:pPr>
        <w:rPr>
          <w:lang w:val="en-US"/>
        </w:rPr>
      </w:pPr>
    </w:p>
    <w:p w:rsidR="00652F81" w:rsidRPr="00E72BE4" w:rsidRDefault="00652F81" w:rsidP="00652F81">
      <w:pPr>
        <w:rPr>
          <w:lang w:val="en-US"/>
        </w:rPr>
      </w:pPr>
    </w:p>
    <w:tbl>
      <w:tblPr>
        <w:tblW w:w="9600" w:type="dxa"/>
        <w:jc w:val="center"/>
        <w:tblBorders>
          <w:top w:val="single" w:sz="12" w:space="0" w:color="auto"/>
          <w:bottom w:val="single" w:sz="12" w:space="0" w:color="auto"/>
          <w:insideH w:val="dotted" w:sz="4" w:space="0" w:color="auto"/>
        </w:tblBorders>
        <w:tblLook w:val="00A0"/>
      </w:tblPr>
      <w:tblGrid>
        <w:gridCol w:w="960"/>
        <w:gridCol w:w="960"/>
        <w:gridCol w:w="960"/>
        <w:gridCol w:w="960"/>
        <w:gridCol w:w="960"/>
        <w:gridCol w:w="960"/>
        <w:gridCol w:w="960"/>
        <w:gridCol w:w="960"/>
        <w:gridCol w:w="960"/>
        <w:gridCol w:w="960"/>
      </w:tblGrid>
      <w:tr w:rsidR="00652F81" w:rsidRPr="00515DAC" w:rsidTr="00652F81">
        <w:trPr>
          <w:trHeight w:val="255"/>
          <w:jc w:val="center"/>
        </w:trPr>
        <w:tc>
          <w:tcPr>
            <w:tcW w:w="960" w:type="dxa"/>
            <w:tcBorders>
              <w:top w:val="single" w:sz="12" w:space="0" w:color="auto"/>
              <w:bottom w:val="single" w:sz="8" w:space="0" w:color="auto"/>
            </w:tcBorders>
            <w:noWrap/>
          </w:tcPr>
          <w:p w:rsidR="00652F81" w:rsidRPr="00D9172B" w:rsidRDefault="00652F81" w:rsidP="00652F81">
            <w:pPr>
              <w:jc w:val="center"/>
              <w:rPr>
                <w:rFonts w:ascii="Tahoma" w:hAnsi="Tahoma" w:cs="Tahoma"/>
              </w:rPr>
            </w:pPr>
          </w:p>
        </w:tc>
        <w:tc>
          <w:tcPr>
            <w:tcW w:w="960" w:type="dxa"/>
            <w:tcBorders>
              <w:top w:val="single" w:sz="12" w:space="0" w:color="auto"/>
              <w:bottom w:val="single" w:sz="8" w:space="0" w:color="auto"/>
            </w:tcBorders>
            <w:noWrap/>
            <w:vAlign w:val="bottom"/>
          </w:tcPr>
          <w:p w:rsidR="00652F81" w:rsidRPr="00D9172B" w:rsidRDefault="00652F81" w:rsidP="00652F81">
            <w:pPr>
              <w:jc w:val="center"/>
              <w:rPr>
                <w:rFonts w:ascii="Tahoma" w:hAnsi="Tahoma" w:cs="Tahoma"/>
                <w:b/>
                <w:bCs/>
              </w:rPr>
            </w:pPr>
            <w:r w:rsidRPr="00D9172B">
              <w:rPr>
                <w:rFonts w:ascii="Tahoma" w:hAnsi="Tahoma" w:cs="Tahoma"/>
                <w:b/>
                <w:bCs/>
              </w:rPr>
              <w:t>2</w:t>
            </w:r>
            <w:r>
              <w:rPr>
                <w:rFonts w:ascii="Tahoma" w:hAnsi="Tahoma" w:cs="Tahoma"/>
                <w:b/>
                <w:bCs/>
              </w:rPr>
              <w:t>001</w:t>
            </w:r>
          </w:p>
        </w:tc>
        <w:tc>
          <w:tcPr>
            <w:tcW w:w="960" w:type="dxa"/>
            <w:tcBorders>
              <w:top w:val="single" w:sz="12" w:space="0" w:color="auto"/>
              <w:bottom w:val="single" w:sz="8" w:space="0" w:color="auto"/>
            </w:tcBorders>
            <w:noWrap/>
            <w:vAlign w:val="bottom"/>
          </w:tcPr>
          <w:p w:rsidR="00652F81" w:rsidRPr="00D9172B" w:rsidRDefault="00652F81" w:rsidP="00652F81">
            <w:pPr>
              <w:jc w:val="center"/>
              <w:rPr>
                <w:rFonts w:ascii="Tahoma" w:hAnsi="Tahoma" w:cs="Tahoma"/>
                <w:b/>
                <w:bCs/>
              </w:rPr>
            </w:pPr>
            <w:r>
              <w:rPr>
                <w:rFonts w:ascii="Tahoma" w:hAnsi="Tahoma" w:cs="Tahoma"/>
                <w:b/>
                <w:bCs/>
              </w:rPr>
              <w:t>2002</w:t>
            </w:r>
          </w:p>
        </w:tc>
        <w:tc>
          <w:tcPr>
            <w:tcW w:w="960" w:type="dxa"/>
            <w:tcBorders>
              <w:top w:val="single" w:sz="12" w:space="0" w:color="auto"/>
              <w:bottom w:val="single" w:sz="8" w:space="0" w:color="auto"/>
            </w:tcBorders>
            <w:noWrap/>
            <w:vAlign w:val="bottom"/>
          </w:tcPr>
          <w:p w:rsidR="00652F81" w:rsidRPr="00D9172B" w:rsidRDefault="00652F81" w:rsidP="00652F81">
            <w:pPr>
              <w:jc w:val="center"/>
              <w:rPr>
                <w:rFonts w:ascii="Tahoma" w:hAnsi="Tahoma" w:cs="Tahoma"/>
                <w:b/>
                <w:bCs/>
              </w:rPr>
            </w:pPr>
            <w:r>
              <w:rPr>
                <w:rFonts w:ascii="Tahoma" w:hAnsi="Tahoma" w:cs="Tahoma"/>
                <w:b/>
                <w:bCs/>
              </w:rPr>
              <w:t>2003</w:t>
            </w:r>
          </w:p>
        </w:tc>
        <w:tc>
          <w:tcPr>
            <w:tcW w:w="960" w:type="dxa"/>
            <w:tcBorders>
              <w:top w:val="single" w:sz="12" w:space="0" w:color="auto"/>
              <w:bottom w:val="single" w:sz="8" w:space="0" w:color="auto"/>
            </w:tcBorders>
            <w:noWrap/>
            <w:vAlign w:val="bottom"/>
          </w:tcPr>
          <w:p w:rsidR="00652F81" w:rsidRPr="00D9172B" w:rsidRDefault="00652F81" w:rsidP="00652F81">
            <w:pPr>
              <w:jc w:val="center"/>
              <w:rPr>
                <w:rFonts w:ascii="Tahoma" w:hAnsi="Tahoma" w:cs="Tahoma"/>
                <w:b/>
                <w:bCs/>
              </w:rPr>
            </w:pPr>
            <w:r>
              <w:rPr>
                <w:rFonts w:ascii="Tahoma" w:hAnsi="Tahoma" w:cs="Tahoma"/>
                <w:b/>
                <w:bCs/>
              </w:rPr>
              <w:t>2004</w:t>
            </w:r>
          </w:p>
        </w:tc>
        <w:tc>
          <w:tcPr>
            <w:tcW w:w="960" w:type="dxa"/>
            <w:tcBorders>
              <w:top w:val="single" w:sz="12" w:space="0" w:color="auto"/>
              <w:bottom w:val="single" w:sz="8" w:space="0" w:color="auto"/>
            </w:tcBorders>
            <w:noWrap/>
            <w:vAlign w:val="bottom"/>
          </w:tcPr>
          <w:p w:rsidR="00652F81" w:rsidRPr="00D9172B" w:rsidRDefault="00652F81" w:rsidP="00652F81">
            <w:pPr>
              <w:jc w:val="center"/>
              <w:rPr>
                <w:rFonts w:ascii="Tahoma" w:hAnsi="Tahoma" w:cs="Tahoma"/>
                <w:b/>
                <w:bCs/>
              </w:rPr>
            </w:pPr>
            <w:r>
              <w:rPr>
                <w:rFonts w:ascii="Tahoma" w:hAnsi="Tahoma" w:cs="Tahoma"/>
                <w:b/>
                <w:bCs/>
              </w:rPr>
              <w:t>2005</w:t>
            </w:r>
          </w:p>
        </w:tc>
        <w:tc>
          <w:tcPr>
            <w:tcW w:w="960" w:type="dxa"/>
            <w:tcBorders>
              <w:top w:val="single" w:sz="12" w:space="0" w:color="auto"/>
              <w:bottom w:val="single" w:sz="8" w:space="0" w:color="auto"/>
            </w:tcBorders>
            <w:noWrap/>
            <w:vAlign w:val="bottom"/>
          </w:tcPr>
          <w:p w:rsidR="00652F81" w:rsidRPr="00D9172B" w:rsidRDefault="00652F81" w:rsidP="00652F81">
            <w:pPr>
              <w:jc w:val="center"/>
              <w:rPr>
                <w:rFonts w:ascii="Tahoma" w:hAnsi="Tahoma" w:cs="Tahoma"/>
                <w:b/>
                <w:bCs/>
              </w:rPr>
            </w:pPr>
            <w:r>
              <w:rPr>
                <w:rFonts w:ascii="Tahoma" w:hAnsi="Tahoma" w:cs="Tahoma"/>
                <w:b/>
                <w:bCs/>
              </w:rPr>
              <w:t>2006</w:t>
            </w:r>
          </w:p>
        </w:tc>
        <w:tc>
          <w:tcPr>
            <w:tcW w:w="960" w:type="dxa"/>
            <w:tcBorders>
              <w:top w:val="single" w:sz="12" w:space="0" w:color="auto"/>
              <w:bottom w:val="single" w:sz="8" w:space="0" w:color="auto"/>
            </w:tcBorders>
            <w:noWrap/>
            <w:vAlign w:val="bottom"/>
          </w:tcPr>
          <w:p w:rsidR="00652F81" w:rsidRPr="00D9172B" w:rsidRDefault="00652F81" w:rsidP="00652F81">
            <w:pPr>
              <w:jc w:val="center"/>
              <w:rPr>
                <w:rFonts w:ascii="Tahoma" w:hAnsi="Tahoma" w:cs="Tahoma"/>
                <w:b/>
                <w:bCs/>
              </w:rPr>
            </w:pPr>
            <w:r>
              <w:rPr>
                <w:rFonts w:ascii="Tahoma" w:hAnsi="Tahoma" w:cs="Tahoma"/>
                <w:b/>
                <w:bCs/>
              </w:rPr>
              <w:t>2007</w:t>
            </w:r>
          </w:p>
        </w:tc>
        <w:tc>
          <w:tcPr>
            <w:tcW w:w="960" w:type="dxa"/>
            <w:tcBorders>
              <w:top w:val="single" w:sz="12" w:space="0" w:color="auto"/>
              <w:bottom w:val="single" w:sz="8" w:space="0" w:color="auto"/>
            </w:tcBorders>
            <w:noWrap/>
            <w:vAlign w:val="bottom"/>
          </w:tcPr>
          <w:p w:rsidR="00652F81" w:rsidRPr="00936BD4" w:rsidRDefault="00652F81" w:rsidP="00652F81">
            <w:pPr>
              <w:jc w:val="center"/>
              <w:rPr>
                <w:rFonts w:ascii="Tahoma" w:hAnsi="Tahoma" w:cs="Tahoma"/>
                <w:b/>
                <w:bCs/>
              </w:rPr>
            </w:pPr>
            <w:r w:rsidRPr="00D9172B">
              <w:rPr>
                <w:rFonts w:ascii="Tahoma" w:hAnsi="Tahoma" w:cs="Tahoma"/>
                <w:b/>
                <w:bCs/>
              </w:rPr>
              <w:t>200</w:t>
            </w:r>
            <w:r>
              <w:rPr>
                <w:rFonts w:ascii="Tahoma" w:hAnsi="Tahoma" w:cs="Tahoma"/>
                <w:b/>
                <w:bCs/>
              </w:rPr>
              <w:t>8</w:t>
            </w:r>
          </w:p>
        </w:tc>
        <w:tc>
          <w:tcPr>
            <w:tcW w:w="960" w:type="dxa"/>
            <w:tcBorders>
              <w:top w:val="single" w:sz="12" w:space="0" w:color="auto"/>
              <w:bottom w:val="single" w:sz="8" w:space="0" w:color="auto"/>
            </w:tcBorders>
            <w:noWrap/>
            <w:vAlign w:val="bottom"/>
          </w:tcPr>
          <w:p w:rsidR="00652F81" w:rsidRPr="00936BD4" w:rsidRDefault="00652F81" w:rsidP="00652F81">
            <w:pPr>
              <w:jc w:val="center"/>
              <w:rPr>
                <w:rFonts w:ascii="Tahoma" w:hAnsi="Tahoma" w:cs="Tahoma"/>
                <w:b/>
                <w:bCs/>
              </w:rPr>
            </w:pPr>
            <w:r>
              <w:rPr>
                <w:rFonts w:ascii="Tahoma" w:hAnsi="Tahoma" w:cs="Tahoma"/>
                <w:b/>
                <w:bCs/>
                <w:lang w:val="en-US"/>
              </w:rPr>
              <w:t>200</w:t>
            </w:r>
            <w:r>
              <w:rPr>
                <w:rFonts w:ascii="Tahoma" w:hAnsi="Tahoma" w:cs="Tahoma"/>
                <w:b/>
                <w:bCs/>
              </w:rPr>
              <w:t>9</w:t>
            </w:r>
          </w:p>
        </w:tc>
      </w:tr>
      <w:tr w:rsidR="00652F81" w:rsidRPr="00515DAC" w:rsidTr="00652F81">
        <w:trPr>
          <w:trHeight w:val="255"/>
          <w:jc w:val="center"/>
        </w:trPr>
        <w:tc>
          <w:tcPr>
            <w:tcW w:w="960" w:type="dxa"/>
            <w:tcBorders>
              <w:top w:val="single" w:sz="8" w:space="0" w:color="auto"/>
            </w:tcBorders>
            <w:noWrap/>
            <w:vAlign w:val="bottom"/>
          </w:tcPr>
          <w:p w:rsidR="00652F81" w:rsidRPr="00D9172B" w:rsidRDefault="00652F81" w:rsidP="00652F81">
            <w:pPr>
              <w:rPr>
                <w:rFonts w:ascii="Tahoma" w:hAnsi="Tahoma" w:cs="Tahoma"/>
                <w:b/>
                <w:bCs/>
              </w:rPr>
            </w:pPr>
            <w:r w:rsidRPr="00D9172B">
              <w:rPr>
                <w:rFonts w:ascii="Tahoma" w:hAnsi="Tahoma" w:cs="Tahoma"/>
                <w:b/>
                <w:bCs/>
              </w:rPr>
              <w:t>EU27</w:t>
            </w:r>
          </w:p>
        </w:tc>
        <w:tc>
          <w:tcPr>
            <w:tcW w:w="960" w:type="dxa"/>
            <w:tcBorders>
              <w:top w:val="single" w:sz="8" w:space="0" w:color="auto"/>
            </w:tcBorders>
            <w:noWrap/>
            <w:vAlign w:val="bottom"/>
          </w:tcPr>
          <w:p w:rsidR="00652F81" w:rsidRPr="00936BD4" w:rsidRDefault="00652F81" w:rsidP="00652F81">
            <w:pPr>
              <w:jc w:val="right"/>
              <w:rPr>
                <w:rFonts w:ascii="Tahoma" w:hAnsi="Tahoma" w:cs="Tahoma"/>
              </w:rPr>
            </w:pPr>
            <w:r w:rsidRPr="00936BD4">
              <w:rPr>
                <w:rFonts w:ascii="Tahoma" w:hAnsi="Tahoma" w:cs="Tahoma"/>
              </w:rPr>
              <w:t>99</w:t>
            </w:r>
            <w:r>
              <w:rPr>
                <w:rFonts w:ascii="Tahoma" w:hAnsi="Tahoma" w:cs="Tahoma"/>
              </w:rPr>
              <w:t>,0</w:t>
            </w:r>
          </w:p>
        </w:tc>
        <w:tc>
          <w:tcPr>
            <w:tcW w:w="960" w:type="dxa"/>
            <w:tcBorders>
              <w:top w:val="single" w:sz="8" w:space="0" w:color="auto"/>
            </w:tcBorders>
            <w:noWrap/>
            <w:vAlign w:val="bottom"/>
          </w:tcPr>
          <w:p w:rsidR="00652F81" w:rsidRPr="00936BD4" w:rsidRDefault="00652F81" w:rsidP="00652F81">
            <w:pPr>
              <w:jc w:val="right"/>
              <w:rPr>
                <w:rFonts w:ascii="Tahoma" w:hAnsi="Tahoma" w:cs="Tahoma"/>
              </w:rPr>
            </w:pPr>
            <w:r w:rsidRPr="00936BD4">
              <w:rPr>
                <w:rFonts w:ascii="Tahoma" w:hAnsi="Tahoma" w:cs="Tahoma"/>
              </w:rPr>
              <w:t>100,2</w:t>
            </w:r>
          </w:p>
        </w:tc>
        <w:tc>
          <w:tcPr>
            <w:tcW w:w="960" w:type="dxa"/>
            <w:tcBorders>
              <w:top w:val="single" w:sz="8" w:space="0" w:color="auto"/>
            </w:tcBorders>
            <w:noWrap/>
            <w:vAlign w:val="bottom"/>
          </w:tcPr>
          <w:p w:rsidR="00652F81" w:rsidRPr="00936BD4" w:rsidRDefault="00652F81" w:rsidP="00652F81">
            <w:pPr>
              <w:jc w:val="right"/>
              <w:rPr>
                <w:rFonts w:ascii="Tahoma" w:hAnsi="Tahoma" w:cs="Tahoma"/>
              </w:rPr>
            </w:pPr>
            <w:r w:rsidRPr="00936BD4">
              <w:rPr>
                <w:rFonts w:ascii="Tahoma" w:hAnsi="Tahoma" w:cs="Tahoma"/>
              </w:rPr>
              <w:t>99,3</w:t>
            </w:r>
          </w:p>
        </w:tc>
        <w:tc>
          <w:tcPr>
            <w:tcW w:w="960" w:type="dxa"/>
            <w:tcBorders>
              <w:top w:val="single" w:sz="8" w:space="0" w:color="auto"/>
            </w:tcBorders>
            <w:noWrap/>
            <w:vAlign w:val="bottom"/>
          </w:tcPr>
          <w:p w:rsidR="00652F81" w:rsidRPr="00936BD4" w:rsidRDefault="00652F81" w:rsidP="00652F81">
            <w:pPr>
              <w:jc w:val="right"/>
              <w:rPr>
                <w:rFonts w:ascii="Tahoma" w:hAnsi="Tahoma" w:cs="Tahoma"/>
              </w:rPr>
            </w:pPr>
            <w:r w:rsidRPr="00936BD4">
              <w:rPr>
                <w:rFonts w:ascii="Tahoma" w:hAnsi="Tahoma" w:cs="Tahoma"/>
              </w:rPr>
              <w:t>105,2</w:t>
            </w:r>
          </w:p>
        </w:tc>
        <w:tc>
          <w:tcPr>
            <w:tcW w:w="960" w:type="dxa"/>
            <w:tcBorders>
              <w:top w:val="single" w:sz="8" w:space="0" w:color="auto"/>
            </w:tcBorders>
            <w:noWrap/>
            <w:vAlign w:val="bottom"/>
          </w:tcPr>
          <w:p w:rsidR="00652F81" w:rsidRPr="00936BD4" w:rsidRDefault="00652F81" w:rsidP="00652F81">
            <w:pPr>
              <w:jc w:val="right"/>
              <w:rPr>
                <w:rFonts w:ascii="Tahoma" w:hAnsi="Tahoma" w:cs="Tahoma"/>
              </w:rPr>
            </w:pPr>
            <w:r w:rsidRPr="00936BD4">
              <w:rPr>
                <w:rFonts w:ascii="Tahoma" w:hAnsi="Tahoma" w:cs="Tahoma"/>
              </w:rPr>
              <w:t>105,1</w:t>
            </w:r>
          </w:p>
        </w:tc>
        <w:tc>
          <w:tcPr>
            <w:tcW w:w="960" w:type="dxa"/>
            <w:tcBorders>
              <w:top w:val="single" w:sz="8" w:space="0" w:color="auto"/>
            </w:tcBorders>
            <w:noWrap/>
            <w:vAlign w:val="bottom"/>
          </w:tcPr>
          <w:p w:rsidR="00652F81" w:rsidRPr="00936BD4" w:rsidRDefault="00652F81" w:rsidP="00652F81">
            <w:pPr>
              <w:jc w:val="right"/>
              <w:rPr>
                <w:rFonts w:ascii="Tahoma" w:hAnsi="Tahoma" w:cs="Tahoma"/>
              </w:rPr>
            </w:pPr>
            <w:r w:rsidRPr="00936BD4">
              <w:rPr>
                <w:rFonts w:ascii="Tahoma" w:hAnsi="Tahoma" w:cs="Tahoma"/>
              </w:rPr>
              <w:t>105,7</w:t>
            </w:r>
          </w:p>
        </w:tc>
        <w:tc>
          <w:tcPr>
            <w:tcW w:w="960" w:type="dxa"/>
            <w:tcBorders>
              <w:top w:val="single" w:sz="8" w:space="0" w:color="auto"/>
            </w:tcBorders>
            <w:noWrap/>
            <w:vAlign w:val="bottom"/>
          </w:tcPr>
          <w:p w:rsidR="00652F81" w:rsidRPr="00936BD4" w:rsidRDefault="00652F81" w:rsidP="00652F81">
            <w:pPr>
              <w:jc w:val="right"/>
              <w:rPr>
                <w:rFonts w:ascii="Tahoma" w:hAnsi="Tahoma" w:cs="Tahoma"/>
              </w:rPr>
            </w:pPr>
            <w:r w:rsidRPr="00936BD4">
              <w:rPr>
                <w:rFonts w:ascii="Tahoma" w:hAnsi="Tahoma" w:cs="Tahoma"/>
              </w:rPr>
              <w:t>106,4</w:t>
            </w:r>
          </w:p>
        </w:tc>
        <w:tc>
          <w:tcPr>
            <w:tcW w:w="960" w:type="dxa"/>
            <w:tcBorders>
              <w:top w:val="single" w:sz="8" w:space="0" w:color="auto"/>
            </w:tcBorders>
            <w:noWrap/>
            <w:vAlign w:val="bottom"/>
          </w:tcPr>
          <w:p w:rsidR="00652F81" w:rsidRPr="00936BD4" w:rsidRDefault="00652F81" w:rsidP="00652F81">
            <w:pPr>
              <w:jc w:val="right"/>
              <w:rPr>
                <w:rFonts w:ascii="Tahoma" w:hAnsi="Tahoma" w:cs="Tahoma"/>
              </w:rPr>
            </w:pPr>
            <w:r w:rsidRPr="00936BD4">
              <w:rPr>
                <w:rFonts w:ascii="Tahoma" w:hAnsi="Tahoma" w:cs="Tahoma"/>
              </w:rPr>
              <w:t>103,8</w:t>
            </w:r>
          </w:p>
        </w:tc>
        <w:tc>
          <w:tcPr>
            <w:tcW w:w="960" w:type="dxa"/>
            <w:tcBorders>
              <w:top w:val="single" w:sz="8" w:space="0" w:color="auto"/>
            </w:tcBorders>
            <w:noWrap/>
            <w:vAlign w:val="bottom"/>
          </w:tcPr>
          <w:p w:rsidR="00652F81" w:rsidRPr="00936BD4" w:rsidRDefault="00652F81" w:rsidP="00652F81">
            <w:pPr>
              <w:jc w:val="right"/>
              <w:rPr>
                <w:rFonts w:ascii="Tahoma" w:hAnsi="Tahoma" w:cs="Tahoma"/>
              </w:rPr>
            </w:pPr>
            <w:r w:rsidRPr="00936BD4">
              <w:rPr>
                <w:rFonts w:ascii="Tahoma" w:hAnsi="Tahoma" w:cs="Tahoma"/>
              </w:rPr>
              <w:t>96,4</w:t>
            </w:r>
          </w:p>
        </w:tc>
      </w:tr>
      <w:tr w:rsidR="00652F81" w:rsidRPr="00515DAC" w:rsidTr="00652F81">
        <w:trPr>
          <w:trHeight w:val="255"/>
          <w:jc w:val="center"/>
        </w:trPr>
        <w:tc>
          <w:tcPr>
            <w:tcW w:w="960" w:type="dxa"/>
            <w:noWrap/>
            <w:vAlign w:val="bottom"/>
          </w:tcPr>
          <w:p w:rsidR="00652F81" w:rsidRPr="00D9172B" w:rsidRDefault="00652F81" w:rsidP="00652F81">
            <w:pPr>
              <w:rPr>
                <w:rFonts w:ascii="Tahoma" w:hAnsi="Tahoma" w:cs="Tahoma"/>
                <w:b/>
                <w:bCs/>
              </w:rPr>
            </w:pPr>
            <w:r w:rsidRPr="00D9172B">
              <w:rPr>
                <w:rFonts w:ascii="Tahoma" w:hAnsi="Tahoma" w:cs="Tahoma"/>
                <w:b/>
                <w:bCs/>
              </w:rPr>
              <w:t>EU25</w:t>
            </w:r>
          </w:p>
        </w:tc>
        <w:tc>
          <w:tcPr>
            <w:tcW w:w="960" w:type="dxa"/>
            <w:noWrap/>
            <w:vAlign w:val="bottom"/>
          </w:tcPr>
          <w:p w:rsidR="00652F81" w:rsidRPr="00936BD4" w:rsidRDefault="00652F81" w:rsidP="00652F81">
            <w:pPr>
              <w:jc w:val="right"/>
              <w:rPr>
                <w:rFonts w:ascii="Tahoma" w:hAnsi="Tahoma" w:cs="Tahoma"/>
              </w:rPr>
            </w:pPr>
            <w:r w:rsidRPr="00936BD4">
              <w:rPr>
                <w:rFonts w:ascii="Tahoma" w:hAnsi="Tahoma" w:cs="Tahoma"/>
              </w:rPr>
              <w:t>98,8</w:t>
            </w:r>
          </w:p>
        </w:tc>
        <w:tc>
          <w:tcPr>
            <w:tcW w:w="960" w:type="dxa"/>
            <w:noWrap/>
            <w:vAlign w:val="bottom"/>
          </w:tcPr>
          <w:p w:rsidR="00652F81" w:rsidRPr="00936BD4" w:rsidRDefault="00652F81" w:rsidP="00652F81">
            <w:pPr>
              <w:jc w:val="right"/>
              <w:rPr>
                <w:rFonts w:ascii="Tahoma" w:hAnsi="Tahoma" w:cs="Tahoma"/>
              </w:rPr>
            </w:pPr>
            <w:r w:rsidRPr="00936BD4">
              <w:rPr>
                <w:rFonts w:ascii="Tahoma" w:hAnsi="Tahoma" w:cs="Tahoma"/>
              </w:rPr>
              <w:t>99,7</w:t>
            </w:r>
          </w:p>
        </w:tc>
        <w:tc>
          <w:tcPr>
            <w:tcW w:w="960" w:type="dxa"/>
            <w:noWrap/>
            <w:vAlign w:val="bottom"/>
          </w:tcPr>
          <w:p w:rsidR="00652F81" w:rsidRPr="00936BD4" w:rsidRDefault="00652F81" w:rsidP="00652F81">
            <w:pPr>
              <w:jc w:val="right"/>
              <w:rPr>
                <w:rFonts w:ascii="Tahoma" w:hAnsi="Tahoma" w:cs="Tahoma"/>
              </w:rPr>
            </w:pPr>
            <w:r w:rsidRPr="00936BD4">
              <w:rPr>
                <w:rFonts w:ascii="Tahoma" w:hAnsi="Tahoma" w:cs="Tahoma"/>
              </w:rPr>
              <w:t>98,6</w:t>
            </w:r>
          </w:p>
        </w:tc>
        <w:tc>
          <w:tcPr>
            <w:tcW w:w="960" w:type="dxa"/>
            <w:noWrap/>
            <w:vAlign w:val="bottom"/>
          </w:tcPr>
          <w:p w:rsidR="00652F81" w:rsidRPr="00936BD4" w:rsidRDefault="00652F81" w:rsidP="00652F81">
            <w:pPr>
              <w:jc w:val="right"/>
              <w:rPr>
                <w:rFonts w:ascii="Tahoma" w:hAnsi="Tahoma" w:cs="Tahoma"/>
              </w:rPr>
            </w:pPr>
            <w:r w:rsidRPr="00936BD4">
              <w:rPr>
                <w:rFonts w:ascii="Tahoma" w:hAnsi="Tahoma" w:cs="Tahoma"/>
              </w:rPr>
              <w:t>104</w:t>
            </w:r>
          </w:p>
        </w:tc>
        <w:tc>
          <w:tcPr>
            <w:tcW w:w="960" w:type="dxa"/>
            <w:noWrap/>
            <w:vAlign w:val="bottom"/>
          </w:tcPr>
          <w:p w:rsidR="00652F81" w:rsidRPr="00936BD4" w:rsidRDefault="00652F81" w:rsidP="00652F81">
            <w:pPr>
              <w:jc w:val="right"/>
              <w:rPr>
                <w:rFonts w:ascii="Tahoma" w:hAnsi="Tahoma" w:cs="Tahoma"/>
              </w:rPr>
            </w:pPr>
            <w:r w:rsidRPr="00936BD4">
              <w:rPr>
                <w:rFonts w:ascii="Tahoma" w:hAnsi="Tahoma" w:cs="Tahoma"/>
              </w:rPr>
              <w:t>103,2</w:t>
            </w:r>
          </w:p>
        </w:tc>
        <w:tc>
          <w:tcPr>
            <w:tcW w:w="960" w:type="dxa"/>
            <w:noWrap/>
            <w:vAlign w:val="bottom"/>
          </w:tcPr>
          <w:p w:rsidR="00652F81" w:rsidRPr="00936BD4" w:rsidRDefault="00652F81" w:rsidP="00652F81">
            <w:pPr>
              <w:jc w:val="right"/>
              <w:rPr>
                <w:rFonts w:ascii="Tahoma" w:hAnsi="Tahoma" w:cs="Tahoma"/>
              </w:rPr>
            </w:pPr>
            <w:r w:rsidRPr="00936BD4">
              <w:rPr>
                <w:rFonts w:ascii="Tahoma" w:hAnsi="Tahoma" w:cs="Tahoma"/>
              </w:rPr>
              <w:t>103,8</w:t>
            </w:r>
          </w:p>
        </w:tc>
        <w:tc>
          <w:tcPr>
            <w:tcW w:w="960" w:type="dxa"/>
            <w:noWrap/>
            <w:vAlign w:val="bottom"/>
          </w:tcPr>
          <w:p w:rsidR="00652F81" w:rsidRPr="00936BD4" w:rsidRDefault="00652F81" w:rsidP="00652F81">
            <w:pPr>
              <w:jc w:val="right"/>
              <w:rPr>
                <w:rFonts w:ascii="Tahoma" w:hAnsi="Tahoma" w:cs="Tahoma"/>
              </w:rPr>
            </w:pPr>
            <w:r w:rsidRPr="00936BD4">
              <w:rPr>
                <w:rFonts w:ascii="Tahoma" w:hAnsi="Tahoma" w:cs="Tahoma"/>
              </w:rPr>
              <w:t>104,6</w:t>
            </w:r>
          </w:p>
        </w:tc>
        <w:tc>
          <w:tcPr>
            <w:tcW w:w="960" w:type="dxa"/>
            <w:noWrap/>
            <w:vAlign w:val="bottom"/>
          </w:tcPr>
          <w:p w:rsidR="00652F81" w:rsidRPr="00936BD4" w:rsidRDefault="00652F81" w:rsidP="00652F81">
            <w:pPr>
              <w:jc w:val="right"/>
              <w:rPr>
                <w:rFonts w:ascii="Tahoma" w:hAnsi="Tahoma" w:cs="Tahoma"/>
              </w:rPr>
            </w:pPr>
            <w:r w:rsidRPr="00936BD4">
              <w:rPr>
                <w:rFonts w:ascii="Tahoma" w:hAnsi="Tahoma" w:cs="Tahoma"/>
              </w:rPr>
              <w:t>102</w:t>
            </w:r>
          </w:p>
        </w:tc>
        <w:tc>
          <w:tcPr>
            <w:tcW w:w="960" w:type="dxa"/>
            <w:noWrap/>
            <w:vAlign w:val="bottom"/>
          </w:tcPr>
          <w:p w:rsidR="00652F81" w:rsidRPr="00936BD4" w:rsidRDefault="00652F81" w:rsidP="00652F81">
            <w:pPr>
              <w:jc w:val="right"/>
              <w:rPr>
                <w:rFonts w:ascii="Tahoma" w:hAnsi="Tahoma" w:cs="Tahoma"/>
              </w:rPr>
            </w:pPr>
            <w:r w:rsidRPr="00936BD4">
              <w:rPr>
                <w:rFonts w:ascii="Tahoma" w:hAnsi="Tahoma" w:cs="Tahoma"/>
              </w:rPr>
              <w:t>95</w:t>
            </w:r>
            <w:r>
              <w:rPr>
                <w:rFonts w:ascii="Tahoma" w:hAnsi="Tahoma" w:cs="Tahoma"/>
              </w:rPr>
              <w:t>,0</w:t>
            </w:r>
          </w:p>
        </w:tc>
      </w:tr>
      <w:tr w:rsidR="00652F81" w:rsidRPr="00515DAC" w:rsidTr="00652F81">
        <w:trPr>
          <w:trHeight w:val="255"/>
          <w:jc w:val="center"/>
        </w:trPr>
        <w:tc>
          <w:tcPr>
            <w:tcW w:w="960" w:type="dxa"/>
            <w:noWrap/>
            <w:vAlign w:val="bottom"/>
          </w:tcPr>
          <w:p w:rsidR="00652F81" w:rsidRPr="00D9172B" w:rsidRDefault="00652F81" w:rsidP="00652F81">
            <w:pPr>
              <w:rPr>
                <w:rFonts w:ascii="Tahoma" w:hAnsi="Tahoma" w:cs="Tahoma"/>
                <w:b/>
                <w:bCs/>
              </w:rPr>
            </w:pPr>
            <w:r w:rsidRPr="00D9172B">
              <w:rPr>
                <w:rFonts w:ascii="Tahoma" w:hAnsi="Tahoma" w:cs="Tahoma"/>
                <w:b/>
                <w:bCs/>
              </w:rPr>
              <w:t>EU15</w:t>
            </w:r>
          </w:p>
        </w:tc>
        <w:tc>
          <w:tcPr>
            <w:tcW w:w="960" w:type="dxa"/>
            <w:noWrap/>
            <w:vAlign w:val="bottom"/>
          </w:tcPr>
          <w:p w:rsidR="00652F81" w:rsidRPr="00936BD4" w:rsidRDefault="00652F81" w:rsidP="00652F81">
            <w:pPr>
              <w:jc w:val="right"/>
              <w:rPr>
                <w:rFonts w:ascii="Tahoma" w:hAnsi="Tahoma" w:cs="Tahoma"/>
              </w:rPr>
            </w:pPr>
            <w:r w:rsidRPr="00936BD4">
              <w:rPr>
                <w:rFonts w:ascii="Tahoma" w:hAnsi="Tahoma" w:cs="Tahoma"/>
              </w:rPr>
              <w:t>99,1</w:t>
            </w:r>
          </w:p>
        </w:tc>
        <w:tc>
          <w:tcPr>
            <w:tcW w:w="960" w:type="dxa"/>
            <w:noWrap/>
            <w:vAlign w:val="bottom"/>
          </w:tcPr>
          <w:p w:rsidR="00652F81" w:rsidRPr="00936BD4" w:rsidRDefault="00652F81" w:rsidP="00652F81">
            <w:pPr>
              <w:jc w:val="right"/>
              <w:rPr>
                <w:rFonts w:ascii="Tahoma" w:hAnsi="Tahoma" w:cs="Tahoma"/>
              </w:rPr>
            </w:pPr>
            <w:r w:rsidRPr="00936BD4">
              <w:rPr>
                <w:rFonts w:ascii="Tahoma" w:hAnsi="Tahoma" w:cs="Tahoma"/>
              </w:rPr>
              <w:t>99,6</w:t>
            </w:r>
          </w:p>
        </w:tc>
        <w:tc>
          <w:tcPr>
            <w:tcW w:w="960" w:type="dxa"/>
            <w:noWrap/>
            <w:vAlign w:val="bottom"/>
          </w:tcPr>
          <w:p w:rsidR="00652F81" w:rsidRPr="00936BD4" w:rsidRDefault="00652F81" w:rsidP="00652F81">
            <w:pPr>
              <w:jc w:val="right"/>
              <w:rPr>
                <w:rFonts w:ascii="Tahoma" w:hAnsi="Tahoma" w:cs="Tahoma"/>
              </w:rPr>
            </w:pPr>
            <w:r w:rsidRPr="00936BD4">
              <w:rPr>
                <w:rFonts w:ascii="Tahoma" w:hAnsi="Tahoma" w:cs="Tahoma"/>
              </w:rPr>
              <w:t>97,7</w:t>
            </w:r>
          </w:p>
        </w:tc>
        <w:tc>
          <w:tcPr>
            <w:tcW w:w="960" w:type="dxa"/>
            <w:noWrap/>
            <w:vAlign w:val="bottom"/>
          </w:tcPr>
          <w:p w:rsidR="00652F81" w:rsidRPr="00936BD4" w:rsidRDefault="00652F81" w:rsidP="00652F81">
            <w:pPr>
              <w:jc w:val="right"/>
              <w:rPr>
                <w:rFonts w:ascii="Tahoma" w:hAnsi="Tahoma" w:cs="Tahoma"/>
              </w:rPr>
            </w:pPr>
            <w:r w:rsidRPr="00936BD4">
              <w:rPr>
                <w:rFonts w:ascii="Tahoma" w:hAnsi="Tahoma" w:cs="Tahoma"/>
              </w:rPr>
              <w:t>103</w:t>
            </w:r>
          </w:p>
        </w:tc>
        <w:tc>
          <w:tcPr>
            <w:tcW w:w="960" w:type="dxa"/>
            <w:noWrap/>
            <w:vAlign w:val="bottom"/>
          </w:tcPr>
          <w:p w:rsidR="00652F81" w:rsidRPr="00936BD4" w:rsidRDefault="00652F81" w:rsidP="00652F81">
            <w:pPr>
              <w:jc w:val="right"/>
              <w:rPr>
                <w:rFonts w:ascii="Tahoma" w:hAnsi="Tahoma" w:cs="Tahoma"/>
              </w:rPr>
            </w:pPr>
            <w:r w:rsidRPr="00936BD4">
              <w:rPr>
                <w:rFonts w:ascii="Tahoma" w:hAnsi="Tahoma" w:cs="Tahoma"/>
              </w:rPr>
              <w:t>101,3</w:t>
            </w:r>
          </w:p>
        </w:tc>
        <w:tc>
          <w:tcPr>
            <w:tcW w:w="960" w:type="dxa"/>
            <w:noWrap/>
            <w:vAlign w:val="bottom"/>
          </w:tcPr>
          <w:p w:rsidR="00652F81" w:rsidRPr="00936BD4" w:rsidRDefault="00652F81" w:rsidP="00652F81">
            <w:pPr>
              <w:jc w:val="right"/>
              <w:rPr>
                <w:rFonts w:ascii="Tahoma" w:hAnsi="Tahoma" w:cs="Tahoma"/>
              </w:rPr>
            </w:pPr>
            <w:r w:rsidRPr="00936BD4">
              <w:rPr>
                <w:rFonts w:ascii="Tahoma" w:hAnsi="Tahoma" w:cs="Tahoma"/>
              </w:rPr>
              <w:t>100,9</w:t>
            </w:r>
          </w:p>
        </w:tc>
        <w:tc>
          <w:tcPr>
            <w:tcW w:w="960" w:type="dxa"/>
            <w:noWrap/>
            <w:vAlign w:val="bottom"/>
          </w:tcPr>
          <w:p w:rsidR="00652F81" w:rsidRPr="00936BD4" w:rsidRDefault="00652F81" w:rsidP="00652F81">
            <w:pPr>
              <w:jc w:val="right"/>
              <w:rPr>
                <w:rFonts w:ascii="Tahoma" w:hAnsi="Tahoma" w:cs="Tahoma"/>
              </w:rPr>
            </w:pPr>
            <w:r w:rsidRPr="00936BD4">
              <w:rPr>
                <w:rFonts w:ascii="Tahoma" w:hAnsi="Tahoma" w:cs="Tahoma"/>
              </w:rPr>
              <w:t>100,5</w:t>
            </w:r>
          </w:p>
        </w:tc>
        <w:tc>
          <w:tcPr>
            <w:tcW w:w="960" w:type="dxa"/>
            <w:noWrap/>
            <w:vAlign w:val="bottom"/>
          </w:tcPr>
          <w:p w:rsidR="00652F81" w:rsidRPr="00936BD4" w:rsidRDefault="00652F81" w:rsidP="00652F81">
            <w:pPr>
              <w:jc w:val="right"/>
              <w:rPr>
                <w:rFonts w:ascii="Tahoma" w:hAnsi="Tahoma" w:cs="Tahoma"/>
              </w:rPr>
            </w:pPr>
            <w:r w:rsidRPr="00936BD4">
              <w:rPr>
                <w:rFonts w:ascii="Tahoma" w:hAnsi="Tahoma" w:cs="Tahoma"/>
              </w:rPr>
              <w:t>96,9</w:t>
            </w:r>
          </w:p>
        </w:tc>
        <w:tc>
          <w:tcPr>
            <w:tcW w:w="960" w:type="dxa"/>
            <w:noWrap/>
            <w:vAlign w:val="bottom"/>
          </w:tcPr>
          <w:p w:rsidR="00652F81" w:rsidRPr="00936BD4" w:rsidRDefault="00652F81" w:rsidP="00652F81">
            <w:pPr>
              <w:jc w:val="right"/>
              <w:rPr>
                <w:rFonts w:ascii="Tahoma" w:hAnsi="Tahoma" w:cs="Tahoma"/>
              </w:rPr>
            </w:pPr>
            <w:r w:rsidRPr="00936BD4">
              <w:rPr>
                <w:rFonts w:ascii="Tahoma" w:hAnsi="Tahoma" w:cs="Tahoma"/>
              </w:rPr>
              <w:t>88,9</w:t>
            </w:r>
          </w:p>
        </w:tc>
      </w:tr>
      <w:tr w:rsidR="00652F81" w:rsidRPr="00515DAC" w:rsidTr="00652F81">
        <w:trPr>
          <w:trHeight w:val="255"/>
          <w:jc w:val="center"/>
        </w:trPr>
        <w:tc>
          <w:tcPr>
            <w:tcW w:w="960" w:type="dxa"/>
            <w:noWrap/>
            <w:vAlign w:val="bottom"/>
          </w:tcPr>
          <w:p w:rsidR="00652F81" w:rsidRPr="003829DD" w:rsidRDefault="00652F81" w:rsidP="00652F81">
            <w:pPr>
              <w:rPr>
                <w:rFonts w:ascii="Tahoma" w:hAnsi="Tahoma" w:cs="Tahoma"/>
                <w:b/>
                <w:bCs/>
                <w:vertAlign w:val="superscript"/>
              </w:rPr>
            </w:pPr>
            <w:r>
              <w:rPr>
                <w:rFonts w:ascii="Tahoma" w:hAnsi="Tahoma" w:cs="Tahoma"/>
                <w:b/>
                <w:bCs/>
              </w:rPr>
              <w:t>EA</w:t>
            </w:r>
            <w:r>
              <w:rPr>
                <w:rFonts w:ascii="Tahoma" w:hAnsi="Tahoma" w:cs="Tahoma"/>
                <w:b/>
                <w:bCs/>
                <w:lang w:val="en-US"/>
              </w:rPr>
              <w:t>1</w:t>
            </w:r>
            <w:r>
              <w:rPr>
                <w:rFonts w:ascii="Tahoma" w:hAnsi="Tahoma" w:cs="Tahoma"/>
                <w:b/>
                <w:bCs/>
              </w:rPr>
              <w:t>7</w:t>
            </w:r>
          </w:p>
        </w:tc>
        <w:tc>
          <w:tcPr>
            <w:tcW w:w="960" w:type="dxa"/>
            <w:noWrap/>
            <w:vAlign w:val="bottom"/>
          </w:tcPr>
          <w:p w:rsidR="00652F81" w:rsidRPr="00CE0249" w:rsidRDefault="00652F81" w:rsidP="00652F81">
            <w:pPr>
              <w:jc w:val="right"/>
              <w:rPr>
                <w:rFonts w:ascii="Tahoma" w:hAnsi="Tahoma" w:cs="Tahoma"/>
              </w:rPr>
            </w:pPr>
            <w:r w:rsidRPr="00CE0249">
              <w:rPr>
                <w:rFonts w:ascii="Tahoma" w:hAnsi="Tahoma" w:cs="Tahoma"/>
              </w:rPr>
              <w:t>:</w:t>
            </w:r>
          </w:p>
        </w:tc>
        <w:tc>
          <w:tcPr>
            <w:tcW w:w="960" w:type="dxa"/>
            <w:noWrap/>
            <w:vAlign w:val="bottom"/>
          </w:tcPr>
          <w:p w:rsidR="00652F81" w:rsidRPr="00CE0249" w:rsidRDefault="00652F81" w:rsidP="00652F81">
            <w:pPr>
              <w:jc w:val="right"/>
              <w:rPr>
                <w:rFonts w:ascii="Tahoma" w:hAnsi="Tahoma" w:cs="Tahoma"/>
              </w:rPr>
            </w:pPr>
            <w:r w:rsidRPr="00CE0249">
              <w:rPr>
                <w:rFonts w:ascii="Tahoma" w:hAnsi="Tahoma" w:cs="Tahoma"/>
              </w:rPr>
              <w:t>:</w:t>
            </w:r>
          </w:p>
        </w:tc>
        <w:tc>
          <w:tcPr>
            <w:tcW w:w="960" w:type="dxa"/>
            <w:noWrap/>
            <w:vAlign w:val="bottom"/>
          </w:tcPr>
          <w:p w:rsidR="00652F81" w:rsidRPr="00CE0249" w:rsidRDefault="00652F81" w:rsidP="00652F81">
            <w:pPr>
              <w:jc w:val="right"/>
              <w:rPr>
                <w:rFonts w:ascii="Tahoma" w:hAnsi="Tahoma" w:cs="Tahoma"/>
              </w:rPr>
            </w:pPr>
            <w:r w:rsidRPr="00CE0249">
              <w:rPr>
                <w:rFonts w:ascii="Tahoma" w:hAnsi="Tahoma" w:cs="Tahoma"/>
              </w:rPr>
              <w:t>:</w:t>
            </w:r>
          </w:p>
        </w:tc>
        <w:tc>
          <w:tcPr>
            <w:tcW w:w="960" w:type="dxa"/>
            <w:noWrap/>
            <w:vAlign w:val="bottom"/>
          </w:tcPr>
          <w:p w:rsidR="00652F81" w:rsidRPr="00CE0249" w:rsidRDefault="00652F81" w:rsidP="00652F81">
            <w:pPr>
              <w:jc w:val="right"/>
              <w:rPr>
                <w:rFonts w:ascii="Tahoma" w:hAnsi="Tahoma" w:cs="Tahoma"/>
              </w:rPr>
            </w:pPr>
            <w:r w:rsidRPr="00CE0249">
              <w:rPr>
                <w:rFonts w:ascii="Tahoma" w:hAnsi="Tahoma" w:cs="Tahoma"/>
              </w:rPr>
              <w:t>:</w:t>
            </w:r>
          </w:p>
        </w:tc>
        <w:tc>
          <w:tcPr>
            <w:tcW w:w="960" w:type="dxa"/>
            <w:noWrap/>
            <w:vAlign w:val="bottom"/>
          </w:tcPr>
          <w:p w:rsidR="00652F81" w:rsidRPr="00CE0249" w:rsidRDefault="00652F81" w:rsidP="00652F81">
            <w:pPr>
              <w:jc w:val="right"/>
              <w:rPr>
                <w:rFonts w:ascii="Tahoma" w:hAnsi="Tahoma" w:cs="Tahoma"/>
              </w:rPr>
            </w:pPr>
            <w:r w:rsidRPr="00CE0249">
              <w:rPr>
                <w:rFonts w:ascii="Tahoma" w:hAnsi="Tahoma" w:cs="Tahoma"/>
              </w:rPr>
              <w:t>:</w:t>
            </w:r>
          </w:p>
        </w:tc>
        <w:tc>
          <w:tcPr>
            <w:tcW w:w="960" w:type="dxa"/>
            <w:noWrap/>
            <w:vAlign w:val="bottom"/>
          </w:tcPr>
          <w:p w:rsidR="00652F81" w:rsidRPr="00CE0249" w:rsidRDefault="00652F81" w:rsidP="00652F81">
            <w:pPr>
              <w:jc w:val="right"/>
              <w:rPr>
                <w:rFonts w:ascii="Tahoma" w:hAnsi="Tahoma" w:cs="Tahoma"/>
              </w:rPr>
            </w:pPr>
            <w:r w:rsidRPr="00CE0249">
              <w:rPr>
                <w:rFonts w:ascii="Tahoma" w:hAnsi="Tahoma" w:cs="Tahoma"/>
              </w:rPr>
              <w:t>:</w:t>
            </w:r>
          </w:p>
        </w:tc>
        <w:tc>
          <w:tcPr>
            <w:tcW w:w="960" w:type="dxa"/>
            <w:noWrap/>
            <w:vAlign w:val="bottom"/>
          </w:tcPr>
          <w:p w:rsidR="00652F81" w:rsidRPr="00CE0249" w:rsidRDefault="00652F81" w:rsidP="00652F81">
            <w:pPr>
              <w:jc w:val="right"/>
              <w:rPr>
                <w:rFonts w:ascii="Tahoma" w:hAnsi="Tahoma" w:cs="Tahoma"/>
              </w:rPr>
            </w:pPr>
            <w:r w:rsidRPr="00CE0249">
              <w:rPr>
                <w:rFonts w:ascii="Tahoma" w:hAnsi="Tahoma" w:cs="Tahoma"/>
              </w:rPr>
              <w:t>:</w:t>
            </w:r>
          </w:p>
        </w:tc>
        <w:tc>
          <w:tcPr>
            <w:tcW w:w="960" w:type="dxa"/>
            <w:noWrap/>
            <w:vAlign w:val="bottom"/>
          </w:tcPr>
          <w:p w:rsidR="00652F81" w:rsidRPr="00CE0249" w:rsidRDefault="00652F81" w:rsidP="00652F81">
            <w:pPr>
              <w:jc w:val="right"/>
              <w:rPr>
                <w:rFonts w:ascii="Tahoma" w:hAnsi="Tahoma" w:cs="Tahoma"/>
              </w:rPr>
            </w:pPr>
            <w:r w:rsidRPr="00CE0249">
              <w:rPr>
                <w:rFonts w:ascii="Tahoma" w:hAnsi="Tahoma" w:cs="Tahoma"/>
              </w:rPr>
              <w:t>:</w:t>
            </w:r>
          </w:p>
        </w:tc>
        <w:tc>
          <w:tcPr>
            <w:tcW w:w="960" w:type="dxa"/>
            <w:noWrap/>
            <w:vAlign w:val="bottom"/>
          </w:tcPr>
          <w:p w:rsidR="00652F81" w:rsidRPr="00CE0249" w:rsidRDefault="00652F81" w:rsidP="00652F81">
            <w:pPr>
              <w:jc w:val="right"/>
              <w:rPr>
                <w:rFonts w:ascii="Tahoma" w:hAnsi="Tahoma" w:cs="Tahoma"/>
              </w:rPr>
            </w:pPr>
            <w:r w:rsidRPr="00CE0249">
              <w:rPr>
                <w:rFonts w:ascii="Tahoma" w:hAnsi="Tahoma" w:cs="Tahoma"/>
              </w:rPr>
              <w:t>:</w:t>
            </w:r>
          </w:p>
        </w:tc>
      </w:tr>
      <w:tr w:rsidR="00652F81" w:rsidRPr="00515DAC" w:rsidTr="00652F81">
        <w:trPr>
          <w:trHeight w:val="255"/>
          <w:jc w:val="center"/>
        </w:trPr>
        <w:tc>
          <w:tcPr>
            <w:tcW w:w="960" w:type="dxa"/>
            <w:noWrap/>
            <w:vAlign w:val="bottom"/>
          </w:tcPr>
          <w:p w:rsidR="00652F81" w:rsidRPr="00D9172B" w:rsidRDefault="00652F81" w:rsidP="00652F81">
            <w:pPr>
              <w:rPr>
                <w:rFonts w:ascii="Tahoma" w:hAnsi="Tahoma" w:cs="Tahoma"/>
                <w:b/>
                <w:bCs/>
              </w:rPr>
            </w:pPr>
            <w:r w:rsidRPr="00D9172B">
              <w:rPr>
                <w:rFonts w:ascii="Tahoma" w:hAnsi="Tahoma" w:cs="Tahoma"/>
                <w:b/>
                <w:bCs/>
              </w:rPr>
              <w:t>EL</w:t>
            </w:r>
          </w:p>
        </w:tc>
        <w:tc>
          <w:tcPr>
            <w:tcW w:w="960" w:type="dxa"/>
            <w:noWrap/>
            <w:vAlign w:val="bottom"/>
          </w:tcPr>
          <w:p w:rsidR="00652F81" w:rsidRPr="00CE0249" w:rsidRDefault="00652F81" w:rsidP="00652F81">
            <w:pPr>
              <w:jc w:val="right"/>
              <w:rPr>
                <w:rFonts w:ascii="Tahoma" w:hAnsi="Tahoma" w:cs="Tahoma"/>
              </w:rPr>
            </w:pPr>
            <w:r w:rsidRPr="00CE0249">
              <w:rPr>
                <w:rFonts w:ascii="Tahoma" w:hAnsi="Tahoma" w:cs="Tahoma"/>
              </w:rPr>
              <w:t>100</w:t>
            </w:r>
          </w:p>
        </w:tc>
        <w:tc>
          <w:tcPr>
            <w:tcW w:w="960" w:type="dxa"/>
            <w:noWrap/>
            <w:vAlign w:val="bottom"/>
          </w:tcPr>
          <w:p w:rsidR="00652F81" w:rsidRPr="00CE0249" w:rsidRDefault="00652F81" w:rsidP="00652F81">
            <w:pPr>
              <w:jc w:val="right"/>
              <w:rPr>
                <w:rFonts w:ascii="Tahoma" w:hAnsi="Tahoma" w:cs="Tahoma"/>
              </w:rPr>
            </w:pPr>
            <w:r w:rsidRPr="00CE0249">
              <w:rPr>
                <w:rFonts w:ascii="Tahoma" w:hAnsi="Tahoma" w:cs="Tahoma"/>
              </w:rPr>
              <w:t>:</w:t>
            </w:r>
          </w:p>
        </w:tc>
        <w:tc>
          <w:tcPr>
            <w:tcW w:w="960" w:type="dxa"/>
            <w:noWrap/>
            <w:vAlign w:val="bottom"/>
          </w:tcPr>
          <w:p w:rsidR="00652F81" w:rsidRPr="00CE0249" w:rsidRDefault="00652F81" w:rsidP="00652F81">
            <w:pPr>
              <w:jc w:val="right"/>
              <w:rPr>
                <w:rFonts w:ascii="Tahoma" w:hAnsi="Tahoma" w:cs="Tahoma"/>
              </w:rPr>
            </w:pPr>
            <w:r w:rsidRPr="00CE0249">
              <w:rPr>
                <w:rFonts w:ascii="Tahoma" w:hAnsi="Tahoma" w:cs="Tahoma"/>
              </w:rPr>
              <w:t>:</w:t>
            </w:r>
          </w:p>
        </w:tc>
        <w:tc>
          <w:tcPr>
            <w:tcW w:w="960" w:type="dxa"/>
            <w:noWrap/>
            <w:vAlign w:val="bottom"/>
          </w:tcPr>
          <w:p w:rsidR="00652F81" w:rsidRPr="00CE0249" w:rsidRDefault="00652F81" w:rsidP="00652F81">
            <w:pPr>
              <w:jc w:val="right"/>
              <w:rPr>
                <w:rFonts w:ascii="Tahoma" w:hAnsi="Tahoma" w:cs="Tahoma"/>
              </w:rPr>
            </w:pPr>
            <w:r w:rsidRPr="00CE0249">
              <w:rPr>
                <w:rFonts w:ascii="Tahoma" w:hAnsi="Tahoma" w:cs="Tahoma"/>
              </w:rPr>
              <w:t>:</w:t>
            </w:r>
          </w:p>
        </w:tc>
        <w:tc>
          <w:tcPr>
            <w:tcW w:w="960" w:type="dxa"/>
            <w:noWrap/>
            <w:vAlign w:val="bottom"/>
          </w:tcPr>
          <w:p w:rsidR="00652F81" w:rsidRPr="00CE0249" w:rsidRDefault="00652F81" w:rsidP="00652F81">
            <w:pPr>
              <w:jc w:val="right"/>
              <w:rPr>
                <w:rFonts w:ascii="Tahoma" w:hAnsi="Tahoma" w:cs="Tahoma"/>
              </w:rPr>
            </w:pPr>
            <w:r w:rsidRPr="00CE0249">
              <w:rPr>
                <w:rFonts w:ascii="Tahoma" w:hAnsi="Tahoma" w:cs="Tahoma"/>
              </w:rPr>
              <w:t>:</w:t>
            </w:r>
          </w:p>
        </w:tc>
        <w:tc>
          <w:tcPr>
            <w:tcW w:w="960" w:type="dxa"/>
            <w:noWrap/>
            <w:vAlign w:val="bottom"/>
          </w:tcPr>
          <w:p w:rsidR="00652F81" w:rsidRPr="00CE0249" w:rsidRDefault="00652F81" w:rsidP="00652F81">
            <w:pPr>
              <w:jc w:val="right"/>
              <w:rPr>
                <w:rFonts w:ascii="Tahoma" w:hAnsi="Tahoma" w:cs="Tahoma"/>
              </w:rPr>
            </w:pPr>
            <w:r w:rsidRPr="00CE0249">
              <w:rPr>
                <w:rFonts w:ascii="Tahoma" w:hAnsi="Tahoma" w:cs="Tahoma"/>
              </w:rPr>
              <w:t>:</w:t>
            </w:r>
          </w:p>
        </w:tc>
        <w:tc>
          <w:tcPr>
            <w:tcW w:w="960" w:type="dxa"/>
            <w:noWrap/>
            <w:vAlign w:val="bottom"/>
          </w:tcPr>
          <w:p w:rsidR="00652F81" w:rsidRPr="00CE0249" w:rsidRDefault="00652F81" w:rsidP="00652F81">
            <w:pPr>
              <w:jc w:val="right"/>
              <w:rPr>
                <w:rFonts w:ascii="Tahoma" w:hAnsi="Tahoma" w:cs="Tahoma"/>
              </w:rPr>
            </w:pPr>
            <w:r w:rsidRPr="00CE0249">
              <w:rPr>
                <w:rFonts w:ascii="Tahoma" w:hAnsi="Tahoma" w:cs="Tahoma"/>
              </w:rPr>
              <w:t>:</w:t>
            </w:r>
          </w:p>
        </w:tc>
        <w:tc>
          <w:tcPr>
            <w:tcW w:w="960" w:type="dxa"/>
            <w:noWrap/>
            <w:vAlign w:val="bottom"/>
          </w:tcPr>
          <w:p w:rsidR="00652F81" w:rsidRPr="00CE0249" w:rsidRDefault="00652F81" w:rsidP="00652F81">
            <w:pPr>
              <w:jc w:val="right"/>
              <w:rPr>
                <w:rFonts w:ascii="Tahoma" w:hAnsi="Tahoma" w:cs="Tahoma"/>
              </w:rPr>
            </w:pPr>
            <w:r w:rsidRPr="00CE0249">
              <w:rPr>
                <w:rFonts w:ascii="Tahoma" w:hAnsi="Tahoma" w:cs="Tahoma"/>
              </w:rPr>
              <w:t>:</w:t>
            </w:r>
          </w:p>
        </w:tc>
        <w:tc>
          <w:tcPr>
            <w:tcW w:w="960" w:type="dxa"/>
            <w:noWrap/>
            <w:vAlign w:val="bottom"/>
          </w:tcPr>
          <w:p w:rsidR="00652F81" w:rsidRPr="00CE0249" w:rsidRDefault="00652F81" w:rsidP="00652F81">
            <w:pPr>
              <w:jc w:val="right"/>
              <w:rPr>
                <w:rFonts w:ascii="Tahoma" w:hAnsi="Tahoma" w:cs="Tahoma"/>
              </w:rPr>
            </w:pPr>
            <w:r w:rsidRPr="00CE0249">
              <w:rPr>
                <w:rFonts w:ascii="Tahoma" w:hAnsi="Tahoma" w:cs="Tahoma"/>
              </w:rPr>
              <w:t>:</w:t>
            </w:r>
          </w:p>
        </w:tc>
      </w:tr>
    </w:tbl>
    <w:p w:rsidR="00652F81" w:rsidRPr="002F7987" w:rsidRDefault="00652F81" w:rsidP="00652F81">
      <w:pPr>
        <w:pStyle w:val="1"/>
        <w:ind w:left="-540"/>
        <w:jc w:val="both"/>
        <w:rPr>
          <w:rFonts w:ascii="Tahoma" w:hAnsi="Tahoma" w:cs="Tahoma"/>
          <w:sz w:val="18"/>
          <w:szCs w:val="18"/>
        </w:rPr>
      </w:pPr>
      <w:r w:rsidRPr="00954CD1">
        <w:rPr>
          <w:rFonts w:ascii="Tahoma" w:hAnsi="Tahoma" w:cs="Tahoma"/>
          <w:sz w:val="18"/>
          <w:szCs w:val="18"/>
        </w:rPr>
        <w:t>Πηγή:</w:t>
      </w:r>
      <w:r w:rsidRPr="002F7987">
        <w:rPr>
          <w:rFonts w:ascii="Tahoma" w:hAnsi="Tahoma" w:cs="Tahoma"/>
          <w:b w:val="0"/>
          <w:sz w:val="18"/>
          <w:szCs w:val="18"/>
        </w:rPr>
        <w:t xml:space="preserve"> </w:t>
      </w:r>
      <w:r w:rsidRPr="002F7987">
        <w:rPr>
          <w:rFonts w:ascii="Tahoma" w:hAnsi="Tahoma" w:cs="Tahoma"/>
          <w:b w:val="0"/>
          <w:sz w:val="18"/>
          <w:szCs w:val="18"/>
          <w:lang w:val="en-US"/>
        </w:rPr>
        <w:t>Eurostat</w:t>
      </w:r>
    </w:p>
    <w:p w:rsidR="00652F81" w:rsidRDefault="00652F81" w:rsidP="00652F81"/>
    <w:p w:rsidR="0093794F" w:rsidRDefault="0093794F" w:rsidP="0093794F">
      <w:pPr>
        <w:pStyle w:val="new5"/>
      </w:pPr>
      <w:r>
        <w:rPr>
          <w:lang w:val="en-US"/>
        </w:rPr>
        <w:br w:type="column"/>
      </w:r>
      <w:bookmarkStart w:id="488" w:name="_Toc150308621"/>
      <w:bookmarkStart w:id="489" w:name="_Toc169881553"/>
      <w:bookmarkStart w:id="490" w:name="_Toc170201903"/>
    </w:p>
    <w:p w:rsidR="00652F81" w:rsidRDefault="00652F81" w:rsidP="00652F81">
      <w:pPr>
        <w:pStyle w:val="new5"/>
        <w:rPr>
          <w:lang w:val="en-US"/>
        </w:rPr>
      </w:pPr>
    </w:p>
    <w:p w:rsidR="00652F81" w:rsidRDefault="00652F81" w:rsidP="00652F81">
      <w:pPr>
        <w:pStyle w:val="new5"/>
        <w:rPr>
          <w:lang w:val="en-US"/>
        </w:rPr>
      </w:pPr>
    </w:p>
    <w:p w:rsidR="00652F81" w:rsidRDefault="00652F81" w:rsidP="00652F81">
      <w:pPr>
        <w:pStyle w:val="new5"/>
        <w:rPr>
          <w:lang w:val="en-US"/>
        </w:rPr>
      </w:pPr>
    </w:p>
    <w:p w:rsidR="00652F81" w:rsidRDefault="00652F81" w:rsidP="00652F81">
      <w:pPr>
        <w:pStyle w:val="new5"/>
        <w:rPr>
          <w:lang w:val="en-US"/>
        </w:rPr>
      </w:pPr>
    </w:p>
    <w:p w:rsidR="00652F81" w:rsidRDefault="00652F81" w:rsidP="00652F81">
      <w:pPr>
        <w:pStyle w:val="new5"/>
        <w:rPr>
          <w:lang w:val="en-US"/>
        </w:rPr>
      </w:pPr>
    </w:p>
    <w:p w:rsidR="00652F81" w:rsidRDefault="00652F81" w:rsidP="00652F81">
      <w:pPr>
        <w:pStyle w:val="new5"/>
        <w:rPr>
          <w:lang w:val="en-US"/>
        </w:rPr>
      </w:pPr>
    </w:p>
    <w:p w:rsidR="00652F81" w:rsidRDefault="00652F81" w:rsidP="00652F81">
      <w:pPr>
        <w:pStyle w:val="new5"/>
        <w:rPr>
          <w:lang w:val="en-US"/>
        </w:rPr>
      </w:pPr>
    </w:p>
    <w:p w:rsidR="00652F81" w:rsidRDefault="00652F81" w:rsidP="00652F81">
      <w:pPr>
        <w:pStyle w:val="new5"/>
        <w:rPr>
          <w:lang w:val="en-US"/>
        </w:rPr>
      </w:pPr>
    </w:p>
    <w:p w:rsidR="00652F81" w:rsidRDefault="00652F81" w:rsidP="00652F81">
      <w:pPr>
        <w:pStyle w:val="new5"/>
        <w:rPr>
          <w:lang w:val="en-US"/>
        </w:rPr>
      </w:pPr>
    </w:p>
    <w:p w:rsidR="00652F81" w:rsidRPr="00294913" w:rsidRDefault="00652F81" w:rsidP="00652F81">
      <w:pPr>
        <w:pStyle w:val="new5"/>
      </w:pPr>
      <w:r>
        <w:t>ΜΕΡΟΣ</w:t>
      </w:r>
      <w:r w:rsidRPr="00294913">
        <w:t xml:space="preserve"> Β</w:t>
      </w:r>
    </w:p>
    <w:p w:rsidR="00652F81" w:rsidRPr="00294913" w:rsidRDefault="00652F81" w:rsidP="00652F81">
      <w:pPr>
        <w:pStyle w:val="new5"/>
      </w:pPr>
      <w:bookmarkStart w:id="491" w:name="_Toc128313598"/>
      <w:bookmarkStart w:id="492" w:name="_Toc150308622"/>
      <w:bookmarkStart w:id="493" w:name="_Toc169881554"/>
      <w:bookmarkStart w:id="494" w:name="_Toc170201904"/>
      <w:r w:rsidRPr="00294913">
        <w:t>(άλλοι διαρθρωτικοί δείκτες)</w:t>
      </w:r>
      <w:bookmarkEnd w:id="491"/>
      <w:bookmarkEnd w:id="492"/>
      <w:bookmarkEnd w:id="493"/>
      <w:bookmarkEnd w:id="494"/>
      <w:r w:rsidRPr="00294913">
        <w:t xml:space="preserve"> </w:t>
      </w:r>
    </w:p>
    <w:p w:rsidR="00652F81" w:rsidRPr="00294913" w:rsidRDefault="00652F81" w:rsidP="00652F81">
      <w:pPr>
        <w:pStyle w:val="new5"/>
      </w:pPr>
    </w:p>
    <w:p w:rsidR="00652F81" w:rsidRPr="00294913" w:rsidRDefault="00652F81" w:rsidP="00652F81">
      <w:pPr>
        <w:rPr>
          <w:rFonts w:ascii="Tahoma" w:hAnsi="Tahoma" w:cs="Tahoma"/>
          <w:b/>
          <w:caps/>
          <w:sz w:val="44"/>
        </w:rPr>
        <w:sectPr w:rsidR="00652F81" w:rsidRPr="00294913" w:rsidSect="00652F81">
          <w:headerReference w:type="default" r:id="rId101"/>
          <w:footerReference w:type="default" r:id="rId102"/>
          <w:pgSz w:w="11906" w:h="16838"/>
          <w:pgMar w:top="1701" w:right="1418" w:bottom="1418" w:left="1418" w:header="720" w:footer="720" w:gutter="0"/>
          <w:paperSrc w:first="7" w:other="7"/>
          <w:cols w:space="720"/>
        </w:sectPr>
      </w:pPr>
    </w:p>
    <w:p w:rsidR="00652F81" w:rsidRPr="00294913" w:rsidRDefault="00652F81" w:rsidP="00652F81">
      <w:pPr>
        <w:pStyle w:val="new6"/>
      </w:pPr>
      <w:bookmarkStart w:id="495" w:name="_Toc150308623"/>
      <w:bookmarkStart w:id="496" w:name="_Toc169881555"/>
      <w:bookmarkStart w:id="497" w:name="_Toc170201905"/>
      <w:r w:rsidRPr="00294913">
        <w:rPr>
          <w:lang w:val="en-US"/>
        </w:rPr>
        <w:lastRenderedPageBreak/>
        <w:t>I</w:t>
      </w:r>
      <w:r w:rsidRPr="00294913">
        <w:t>-Β</w:t>
      </w:r>
      <w:r>
        <w:t>,</w:t>
      </w:r>
      <w:r w:rsidRPr="00294913">
        <w:tab/>
        <w:t>Βασικοί Οικονομικοί Δείκτες</w:t>
      </w:r>
      <w:bookmarkEnd w:id="495"/>
      <w:bookmarkEnd w:id="496"/>
      <w:bookmarkEnd w:id="497"/>
    </w:p>
    <w:p w:rsidR="00652F81" w:rsidRPr="00294913" w:rsidRDefault="00652F81" w:rsidP="00652F81"/>
    <w:p w:rsidR="00652F81" w:rsidRPr="00294913" w:rsidRDefault="00652F81" w:rsidP="00652F81"/>
    <w:p w:rsidR="00652F81" w:rsidRPr="00294913" w:rsidRDefault="00652F81" w:rsidP="00652F81">
      <w:pPr>
        <w:pStyle w:val="new12"/>
      </w:pPr>
      <w:bookmarkStart w:id="498" w:name="_Toc150308624"/>
      <w:bookmarkStart w:id="499" w:name="_Toc169881556"/>
      <w:bookmarkStart w:id="500" w:name="_Toc170201906"/>
      <w:r w:rsidRPr="00294913">
        <w:t>Ι-1β</w:t>
      </w:r>
      <w:r>
        <w:t>,</w:t>
      </w:r>
      <w:r w:rsidRPr="00294913">
        <w:tab/>
        <w:t xml:space="preserve">Ρυθμός </w:t>
      </w:r>
      <w:r>
        <w:t>Α</w:t>
      </w:r>
      <w:r w:rsidRPr="00294913">
        <w:t xml:space="preserve">νάπτυξης ΑΕΠ </w:t>
      </w:r>
      <w:r w:rsidRPr="00774468">
        <w:t xml:space="preserve">(σε σταθερές τιμές </w:t>
      </w:r>
      <w:bookmarkEnd w:id="498"/>
      <w:bookmarkEnd w:id="499"/>
      <w:bookmarkEnd w:id="500"/>
      <w:r w:rsidRPr="00774468">
        <w:t>2000)</w:t>
      </w:r>
    </w:p>
    <w:p w:rsidR="00652F81" w:rsidRPr="00294913" w:rsidRDefault="00652F81" w:rsidP="00652F81">
      <w:pPr>
        <w:pStyle w:val="new1210pt"/>
      </w:pPr>
      <w:bookmarkStart w:id="501" w:name="_Toc150308625"/>
      <w:bookmarkStart w:id="502" w:name="_Toc170201907"/>
      <w:r w:rsidRPr="00294913">
        <w:t>(% μεταβολής σε σχέση με το προηγούμενο έτος)</w:t>
      </w:r>
      <w:bookmarkEnd w:id="501"/>
      <w:bookmarkEnd w:id="502"/>
    </w:p>
    <w:p w:rsidR="00652F81" w:rsidRPr="00C27EEB" w:rsidRDefault="00652F81" w:rsidP="00652F81"/>
    <w:p w:rsidR="00652F81" w:rsidRPr="003A709D" w:rsidRDefault="00652F81" w:rsidP="00652F81"/>
    <w:p w:rsidR="00652F81" w:rsidRPr="003A709D" w:rsidRDefault="00652F81" w:rsidP="00652F81">
      <w:pPr>
        <w:spacing w:line="288" w:lineRule="auto"/>
        <w:jc w:val="both"/>
        <w:rPr>
          <w:rFonts w:ascii="Tahoma" w:hAnsi="Tahoma" w:cs="Tahoma"/>
        </w:rPr>
      </w:pPr>
      <w:r w:rsidRPr="003A709D">
        <w:rPr>
          <w:rFonts w:ascii="Tahoma" w:hAnsi="Tahoma" w:cs="Tahoma"/>
        </w:rPr>
        <w:t>Η μέτρηση της μεταβολής του όγκου ΑΕΠ γίνεται μέσω του ΑΕΠ σε σταθερές τιμές</w:t>
      </w:r>
      <w:r w:rsidR="00930031">
        <w:rPr>
          <w:rFonts w:ascii="Tahoma" w:hAnsi="Tahoma" w:cs="Tahoma"/>
        </w:rPr>
        <w:t>.</w:t>
      </w:r>
      <w:r w:rsidRPr="003A709D">
        <w:rPr>
          <w:rFonts w:ascii="Tahoma" w:hAnsi="Tahoma" w:cs="Tahoma"/>
        </w:rPr>
        <w:t xml:space="preserve"> Η επίπτωση από τις μεταβολές του επιπέδου των τιμών (πληθωρισμός) απαλείφονται</w:t>
      </w:r>
      <w:r w:rsidR="00930031">
        <w:rPr>
          <w:rFonts w:ascii="Tahoma" w:hAnsi="Tahoma" w:cs="Tahoma"/>
        </w:rPr>
        <w:t>.</w:t>
      </w:r>
    </w:p>
    <w:p w:rsidR="00652F81" w:rsidRPr="00C27EEB" w:rsidRDefault="00652F81" w:rsidP="00652F81"/>
    <w:p w:rsidR="00652F81" w:rsidRPr="002E64CA" w:rsidRDefault="00652F81" w:rsidP="00F440AF">
      <w:pPr>
        <w:jc w:val="center"/>
      </w:pPr>
      <w:r>
        <w:rPr>
          <w:noProof/>
          <w:lang w:val="en-US" w:eastAsia="en-US"/>
        </w:rPr>
        <w:drawing>
          <wp:inline distT="0" distB="0" distL="0" distR="0">
            <wp:extent cx="5086350" cy="2943225"/>
            <wp:effectExtent l="0" t="0" r="0" b="0"/>
            <wp:docPr id="30" name="Εικόνα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3" cstate="print"/>
                    <a:srcRect/>
                    <a:stretch>
                      <a:fillRect/>
                    </a:stretch>
                  </pic:blipFill>
                  <pic:spPr bwMode="auto">
                    <a:xfrm>
                      <a:off x="0" y="0"/>
                      <a:ext cx="5086350" cy="2943225"/>
                    </a:xfrm>
                    <a:prstGeom prst="rect">
                      <a:avLst/>
                    </a:prstGeom>
                    <a:noFill/>
                    <a:ln w="9525">
                      <a:noFill/>
                      <a:miter lim="800000"/>
                      <a:headEnd/>
                      <a:tailEnd/>
                    </a:ln>
                  </pic:spPr>
                </pic:pic>
              </a:graphicData>
            </a:graphic>
          </wp:inline>
        </w:drawing>
      </w:r>
    </w:p>
    <w:p w:rsidR="00652F81" w:rsidRPr="00A91BD4" w:rsidRDefault="00652F81" w:rsidP="00652F81">
      <w:bookmarkStart w:id="503" w:name="_Toc150308627"/>
    </w:p>
    <w:tbl>
      <w:tblPr>
        <w:tblW w:w="9600" w:type="dxa"/>
        <w:tblBorders>
          <w:top w:val="single" w:sz="12" w:space="0" w:color="auto"/>
          <w:bottom w:val="single" w:sz="12" w:space="0" w:color="auto"/>
          <w:insideH w:val="dotted" w:sz="4" w:space="0" w:color="auto"/>
        </w:tblBorders>
        <w:tblLook w:val="00A0"/>
      </w:tblPr>
      <w:tblGrid>
        <w:gridCol w:w="960"/>
        <w:gridCol w:w="960"/>
        <w:gridCol w:w="960"/>
        <w:gridCol w:w="960"/>
        <w:gridCol w:w="960"/>
        <w:gridCol w:w="960"/>
        <w:gridCol w:w="960"/>
        <w:gridCol w:w="960"/>
        <w:gridCol w:w="960"/>
        <w:gridCol w:w="960"/>
      </w:tblGrid>
      <w:tr w:rsidR="00652F81" w:rsidRPr="006B2312" w:rsidTr="00652F81">
        <w:trPr>
          <w:trHeight w:val="271"/>
        </w:trPr>
        <w:tc>
          <w:tcPr>
            <w:tcW w:w="960" w:type="dxa"/>
            <w:tcBorders>
              <w:top w:val="single" w:sz="12" w:space="0" w:color="auto"/>
              <w:bottom w:val="single" w:sz="8" w:space="0" w:color="auto"/>
            </w:tcBorders>
            <w:noWrap/>
          </w:tcPr>
          <w:p w:rsidR="00652F81" w:rsidRPr="006B2312" w:rsidRDefault="00652F81" w:rsidP="00652F81">
            <w:pPr>
              <w:jc w:val="center"/>
              <w:rPr>
                <w:rFonts w:ascii="Tahoma" w:hAnsi="Tahoma" w:cs="Tahoma"/>
                <w:bCs/>
              </w:rPr>
            </w:pPr>
          </w:p>
        </w:tc>
        <w:tc>
          <w:tcPr>
            <w:tcW w:w="960" w:type="dxa"/>
            <w:tcBorders>
              <w:top w:val="single" w:sz="12" w:space="0" w:color="auto"/>
              <w:bottom w:val="single" w:sz="8" w:space="0" w:color="auto"/>
            </w:tcBorders>
            <w:vAlign w:val="bottom"/>
          </w:tcPr>
          <w:p w:rsidR="00652F81" w:rsidRPr="00E11157" w:rsidRDefault="00652F81" w:rsidP="00652F81">
            <w:pPr>
              <w:jc w:val="center"/>
              <w:rPr>
                <w:rFonts w:ascii="Tahoma" w:hAnsi="Tahoma" w:cs="Tahoma"/>
                <w:b/>
                <w:bCs/>
              </w:rPr>
            </w:pPr>
            <w:r w:rsidRPr="00E11157">
              <w:rPr>
                <w:rFonts w:ascii="Tahoma" w:hAnsi="Tahoma" w:cs="Tahoma"/>
                <w:b/>
                <w:bCs/>
              </w:rPr>
              <w:t>2005</w:t>
            </w:r>
          </w:p>
        </w:tc>
        <w:tc>
          <w:tcPr>
            <w:tcW w:w="960" w:type="dxa"/>
            <w:tcBorders>
              <w:top w:val="single" w:sz="12" w:space="0" w:color="auto"/>
              <w:bottom w:val="single" w:sz="8" w:space="0" w:color="auto"/>
            </w:tcBorders>
            <w:vAlign w:val="bottom"/>
          </w:tcPr>
          <w:p w:rsidR="00652F81" w:rsidRPr="00E11157" w:rsidRDefault="00652F81" w:rsidP="00652F81">
            <w:pPr>
              <w:jc w:val="center"/>
              <w:rPr>
                <w:rFonts w:ascii="Tahoma" w:hAnsi="Tahoma" w:cs="Tahoma"/>
                <w:b/>
                <w:bCs/>
              </w:rPr>
            </w:pPr>
            <w:r w:rsidRPr="00E11157">
              <w:rPr>
                <w:rFonts w:ascii="Tahoma" w:hAnsi="Tahoma" w:cs="Tahoma"/>
                <w:b/>
                <w:bCs/>
              </w:rPr>
              <w:t>2006</w:t>
            </w:r>
          </w:p>
        </w:tc>
        <w:tc>
          <w:tcPr>
            <w:tcW w:w="960" w:type="dxa"/>
            <w:tcBorders>
              <w:top w:val="single" w:sz="12" w:space="0" w:color="auto"/>
              <w:bottom w:val="single" w:sz="8" w:space="0" w:color="auto"/>
            </w:tcBorders>
            <w:vAlign w:val="bottom"/>
          </w:tcPr>
          <w:p w:rsidR="00652F81" w:rsidRPr="00E11157" w:rsidRDefault="00652F81" w:rsidP="00652F81">
            <w:pPr>
              <w:jc w:val="center"/>
              <w:rPr>
                <w:rFonts w:ascii="Tahoma" w:hAnsi="Tahoma" w:cs="Tahoma"/>
                <w:b/>
                <w:bCs/>
              </w:rPr>
            </w:pPr>
            <w:r w:rsidRPr="00E11157">
              <w:rPr>
                <w:rFonts w:ascii="Tahoma" w:hAnsi="Tahoma" w:cs="Tahoma"/>
                <w:b/>
                <w:bCs/>
              </w:rPr>
              <w:t>2007</w:t>
            </w:r>
          </w:p>
        </w:tc>
        <w:tc>
          <w:tcPr>
            <w:tcW w:w="960" w:type="dxa"/>
            <w:tcBorders>
              <w:top w:val="single" w:sz="12" w:space="0" w:color="auto"/>
              <w:bottom w:val="single" w:sz="8" w:space="0" w:color="auto"/>
            </w:tcBorders>
            <w:vAlign w:val="bottom"/>
          </w:tcPr>
          <w:p w:rsidR="00652F81" w:rsidRPr="00E11157" w:rsidRDefault="00652F81" w:rsidP="00652F81">
            <w:pPr>
              <w:jc w:val="center"/>
              <w:rPr>
                <w:rFonts w:ascii="Tahoma" w:hAnsi="Tahoma" w:cs="Tahoma"/>
                <w:b/>
                <w:bCs/>
              </w:rPr>
            </w:pPr>
            <w:r w:rsidRPr="00E11157">
              <w:rPr>
                <w:rFonts w:ascii="Tahoma" w:hAnsi="Tahoma" w:cs="Tahoma"/>
                <w:b/>
                <w:bCs/>
              </w:rPr>
              <w:t>2008</w:t>
            </w:r>
          </w:p>
        </w:tc>
        <w:tc>
          <w:tcPr>
            <w:tcW w:w="960" w:type="dxa"/>
            <w:tcBorders>
              <w:top w:val="single" w:sz="12" w:space="0" w:color="auto"/>
              <w:bottom w:val="single" w:sz="8" w:space="0" w:color="auto"/>
            </w:tcBorders>
            <w:vAlign w:val="bottom"/>
          </w:tcPr>
          <w:p w:rsidR="00652F81" w:rsidRPr="00E11157" w:rsidRDefault="00652F81" w:rsidP="00652F81">
            <w:pPr>
              <w:jc w:val="center"/>
              <w:rPr>
                <w:rFonts w:ascii="Tahoma" w:hAnsi="Tahoma" w:cs="Tahoma"/>
                <w:b/>
                <w:bCs/>
              </w:rPr>
            </w:pPr>
            <w:r w:rsidRPr="00E11157">
              <w:rPr>
                <w:rFonts w:ascii="Tahoma" w:hAnsi="Tahoma" w:cs="Tahoma"/>
                <w:b/>
                <w:bCs/>
              </w:rPr>
              <w:t>2009</w:t>
            </w:r>
          </w:p>
        </w:tc>
        <w:tc>
          <w:tcPr>
            <w:tcW w:w="960" w:type="dxa"/>
            <w:tcBorders>
              <w:top w:val="single" w:sz="12" w:space="0" w:color="auto"/>
              <w:bottom w:val="single" w:sz="8" w:space="0" w:color="auto"/>
            </w:tcBorders>
            <w:vAlign w:val="bottom"/>
          </w:tcPr>
          <w:p w:rsidR="00652F81" w:rsidRPr="00E11157" w:rsidRDefault="00652F81" w:rsidP="00652F81">
            <w:pPr>
              <w:jc w:val="center"/>
              <w:rPr>
                <w:rFonts w:ascii="Tahoma" w:hAnsi="Tahoma" w:cs="Tahoma"/>
                <w:b/>
                <w:bCs/>
              </w:rPr>
            </w:pPr>
            <w:r w:rsidRPr="00E11157">
              <w:rPr>
                <w:rFonts w:ascii="Tahoma" w:hAnsi="Tahoma" w:cs="Tahoma"/>
                <w:b/>
                <w:bCs/>
              </w:rPr>
              <w:t>2010</w:t>
            </w:r>
          </w:p>
        </w:tc>
        <w:tc>
          <w:tcPr>
            <w:tcW w:w="960" w:type="dxa"/>
            <w:tcBorders>
              <w:top w:val="single" w:sz="12" w:space="0" w:color="auto"/>
              <w:bottom w:val="single" w:sz="8" w:space="0" w:color="auto"/>
            </w:tcBorders>
            <w:vAlign w:val="bottom"/>
          </w:tcPr>
          <w:p w:rsidR="00652F81" w:rsidRPr="00E11157" w:rsidRDefault="00652F81" w:rsidP="00652F81">
            <w:pPr>
              <w:jc w:val="center"/>
              <w:rPr>
                <w:rFonts w:ascii="Tahoma" w:hAnsi="Tahoma" w:cs="Tahoma"/>
                <w:b/>
                <w:bCs/>
              </w:rPr>
            </w:pPr>
            <w:r w:rsidRPr="00E11157">
              <w:rPr>
                <w:rFonts w:ascii="Tahoma" w:hAnsi="Tahoma" w:cs="Tahoma"/>
                <w:b/>
                <w:bCs/>
              </w:rPr>
              <w:t>2011</w:t>
            </w:r>
          </w:p>
        </w:tc>
        <w:tc>
          <w:tcPr>
            <w:tcW w:w="960" w:type="dxa"/>
            <w:tcBorders>
              <w:top w:val="single" w:sz="12" w:space="0" w:color="auto"/>
              <w:bottom w:val="single" w:sz="8" w:space="0" w:color="auto"/>
            </w:tcBorders>
            <w:vAlign w:val="bottom"/>
          </w:tcPr>
          <w:p w:rsidR="00652F81" w:rsidRPr="00E11157" w:rsidRDefault="00652F81" w:rsidP="00652F81">
            <w:pPr>
              <w:jc w:val="center"/>
              <w:rPr>
                <w:rFonts w:ascii="Tahoma" w:hAnsi="Tahoma" w:cs="Tahoma"/>
                <w:b/>
                <w:bCs/>
              </w:rPr>
            </w:pPr>
            <w:r w:rsidRPr="00E11157">
              <w:rPr>
                <w:rFonts w:ascii="Tahoma" w:hAnsi="Tahoma" w:cs="Tahoma"/>
                <w:b/>
                <w:bCs/>
              </w:rPr>
              <w:t>2012</w:t>
            </w:r>
          </w:p>
        </w:tc>
        <w:tc>
          <w:tcPr>
            <w:tcW w:w="960" w:type="dxa"/>
            <w:tcBorders>
              <w:top w:val="single" w:sz="12" w:space="0" w:color="auto"/>
              <w:bottom w:val="single" w:sz="8" w:space="0" w:color="auto"/>
            </w:tcBorders>
            <w:noWrap/>
            <w:vAlign w:val="bottom"/>
          </w:tcPr>
          <w:p w:rsidR="00652F81" w:rsidRPr="00E11157" w:rsidRDefault="00652F81" w:rsidP="00652F81">
            <w:pPr>
              <w:jc w:val="center"/>
              <w:rPr>
                <w:rFonts w:ascii="Tahoma" w:hAnsi="Tahoma" w:cs="Tahoma"/>
                <w:b/>
                <w:bCs/>
              </w:rPr>
            </w:pPr>
            <w:r w:rsidRPr="00E11157">
              <w:rPr>
                <w:rFonts w:ascii="Tahoma" w:hAnsi="Tahoma" w:cs="Tahoma"/>
                <w:b/>
                <w:bCs/>
              </w:rPr>
              <w:t>2013</w:t>
            </w:r>
          </w:p>
        </w:tc>
      </w:tr>
      <w:tr w:rsidR="00652F81" w:rsidRPr="00957E41" w:rsidTr="00652F81">
        <w:trPr>
          <w:trHeight w:val="255"/>
        </w:trPr>
        <w:tc>
          <w:tcPr>
            <w:tcW w:w="960" w:type="dxa"/>
            <w:tcBorders>
              <w:top w:val="single" w:sz="8" w:space="0" w:color="auto"/>
            </w:tcBorders>
            <w:noWrap/>
            <w:vAlign w:val="bottom"/>
          </w:tcPr>
          <w:p w:rsidR="00652F81" w:rsidRPr="006B2312" w:rsidRDefault="00652F81" w:rsidP="00652F81">
            <w:pPr>
              <w:rPr>
                <w:rFonts w:ascii="Tahoma" w:hAnsi="Tahoma" w:cs="Tahoma"/>
                <w:b/>
                <w:bCs/>
              </w:rPr>
            </w:pPr>
            <w:r w:rsidRPr="006B2312">
              <w:rPr>
                <w:rFonts w:ascii="Tahoma" w:hAnsi="Tahoma" w:cs="Tahoma"/>
                <w:b/>
                <w:bCs/>
              </w:rPr>
              <w:t>EU27</w:t>
            </w:r>
          </w:p>
        </w:tc>
        <w:tc>
          <w:tcPr>
            <w:tcW w:w="960" w:type="dxa"/>
            <w:tcBorders>
              <w:top w:val="single" w:sz="8" w:space="0" w:color="auto"/>
            </w:tcBorders>
            <w:vAlign w:val="bottom"/>
          </w:tcPr>
          <w:p w:rsidR="00652F81" w:rsidRPr="002E64CA" w:rsidRDefault="00652F81" w:rsidP="00652F81">
            <w:pPr>
              <w:jc w:val="right"/>
              <w:rPr>
                <w:rFonts w:ascii="Tahoma" w:hAnsi="Tahoma" w:cs="Tahoma"/>
                <w:lang w:val="en-US"/>
              </w:rPr>
            </w:pPr>
            <w:r>
              <w:rPr>
                <w:rFonts w:ascii="Tahoma" w:hAnsi="Tahoma" w:cs="Tahoma"/>
              </w:rPr>
              <w:t>2</w:t>
            </w:r>
            <w:r>
              <w:rPr>
                <w:rFonts w:ascii="Tahoma" w:hAnsi="Tahoma" w:cs="Tahoma"/>
                <w:lang w:val="en-US"/>
              </w:rPr>
              <w:t>,0</w:t>
            </w:r>
          </w:p>
        </w:tc>
        <w:tc>
          <w:tcPr>
            <w:tcW w:w="960" w:type="dxa"/>
            <w:tcBorders>
              <w:top w:val="single" w:sz="8" w:space="0" w:color="auto"/>
            </w:tcBorders>
            <w:vAlign w:val="bottom"/>
          </w:tcPr>
          <w:p w:rsidR="00652F81" w:rsidRDefault="00652F81" w:rsidP="00652F81">
            <w:pPr>
              <w:jc w:val="right"/>
              <w:rPr>
                <w:rFonts w:ascii="Tahoma" w:hAnsi="Tahoma" w:cs="Tahoma"/>
              </w:rPr>
            </w:pPr>
            <w:r>
              <w:rPr>
                <w:rFonts w:ascii="Tahoma" w:hAnsi="Tahoma" w:cs="Tahoma"/>
              </w:rPr>
              <w:t>3,3</w:t>
            </w:r>
          </w:p>
        </w:tc>
        <w:tc>
          <w:tcPr>
            <w:tcW w:w="960" w:type="dxa"/>
            <w:tcBorders>
              <w:top w:val="single" w:sz="8" w:space="0" w:color="auto"/>
            </w:tcBorders>
            <w:vAlign w:val="bottom"/>
          </w:tcPr>
          <w:p w:rsidR="00652F81" w:rsidRDefault="00652F81" w:rsidP="00652F81">
            <w:pPr>
              <w:jc w:val="right"/>
              <w:rPr>
                <w:rFonts w:ascii="Tahoma" w:hAnsi="Tahoma" w:cs="Tahoma"/>
              </w:rPr>
            </w:pPr>
            <w:r>
              <w:rPr>
                <w:rFonts w:ascii="Tahoma" w:hAnsi="Tahoma" w:cs="Tahoma"/>
              </w:rPr>
              <w:t>3,2</w:t>
            </w:r>
          </w:p>
        </w:tc>
        <w:tc>
          <w:tcPr>
            <w:tcW w:w="960" w:type="dxa"/>
            <w:tcBorders>
              <w:top w:val="single" w:sz="8" w:space="0" w:color="auto"/>
            </w:tcBorders>
            <w:vAlign w:val="bottom"/>
          </w:tcPr>
          <w:p w:rsidR="00652F81" w:rsidRDefault="00652F81" w:rsidP="00652F81">
            <w:pPr>
              <w:jc w:val="right"/>
              <w:rPr>
                <w:rFonts w:ascii="Tahoma" w:hAnsi="Tahoma" w:cs="Tahoma"/>
              </w:rPr>
            </w:pPr>
            <w:r>
              <w:rPr>
                <w:rFonts w:ascii="Tahoma" w:hAnsi="Tahoma" w:cs="Tahoma"/>
              </w:rPr>
              <w:t>0,3</w:t>
            </w:r>
          </w:p>
        </w:tc>
        <w:tc>
          <w:tcPr>
            <w:tcW w:w="960" w:type="dxa"/>
            <w:tcBorders>
              <w:top w:val="single" w:sz="8" w:space="0" w:color="auto"/>
            </w:tcBorders>
            <w:vAlign w:val="bottom"/>
          </w:tcPr>
          <w:p w:rsidR="00652F81" w:rsidRDefault="00652F81" w:rsidP="00652F81">
            <w:pPr>
              <w:jc w:val="right"/>
              <w:rPr>
                <w:rFonts w:ascii="Tahoma" w:hAnsi="Tahoma" w:cs="Tahoma"/>
              </w:rPr>
            </w:pPr>
            <w:r>
              <w:rPr>
                <w:rFonts w:ascii="Tahoma" w:hAnsi="Tahoma" w:cs="Tahoma"/>
              </w:rPr>
              <w:t>-4,3</w:t>
            </w:r>
          </w:p>
        </w:tc>
        <w:tc>
          <w:tcPr>
            <w:tcW w:w="960" w:type="dxa"/>
            <w:tcBorders>
              <w:top w:val="single" w:sz="8" w:space="0" w:color="auto"/>
            </w:tcBorders>
            <w:vAlign w:val="bottom"/>
          </w:tcPr>
          <w:p w:rsidR="00652F81" w:rsidRDefault="00652F81" w:rsidP="00652F81">
            <w:pPr>
              <w:jc w:val="right"/>
              <w:rPr>
                <w:rFonts w:ascii="Tahoma" w:hAnsi="Tahoma" w:cs="Tahoma"/>
              </w:rPr>
            </w:pPr>
            <w:r>
              <w:rPr>
                <w:rFonts w:ascii="Tahoma" w:hAnsi="Tahoma" w:cs="Tahoma"/>
              </w:rPr>
              <w:t>2</w:t>
            </w:r>
          </w:p>
        </w:tc>
        <w:tc>
          <w:tcPr>
            <w:tcW w:w="960" w:type="dxa"/>
            <w:tcBorders>
              <w:top w:val="single" w:sz="8" w:space="0" w:color="auto"/>
            </w:tcBorders>
            <w:vAlign w:val="bottom"/>
          </w:tcPr>
          <w:p w:rsidR="00652F81" w:rsidRDefault="00652F81" w:rsidP="00652F81">
            <w:pPr>
              <w:jc w:val="right"/>
              <w:rPr>
                <w:rFonts w:ascii="Tahoma" w:hAnsi="Tahoma" w:cs="Tahoma"/>
              </w:rPr>
            </w:pPr>
            <w:r>
              <w:rPr>
                <w:rFonts w:ascii="Tahoma" w:hAnsi="Tahoma" w:cs="Tahoma"/>
              </w:rPr>
              <w:t>1,5</w:t>
            </w:r>
          </w:p>
        </w:tc>
        <w:tc>
          <w:tcPr>
            <w:tcW w:w="960" w:type="dxa"/>
            <w:tcBorders>
              <w:top w:val="single" w:sz="8" w:space="0" w:color="auto"/>
            </w:tcBorders>
            <w:vAlign w:val="bottom"/>
          </w:tcPr>
          <w:p w:rsidR="00652F81" w:rsidRPr="002E64CA" w:rsidRDefault="00652F81" w:rsidP="00652F81">
            <w:pPr>
              <w:jc w:val="right"/>
              <w:rPr>
                <w:rFonts w:ascii="Tahoma" w:hAnsi="Tahoma" w:cs="Tahoma"/>
                <w:vertAlign w:val="superscript"/>
                <w:lang w:val="en-US"/>
              </w:rPr>
            </w:pPr>
            <w:r>
              <w:rPr>
                <w:rFonts w:ascii="Tahoma" w:hAnsi="Tahoma" w:cs="Tahoma"/>
              </w:rPr>
              <w:t>0,0</w:t>
            </w:r>
            <w:r w:rsidRPr="002E64CA">
              <w:rPr>
                <w:rFonts w:ascii="Tahoma" w:hAnsi="Tahoma" w:cs="Tahoma"/>
                <w:sz w:val="16"/>
                <w:szCs w:val="16"/>
                <w:vertAlign w:val="superscript"/>
              </w:rPr>
              <w:t>(</w:t>
            </w:r>
            <w:r w:rsidRPr="002E64CA">
              <w:rPr>
                <w:rFonts w:ascii="Tahoma" w:hAnsi="Tahoma" w:cs="Tahoma"/>
                <w:sz w:val="16"/>
                <w:szCs w:val="16"/>
                <w:vertAlign w:val="superscript"/>
                <w:lang w:val="en-US"/>
              </w:rPr>
              <w:t>f)</w:t>
            </w:r>
          </w:p>
        </w:tc>
        <w:tc>
          <w:tcPr>
            <w:tcW w:w="960" w:type="dxa"/>
            <w:tcBorders>
              <w:top w:val="single" w:sz="8" w:space="0" w:color="auto"/>
            </w:tcBorders>
            <w:noWrap/>
            <w:vAlign w:val="bottom"/>
          </w:tcPr>
          <w:p w:rsidR="00652F81" w:rsidRDefault="00652F81" w:rsidP="00652F81">
            <w:pPr>
              <w:jc w:val="right"/>
              <w:rPr>
                <w:rFonts w:ascii="Tahoma" w:hAnsi="Tahoma" w:cs="Tahoma"/>
              </w:rPr>
            </w:pPr>
            <w:r>
              <w:rPr>
                <w:rFonts w:ascii="Tahoma" w:hAnsi="Tahoma" w:cs="Tahoma"/>
              </w:rPr>
              <w:t>1,5</w:t>
            </w:r>
            <w:r w:rsidRPr="002E64CA">
              <w:rPr>
                <w:rFonts w:ascii="Tahoma" w:hAnsi="Tahoma" w:cs="Tahoma"/>
                <w:sz w:val="16"/>
                <w:szCs w:val="16"/>
                <w:vertAlign w:val="superscript"/>
              </w:rPr>
              <w:t>(</w:t>
            </w:r>
            <w:r w:rsidRPr="002E64CA">
              <w:rPr>
                <w:rFonts w:ascii="Tahoma" w:hAnsi="Tahoma" w:cs="Tahoma"/>
                <w:sz w:val="16"/>
                <w:szCs w:val="16"/>
                <w:vertAlign w:val="superscript"/>
                <w:lang w:val="en-US"/>
              </w:rPr>
              <w:t>f)</w:t>
            </w:r>
          </w:p>
        </w:tc>
      </w:tr>
      <w:tr w:rsidR="00652F81" w:rsidRPr="00957E41" w:rsidTr="00652F81">
        <w:trPr>
          <w:trHeight w:val="255"/>
        </w:trPr>
        <w:tc>
          <w:tcPr>
            <w:tcW w:w="960" w:type="dxa"/>
            <w:noWrap/>
            <w:vAlign w:val="bottom"/>
          </w:tcPr>
          <w:p w:rsidR="00652F81" w:rsidRPr="00957E41" w:rsidRDefault="00652F81" w:rsidP="00652F81">
            <w:pPr>
              <w:rPr>
                <w:rFonts w:ascii="Tahoma" w:hAnsi="Tahoma" w:cs="Tahoma"/>
                <w:b/>
                <w:bCs/>
                <w:lang w:val="en-GB"/>
              </w:rPr>
            </w:pPr>
            <w:r w:rsidRPr="00957E41">
              <w:rPr>
                <w:rFonts w:ascii="Tahoma" w:hAnsi="Tahoma" w:cs="Tahoma"/>
                <w:b/>
                <w:bCs/>
                <w:lang w:val="en-GB"/>
              </w:rPr>
              <w:t>EU25</w:t>
            </w:r>
          </w:p>
        </w:tc>
        <w:tc>
          <w:tcPr>
            <w:tcW w:w="960" w:type="dxa"/>
            <w:vAlign w:val="bottom"/>
          </w:tcPr>
          <w:p w:rsidR="00652F81" w:rsidRDefault="00652F81" w:rsidP="00652F81">
            <w:pPr>
              <w:jc w:val="right"/>
              <w:rPr>
                <w:rFonts w:ascii="Tahoma" w:hAnsi="Tahoma" w:cs="Tahoma"/>
              </w:rPr>
            </w:pPr>
            <w:r>
              <w:rPr>
                <w:rFonts w:ascii="Tahoma" w:hAnsi="Tahoma" w:cs="Tahoma"/>
              </w:rPr>
              <w:t>1,9</w:t>
            </w:r>
          </w:p>
        </w:tc>
        <w:tc>
          <w:tcPr>
            <w:tcW w:w="960" w:type="dxa"/>
            <w:vAlign w:val="bottom"/>
          </w:tcPr>
          <w:p w:rsidR="00652F81" w:rsidRDefault="00652F81" w:rsidP="00652F81">
            <w:pPr>
              <w:jc w:val="right"/>
              <w:rPr>
                <w:rFonts w:ascii="Tahoma" w:hAnsi="Tahoma" w:cs="Tahoma"/>
              </w:rPr>
            </w:pPr>
            <w:r>
              <w:rPr>
                <w:rFonts w:ascii="Tahoma" w:hAnsi="Tahoma" w:cs="Tahoma"/>
              </w:rPr>
              <w:t>3,3</w:t>
            </w:r>
          </w:p>
        </w:tc>
        <w:tc>
          <w:tcPr>
            <w:tcW w:w="960" w:type="dxa"/>
            <w:vAlign w:val="bottom"/>
          </w:tcPr>
          <w:p w:rsidR="00652F81" w:rsidRDefault="00652F81" w:rsidP="00652F81">
            <w:pPr>
              <w:jc w:val="right"/>
              <w:rPr>
                <w:rFonts w:ascii="Tahoma" w:hAnsi="Tahoma" w:cs="Tahoma"/>
              </w:rPr>
            </w:pPr>
            <w:r>
              <w:rPr>
                <w:rFonts w:ascii="Tahoma" w:hAnsi="Tahoma" w:cs="Tahoma"/>
              </w:rPr>
              <w:t>3,2</w:t>
            </w:r>
          </w:p>
        </w:tc>
        <w:tc>
          <w:tcPr>
            <w:tcW w:w="960" w:type="dxa"/>
            <w:vAlign w:val="bottom"/>
          </w:tcPr>
          <w:p w:rsidR="00652F81" w:rsidRDefault="00652F81" w:rsidP="00652F81">
            <w:pPr>
              <w:jc w:val="right"/>
              <w:rPr>
                <w:rFonts w:ascii="Tahoma" w:hAnsi="Tahoma" w:cs="Tahoma"/>
              </w:rPr>
            </w:pPr>
            <w:r>
              <w:rPr>
                <w:rFonts w:ascii="Tahoma" w:hAnsi="Tahoma" w:cs="Tahoma"/>
              </w:rPr>
              <w:t>0,2</w:t>
            </w:r>
          </w:p>
        </w:tc>
        <w:tc>
          <w:tcPr>
            <w:tcW w:w="960" w:type="dxa"/>
            <w:vAlign w:val="bottom"/>
          </w:tcPr>
          <w:p w:rsidR="00652F81" w:rsidRDefault="00652F81" w:rsidP="00652F81">
            <w:pPr>
              <w:jc w:val="right"/>
              <w:rPr>
                <w:rFonts w:ascii="Tahoma" w:hAnsi="Tahoma" w:cs="Tahoma"/>
              </w:rPr>
            </w:pPr>
            <w:r>
              <w:rPr>
                <w:rFonts w:ascii="Tahoma" w:hAnsi="Tahoma" w:cs="Tahoma"/>
              </w:rPr>
              <w:t>-4,2</w:t>
            </w:r>
          </w:p>
        </w:tc>
        <w:tc>
          <w:tcPr>
            <w:tcW w:w="960" w:type="dxa"/>
            <w:vAlign w:val="bottom"/>
          </w:tcPr>
          <w:p w:rsidR="00652F81" w:rsidRDefault="00652F81" w:rsidP="00652F81">
            <w:pPr>
              <w:jc w:val="right"/>
              <w:rPr>
                <w:rFonts w:ascii="Tahoma" w:hAnsi="Tahoma" w:cs="Tahoma"/>
              </w:rPr>
            </w:pPr>
            <w:r>
              <w:rPr>
                <w:rFonts w:ascii="Tahoma" w:hAnsi="Tahoma" w:cs="Tahoma"/>
              </w:rPr>
              <w:t>2,1</w:t>
            </w:r>
          </w:p>
        </w:tc>
        <w:tc>
          <w:tcPr>
            <w:tcW w:w="960" w:type="dxa"/>
            <w:vAlign w:val="bottom"/>
          </w:tcPr>
          <w:p w:rsidR="00652F81" w:rsidRDefault="00652F81" w:rsidP="00652F81">
            <w:pPr>
              <w:jc w:val="right"/>
              <w:rPr>
                <w:rFonts w:ascii="Tahoma" w:hAnsi="Tahoma" w:cs="Tahoma"/>
              </w:rPr>
            </w:pPr>
            <w:r>
              <w:rPr>
                <w:rFonts w:ascii="Tahoma" w:hAnsi="Tahoma" w:cs="Tahoma"/>
              </w:rPr>
              <w:t>1,5</w:t>
            </w:r>
          </w:p>
        </w:tc>
        <w:tc>
          <w:tcPr>
            <w:tcW w:w="960" w:type="dxa"/>
            <w:vAlign w:val="bottom"/>
          </w:tcPr>
          <w:p w:rsidR="00652F81" w:rsidRDefault="00652F81" w:rsidP="00652F81">
            <w:pPr>
              <w:jc w:val="right"/>
              <w:rPr>
                <w:rFonts w:ascii="Tahoma" w:hAnsi="Tahoma" w:cs="Tahoma"/>
              </w:rPr>
            </w:pPr>
            <w:r>
              <w:rPr>
                <w:rFonts w:ascii="Tahoma" w:hAnsi="Tahoma" w:cs="Tahoma"/>
              </w:rPr>
              <w:t>0,6</w:t>
            </w:r>
            <w:r w:rsidRPr="002E64CA">
              <w:rPr>
                <w:rFonts w:ascii="Tahoma" w:hAnsi="Tahoma" w:cs="Tahoma"/>
                <w:sz w:val="16"/>
                <w:szCs w:val="16"/>
                <w:vertAlign w:val="superscript"/>
              </w:rPr>
              <w:t>(</w:t>
            </w:r>
            <w:r w:rsidRPr="002E64CA">
              <w:rPr>
                <w:rFonts w:ascii="Tahoma" w:hAnsi="Tahoma" w:cs="Tahoma"/>
                <w:sz w:val="16"/>
                <w:szCs w:val="16"/>
                <w:vertAlign w:val="superscript"/>
                <w:lang w:val="en-US"/>
              </w:rPr>
              <w:t>f)</w:t>
            </w:r>
          </w:p>
        </w:tc>
        <w:tc>
          <w:tcPr>
            <w:tcW w:w="960" w:type="dxa"/>
            <w:noWrap/>
            <w:vAlign w:val="bottom"/>
          </w:tcPr>
          <w:p w:rsidR="00652F81" w:rsidRDefault="00652F81" w:rsidP="00652F81">
            <w:pPr>
              <w:jc w:val="right"/>
              <w:rPr>
                <w:rFonts w:ascii="Tahoma" w:hAnsi="Tahoma" w:cs="Tahoma"/>
              </w:rPr>
            </w:pPr>
            <w:r>
              <w:rPr>
                <w:rFonts w:ascii="Tahoma" w:hAnsi="Tahoma" w:cs="Tahoma"/>
              </w:rPr>
              <w:t>1,5</w:t>
            </w:r>
            <w:r w:rsidRPr="002E64CA">
              <w:rPr>
                <w:rFonts w:ascii="Tahoma" w:hAnsi="Tahoma" w:cs="Tahoma"/>
                <w:sz w:val="16"/>
                <w:szCs w:val="16"/>
                <w:vertAlign w:val="superscript"/>
              </w:rPr>
              <w:t>(</w:t>
            </w:r>
            <w:r w:rsidRPr="002E64CA">
              <w:rPr>
                <w:rFonts w:ascii="Tahoma" w:hAnsi="Tahoma" w:cs="Tahoma"/>
                <w:sz w:val="16"/>
                <w:szCs w:val="16"/>
                <w:vertAlign w:val="superscript"/>
                <w:lang w:val="en-US"/>
              </w:rPr>
              <w:t>f)</w:t>
            </w:r>
          </w:p>
        </w:tc>
      </w:tr>
      <w:tr w:rsidR="00652F81" w:rsidRPr="00957E41" w:rsidTr="00652F81">
        <w:trPr>
          <w:trHeight w:val="255"/>
        </w:trPr>
        <w:tc>
          <w:tcPr>
            <w:tcW w:w="960" w:type="dxa"/>
            <w:noWrap/>
            <w:vAlign w:val="bottom"/>
          </w:tcPr>
          <w:p w:rsidR="00652F81" w:rsidRPr="00957E41" w:rsidRDefault="00652F81" w:rsidP="00652F81">
            <w:pPr>
              <w:rPr>
                <w:rFonts w:ascii="Tahoma" w:hAnsi="Tahoma" w:cs="Tahoma"/>
                <w:b/>
                <w:bCs/>
                <w:lang w:val="en-GB"/>
              </w:rPr>
            </w:pPr>
            <w:r w:rsidRPr="00957E41">
              <w:rPr>
                <w:rFonts w:ascii="Tahoma" w:hAnsi="Tahoma" w:cs="Tahoma"/>
                <w:b/>
                <w:bCs/>
                <w:lang w:val="en-GB"/>
              </w:rPr>
              <w:t>EU15</w:t>
            </w:r>
          </w:p>
        </w:tc>
        <w:tc>
          <w:tcPr>
            <w:tcW w:w="960" w:type="dxa"/>
            <w:vAlign w:val="bottom"/>
          </w:tcPr>
          <w:p w:rsidR="00652F81" w:rsidRDefault="00652F81" w:rsidP="00652F81">
            <w:pPr>
              <w:jc w:val="right"/>
              <w:rPr>
                <w:rFonts w:ascii="Tahoma" w:hAnsi="Tahoma" w:cs="Tahoma"/>
              </w:rPr>
            </w:pPr>
            <w:r>
              <w:rPr>
                <w:rFonts w:ascii="Tahoma" w:hAnsi="Tahoma" w:cs="Tahoma"/>
              </w:rPr>
              <w:t>1,8</w:t>
            </w:r>
          </w:p>
        </w:tc>
        <w:tc>
          <w:tcPr>
            <w:tcW w:w="960" w:type="dxa"/>
            <w:vAlign w:val="bottom"/>
          </w:tcPr>
          <w:p w:rsidR="00652F81" w:rsidRDefault="00652F81" w:rsidP="00652F81">
            <w:pPr>
              <w:jc w:val="right"/>
              <w:rPr>
                <w:rFonts w:ascii="Tahoma" w:hAnsi="Tahoma" w:cs="Tahoma"/>
              </w:rPr>
            </w:pPr>
            <w:r>
              <w:rPr>
                <w:rFonts w:ascii="Tahoma" w:hAnsi="Tahoma" w:cs="Tahoma"/>
              </w:rPr>
              <w:t>3,1</w:t>
            </w:r>
          </w:p>
        </w:tc>
        <w:tc>
          <w:tcPr>
            <w:tcW w:w="960" w:type="dxa"/>
            <w:vAlign w:val="bottom"/>
          </w:tcPr>
          <w:p w:rsidR="00652F81" w:rsidRPr="002E64CA" w:rsidRDefault="00652F81" w:rsidP="00652F81">
            <w:pPr>
              <w:jc w:val="right"/>
              <w:rPr>
                <w:rFonts w:ascii="Tahoma" w:hAnsi="Tahoma" w:cs="Tahoma"/>
                <w:lang w:val="en-US"/>
              </w:rPr>
            </w:pPr>
            <w:r>
              <w:rPr>
                <w:rFonts w:ascii="Tahoma" w:hAnsi="Tahoma" w:cs="Tahoma"/>
              </w:rPr>
              <w:t>3</w:t>
            </w:r>
            <w:r>
              <w:rPr>
                <w:rFonts w:ascii="Tahoma" w:hAnsi="Tahoma" w:cs="Tahoma"/>
                <w:lang w:val="en-US"/>
              </w:rPr>
              <w:t>,0</w:t>
            </w:r>
          </w:p>
        </w:tc>
        <w:tc>
          <w:tcPr>
            <w:tcW w:w="960" w:type="dxa"/>
            <w:vAlign w:val="bottom"/>
          </w:tcPr>
          <w:p w:rsidR="00652F81" w:rsidRDefault="00652F81" w:rsidP="00652F81">
            <w:pPr>
              <w:jc w:val="right"/>
              <w:rPr>
                <w:rFonts w:ascii="Tahoma" w:hAnsi="Tahoma" w:cs="Tahoma"/>
              </w:rPr>
            </w:pPr>
            <w:r>
              <w:rPr>
                <w:rFonts w:ascii="Tahoma" w:hAnsi="Tahoma" w:cs="Tahoma"/>
              </w:rPr>
              <w:t>0</w:t>
            </w:r>
          </w:p>
        </w:tc>
        <w:tc>
          <w:tcPr>
            <w:tcW w:w="960" w:type="dxa"/>
            <w:vAlign w:val="bottom"/>
          </w:tcPr>
          <w:p w:rsidR="00652F81" w:rsidRDefault="00652F81" w:rsidP="00652F81">
            <w:pPr>
              <w:jc w:val="right"/>
              <w:rPr>
                <w:rFonts w:ascii="Tahoma" w:hAnsi="Tahoma" w:cs="Tahoma"/>
              </w:rPr>
            </w:pPr>
            <w:r>
              <w:rPr>
                <w:rFonts w:ascii="Tahoma" w:hAnsi="Tahoma" w:cs="Tahoma"/>
              </w:rPr>
              <w:t>-4,3</w:t>
            </w:r>
          </w:p>
        </w:tc>
        <w:tc>
          <w:tcPr>
            <w:tcW w:w="960" w:type="dxa"/>
            <w:vAlign w:val="bottom"/>
          </w:tcPr>
          <w:p w:rsidR="00652F81" w:rsidRDefault="00652F81" w:rsidP="00652F81">
            <w:pPr>
              <w:jc w:val="right"/>
              <w:rPr>
                <w:rFonts w:ascii="Tahoma" w:hAnsi="Tahoma" w:cs="Tahoma"/>
              </w:rPr>
            </w:pPr>
            <w:r>
              <w:rPr>
                <w:rFonts w:ascii="Tahoma" w:hAnsi="Tahoma" w:cs="Tahoma"/>
              </w:rPr>
              <w:t>2</w:t>
            </w:r>
          </w:p>
        </w:tc>
        <w:tc>
          <w:tcPr>
            <w:tcW w:w="960" w:type="dxa"/>
            <w:vAlign w:val="bottom"/>
          </w:tcPr>
          <w:p w:rsidR="00652F81" w:rsidRDefault="00652F81" w:rsidP="00652F81">
            <w:pPr>
              <w:jc w:val="right"/>
              <w:rPr>
                <w:rFonts w:ascii="Tahoma" w:hAnsi="Tahoma" w:cs="Tahoma"/>
              </w:rPr>
            </w:pPr>
            <w:r>
              <w:rPr>
                <w:rFonts w:ascii="Tahoma" w:hAnsi="Tahoma" w:cs="Tahoma"/>
              </w:rPr>
              <w:t>1,4</w:t>
            </w:r>
          </w:p>
        </w:tc>
        <w:tc>
          <w:tcPr>
            <w:tcW w:w="960" w:type="dxa"/>
            <w:vAlign w:val="bottom"/>
          </w:tcPr>
          <w:p w:rsidR="00652F81" w:rsidRDefault="00652F81" w:rsidP="00652F81">
            <w:pPr>
              <w:jc w:val="right"/>
              <w:rPr>
                <w:rFonts w:ascii="Tahoma" w:hAnsi="Tahoma" w:cs="Tahoma"/>
              </w:rPr>
            </w:pPr>
            <w:r>
              <w:rPr>
                <w:rFonts w:ascii="Tahoma" w:hAnsi="Tahoma" w:cs="Tahoma"/>
              </w:rPr>
              <w:t>0,5</w:t>
            </w:r>
            <w:r w:rsidRPr="002E64CA">
              <w:rPr>
                <w:rFonts w:ascii="Tahoma" w:hAnsi="Tahoma" w:cs="Tahoma"/>
                <w:sz w:val="16"/>
                <w:szCs w:val="16"/>
                <w:vertAlign w:val="superscript"/>
              </w:rPr>
              <w:t>(</w:t>
            </w:r>
            <w:r w:rsidRPr="002E64CA">
              <w:rPr>
                <w:rFonts w:ascii="Tahoma" w:hAnsi="Tahoma" w:cs="Tahoma"/>
                <w:sz w:val="16"/>
                <w:szCs w:val="16"/>
                <w:vertAlign w:val="superscript"/>
                <w:lang w:val="en-US"/>
              </w:rPr>
              <w:t>f)</w:t>
            </w:r>
          </w:p>
        </w:tc>
        <w:tc>
          <w:tcPr>
            <w:tcW w:w="960" w:type="dxa"/>
            <w:noWrap/>
            <w:vAlign w:val="bottom"/>
          </w:tcPr>
          <w:p w:rsidR="00652F81" w:rsidRDefault="00652F81" w:rsidP="00652F81">
            <w:pPr>
              <w:jc w:val="right"/>
              <w:rPr>
                <w:rFonts w:ascii="Tahoma" w:hAnsi="Tahoma" w:cs="Tahoma"/>
              </w:rPr>
            </w:pPr>
            <w:r>
              <w:rPr>
                <w:rFonts w:ascii="Tahoma" w:hAnsi="Tahoma" w:cs="Tahoma"/>
              </w:rPr>
              <w:t>1,4</w:t>
            </w:r>
            <w:r w:rsidRPr="002E64CA">
              <w:rPr>
                <w:rFonts w:ascii="Tahoma" w:hAnsi="Tahoma" w:cs="Tahoma"/>
                <w:sz w:val="16"/>
                <w:szCs w:val="16"/>
                <w:vertAlign w:val="superscript"/>
              </w:rPr>
              <w:t>(</w:t>
            </w:r>
            <w:r w:rsidRPr="002E64CA">
              <w:rPr>
                <w:rFonts w:ascii="Tahoma" w:hAnsi="Tahoma" w:cs="Tahoma"/>
                <w:sz w:val="16"/>
                <w:szCs w:val="16"/>
                <w:vertAlign w:val="superscript"/>
                <w:lang w:val="en-US"/>
              </w:rPr>
              <w:t>f)</w:t>
            </w:r>
          </w:p>
        </w:tc>
      </w:tr>
      <w:tr w:rsidR="00652F81" w:rsidRPr="006B2312" w:rsidTr="00652F81">
        <w:trPr>
          <w:trHeight w:val="255"/>
        </w:trPr>
        <w:tc>
          <w:tcPr>
            <w:tcW w:w="960" w:type="dxa"/>
            <w:noWrap/>
            <w:vAlign w:val="bottom"/>
          </w:tcPr>
          <w:p w:rsidR="00652F81" w:rsidRPr="00ED284C" w:rsidRDefault="00652F81" w:rsidP="00652F81">
            <w:pPr>
              <w:rPr>
                <w:rFonts w:ascii="Tahoma" w:hAnsi="Tahoma" w:cs="Tahoma"/>
                <w:b/>
                <w:bCs/>
              </w:rPr>
            </w:pPr>
            <w:r w:rsidRPr="00957E41">
              <w:rPr>
                <w:rFonts w:ascii="Tahoma" w:hAnsi="Tahoma" w:cs="Tahoma"/>
                <w:b/>
                <w:bCs/>
                <w:lang w:val="en-GB"/>
              </w:rPr>
              <w:t>EA1</w:t>
            </w:r>
            <w:r>
              <w:rPr>
                <w:rFonts w:ascii="Tahoma" w:hAnsi="Tahoma" w:cs="Tahoma"/>
                <w:b/>
                <w:bCs/>
              </w:rPr>
              <w:t>7</w:t>
            </w:r>
          </w:p>
        </w:tc>
        <w:tc>
          <w:tcPr>
            <w:tcW w:w="960" w:type="dxa"/>
            <w:vAlign w:val="bottom"/>
          </w:tcPr>
          <w:p w:rsidR="00652F81" w:rsidRDefault="00652F81" w:rsidP="00652F81">
            <w:pPr>
              <w:jc w:val="right"/>
              <w:rPr>
                <w:rFonts w:ascii="Tahoma" w:hAnsi="Tahoma" w:cs="Tahoma"/>
              </w:rPr>
            </w:pPr>
            <w:r>
              <w:rPr>
                <w:rFonts w:ascii="Tahoma" w:hAnsi="Tahoma" w:cs="Tahoma"/>
              </w:rPr>
              <w:t>1,7</w:t>
            </w:r>
          </w:p>
        </w:tc>
        <w:tc>
          <w:tcPr>
            <w:tcW w:w="960" w:type="dxa"/>
            <w:vAlign w:val="bottom"/>
          </w:tcPr>
          <w:p w:rsidR="00652F81" w:rsidRDefault="00652F81" w:rsidP="00652F81">
            <w:pPr>
              <w:jc w:val="right"/>
              <w:rPr>
                <w:rFonts w:ascii="Tahoma" w:hAnsi="Tahoma" w:cs="Tahoma"/>
              </w:rPr>
            </w:pPr>
            <w:r>
              <w:rPr>
                <w:rFonts w:ascii="Tahoma" w:hAnsi="Tahoma" w:cs="Tahoma"/>
              </w:rPr>
              <w:t>3,3</w:t>
            </w:r>
          </w:p>
        </w:tc>
        <w:tc>
          <w:tcPr>
            <w:tcW w:w="960" w:type="dxa"/>
            <w:vAlign w:val="bottom"/>
          </w:tcPr>
          <w:p w:rsidR="00652F81" w:rsidRPr="002E64CA" w:rsidRDefault="00652F81" w:rsidP="00652F81">
            <w:pPr>
              <w:jc w:val="right"/>
              <w:rPr>
                <w:rFonts w:ascii="Tahoma" w:hAnsi="Tahoma" w:cs="Tahoma"/>
                <w:lang w:val="en-US"/>
              </w:rPr>
            </w:pPr>
            <w:r>
              <w:rPr>
                <w:rFonts w:ascii="Tahoma" w:hAnsi="Tahoma" w:cs="Tahoma"/>
              </w:rPr>
              <w:t>3</w:t>
            </w:r>
            <w:r>
              <w:rPr>
                <w:rFonts w:ascii="Tahoma" w:hAnsi="Tahoma" w:cs="Tahoma"/>
                <w:lang w:val="en-US"/>
              </w:rPr>
              <w:t>,0</w:t>
            </w:r>
          </w:p>
        </w:tc>
        <w:tc>
          <w:tcPr>
            <w:tcW w:w="960" w:type="dxa"/>
            <w:vAlign w:val="bottom"/>
          </w:tcPr>
          <w:p w:rsidR="00652F81" w:rsidRDefault="00652F81" w:rsidP="00652F81">
            <w:pPr>
              <w:jc w:val="right"/>
              <w:rPr>
                <w:rFonts w:ascii="Tahoma" w:hAnsi="Tahoma" w:cs="Tahoma"/>
              </w:rPr>
            </w:pPr>
            <w:r>
              <w:rPr>
                <w:rFonts w:ascii="Tahoma" w:hAnsi="Tahoma" w:cs="Tahoma"/>
              </w:rPr>
              <w:t>0,4</w:t>
            </w:r>
          </w:p>
        </w:tc>
        <w:tc>
          <w:tcPr>
            <w:tcW w:w="960" w:type="dxa"/>
            <w:vAlign w:val="bottom"/>
          </w:tcPr>
          <w:p w:rsidR="00652F81" w:rsidRDefault="00652F81" w:rsidP="00652F81">
            <w:pPr>
              <w:jc w:val="right"/>
              <w:rPr>
                <w:rFonts w:ascii="Tahoma" w:hAnsi="Tahoma" w:cs="Tahoma"/>
              </w:rPr>
            </w:pPr>
            <w:r>
              <w:rPr>
                <w:rFonts w:ascii="Tahoma" w:hAnsi="Tahoma" w:cs="Tahoma"/>
              </w:rPr>
              <w:t>-4,3</w:t>
            </w:r>
          </w:p>
        </w:tc>
        <w:tc>
          <w:tcPr>
            <w:tcW w:w="960" w:type="dxa"/>
            <w:vAlign w:val="bottom"/>
          </w:tcPr>
          <w:p w:rsidR="00652F81" w:rsidRDefault="00652F81" w:rsidP="00652F81">
            <w:pPr>
              <w:jc w:val="right"/>
              <w:rPr>
                <w:rFonts w:ascii="Tahoma" w:hAnsi="Tahoma" w:cs="Tahoma"/>
              </w:rPr>
            </w:pPr>
            <w:r>
              <w:rPr>
                <w:rFonts w:ascii="Tahoma" w:hAnsi="Tahoma" w:cs="Tahoma"/>
              </w:rPr>
              <w:t>1,9</w:t>
            </w:r>
          </w:p>
        </w:tc>
        <w:tc>
          <w:tcPr>
            <w:tcW w:w="960" w:type="dxa"/>
            <w:vAlign w:val="bottom"/>
          </w:tcPr>
          <w:p w:rsidR="00652F81" w:rsidRDefault="00652F81" w:rsidP="00652F81">
            <w:pPr>
              <w:jc w:val="right"/>
              <w:rPr>
                <w:rFonts w:ascii="Tahoma" w:hAnsi="Tahoma" w:cs="Tahoma"/>
              </w:rPr>
            </w:pPr>
            <w:r>
              <w:rPr>
                <w:rFonts w:ascii="Tahoma" w:hAnsi="Tahoma" w:cs="Tahoma"/>
              </w:rPr>
              <w:t>1,4</w:t>
            </w:r>
          </w:p>
        </w:tc>
        <w:tc>
          <w:tcPr>
            <w:tcW w:w="960" w:type="dxa"/>
            <w:vAlign w:val="bottom"/>
          </w:tcPr>
          <w:p w:rsidR="00652F81" w:rsidRDefault="00652F81" w:rsidP="00652F81">
            <w:pPr>
              <w:jc w:val="right"/>
              <w:rPr>
                <w:rFonts w:ascii="Tahoma" w:hAnsi="Tahoma" w:cs="Tahoma"/>
              </w:rPr>
            </w:pPr>
            <w:r>
              <w:rPr>
                <w:rFonts w:ascii="Tahoma" w:hAnsi="Tahoma" w:cs="Tahoma"/>
              </w:rPr>
              <w:t>-0,3</w:t>
            </w:r>
            <w:r w:rsidRPr="002E64CA">
              <w:rPr>
                <w:rFonts w:ascii="Tahoma" w:hAnsi="Tahoma" w:cs="Tahoma"/>
                <w:sz w:val="16"/>
                <w:szCs w:val="16"/>
                <w:vertAlign w:val="superscript"/>
              </w:rPr>
              <w:t>(</w:t>
            </w:r>
            <w:r w:rsidRPr="002E64CA">
              <w:rPr>
                <w:rFonts w:ascii="Tahoma" w:hAnsi="Tahoma" w:cs="Tahoma"/>
                <w:sz w:val="16"/>
                <w:szCs w:val="16"/>
                <w:vertAlign w:val="superscript"/>
                <w:lang w:val="en-US"/>
              </w:rPr>
              <w:t>f)</w:t>
            </w:r>
          </w:p>
        </w:tc>
        <w:tc>
          <w:tcPr>
            <w:tcW w:w="960" w:type="dxa"/>
            <w:noWrap/>
            <w:vAlign w:val="bottom"/>
          </w:tcPr>
          <w:p w:rsidR="00652F81" w:rsidRDefault="00652F81" w:rsidP="00652F81">
            <w:pPr>
              <w:jc w:val="right"/>
              <w:rPr>
                <w:rFonts w:ascii="Tahoma" w:hAnsi="Tahoma" w:cs="Tahoma"/>
              </w:rPr>
            </w:pPr>
            <w:r>
              <w:rPr>
                <w:rFonts w:ascii="Tahoma" w:hAnsi="Tahoma" w:cs="Tahoma"/>
              </w:rPr>
              <w:t>1,3</w:t>
            </w:r>
            <w:r w:rsidRPr="002E64CA">
              <w:rPr>
                <w:rFonts w:ascii="Tahoma" w:hAnsi="Tahoma" w:cs="Tahoma"/>
                <w:sz w:val="16"/>
                <w:szCs w:val="16"/>
                <w:vertAlign w:val="superscript"/>
              </w:rPr>
              <w:t>(</w:t>
            </w:r>
            <w:r w:rsidRPr="002E64CA">
              <w:rPr>
                <w:rFonts w:ascii="Tahoma" w:hAnsi="Tahoma" w:cs="Tahoma"/>
                <w:sz w:val="16"/>
                <w:szCs w:val="16"/>
                <w:vertAlign w:val="superscript"/>
                <w:lang w:val="en-US"/>
              </w:rPr>
              <w:t>f)</w:t>
            </w:r>
          </w:p>
        </w:tc>
      </w:tr>
      <w:tr w:rsidR="00652F81" w:rsidRPr="006B2312" w:rsidTr="00652F81">
        <w:trPr>
          <w:trHeight w:val="255"/>
        </w:trPr>
        <w:tc>
          <w:tcPr>
            <w:tcW w:w="960" w:type="dxa"/>
            <w:noWrap/>
            <w:vAlign w:val="bottom"/>
          </w:tcPr>
          <w:p w:rsidR="00652F81" w:rsidRPr="006B2312" w:rsidRDefault="00652F81" w:rsidP="00652F81">
            <w:pPr>
              <w:rPr>
                <w:rFonts w:ascii="Tahoma" w:hAnsi="Tahoma" w:cs="Tahoma"/>
                <w:b/>
                <w:bCs/>
              </w:rPr>
            </w:pPr>
            <w:r w:rsidRPr="006B2312">
              <w:rPr>
                <w:rFonts w:ascii="Tahoma" w:hAnsi="Tahoma" w:cs="Tahoma"/>
                <w:b/>
                <w:bCs/>
              </w:rPr>
              <w:t>EL</w:t>
            </w:r>
          </w:p>
        </w:tc>
        <w:tc>
          <w:tcPr>
            <w:tcW w:w="960" w:type="dxa"/>
            <w:vAlign w:val="bottom"/>
          </w:tcPr>
          <w:p w:rsidR="00652F81" w:rsidRDefault="00652F81" w:rsidP="00652F81">
            <w:pPr>
              <w:jc w:val="right"/>
              <w:rPr>
                <w:rFonts w:ascii="Tahoma" w:hAnsi="Tahoma" w:cs="Tahoma"/>
              </w:rPr>
            </w:pPr>
            <w:r>
              <w:rPr>
                <w:rFonts w:ascii="Tahoma" w:hAnsi="Tahoma" w:cs="Tahoma"/>
              </w:rPr>
              <w:t>2,3</w:t>
            </w:r>
          </w:p>
        </w:tc>
        <w:tc>
          <w:tcPr>
            <w:tcW w:w="960" w:type="dxa"/>
            <w:vAlign w:val="bottom"/>
          </w:tcPr>
          <w:p w:rsidR="00652F81" w:rsidRDefault="00652F81" w:rsidP="00652F81">
            <w:pPr>
              <w:jc w:val="right"/>
              <w:rPr>
                <w:rFonts w:ascii="Tahoma" w:hAnsi="Tahoma" w:cs="Tahoma"/>
              </w:rPr>
            </w:pPr>
            <w:r>
              <w:rPr>
                <w:rFonts w:ascii="Tahoma" w:hAnsi="Tahoma" w:cs="Tahoma"/>
              </w:rPr>
              <w:t>5,5</w:t>
            </w:r>
          </w:p>
        </w:tc>
        <w:tc>
          <w:tcPr>
            <w:tcW w:w="960" w:type="dxa"/>
            <w:vAlign w:val="bottom"/>
          </w:tcPr>
          <w:p w:rsidR="00652F81" w:rsidRPr="002E64CA" w:rsidRDefault="00652F81" w:rsidP="00652F81">
            <w:pPr>
              <w:jc w:val="right"/>
              <w:rPr>
                <w:rFonts w:ascii="Tahoma" w:hAnsi="Tahoma" w:cs="Tahoma"/>
                <w:lang w:val="en-US"/>
              </w:rPr>
            </w:pPr>
            <w:r>
              <w:rPr>
                <w:rFonts w:ascii="Tahoma" w:hAnsi="Tahoma" w:cs="Tahoma"/>
              </w:rPr>
              <w:t>3</w:t>
            </w:r>
            <w:r>
              <w:rPr>
                <w:rFonts w:ascii="Tahoma" w:hAnsi="Tahoma" w:cs="Tahoma"/>
                <w:lang w:val="en-US"/>
              </w:rPr>
              <w:t>,0</w:t>
            </w:r>
          </w:p>
        </w:tc>
        <w:tc>
          <w:tcPr>
            <w:tcW w:w="960" w:type="dxa"/>
            <w:vAlign w:val="bottom"/>
          </w:tcPr>
          <w:p w:rsidR="00652F81" w:rsidRDefault="00652F81" w:rsidP="00652F81">
            <w:pPr>
              <w:jc w:val="right"/>
              <w:rPr>
                <w:rFonts w:ascii="Tahoma" w:hAnsi="Tahoma" w:cs="Tahoma"/>
              </w:rPr>
            </w:pPr>
            <w:r>
              <w:rPr>
                <w:rFonts w:ascii="Tahoma" w:hAnsi="Tahoma" w:cs="Tahoma"/>
              </w:rPr>
              <w:t>-0,2</w:t>
            </w:r>
          </w:p>
        </w:tc>
        <w:tc>
          <w:tcPr>
            <w:tcW w:w="960" w:type="dxa"/>
            <w:vAlign w:val="bottom"/>
          </w:tcPr>
          <w:p w:rsidR="00652F81" w:rsidRDefault="00652F81" w:rsidP="00652F81">
            <w:pPr>
              <w:jc w:val="right"/>
              <w:rPr>
                <w:rFonts w:ascii="Tahoma" w:hAnsi="Tahoma" w:cs="Tahoma"/>
              </w:rPr>
            </w:pPr>
            <w:r>
              <w:rPr>
                <w:rFonts w:ascii="Tahoma" w:hAnsi="Tahoma" w:cs="Tahoma"/>
              </w:rPr>
              <w:t>-3,3</w:t>
            </w:r>
          </w:p>
        </w:tc>
        <w:tc>
          <w:tcPr>
            <w:tcW w:w="960" w:type="dxa"/>
            <w:vAlign w:val="bottom"/>
          </w:tcPr>
          <w:p w:rsidR="00652F81" w:rsidRDefault="00652F81" w:rsidP="00652F81">
            <w:pPr>
              <w:jc w:val="right"/>
              <w:rPr>
                <w:rFonts w:ascii="Tahoma" w:hAnsi="Tahoma" w:cs="Tahoma"/>
              </w:rPr>
            </w:pPr>
            <w:r>
              <w:rPr>
                <w:rFonts w:ascii="Tahoma" w:hAnsi="Tahoma" w:cs="Tahoma"/>
              </w:rPr>
              <w:t>-3,5</w:t>
            </w:r>
          </w:p>
        </w:tc>
        <w:tc>
          <w:tcPr>
            <w:tcW w:w="960" w:type="dxa"/>
            <w:vAlign w:val="bottom"/>
          </w:tcPr>
          <w:p w:rsidR="00652F81" w:rsidRDefault="00652F81" w:rsidP="00652F81">
            <w:pPr>
              <w:jc w:val="right"/>
              <w:rPr>
                <w:rFonts w:ascii="Tahoma" w:hAnsi="Tahoma" w:cs="Tahoma"/>
              </w:rPr>
            </w:pPr>
            <w:r>
              <w:rPr>
                <w:rFonts w:ascii="Tahoma" w:hAnsi="Tahoma" w:cs="Tahoma"/>
              </w:rPr>
              <w:t>-6,9</w:t>
            </w:r>
          </w:p>
        </w:tc>
        <w:tc>
          <w:tcPr>
            <w:tcW w:w="960" w:type="dxa"/>
            <w:vAlign w:val="bottom"/>
          </w:tcPr>
          <w:p w:rsidR="00652F81" w:rsidRDefault="00652F81" w:rsidP="00652F81">
            <w:pPr>
              <w:jc w:val="right"/>
              <w:rPr>
                <w:rFonts w:ascii="Tahoma" w:hAnsi="Tahoma" w:cs="Tahoma"/>
              </w:rPr>
            </w:pPr>
            <w:r>
              <w:rPr>
                <w:rFonts w:ascii="Tahoma" w:hAnsi="Tahoma" w:cs="Tahoma"/>
              </w:rPr>
              <w:t>-4,4</w:t>
            </w:r>
            <w:r w:rsidRPr="002E64CA">
              <w:rPr>
                <w:rFonts w:ascii="Tahoma" w:hAnsi="Tahoma" w:cs="Tahoma"/>
                <w:sz w:val="16"/>
                <w:szCs w:val="16"/>
                <w:vertAlign w:val="superscript"/>
              </w:rPr>
              <w:t>(</w:t>
            </w:r>
            <w:r w:rsidRPr="002E64CA">
              <w:rPr>
                <w:rFonts w:ascii="Tahoma" w:hAnsi="Tahoma" w:cs="Tahoma"/>
                <w:sz w:val="16"/>
                <w:szCs w:val="16"/>
                <w:vertAlign w:val="superscript"/>
                <w:lang w:val="en-US"/>
              </w:rPr>
              <w:t>f)</w:t>
            </w:r>
          </w:p>
        </w:tc>
        <w:tc>
          <w:tcPr>
            <w:tcW w:w="960" w:type="dxa"/>
            <w:noWrap/>
            <w:vAlign w:val="bottom"/>
          </w:tcPr>
          <w:p w:rsidR="00652F81" w:rsidRDefault="00652F81" w:rsidP="00652F81">
            <w:pPr>
              <w:jc w:val="right"/>
              <w:rPr>
                <w:rFonts w:ascii="Tahoma" w:hAnsi="Tahoma" w:cs="Tahoma"/>
              </w:rPr>
            </w:pPr>
            <w:r>
              <w:rPr>
                <w:rFonts w:ascii="Tahoma" w:hAnsi="Tahoma" w:cs="Tahoma"/>
              </w:rPr>
              <w:t>0,7</w:t>
            </w:r>
            <w:r w:rsidRPr="002E64CA">
              <w:rPr>
                <w:rFonts w:ascii="Tahoma" w:hAnsi="Tahoma" w:cs="Tahoma"/>
                <w:sz w:val="16"/>
                <w:szCs w:val="16"/>
                <w:vertAlign w:val="superscript"/>
              </w:rPr>
              <w:t>(</w:t>
            </w:r>
            <w:r w:rsidRPr="002E64CA">
              <w:rPr>
                <w:rFonts w:ascii="Tahoma" w:hAnsi="Tahoma" w:cs="Tahoma"/>
                <w:sz w:val="16"/>
                <w:szCs w:val="16"/>
                <w:vertAlign w:val="superscript"/>
                <w:lang w:val="en-US"/>
              </w:rPr>
              <w:t>f)</w:t>
            </w:r>
          </w:p>
        </w:tc>
      </w:tr>
    </w:tbl>
    <w:p w:rsidR="00652F81" w:rsidRPr="00B04D2C" w:rsidRDefault="00652F81" w:rsidP="00652F81">
      <w:pPr>
        <w:rPr>
          <w:rFonts w:ascii="Tahoma" w:hAnsi="Tahoma" w:cs="Tahoma"/>
          <w:sz w:val="18"/>
          <w:szCs w:val="18"/>
        </w:rPr>
      </w:pPr>
      <w:r w:rsidRPr="00F32E1F">
        <w:rPr>
          <w:rFonts w:ascii="Tahoma" w:hAnsi="Tahoma" w:cs="Tahoma"/>
        </w:rPr>
        <w:t>(</w:t>
      </w:r>
      <w:r w:rsidRPr="00B04D2C">
        <w:rPr>
          <w:rFonts w:ascii="Tahoma" w:hAnsi="Tahoma" w:cs="Tahoma"/>
          <w:sz w:val="18"/>
          <w:szCs w:val="18"/>
          <w:lang w:val="en-US"/>
        </w:rPr>
        <w:t>f</w:t>
      </w:r>
      <w:r w:rsidRPr="00B04D2C">
        <w:rPr>
          <w:rFonts w:ascii="Tahoma" w:hAnsi="Tahoma" w:cs="Tahoma"/>
          <w:sz w:val="18"/>
          <w:szCs w:val="18"/>
        </w:rPr>
        <w:t>): πρόβλεψη</w:t>
      </w:r>
    </w:p>
    <w:p w:rsidR="00652F81" w:rsidRPr="00D24345" w:rsidRDefault="00652F81" w:rsidP="00652F81">
      <w:pPr>
        <w:pStyle w:val="1"/>
        <w:rPr>
          <w:rFonts w:ascii="Tahoma" w:hAnsi="Tahoma" w:cs="Tahoma"/>
          <w:sz w:val="18"/>
          <w:szCs w:val="18"/>
          <w:lang w:val="en-GB"/>
        </w:rPr>
      </w:pPr>
      <w:r w:rsidRPr="00D24345">
        <w:rPr>
          <w:rFonts w:ascii="Tahoma" w:hAnsi="Tahoma" w:cs="Tahoma"/>
          <w:sz w:val="18"/>
          <w:szCs w:val="18"/>
        </w:rPr>
        <w:t>Πηγή</w:t>
      </w:r>
      <w:r w:rsidRPr="00D24345">
        <w:rPr>
          <w:rFonts w:ascii="Tahoma" w:hAnsi="Tahoma" w:cs="Tahoma"/>
          <w:sz w:val="18"/>
          <w:szCs w:val="18"/>
          <w:lang w:val="en-GB"/>
        </w:rPr>
        <w:t>:</w:t>
      </w:r>
      <w:r w:rsidRPr="00D24345">
        <w:rPr>
          <w:rFonts w:ascii="Tahoma" w:hAnsi="Tahoma" w:cs="Tahoma"/>
          <w:b w:val="0"/>
          <w:sz w:val="18"/>
          <w:szCs w:val="18"/>
          <w:lang w:val="en-GB"/>
        </w:rPr>
        <w:t xml:space="preserve"> </w:t>
      </w:r>
      <w:r w:rsidRPr="00B04D2C">
        <w:rPr>
          <w:rFonts w:ascii="Tahoma" w:hAnsi="Tahoma" w:cs="Tahoma"/>
          <w:b w:val="0"/>
          <w:sz w:val="18"/>
          <w:szCs w:val="18"/>
          <w:lang w:val="en-US"/>
        </w:rPr>
        <w:t>Eurostat</w:t>
      </w:r>
      <w:r>
        <w:rPr>
          <w:rFonts w:ascii="Tahoma" w:hAnsi="Tahoma" w:cs="Tahoma"/>
          <w:b w:val="0"/>
          <w:sz w:val="18"/>
          <w:szCs w:val="18"/>
          <w:lang w:val="en-US"/>
        </w:rPr>
        <w:t xml:space="preserve"> </w:t>
      </w:r>
    </w:p>
    <w:p w:rsidR="00652F81" w:rsidRPr="00D24345" w:rsidRDefault="00652F81" w:rsidP="00652F81">
      <w:pPr>
        <w:rPr>
          <w:lang w:val="en-GB"/>
        </w:rPr>
      </w:pPr>
    </w:p>
    <w:p w:rsidR="00652F81" w:rsidRPr="00D24345" w:rsidRDefault="00652F81" w:rsidP="00652F81">
      <w:pPr>
        <w:rPr>
          <w:lang w:val="en-GB"/>
        </w:rPr>
      </w:pPr>
    </w:p>
    <w:p w:rsidR="00652F81" w:rsidRPr="00D24345" w:rsidRDefault="00652F81" w:rsidP="00652F81">
      <w:pPr>
        <w:pStyle w:val="new12"/>
        <w:rPr>
          <w:lang w:val="en-GB"/>
        </w:rPr>
        <w:sectPr w:rsidR="00652F81" w:rsidRPr="00D24345" w:rsidSect="00652F81">
          <w:headerReference w:type="default" r:id="rId104"/>
          <w:footerReference w:type="default" r:id="rId105"/>
          <w:type w:val="oddPage"/>
          <w:pgSz w:w="11906" w:h="16838"/>
          <w:pgMar w:top="1701" w:right="1418" w:bottom="1418" w:left="1418" w:header="720" w:footer="720" w:gutter="0"/>
          <w:paperSrc w:first="242" w:other="242"/>
          <w:cols w:space="720"/>
        </w:sectPr>
      </w:pPr>
    </w:p>
    <w:p w:rsidR="00652F81" w:rsidRPr="003462E4" w:rsidRDefault="00652F81" w:rsidP="00652F81">
      <w:pPr>
        <w:pStyle w:val="new12"/>
      </w:pPr>
      <w:bookmarkStart w:id="504" w:name="_Toc169881557"/>
      <w:bookmarkStart w:id="505" w:name="_Toc170201908"/>
      <w:r>
        <w:lastRenderedPageBreak/>
        <w:t>Ι-2β,</w:t>
      </w:r>
      <w:r>
        <w:tab/>
        <w:t>Μεταβολή της Α</w:t>
      </w:r>
      <w:r w:rsidRPr="00294913">
        <w:t>πασχόλησης</w:t>
      </w:r>
      <w:bookmarkEnd w:id="503"/>
      <w:bookmarkEnd w:id="504"/>
      <w:bookmarkEnd w:id="505"/>
      <w:r w:rsidRPr="003462E4">
        <w:t xml:space="preserve"> </w:t>
      </w:r>
    </w:p>
    <w:p w:rsidR="00652F81" w:rsidRPr="00294913" w:rsidRDefault="00652F81" w:rsidP="00652F81">
      <w:pPr>
        <w:pStyle w:val="new1210pt"/>
      </w:pPr>
      <w:bookmarkStart w:id="506" w:name="_Toc150308628"/>
      <w:bookmarkStart w:id="507" w:name="_Toc170201909"/>
      <w:r w:rsidRPr="00294913">
        <w:t>(ετήσια μεταβολή</w:t>
      </w:r>
      <w:r>
        <w:t xml:space="preserve"> -%-</w:t>
      </w:r>
      <w:r w:rsidRPr="00294913">
        <w:t xml:space="preserve"> της συνολικής απασχόλησης)</w:t>
      </w:r>
      <w:bookmarkEnd w:id="506"/>
      <w:bookmarkEnd w:id="507"/>
    </w:p>
    <w:p w:rsidR="00652F81" w:rsidRPr="00C27EEB" w:rsidRDefault="00652F81" w:rsidP="00652F81"/>
    <w:p w:rsidR="00652F81" w:rsidRPr="00CB5F5D" w:rsidRDefault="00652F81" w:rsidP="00652F81">
      <w:pPr>
        <w:tabs>
          <w:tab w:val="left" w:pos="720"/>
        </w:tabs>
        <w:jc w:val="center"/>
      </w:pPr>
      <w:r>
        <w:rPr>
          <w:noProof/>
          <w:lang w:val="en-US" w:eastAsia="en-US"/>
        </w:rPr>
        <w:drawing>
          <wp:inline distT="0" distB="0" distL="0" distR="0">
            <wp:extent cx="5476875" cy="2809875"/>
            <wp:effectExtent l="0" t="0" r="0" b="0"/>
            <wp:docPr id="31" name="Εικόνα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6" cstate="print"/>
                    <a:srcRect/>
                    <a:stretch>
                      <a:fillRect/>
                    </a:stretch>
                  </pic:blipFill>
                  <pic:spPr bwMode="auto">
                    <a:xfrm>
                      <a:off x="0" y="0"/>
                      <a:ext cx="5476875" cy="2809875"/>
                    </a:xfrm>
                    <a:prstGeom prst="rect">
                      <a:avLst/>
                    </a:prstGeom>
                    <a:noFill/>
                    <a:ln w="9525">
                      <a:noFill/>
                      <a:miter lim="800000"/>
                      <a:headEnd/>
                      <a:tailEnd/>
                    </a:ln>
                  </pic:spPr>
                </pic:pic>
              </a:graphicData>
            </a:graphic>
          </wp:inline>
        </w:drawing>
      </w:r>
    </w:p>
    <w:p w:rsidR="00652F81" w:rsidRDefault="00652F81" w:rsidP="00652F81">
      <w:pPr>
        <w:spacing w:line="288" w:lineRule="auto"/>
        <w:jc w:val="both"/>
        <w:rPr>
          <w:lang w:val="en-US"/>
        </w:rPr>
      </w:pPr>
    </w:p>
    <w:tbl>
      <w:tblPr>
        <w:tblW w:w="9600" w:type="dxa"/>
        <w:tblBorders>
          <w:top w:val="single" w:sz="12" w:space="0" w:color="auto"/>
          <w:bottom w:val="single" w:sz="12" w:space="0" w:color="auto"/>
          <w:insideH w:val="dotted" w:sz="4" w:space="0" w:color="auto"/>
        </w:tblBorders>
        <w:tblLook w:val="00A0"/>
      </w:tblPr>
      <w:tblGrid>
        <w:gridCol w:w="960"/>
        <w:gridCol w:w="960"/>
        <w:gridCol w:w="960"/>
        <w:gridCol w:w="960"/>
        <w:gridCol w:w="960"/>
        <w:gridCol w:w="960"/>
        <w:gridCol w:w="960"/>
        <w:gridCol w:w="960"/>
        <w:gridCol w:w="960"/>
        <w:gridCol w:w="960"/>
      </w:tblGrid>
      <w:tr w:rsidR="00652F81" w:rsidRPr="00344078" w:rsidTr="00652F81">
        <w:trPr>
          <w:trHeight w:val="255"/>
        </w:trPr>
        <w:tc>
          <w:tcPr>
            <w:tcW w:w="960" w:type="dxa"/>
            <w:tcBorders>
              <w:top w:val="single" w:sz="12" w:space="0" w:color="auto"/>
              <w:bottom w:val="single" w:sz="8" w:space="0" w:color="auto"/>
            </w:tcBorders>
            <w:noWrap/>
          </w:tcPr>
          <w:p w:rsidR="00652F81" w:rsidRPr="00C01E38" w:rsidRDefault="00652F81" w:rsidP="00652F81">
            <w:pPr>
              <w:jc w:val="center"/>
              <w:rPr>
                <w:rFonts w:ascii="Tahoma" w:hAnsi="Tahoma" w:cs="Tahoma"/>
                <w:bCs/>
              </w:rPr>
            </w:pPr>
          </w:p>
        </w:tc>
        <w:tc>
          <w:tcPr>
            <w:tcW w:w="960" w:type="dxa"/>
            <w:tcBorders>
              <w:top w:val="single" w:sz="12" w:space="0" w:color="auto"/>
              <w:bottom w:val="single" w:sz="8" w:space="0" w:color="auto"/>
            </w:tcBorders>
            <w:noWrap/>
            <w:vAlign w:val="bottom"/>
          </w:tcPr>
          <w:p w:rsidR="00652F81" w:rsidRPr="00C01E38" w:rsidRDefault="00652F81" w:rsidP="00652F81">
            <w:pPr>
              <w:jc w:val="center"/>
              <w:rPr>
                <w:rFonts w:ascii="Tahoma" w:hAnsi="Tahoma" w:cs="Tahoma"/>
                <w:b/>
                <w:bCs/>
              </w:rPr>
            </w:pPr>
            <w:r w:rsidRPr="00C01E38">
              <w:rPr>
                <w:rFonts w:ascii="Tahoma" w:hAnsi="Tahoma" w:cs="Tahoma"/>
                <w:b/>
                <w:bCs/>
              </w:rPr>
              <w:t>2002</w:t>
            </w:r>
          </w:p>
        </w:tc>
        <w:tc>
          <w:tcPr>
            <w:tcW w:w="960" w:type="dxa"/>
            <w:tcBorders>
              <w:top w:val="single" w:sz="12" w:space="0" w:color="auto"/>
              <w:bottom w:val="single" w:sz="8" w:space="0" w:color="auto"/>
            </w:tcBorders>
            <w:noWrap/>
            <w:vAlign w:val="bottom"/>
          </w:tcPr>
          <w:p w:rsidR="00652F81" w:rsidRPr="00C01E38" w:rsidRDefault="00652F81" w:rsidP="00652F81">
            <w:pPr>
              <w:jc w:val="center"/>
              <w:rPr>
                <w:rFonts w:ascii="Tahoma" w:hAnsi="Tahoma" w:cs="Tahoma"/>
                <w:b/>
                <w:bCs/>
              </w:rPr>
            </w:pPr>
            <w:r w:rsidRPr="00C01E38">
              <w:rPr>
                <w:rFonts w:ascii="Tahoma" w:hAnsi="Tahoma" w:cs="Tahoma"/>
                <w:b/>
                <w:bCs/>
              </w:rPr>
              <w:t>2003</w:t>
            </w:r>
          </w:p>
        </w:tc>
        <w:tc>
          <w:tcPr>
            <w:tcW w:w="960" w:type="dxa"/>
            <w:tcBorders>
              <w:top w:val="single" w:sz="12" w:space="0" w:color="auto"/>
              <w:bottom w:val="single" w:sz="8" w:space="0" w:color="auto"/>
            </w:tcBorders>
            <w:noWrap/>
            <w:vAlign w:val="bottom"/>
          </w:tcPr>
          <w:p w:rsidR="00652F81" w:rsidRPr="00C01E38" w:rsidRDefault="00652F81" w:rsidP="00652F81">
            <w:pPr>
              <w:jc w:val="center"/>
              <w:rPr>
                <w:rFonts w:ascii="Tahoma" w:hAnsi="Tahoma" w:cs="Tahoma"/>
                <w:b/>
                <w:bCs/>
              </w:rPr>
            </w:pPr>
            <w:r w:rsidRPr="00C01E38">
              <w:rPr>
                <w:rFonts w:ascii="Tahoma" w:hAnsi="Tahoma" w:cs="Tahoma"/>
                <w:b/>
                <w:bCs/>
              </w:rPr>
              <w:t>2004</w:t>
            </w:r>
          </w:p>
        </w:tc>
        <w:tc>
          <w:tcPr>
            <w:tcW w:w="960" w:type="dxa"/>
            <w:tcBorders>
              <w:top w:val="single" w:sz="12" w:space="0" w:color="auto"/>
              <w:bottom w:val="single" w:sz="8" w:space="0" w:color="auto"/>
            </w:tcBorders>
            <w:noWrap/>
            <w:vAlign w:val="bottom"/>
          </w:tcPr>
          <w:p w:rsidR="00652F81" w:rsidRPr="00C01E38" w:rsidRDefault="00652F81" w:rsidP="00652F81">
            <w:pPr>
              <w:jc w:val="center"/>
              <w:rPr>
                <w:rFonts w:ascii="Tahoma" w:hAnsi="Tahoma" w:cs="Tahoma"/>
                <w:b/>
                <w:bCs/>
              </w:rPr>
            </w:pPr>
            <w:r w:rsidRPr="00C01E38">
              <w:rPr>
                <w:rFonts w:ascii="Tahoma" w:hAnsi="Tahoma" w:cs="Tahoma"/>
                <w:b/>
                <w:bCs/>
              </w:rPr>
              <w:t>2005</w:t>
            </w:r>
          </w:p>
        </w:tc>
        <w:tc>
          <w:tcPr>
            <w:tcW w:w="960" w:type="dxa"/>
            <w:tcBorders>
              <w:top w:val="single" w:sz="12" w:space="0" w:color="auto"/>
              <w:bottom w:val="single" w:sz="8" w:space="0" w:color="auto"/>
            </w:tcBorders>
            <w:noWrap/>
            <w:vAlign w:val="bottom"/>
          </w:tcPr>
          <w:p w:rsidR="00652F81" w:rsidRPr="00C01E38" w:rsidRDefault="00652F81" w:rsidP="00652F81">
            <w:pPr>
              <w:jc w:val="center"/>
              <w:rPr>
                <w:rFonts w:ascii="Tahoma" w:hAnsi="Tahoma" w:cs="Tahoma"/>
                <w:b/>
                <w:bCs/>
              </w:rPr>
            </w:pPr>
            <w:r w:rsidRPr="00C01E38">
              <w:rPr>
                <w:rFonts w:ascii="Tahoma" w:hAnsi="Tahoma" w:cs="Tahoma"/>
                <w:b/>
                <w:bCs/>
              </w:rPr>
              <w:t>2006</w:t>
            </w:r>
          </w:p>
        </w:tc>
        <w:tc>
          <w:tcPr>
            <w:tcW w:w="960" w:type="dxa"/>
            <w:tcBorders>
              <w:top w:val="single" w:sz="12" w:space="0" w:color="auto"/>
              <w:bottom w:val="single" w:sz="8" w:space="0" w:color="auto"/>
            </w:tcBorders>
            <w:noWrap/>
            <w:vAlign w:val="bottom"/>
          </w:tcPr>
          <w:p w:rsidR="00652F81" w:rsidRPr="00C01E38" w:rsidRDefault="00652F81" w:rsidP="00652F81">
            <w:pPr>
              <w:jc w:val="center"/>
              <w:rPr>
                <w:rFonts w:ascii="Tahoma" w:hAnsi="Tahoma" w:cs="Tahoma"/>
                <w:b/>
                <w:bCs/>
                <w:lang w:val="en-US"/>
              </w:rPr>
            </w:pPr>
            <w:r w:rsidRPr="00C01E38">
              <w:rPr>
                <w:rFonts w:ascii="Tahoma" w:hAnsi="Tahoma" w:cs="Tahoma"/>
                <w:b/>
                <w:bCs/>
                <w:lang w:val="en-US"/>
              </w:rPr>
              <w:t>2007</w:t>
            </w:r>
          </w:p>
        </w:tc>
        <w:tc>
          <w:tcPr>
            <w:tcW w:w="960" w:type="dxa"/>
            <w:tcBorders>
              <w:top w:val="single" w:sz="12" w:space="0" w:color="auto"/>
              <w:bottom w:val="single" w:sz="8" w:space="0" w:color="auto"/>
            </w:tcBorders>
            <w:noWrap/>
            <w:vAlign w:val="bottom"/>
          </w:tcPr>
          <w:p w:rsidR="00652F81" w:rsidRPr="00C01E38" w:rsidRDefault="00652F81" w:rsidP="00652F81">
            <w:pPr>
              <w:jc w:val="center"/>
              <w:rPr>
                <w:rFonts w:ascii="Tahoma" w:hAnsi="Tahoma" w:cs="Tahoma"/>
                <w:b/>
                <w:bCs/>
                <w:lang w:val="en-US"/>
              </w:rPr>
            </w:pPr>
            <w:r>
              <w:rPr>
                <w:rFonts w:ascii="Tahoma" w:hAnsi="Tahoma" w:cs="Tahoma"/>
                <w:b/>
                <w:bCs/>
                <w:lang w:val="en-US"/>
              </w:rPr>
              <w:t>2008</w:t>
            </w:r>
          </w:p>
        </w:tc>
        <w:tc>
          <w:tcPr>
            <w:tcW w:w="960" w:type="dxa"/>
            <w:tcBorders>
              <w:top w:val="single" w:sz="12" w:space="0" w:color="auto"/>
              <w:bottom w:val="single" w:sz="8" w:space="0" w:color="auto"/>
            </w:tcBorders>
            <w:noWrap/>
            <w:vAlign w:val="bottom"/>
          </w:tcPr>
          <w:p w:rsidR="00652F81" w:rsidRPr="00C01E38" w:rsidRDefault="00652F81" w:rsidP="00652F81">
            <w:pPr>
              <w:jc w:val="center"/>
              <w:rPr>
                <w:rFonts w:ascii="Tahoma" w:hAnsi="Tahoma" w:cs="Tahoma"/>
                <w:b/>
                <w:bCs/>
                <w:lang w:val="en-US"/>
              </w:rPr>
            </w:pPr>
            <w:r>
              <w:rPr>
                <w:rFonts w:ascii="Tahoma" w:hAnsi="Tahoma" w:cs="Tahoma"/>
                <w:b/>
                <w:bCs/>
                <w:lang w:val="en-US"/>
              </w:rPr>
              <w:t>2009</w:t>
            </w:r>
          </w:p>
        </w:tc>
        <w:tc>
          <w:tcPr>
            <w:tcW w:w="960" w:type="dxa"/>
            <w:tcBorders>
              <w:top w:val="single" w:sz="12" w:space="0" w:color="auto"/>
              <w:bottom w:val="single" w:sz="8" w:space="0" w:color="auto"/>
            </w:tcBorders>
            <w:noWrap/>
            <w:vAlign w:val="bottom"/>
          </w:tcPr>
          <w:p w:rsidR="00652F81" w:rsidRPr="00C01E38" w:rsidRDefault="00652F81" w:rsidP="00652F81">
            <w:pPr>
              <w:jc w:val="center"/>
              <w:rPr>
                <w:rFonts w:ascii="Tahoma" w:hAnsi="Tahoma" w:cs="Tahoma"/>
                <w:b/>
                <w:bCs/>
                <w:lang w:val="en-US"/>
              </w:rPr>
            </w:pPr>
            <w:r>
              <w:rPr>
                <w:rFonts w:ascii="Tahoma" w:hAnsi="Tahoma" w:cs="Tahoma"/>
                <w:b/>
                <w:bCs/>
                <w:lang w:val="en-US"/>
              </w:rPr>
              <w:t>2010</w:t>
            </w:r>
          </w:p>
        </w:tc>
      </w:tr>
      <w:tr w:rsidR="00652F81" w:rsidRPr="00690546" w:rsidTr="00652F81">
        <w:trPr>
          <w:trHeight w:val="255"/>
        </w:trPr>
        <w:tc>
          <w:tcPr>
            <w:tcW w:w="960" w:type="dxa"/>
            <w:tcBorders>
              <w:top w:val="single" w:sz="8" w:space="0" w:color="auto"/>
            </w:tcBorders>
            <w:noWrap/>
            <w:vAlign w:val="bottom"/>
          </w:tcPr>
          <w:p w:rsidR="00652F81" w:rsidRPr="00C01E38" w:rsidRDefault="00652F81" w:rsidP="00652F81">
            <w:pPr>
              <w:rPr>
                <w:rFonts w:ascii="Tahoma" w:hAnsi="Tahoma" w:cs="Tahoma"/>
                <w:b/>
                <w:bCs/>
              </w:rPr>
            </w:pPr>
            <w:r w:rsidRPr="00C01E38">
              <w:rPr>
                <w:rFonts w:ascii="Tahoma" w:hAnsi="Tahoma" w:cs="Tahoma"/>
                <w:b/>
                <w:bCs/>
              </w:rPr>
              <w:t>EU27</w:t>
            </w:r>
          </w:p>
        </w:tc>
        <w:tc>
          <w:tcPr>
            <w:tcW w:w="960" w:type="dxa"/>
            <w:tcBorders>
              <w:top w:val="single" w:sz="8"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0,4</w:t>
            </w:r>
          </w:p>
        </w:tc>
        <w:tc>
          <w:tcPr>
            <w:tcW w:w="960" w:type="dxa"/>
            <w:tcBorders>
              <w:top w:val="single" w:sz="8"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0,4</w:t>
            </w:r>
          </w:p>
        </w:tc>
        <w:tc>
          <w:tcPr>
            <w:tcW w:w="960" w:type="dxa"/>
            <w:tcBorders>
              <w:top w:val="single" w:sz="8"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0,7</w:t>
            </w:r>
          </w:p>
        </w:tc>
        <w:tc>
          <w:tcPr>
            <w:tcW w:w="960" w:type="dxa"/>
            <w:tcBorders>
              <w:top w:val="single" w:sz="8"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0,9</w:t>
            </w:r>
          </w:p>
        </w:tc>
        <w:tc>
          <w:tcPr>
            <w:tcW w:w="960" w:type="dxa"/>
            <w:tcBorders>
              <w:top w:val="single" w:sz="8"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1,7</w:t>
            </w:r>
          </w:p>
        </w:tc>
        <w:tc>
          <w:tcPr>
            <w:tcW w:w="960" w:type="dxa"/>
            <w:tcBorders>
              <w:top w:val="single" w:sz="8"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1,8</w:t>
            </w:r>
          </w:p>
        </w:tc>
        <w:tc>
          <w:tcPr>
            <w:tcW w:w="960" w:type="dxa"/>
            <w:tcBorders>
              <w:top w:val="single" w:sz="8"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0,9</w:t>
            </w:r>
          </w:p>
        </w:tc>
        <w:tc>
          <w:tcPr>
            <w:tcW w:w="960" w:type="dxa"/>
            <w:tcBorders>
              <w:top w:val="single" w:sz="8"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-1,8</w:t>
            </w:r>
          </w:p>
        </w:tc>
        <w:tc>
          <w:tcPr>
            <w:tcW w:w="960" w:type="dxa"/>
            <w:tcBorders>
              <w:top w:val="single" w:sz="8"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-0,5</w:t>
            </w:r>
          </w:p>
        </w:tc>
      </w:tr>
      <w:tr w:rsidR="00652F81" w:rsidRPr="00690546" w:rsidTr="00652F81">
        <w:trPr>
          <w:trHeight w:val="255"/>
        </w:trPr>
        <w:tc>
          <w:tcPr>
            <w:tcW w:w="960" w:type="dxa"/>
            <w:noWrap/>
            <w:vAlign w:val="bottom"/>
          </w:tcPr>
          <w:p w:rsidR="00652F81" w:rsidRPr="00C01E38" w:rsidRDefault="00652F81" w:rsidP="00652F81">
            <w:pPr>
              <w:rPr>
                <w:rFonts w:ascii="Tahoma" w:hAnsi="Tahoma" w:cs="Tahoma"/>
                <w:b/>
                <w:bCs/>
              </w:rPr>
            </w:pPr>
            <w:r w:rsidRPr="00C01E38">
              <w:rPr>
                <w:rFonts w:ascii="Tahoma" w:hAnsi="Tahoma" w:cs="Tahoma"/>
                <w:b/>
                <w:bCs/>
              </w:rPr>
              <w:t>EU25</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0,4</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0,3</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0,8</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1,0</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1,7</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1,8</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1,0</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-1,8</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-0,3</w:t>
            </w:r>
          </w:p>
        </w:tc>
      </w:tr>
      <w:tr w:rsidR="00652F81" w:rsidRPr="00690546" w:rsidTr="00652F81">
        <w:trPr>
          <w:trHeight w:val="255"/>
        </w:trPr>
        <w:tc>
          <w:tcPr>
            <w:tcW w:w="960" w:type="dxa"/>
            <w:noWrap/>
            <w:vAlign w:val="bottom"/>
          </w:tcPr>
          <w:p w:rsidR="00652F81" w:rsidRPr="00C01E38" w:rsidRDefault="00652F81" w:rsidP="00652F81">
            <w:pPr>
              <w:rPr>
                <w:rFonts w:ascii="Tahoma" w:hAnsi="Tahoma" w:cs="Tahoma"/>
                <w:b/>
                <w:bCs/>
              </w:rPr>
            </w:pPr>
            <w:r w:rsidRPr="00C01E38">
              <w:rPr>
                <w:rFonts w:ascii="Tahoma" w:hAnsi="Tahoma" w:cs="Tahoma"/>
                <w:b/>
                <w:bCs/>
              </w:rPr>
              <w:t>EU15</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0,7</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0,5</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0,8</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0,9</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1,5</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1,6</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0,7</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-1,8</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-0,3</w:t>
            </w:r>
          </w:p>
        </w:tc>
      </w:tr>
      <w:tr w:rsidR="00652F81" w:rsidRPr="00690546" w:rsidTr="00652F81">
        <w:trPr>
          <w:trHeight w:val="255"/>
        </w:trPr>
        <w:tc>
          <w:tcPr>
            <w:tcW w:w="960" w:type="dxa"/>
            <w:noWrap/>
            <w:vAlign w:val="bottom"/>
          </w:tcPr>
          <w:p w:rsidR="00652F81" w:rsidRPr="00104354" w:rsidRDefault="00652F81" w:rsidP="00652F81">
            <w:pPr>
              <w:rPr>
                <w:rFonts w:ascii="Tahoma" w:hAnsi="Tahoma" w:cs="Tahoma"/>
                <w:b/>
                <w:bCs/>
              </w:rPr>
            </w:pPr>
            <w:r>
              <w:rPr>
                <w:rFonts w:ascii="Tahoma" w:hAnsi="Tahoma" w:cs="Tahoma"/>
                <w:b/>
                <w:bCs/>
              </w:rPr>
              <w:t>EA17</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0,7</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0,4</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0,8</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1,0</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1,7</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1,8</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0,8</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-1,9</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-0,5</w:t>
            </w:r>
          </w:p>
        </w:tc>
      </w:tr>
      <w:tr w:rsidR="00652F81" w:rsidRPr="00690546" w:rsidTr="00652F81">
        <w:trPr>
          <w:trHeight w:val="255"/>
        </w:trPr>
        <w:tc>
          <w:tcPr>
            <w:tcW w:w="960" w:type="dxa"/>
            <w:tcBorders>
              <w:bottom w:val="single" w:sz="12" w:space="0" w:color="auto"/>
            </w:tcBorders>
            <w:noWrap/>
            <w:vAlign w:val="bottom"/>
          </w:tcPr>
          <w:p w:rsidR="00652F81" w:rsidRPr="00C01E38" w:rsidRDefault="00652F81" w:rsidP="00652F81">
            <w:pPr>
              <w:rPr>
                <w:rFonts w:ascii="Tahoma" w:hAnsi="Tahoma" w:cs="Tahoma"/>
                <w:b/>
                <w:bCs/>
              </w:rPr>
            </w:pPr>
            <w:r w:rsidRPr="00C01E38">
              <w:rPr>
                <w:rFonts w:ascii="Tahoma" w:hAnsi="Tahoma" w:cs="Tahoma"/>
                <w:b/>
                <w:bCs/>
              </w:rPr>
              <w:t>EL</w:t>
            </w:r>
          </w:p>
        </w:tc>
        <w:tc>
          <w:tcPr>
            <w:tcW w:w="960" w:type="dxa"/>
            <w:tcBorders>
              <w:bottom w:val="single" w:sz="12"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2,3</w:t>
            </w:r>
          </w:p>
        </w:tc>
        <w:tc>
          <w:tcPr>
            <w:tcW w:w="960" w:type="dxa"/>
            <w:tcBorders>
              <w:bottom w:val="single" w:sz="12"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1,2</w:t>
            </w:r>
          </w:p>
        </w:tc>
        <w:tc>
          <w:tcPr>
            <w:tcW w:w="960" w:type="dxa"/>
            <w:tcBorders>
              <w:bottom w:val="single" w:sz="12"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2,4</w:t>
            </w:r>
          </w:p>
        </w:tc>
        <w:tc>
          <w:tcPr>
            <w:tcW w:w="960" w:type="dxa"/>
            <w:tcBorders>
              <w:bottom w:val="single" w:sz="12"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0,8</w:t>
            </w:r>
          </w:p>
        </w:tc>
        <w:tc>
          <w:tcPr>
            <w:tcW w:w="960" w:type="dxa"/>
            <w:tcBorders>
              <w:bottom w:val="single" w:sz="12"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3,3</w:t>
            </w:r>
          </w:p>
        </w:tc>
        <w:tc>
          <w:tcPr>
            <w:tcW w:w="960" w:type="dxa"/>
            <w:tcBorders>
              <w:bottom w:val="single" w:sz="12"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1,7</w:t>
            </w:r>
          </w:p>
        </w:tc>
        <w:tc>
          <w:tcPr>
            <w:tcW w:w="960" w:type="dxa"/>
            <w:tcBorders>
              <w:bottom w:val="single" w:sz="12"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0,2</w:t>
            </w:r>
          </w:p>
        </w:tc>
        <w:tc>
          <w:tcPr>
            <w:tcW w:w="960" w:type="dxa"/>
            <w:tcBorders>
              <w:bottom w:val="single" w:sz="12"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-0,7</w:t>
            </w:r>
          </w:p>
        </w:tc>
        <w:tc>
          <w:tcPr>
            <w:tcW w:w="960" w:type="dxa"/>
            <w:tcBorders>
              <w:bottom w:val="single" w:sz="12"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-2,1</w:t>
            </w:r>
          </w:p>
        </w:tc>
      </w:tr>
      <w:tr w:rsidR="00652F81" w:rsidRPr="00344078" w:rsidTr="00652F81">
        <w:trPr>
          <w:trHeight w:val="255"/>
        </w:trPr>
        <w:tc>
          <w:tcPr>
            <w:tcW w:w="9600" w:type="dxa"/>
            <w:gridSpan w:val="10"/>
            <w:tcBorders>
              <w:top w:val="single" w:sz="12" w:space="0" w:color="auto"/>
              <w:bottom w:val="single" w:sz="8" w:space="0" w:color="auto"/>
            </w:tcBorders>
            <w:noWrap/>
          </w:tcPr>
          <w:p w:rsidR="00652F81" w:rsidRPr="00545F7F" w:rsidRDefault="00652F81" w:rsidP="00652F81">
            <w:pPr>
              <w:rPr>
                <w:rFonts w:ascii="Tahoma" w:hAnsi="Tahoma" w:cs="Tahoma"/>
                <w:b/>
                <w:bCs/>
                <w:sz w:val="18"/>
                <w:szCs w:val="18"/>
              </w:rPr>
            </w:pPr>
            <w:r w:rsidRPr="00545F7F">
              <w:rPr>
                <w:rFonts w:ascii="Tahoma" w:hAnsi="Tahoma" w:cs="Tahoma"/>
                <w:b/>
                <w:bCs/>
                <w:sz w:val="18"/>
                <w:szCs w:val="18"/>
              </w:rPr>
              <w:t>Άντρες</w:t>
            </w:r>
          </w:p>
        </w:tc>
      </w:tr>
      <w:tr w:rsidR="00652F81" w:rsidRPr="00344078" w:rsidTr="00652F81">
        <w:trPr>
          <w:trHeight w:val="255"/>
        </w:trPr>
        <w:tc>
          <w:tcPr>
            <w:tcW w:w="960" w:type="dxa"/>
            <w:tcBorders>
              <w:top w:val="single" w:sz="8" w:space="0" w:color="auto"/>
            </w:tcBorders>
            <w:noWrap/>
            <w:vAlign w:val="bottom"/>
          </w:tcPr>
          <w:p w:rsidR="00652F81" w:rsidRPr="00C01E38" w:rsidRDefault="00652F81" w:rsidP="00652F81">
            <w:pPr>
              <w:rPr>
                <w:rFonts w:ascii="Tahoma" w:hAnsi="Tahoma" w:cs="Tahoma"/>
                <w:b/>
                <w:bCs/>
              </w:rPr>
            </w:pPr>
            <w:r w:rsidRPr="00C01E38">
              <w:rPr>
                <w:rFonts w:ascii="Tahoma" w:hAnsi="Tahoma" w:cs="Tahoma"/>
                <w:b/>
                <w:bCs/>
              </w:rPr>
              <w:t>EU27</w:t>
            </w:r>
          </w:p>
        </w:tc>
        <w:tc>
          <w:tcPr>
            <w:tcW w:w="960" w:type="dxa"/>
            <w:tcBorders>
              <w:top w:val="single" w:sz="8"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0,0</w:t>
            </w:r>
          </w:p>
        </w:tc>
        <w:tc>
          <w:tcPr>
            <w:tcW w:w="960" w:type="dxa"/>
            <w:tcBorders>
              <w:top w:val="single" w:sz="8"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0,0</w:t>
            </w:r>
          </w:p>
        </w:tc>
        <w:tc>
          <w:tcPr>
            <w:tcW w:w="960" w:type="dxa"/>
            <w:tcBorders>
              <w:top w:val="single" w:sz="8"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0,3</w:t>
            </w:r>
          </w:p>
        </w:tc>
        <w:tc>
          <w:tcPr>
            <w:tcW w:w="960" w:type="dxa"/>
            <w:tcBorders>
              <w:top w:val="single" w:sz="8"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0,7</w:t>
            </w:r>
          </w:p>
        </w:tc>
        <w:tc>
          <w:tcPr>
            <w:tcW w:w="960" w:type="dxa"/>
            <w:tcBorders>
              <w:top w:val="single" w:sz="8"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1,4</w:t>
            </w:r>
          </w:p>
        </w:tc>
        <w:tc>
          <w:tcPr>
            <w:tcW w:w="960" w:type="dxa"/>
            <w:tcBorders>
              <w:top w:val="single" w:sz="8"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1,6</w:t>
            </w:r>
          </w:p>
        </w:tc>
        <w:tc>
          <w:tcPr>
            <w:tcW w:w="960" w:type="dxa"/>
            <w:tcBorders>
              <w:top w:val="single" w:sz="8"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0,5</w:t>
            </w:r>
          </w:p>
        </w:tc>
        <w:tc>
          <w:tcPr>
            <w:tcW w:w="960" w:type="dxa"/>
            <w:tcBorders>
              <w:top w:val="single" w:sz="8"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-2,7</w:t>
            </w:r>
          </w:p>
        </w:tc>
        <w:tc>
          <w:tcPr>
            <w:tcW w:w="960" w:type="dxa"/>
            <w:tcBorders>
              <w:top w:val="single" w:sz="8"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-0,6</w:t>
            </w:r>
          </w:p>
        </w:tc>
      </w:tr>
      <w:tr w:rsidR="00652F81" w:rsidRPr="00344078" w:rsidTr="00652F81">
        <w:trPr>
          <w:trHeight w:val="255"/>
        </w:trPr>
        <w:tc>
          <w:tcPr>
            <w:tcW w:w="960" w:type="dxa"/>
            <w:noWrap/>
            <w:vAlign w:val="bottom"/>
          </w:tcPr>
          <w:p w:rsidR="00652F81" w:rsidRPr="00C01E38" w:rsidRDefault="00652F81" w:rsidP="00652F81">
            <w:pPr>
              <w:rPr>
                <w:rFonts w:ascii="Tahoma" w:hAnsi="Tahoma" w:cs="Tahoma"/>
                <w:b/>
                <w:bCs/>
              </w:rPr>
            </w:pPr>
            <w:r w:rsidRPr="00C01E38">
              <w:rPr>
                <w:rFonts w:ascii="Tahoma" w:hAnsi="Tahoma" w:cs="Tahoma"/>
                <w:b/>
                <w:bCs/>
              </w:rPr>
              <w:t>EU25</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-0,1</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-0,1</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0,3</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0,7</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1,5</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1,6</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0,5</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-2,7</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-0,5</w:t>
            </w:r>
          </w:p>
        </w:tc>
      </w:tr>
      <w:tr w:rsidR="00652F81" w:rsidRPr="00344078" w:rsidTr="00652F81">
        <w:trPr>
          <w:trHeight w:val="255"/>
        </w:trPr>
        <w:tc>
          <w:tcPr>
            <w:tcW w:w="960" w:type="dxa"/>
            <w:noWrap/>
            <w:vAlign w:val="bottom"/>
          </w:tcPr>
          <w:p w:rsidR="00652F81" w:rsidRPr="00C01E38" w:rsidRDefault="00652F81" w:rsidP="00652F81">
            <w:pPr>
              <w:rPr>
                <w:rFonts w:ascii="Tahoma" w:hAnsi="Tahoma" w:cs="Tahoma"/>
                <w:b/>
                <w:bCs/>
              </w:rPr>
            </w:pPr>
            <w:r w:rsidRPr="00C01E38">
              <w:rPr>
                <w:rFonts w:ascii="Tahoma" w:hAnsi="Tahoma" w:cs="Tahoma"/>
                <w:b/>
                <w:bCs/>
              </w:rPr>
              <w:t>EU15</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0,1</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0,0</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0,2</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0,4</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1,3</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1,3</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0,2</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-2,8</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-0,4</w:t>
            </w:r>
          </w:p>
        </w:tc>
      </w:tr>
      <w:tr w:rsidR="00652F81" w:rsidRPr="00344078" w:rsidTr="00652F81">
        <w:trPr>
          <w:trHeight w:val="255"/>
        </w:trPr>
        <w:tc>
          <w:tcPr>
            <w:tcW w:w="960" w:type="dxa"/>
            <w:noWrap/>
            <w:vAlign w:val="bottom"/>
          </w:tcPr>
          <w:p w:rsidR="00652F81" w:rsidRPr="00104354" w:rsidRDefault="00652F81" w:rsidP="00652F81">
            <w:pPr>
              <w:rPr>
                <w:rFonts w:ascii="Tahoma" w:hAnsi="Tahoma" w:cs="Tahoma"/>
                <w:b/>
                <w:bCs/>
              </w:rPr>
            </w:pPr>
            <w:r>
              <w:rPr>
                <w:rFonts w:ascii="Tahoma" w:hAnsi="Tahoma" w:cs="Tahoma"/>
                <w:b/>
                <w:bCs/>
              </w:rPr>
              <w:t>EA17</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0,0</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-0,2</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0,2</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0,4</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1,4</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1,4</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0,1</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-2,9</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-0,7</w:t>
            </w:r>
          </w:p>
        </w:tc>
      </w:tr>
      <w:tr w:rsidR="00652F81" w:rsidRPr="00344078" w:rsidTr="00652F81">
        <w:trPr>
          <w:trHeight w:val="255"/>
        </w:trPr>
        <w:tc>
          <w:tcPr>
            <w:tcW w:w="960" w:type="dxa"/>
            <w:tcBorders>
              <w:bottom w:val="single" w:sz="12" w:space="0" w:color="auto"/>
            </w:tcBorders>
            <w:noWrap/>
            <w:vAlign w:val="bottom"/>
          </w:tcPr>
          <w:p w:rsidR="00652F81" w:rsidRPr="00C01E38" w:rsidRDefault="00652F81" w:rsidP="00652F81">
            <w:pPr>
              <w:rPr>
                <w:rFonts w:ascii="Tahoma" w:hAnsi="Tahoma" w:cs="Tahoma"/>
                <w:b/>
                <w:bCs/>
              </w:rPr>
            </w:pPr>
            <w:r w:rsidRPr="00C01E38">
              <w:rPr>
                <w:rFonts w:ascii="Tahoma" w:hAnsi="Tahoma" w:cs="Tahoma"/>
                <w:b/>
                <w:bCs/>
              </w:rPr>
              <w:t>EL</w:t>
            </w:r>
          </w:p>
        </w:tc>
        <w:tc>
          <w:tcPr>
            <w:tcW w:w="960" w:type="dxa"/>
            <w:tcBorders>
              <w:bottom w:val="single" w:sz="12"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1,6</w:t>
            </w:r>
          </w:p>
        </w:tc>
        <w:tc>
          <w:tcPr>
            <w:tcW w:w="960" w:type="dxa"/>
            <w:tcBorders>
              <w:bottom w:val="single" w:sz="12"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0,7</w:t>
            </w:r>
          </w:p>
        </w:tc>
        <w:tc>
          <w:tcPr>
            <w:tcW w:w="960" w:type="dxa"/>
            <w:tcBorders>
              <w:bottom w:val="single" w:sz="12"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1,8</w:t>
            </w:r>
          </w:p>
        </w:tc>
        <w:tc>
          <w:tcPr>
            <w:tcW w:w="960" w:type="dxa"/>
            <w:tcBorders>
              <w:bottom w:val="single" w:sz="12"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0,5</w:t>
            </w:r>
          </w:p>
        </w:tc>
        <w:tc>
          <w:tcPr>
            <w:tcW w:w="960" w:type="dxa"/>
            <w:tcBorders>
              <w:bottom w:val="single" w:sz="12"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2,5</w:t>
            </w:r>
          </w:p>
        </w:tc>
        <w:tc>
          <w:tcPr>
            <w:tcW w:w="960" w:type="dxa"/>
            <w:tcBorders>
              <w:bottom w:val="single" w:sz="12"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1,7</w:t>
            </w:r>
          </w:p>
        </w:tc>
        <w:tc>
          <w:tcPr>
            <w:tcW w:w="960" w:type="dxa"/>
            <w:tcBorders>
              <w:bottom w:val="single" w:sz="12"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-0,4</w:t>
            </w:r>
          </w:p>
        </w:tc>
        <w:tc>
          <w:tcPr>
            <w:tcW w:w="960" w:type="dxa"/>
            <w:tcBorders>
              <w:bottom w:val="single" w:sz="12"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-1,7</w:t>
            </w:r>
          </w:p>
        </w:tc>
        <w:tc>
          <w:tcPr>
            <w:tcW w:w="960" w:type="dxa"/>
            <w:tcBorders>
              <w:bottom w:val="single" w:sz="12"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-2,8</w:t>
            </w:r>
          </w:p>
        </w:tc>
      </w:tr>
      <w:tr w:rsidR="00652F81" w:rsidRPr="00344078" w:rsidTr="00652F81">
        <w:trPr>
          <w:trHeight w:val="255"/>
        </w:trPr>
        <w:tc>
          <w:tcPr>
            <w:tcW w:w="9600" w:type="dxa"/>
            <w:gridSpan w:val="10"/>
            <w:tcBorders>
              <w:top w:val="single" w:sz="12" w:space="0" w:color="auto"/>
              <w:bottom w:val="single" w:sz="8" w:space="0" w:color="auto"/>
            </w:tcBorders>
            <w:noWrap/>
          </w:tcPr>
          <w:p w:rsidR="00652F81" w:rsidRPr="00545F7F" w:rsidRDefault="00652F81" w:rsidP="00652F81">
            <w:pPr>
              <w:rPr>
                <w:rFonts w:ascii="Tahoma" w:hAnsi="Tahoma" w:cs="Tahoma"/>
                <w:b/>
                <w:bCs/>
                <w:sz w:val="18"/>
                <w:szCs w:val="18"/>
              </w:rPr>
            </w:pPr>
            <w:r w:rsidRPr="00545F7F">
              <w:rPr>
                <w:rFonts w:ascii="Tahoma" w:hAnsi="Tahoma" w:cs="Tahoma"/>
                <w:b/>
                <w:bCs/>
                <w:sz w:val="18"/>
                <w:szCs w:val="18"/>
              </w:rPr>
              <w:t>Γυναίκες</w:t>
            </w:r>
          </w:p>
        </w:tc>
      </w:tr>
      <w:tr w:rsidR="00652F81" w:rsidRPr="00344078" w:rsidTr="00652F81">
        <w:trPr>
          <w:trHeight w:val="255"/>
        </w:trPr>
        <w:tc>
          <w:tcPr>
            <w:tcW w:w="960" w:type="dxa"/>
            <w:tcBorders>
              <w:top w:val="single" w:sz="8" w:space="0" w:color="auto"/>
            </w:tcBorders>
            <w:noWrap/>
            <w:vAlign w:val="bottom"/>
          </w:tcPr>
          <w:p w:rsidR="00652F81" w:rsidRPr="00C01E38" w:rsidRDefault="00652F81" w:rsidP="00652F81">
            <w:pPr>
              <w:rPr>
                <w:rFonts w:ascii="Tahoma" w:hAnsi="Tahoma" w:cs="Tahoma"/>
                <w:b/>
                <w:bCs/>
              </w:rPr>
            </w:pPr>
            <w:r w:rsidRPr="00C01E38">
              <w:rPr>
                <w:rFonts w:ascii="Tahoma" w:hAnsi="Tahoma" w:cs="Tahoma"/>
                <w:b/>
                <w:bCs/>
              </w:rPr>
              <w:t>EU27</w:t>
            </w:r>
          </w:p>
        </w:tc>
        <w:tc>
          <w:tcPr>
            <w:tcW w:w="960" w:type="dxa"/>
            <w:tcBorders>
              <w:top w:val="single" w:sz="8"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0,8</w:t>
            </w:r>
          </w:p>
        </w:tc>
        <w:tc>
          <w:tcPr>
            <w:tcW w:w="960" w:type="dxa"/>
            <w:tcBorders>
              <w:top w:val="single" w:sz="8"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0,8</w:t>
            </w:r>
          </w:p>
        </w:tc>
        <w:tc>
          <w:tcPr>
            <w:tcW w:w="960" w:type="dxa"/>
            <w:tcBorders>
              <w:top w:val="single" w:sz="8"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1,2</w:t>
            </w:r>
          </w:p>
        </w:tc>
        <w:tc>
          <w:tcPr>
            <w:tcW w:w="960" w:type="dxa"/>
            <w:tcBorders>
              <w:top w:val="single" w:sz="8"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1,3</w:t>
            </w:r>
          </w:p>
        </w:tc>
        <w:tc>
          <w:tcPr>
            <w:tcW w:w="960" w:type="dxa"/>
            <w:tcBorders>
              <w:top w:val="single" w:sz="8"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2,0</w:t>
            </w:r>
          </w:p>
        </w:tc>
        <w:tc>
          <w:tcPr>
            <w:tcW w:w="960" w:type="dxa"/>
            <w:tcBorders>
              <w:top w:val="single" w:sz="8"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2,1</w:t>
            </w:r>
          </w:p>
        </w:tc>
        <w:tc>
          <w:tcPr>
            <w:tcW w:w="960" w:type="dxa"/>
            <w:tcBorders>
              <w:top w:val="single" w:sz="8"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1,5</w:t>
            </w:r>
          </w:p>
        </w:tc>
        <w:tc>
          <w:tcPr>
            <w:tcW w:w="960" w:type="dxa"/>
            <w:tcBorders>
              <w:top w:val="single" w:sz="8"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-0,7</w:t>
            </w:r>
          </w:p>
        </w:tc>
        <w:tc>
          <w:tcPr>
            <w:tcW w:w="960" w:type="dxa"/>
            <w:tcBorders>
              <w:top w:val="single" w:sz="8" w:space="0" w:color="auto"/>
            </w:tcBorders>
            <w:noWrap/>
            <w:vAlign w:val="bottom"/>
          </w:tcPr>
          <w:p w:rsidR="00652F81" w:rsidRPr="00CB5F5D" w:rsidRDefault="00652F81" w:rsidP="00652F81">
            <w:pPr>
              <w:jc w:val="right"/>
              <w:rPr>
                <w:rFonts w:ascii="Tahoma" w:hAnsi="Tahoma" w:cs="Tahoma"/>
              </w:rPr>
            </w:pPr>
            <w:r w:rsidRPr="00CB5F5D">
              <w:rPr>
                <w:rFonts w:ascii="Tahoma" w:hAnsi="Tahoma" w:cs="Tahoma"/>
              </w:rPr>
              <w:t>-0,3</w:t>
            </w:r>
          </w:p>
        </w:tc>
      </w:tr>
      <w:tr w:rsidR="00652F81" w:rsidRPr="00344078" w:rsidTr="00652F81">
        <w:trPr>
          <w:trHeight w:val="255"/>
        </w:trPr>
        <w:tc>
          <w:tcPr>
            <w:tcW w:w="960" w:type="dxa"/>
            <w:noWrap/>
            <w:vAlign w:val="bottom"/>
          </w:tcPr>
          <w:p w:rsidR="00652F81" w:rsidRPr="00C01E38" w:rsidRDefault="00652F81" w:rsidP="00652F81">
            <w:pPr>
              <w:rPr>
                <w:rFonts w:ascii="Tahoma" w:hAnsi="Tahoma" w:cs="Tahoma"/>
                <w:b/>
                <w:bCs/>
              </w:rPr>
            </w:pPr>
            <w:r w:rsidRPr="00C01E38">
              <w:rPr>
                <w:rFonts w:ascii="Tahoma" w:hAnsi="Tahoma" w:cs="Tahoma"/>
                <w:b/>
                <w:bCs/>
              </w:rPr>
              <w:t>EU25</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1,1</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0,9</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1,3</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1,5</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2,0</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2,2</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1,6</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-0,6</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-0,2</w:t>
            </w:r>
          </w:p>
        </w:tc>
      </w:tr>
      <w:tr w:rsidR="00652F81" w:rsidRPr="00344078" w:rsidTr="00652F81">
        <w:trPr>
          <w:trHeight w:val="255"/>
        </w:trPr>
        <w:tc>
          <w:tcPr>
            <w:tcW w:w="960" w:type="dxa"/>
            <w:noWrap/>
            <w:vAlign w:val="bottom"/>
          </w:tcPr>
          <w:p w:rsidR="00652F81" w:rsidRPr="00C01E38" w:rsidRDefault="00652F81" w:rsidP="00652F81">
            <w:pPr>
              <w:rPr>
                <w:rFonts w:ascii="Tahoma" w:hAnsi="Tahoma" w:cs="Tahoma"/>
                <w:b/>
                <w:bCs/>
              </w:rPr>
            </w:pPr>
            <w:r w:rsidRPr="00C01E38">
              <w:rPr>
                <w:rFonts w:ascii="Tahoma" w:hAnsi="Tahoma" w:cs="Tahoma"/>
                <w:b/>
                <w:bCs/>
              </w:rPr>
              <w:t>EU15</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1,5</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1,1</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1,5</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1,6</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1,9</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2,0</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1,4</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-0,6</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-0,2</w:t>
            </w:r>
          </w:p>
        </w:tc>
      </w:tr>
      <w:tr w:rsidR="00652F81" w:rsidRPr="00344078" w:rsidTr="00652F81">
        <w:trPr>
          <w:trHeight w:val="255"/>
        </w:trPr>
        <w:tc>
          <w:tcPr>
            <w:tcW w:w="960" w:type="dxa"/>
            <w:noWrap/>
            <w:vAlign w:val="bottom"/>
          </w:tcPr>
          <w:p w:rsidR="00652F81" w:rsidRPr="00104354" w:rsidRDefault="00652F81" w:rsidP="00652F81">
            <w:pPr>
              <w:rPr>
                <w:rFonts w:ascii="Tahoma" w:hAnsi="Tahoma" w:cs="Tahoma"/>
                <w:b/>
                <w:bCs/>
              </w:rPr>
            </w:pPr>
            <w:r>
              <w:rPr>
                <w:rFonts w:ascii="Tahoma" w:hAnsi="Tahoma" w:cs="Tahoma"/>
                <w:b/>
                <w:bCs/>
              </w:rPr>
              <w:t>EA17</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1,6</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1,3</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1,6</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1,8</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2,1</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2,3</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1,6</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-0,6</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-0,2</w:t>
            </w:r>
          </w:p>
        </w:tc>
      </w:tr>
      <w:tr w:rsidR="00652F81" w:rsidRPr="00344078" w:rsidTr="00652F81">
        <w:trPr>
          <w:trHeight w:val="255"/>
        </w:trPr>
        <w:tc>
          <w:tcPr>
            <w:tcW w:w="960" w:type="dxa"/>
            <w:noWrap/>
            <w:vAlign w:val="bottom"/>
          </w:tcPr>
          <w:p w:rsidR="00652F81" w:rsidRPr="00C01E38" w:rsidRDefault="00652F81" w:rsidP="00652F81">
            <w:pPr>
              <w:rPr>
                <w:rFonts w:ascii="Tahoma" w:hAnsi="Tahoma" w:cs="Tahoma"/>
                <w:b/>
                <w:bCs/>
              </w:rPr>
            </w:pPr>
            <w:r w:rsidRPr="00C01E38">
              <w:rPr>
                <w:rFonts w:ascii="Tahoma" w:hAnsi="Tahoma" w:cs="Tahoma"/>
                <w:b/>
                <w:bCs/>
              </w:rPr>
              <w:t>EL</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3,3</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2,0</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3,5</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1,3</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4,6</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1,9</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1,1</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0,8</w:t>
            </w:r>
          </w:p>
        </w:tc>
        <w:tc>
          <w:tcPr>
            <w:tcW w:w="960" w:type="dxa"/>
            <w:noWrap/>
            <w:vAlign w:val="bottom"/>
          </w:tcPr>
          <w:p w:rsidR="00652F81" w:rsidRPr="00CB5F5D" w:rsidRDefault="00652F81" w:rsidP="00652F81">
            <w:pPr>
              <w:jc w:val="right"/>
              <w:rPr>
                <w:rFonts w:ascii="Tahoma" w:hAnsi="Tahoma" w:cs="Tahoma"/>
              </w:rPr>
            </w:pPr>
            <w:r w:rsidRPr="00CB5F5D">
              <w:rPr>
                <w:rFonts w:ascii="Tahoma" w:hAnsi="Tahoma" w:cs="Tahoma"/>
              </w:rPr>
              <w:t>-1,1</w:t>
            </w:r>
          </w:p>
        </w:tc>
      </w:tr>
    </w:tbl>
    <w:p w:rsidR="00652F81" w:rsidRPr="00957E41" w:rsidRDefault="00652F81" w:rsidP="00652F81">
      <w:pPr>
        <w:rPr>
          <w:rFonts w:ascii="Tahoma" w:hAnsi="Tahoma" w:cs="Tahoma"/>
          <w:b/>
          <w:sz w:val="18"/>
          <w:szCs w:val="18"/>
        </w:rPr>
        <w:sectPr w:rsidR="00652F81" w:rsidRPr="00957E41" w:rsidSect="00652F81">
          <w:footerReference w:type="default" r:id="rId107"/>
          <w:pgSz w:w="11906" w:h="16838"/>
          <w:pgMar w:top="1701" w:right="1418" w:bottom="1418" w:left="1418" w:header="720" w:footer="720" w:gutter="0"/>
          <w:paperSrc w:first="242" w:other="242"/>
          <w:cols w:space="720"/>
        </w:sectPr>
      </w:pPr>
      <w:r w:rsidRPr="00186E8B">
        <w:rPr>
          <w:rFonts w:ascii="Tahoma" w:hAnsi="Tahoma" w:cs="Tahoma"/>
          <w:b/>
          <w:sz w:val="18"/>
          <w:szCs w:val="18"/>
        </w:rPr>
        <w:t>Πηγή:</w:t>
      </w:r>
      <w:r w:rsidRPr="00957E41">
        <w:rPr>
          <w:rFonts w:ascii="Tahoma" w:hAnsi="Tahoma" w:cs="Tahoma"/>
          <w:sz w:val="18"/>
          <w:szCs w:val="18"/>
        </w:rPr>
        <w:t xml:space="preserve"> </w:t>
      </w:r>
      <w:r w:rsidRPr="00957E41">
        <w:rPr>
          <w:rFonts w:ascii="Tahoma" w:hAnsi="Tahoma" w:cs="Tahoma"/>
          <w:sz w:val="18"/>
          <w:szCs w:val="18"/>
          <w:lang w:val="en-US"/>
        </w:rPr>
        <w:t>Eurostat</w:t>
      </w:r>
      <w:bookmarkStart w:id="508" w:name="_Toc150308631"/>
    </w:p>
    <w:p w:rsidR="00652F81" w:rsidRPr="00294913" w:rsidRDefault="00652F81" w:rsidP="00652F81">
      <w:pPr>
        <w:pStyle w:val="new12"/>
      </w:pPr>
      <w:bookmarkStart w:id="509" w:name="_Toc169881558"/>
      <w:bookmarkStart w:id="510" w:name="_Toc170201910"/>
      <w:r w:rsidRPr="00294913">
        <w:lastRenderedPageBreak/>
        <w:t>Ι-3β</w:t>
      </w:r>
      <w:r>
        <w:t>,</w:t>
      </w:r>
      <w:r w:rsidRPr="00294913">
        <w:tab/>
      </w:r>
      <w:r w:rsidRPr="00932FA2">
        <w:t>Πληθωρισμός</w:t>
      </w:r>
      <w:bookmarkStart w:id="511" w:name="_Toc150308632"/>
      <w:bookmarkStart w:id="512" w:name="_Toc170201911"/>
      <w:bookmarkEnd w:id="508"/>
      <w:bookmarkEnd w:id="509"/>
      <w:bookmarkEnd w:id="510"/>
      <w:r w:rsidRPr="00932FA2">
        <w:t xml:space="preserve"> </w:t>
      </w:r>
      <w:r w:rsidRPr="00D93F12">
        <w:rPr>
          <w:b w:val="0"/>
        </w:rPr>
        <w:t>(ετήσιος ρυθμός μεταβολής του Εν</w:t>
      </w:r>
      <w:r>
        <w:rPr>
          <w:b w:val="0"/>
        </w:rPr>
        <w:t>Δ</w:t>
      </w:r>
      <w:r w:rsidRPr="00D93F12">
        <w:rPr>
          <w:b w:val="0"/>
        </w:rPr>
        <w:t>Τ</w:t>
      </w:r>
      <w:r>
        <w:rPr>
          <w:b w:val="0"/>
        </w:rPr>
        <w:t>Κ</w:t>
      </w:r>
      <w:bookmarkEnd w:id="511"/>
      <w:bookmarkEnd w:id="512"/>
      <w:r>
        <w:rPr>
          <w:b w:val="0"/>
        </w:rPr>
        <w:t>)</w:t>
      </w:r>
    </w:p>
    <w:p w:rsidR="00652F81" w:rsidRPr="00C27EEB" w:rsidRDefault="00652F81" w:rsidP="00652F81"/>
    <w:p w:rsidR="00652F81" w:rsidRPr="00C27EEB" w:rsidRDefault="00652F81" w:rsidP="00652F81"/>
    <w:p w:rsidR="00652F81" w:rsidRPr="003A709D" w:rsidRDefault="00652F81" w:rsidP="00652F81">
      <w:pPr>
        <w:spacing w:line="288" w:lineRule="auto"/>
        <w:jc w:val="both"/>
        <w:rPr>
          <w:rFonts w:ascii="Tahoma" w:hAnsi="Tahoma" w:cs="Tahoma"/>
        </w:rPr>
      </w:pPr>
      <w:r w:rsidRPr="003A709D">
        <w:rPr>
          <w:rFonts w:ascii="Tahoma" w:hAnsi="Tahoma" w:cs="Tahoma"/>
        </w:rPr>
        <w:t>Οι εναρμονισμένοι Δείκτες Τιμών Καταναλωτή καταρτίσθηκαν με στόχο την διεθνή σύγκριση των μεταβολών στις τιμές των καταναλωτών (πληθωρισμού)</w:t>
      </w:r>
      <w:r w:rsidR="00930031">
        <w:rPr>
          <w:rFonts w:ascii="Tahoma" w:hAnsi="Tahoma" w:cs="Tahoma"/>
        </w:rPr>
        <w:t>.</w:t>
      </w:r>
    </w:p>
    <w:p w:rsidR="00652F81" w:rsidRPr="003A709D" w:rsidRDefault="00652F81" w:rsidP="00652F81">
      <w:pPr>
        <w:spacing w:line="288" w:lineRule="auto"/>
        <w:jc w:val="both"/>
        <w:rPr>
          <w:rFonts w:ascii="Tahoma" w:hAnsi="Tahoma" w:cs="Tahoma"/>
        </w:rPr>
      </w:pPr>
    </w:p>
    <w:p w:rsidR="00652F81" w:rsidRPr="003A709D" w:rsidRDefault="00652F81" w:rsidP="00652F81">
      <w:pPr>
        <w:pStyle w:val="BodyText"/>
        <w:rPr>
          <w:rFonts w:ascii="Tahoma" w:hAnsi="Tahoma" w:cs="Tahoma"/>
          <w:sz w:val="20"/>
          <w:szCs w:val="20"/>
        </w:rPr>
      </w:pPr>
      <w:r w:rsidRPr="003A709D">
        <w:rPr>
          <w:rFonts w:ascii="Tahoma" w:hAnsi="Tahoma" w:cs="Tahoma"/>
          <w:sz w:val="20"/>
          <w:szCs w:val="20"/>
        </w:rPr>
        <w:t>Οι Εν</w:t>
      </w:r>
      <w:r w:rsidRPr="00DE76B5">
        <w:rPr>
          <w:rFonts w:ascii="Tahoma" w:hAnsi="Tahoma" w:cs="Tahoma"/>
          <w:sz w:val="20"/>
          <w:szCs w:val="20"/>
        </w:rPr>
        <w:t>.</w:t>
      </w:r>
      <w:r w:rsidRPr="003A709D">
        <w:rPr>
          <w:rFonts w:ascii="Tahoma" w:hAnsi="Tahoma" w:cs="Tahoma"/>
          <w:sz w:val="20"/>
          <w:szCs w:val="20"/>
        </w:rPr>
        <w:t>Δ</w:t>
      </w:r>
      <w:r w:rsidRPr="00DE76B5">
        <w:rPr>
          <w:rFonts w:ascii="Tahoma" w:hAnsi="Tahoma" w:cs="Tahoma"/>
          <w:sz w:val="20"/>
          <w:szCs w:val="20"/>
        </w:rPr>
        <w:t>.</w:t>
      </w:r>
      <w:r w:rsidRPr="003A709D">
        <w:rPr>
          <w:rFonts w:ascii="Tahoma" w:hAnsi="Tahoma" w:cs="Tahoma"/>
          <w:sz w:val="20"/>
          <w:szCs w:val="20"/>
        </w:rPr>
        <w:t>Τ</w:t>
      </w:r>
      <w:r w:rsidRPr="00DE76B5">
        <w:rPr>
          <w:rFonts w:ascii="Tahoma" w:hAnsi="Tahoma" w:cs="Tahoma"/>
          <w:sz w:val="20"/>
          <w:szCs w:val="20"/>
        </w:rPr>
        <w:t>.</w:t>
      </w:r>
      <w:r w:rsidRPr="003A709D">
        <w:rPr>
          <w:rFonts w:ascii="Tahoma" w:hAnsi="Tahoma" w:cs="Tahoma"/>
          <w:sz w:val="20"/>
          <w:szCs w:val="20"/>
        </w:rPr>
        <w:t>Κ χρησιμοποιούνται από την Ευρωπαϊκή Κεντρική Τράπεζα με σκοπό την παρακολούθηση του πληθωρισμού στην Οικονομική και Νομισματική Ένωση  (ΟΝΕ) καθώς και την εκτίμηση του πληθωρισμού σύγκλισης</w:t>
      </w:r>
      <w:r w:rsidR="00930031">
        <w:rPr>
          <w:rFonts w:ascii="Tahoma" w:hAnsi="Tahoma" w:cs="Tahoma"/>
          <w:sz w:val="20"/>
          <w:szCs w:val="20"/>
        </w:rPr>
        <w:t>.</w:t>
      </w:r>
    </w:p>
    <w:p w:rsidR="00652F81" w:rsidRPr="00882770" w:rsidRDefault="00652F81" w:rsidP="00652F81"/>
    <w:p w:rsidR="00652F81" w:rsidRPr="00947056" w:rsidRDefault="00652F81" w:rsidP="00652F81">
      <w:r>
        <w:rPr>
          <w:noProof/>
          <w:lang w:val="en-US" w:eastAsia="en-US"/>
        </w:rPr>
        <w:drawing>
          <wp:inline distT="0" distB="0" distL="0" distR="0">
            <wp:extent cx="5476875" cy="3181350"/>
            <wp:effectExtent l="0" t="0" r="0" b="0"/>
            <wp:docPr id="32" name="Εικόνα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8" cstate="print"/>
                    <a:srcRect/>
                    <a:stretch>
                      <a:fillRect/>
                    </a:stretch>
                  </pic:blipFill>
                  <pic:spPr bwMode="auto">
                    <a:xfrm>
                      <a:off x="0" y="0"/>
                      <a:ext cx="5476875" cy="3181350"/>
                    </a:xfrm>
                    <a:prstGeom prst="rect">
                      <a:avLst/>
                    </a:prstGeom>
                    <a:noFill/>
                    <a:ln w="9525">
                      <a:noFill/>
                      <a:miter lim="800000"/>
                      <a:headEnd/>
                      <a:tailEnd/>
                    </a:ln>
                  </pic:spPr>
                </pic:pic>
              </a:graphicData>
            </a:graphic>
          </wp:inline>
        </w:drawing>
      </w:r>
    </w:p>
    <w:p w:rsidR="00652F81" w:rsidRDefault="00652F81" w:rsidP="00652F81"/>
    <w:p w:rsidR="00652F81" w:rsidRDefault="00652F81" w:rsidP="00652F81"/>
    <w:p w:rsidR="00652F81" w:rsidRPr="00DE4ABD" w:rsidRDefault="00652F81" w:rsidP="00652F81"/>
    <w:tbl>
      <w:tblPr>
        <w:tblStyle w:val="TableClassic1"/>
        <w:tblpPr w:leftFromText="180" w:rightFromText="180" w:vertAnchor="text" w:tblpXSpec="center" w:tblpY="1"/>
        <w:tblOverlap w:val="never"/>
        <w:tblW w:w="0" w:type="auto"/>
        <w:tblLook w:val="01E0"/>
      </w:tblPr>
      <w:tblGrid>
        <w:gridCol w:w="837"/>
        <w:gridCol w:w="784"/>
        <w:gridCol w:w="784"/>
        <w:gridCol w:w="784"/>
        <w:gridCol w:w="784"/>
        <w:gridCol w:w="794"/>
        <w:gridCol w:w="794"/>
        <w:gridCol w:w="794"/>
        <w:gridCol w:w="888"/>
        <w:gridCol w:w="888"/>
        <w:gridCol w:w="900"/>
      </w:tblGrid>
      <w:tr w:rsidR="00652F81" w:rsidRPr="008160E1" w:rsidTr="00652F81">
        <w:trPr>
          <w:cnfStyle w:val="100000000000"/>
        </w:trPr>
        <w:tc>
          <w:tcPr>
            <w:cnfStyle w:val="001000000000"/>
            <w:tcW w:w="837" w:type="dxa"/>
            <w:tcBorders>
              <w:top w:val="single" w:sz="12" w:space="0" w:color="000000"/>
              <w:bottom w:val="single" w:sz="12" w:space="0" w:color="000000"/>
              <w:right w:val="nil"/>
            </w:tcBorders>
          </w:tcPr>
          <w:p w:rsidR="00652F81" w:rsidRPr="008B5261" w:rsidRDefault="00652F81" w:rsidP="00652F81">
            <w:pPr>
              <w:rPr>
                <w:rFonts w:ascii="Tahoma" w:hAnsi="Tahoma" w:cs="Tahoma"/>
                <w:b/>
                <w:i w:val="0"/>
              </w:rPr>
            </w:pPr>
            <w:bookmarkStart w:id="513" w:name="_Toc128312472"/>
            <w:bookmarkStart w:id="514" w:name="_Toc110692123"/>
            <w:bookmarkStart w:id="515" w:name="_Toc137368873"/>
            <w:bookmarkStart w:id="516" w:name="_Toc150308634"/>
            <w:bookmarkStart w:id="517" w:name="_Toc150308635"/>
          </w:p>
        </w:tc>
        <w:tc>
          <w:tcPr>
            <w:tcW w:w="784" w:type="dxa"/>
            <w:tcBorders>
              <w:top w:val="single" w:sz="12" w:space="0" w:color="000000"/>
              <w:bottom w:val="single" w:sz="12" w:space="0" w:color="000000"/>
            </w:tcBorders>
            <w:vAlign w:val="bottom"/>
          </w:tcPr>
          <w:p w:rsidR="00652F81" w:rsidRPr="008B5261" w:rsidRDefault="00652F81" w:rsidP="00652F81">
            <w:pPr>
              <w:jc w:val="center"/>
              <w:cnfStyle w:val="100000000000"/>
              <w:rPr>
                <w:rFonts w:ascii="Tahoma" w:hAnsi="Tahoma" w:cs="Tahoma"/>
                <w:b/>
                <w:bCs/>
                <w:i w:val="0"/>
                <w:sz w:val="18"/>
                <w:szCs w:val="18"/>
              </w:rPr>
            </w:pPr>
            <w:r>
              <w:rPr>
                <w:rFonts w:ascii="Tahoma" w:hAnsi="Tahoma" w:cs="Tahoma"/>
                <w:b/>
                <w:bCs/>
                <w:i w:val="0"/>
                <w:sz w:val="18"/>
                <w:szCs w:val="18"/>
              </w:rPr>
              <w:t>2004</w:t>
            </w:r>
          </w:p>
        </w:tc>
        <w:tc>
          <w:tcPr>
            <w:tcW w:w="784" w:type="dxa"/>
            <w:tcBorders>
              <w:top w:val="single" w:sz="12" w:space="0" w:color="000000"/>
              <w:bottom w:val="single" w:sz="12" w:space="0" w:color="000000"/>
            </w:tcBorders>
            <w:vAlign w:val="bottom"/>
          </w:tcPr>
          <w:p w:rsidR="00652F81" w:rsidRPr="008B5261" w:rsidRDefault="00652F81" w:rsidP="00652F81">
            <w:pPr>
              <w:jc w:val="center"/>
              <w:cnfStyle w:val="100000000000"/>
              <w:rPr>
                <w:rFonts w:ascii="Tahoma" w:hAnsi="Tahoma" w:cs="Tahoma"/>
                <w:b/>
                <w:bCs/>
                <w:i w:val="0"/>
                <w:sz w:val="18"/>
                <w:szCs w:val="18"/>
              </w:rPr>
            </w:pPr>
            <w:r>
              <w:rPr>
                <w:rFonts w:ascii="Tahoma" w:hAnsi="Tahoma" w:cs="Tahoma"/>
                <w:b/>
                <w:bCs/>
                <w:i w:val="0"/>
                <w:sz w:val="18"/>
                <w:szCs w:val="18"/>
              </w:rPr>
              <w:t>2005</w:t>
            </w:r>
          </w:p>
        </w:tc>
        <w:tc>
          <w:tcPr>
            <w:tcW w:w="784" w:type="dxa"/>
            <w:tcBorders>
              <w:top w:val="single" w:sz="12" w:space="0" w:color="000000"/>
              <w:bottom w:val="single" w:sz="12" w:space="0" w:color="000000"/>
            </w:tcBorders>
            <w:vAlign w:val="bottom"/>
          </w:tcPr>
          <w:p w:rsidR="00652F81" w:rsidRPr="008B5261" w:rsidRDefault="00652F81" w:rsidP="00652F81">
            <w:pPr>
              <w:jc w:val="center"/>
              <w:cnfStyle w:val="100000000000"/>
              <w:rPr>
                <w:rFonts w:ascii="Tahoma" w:hAnsi="Tahoma" w:cs="Tahoma"/>
                <w:b/>
                <w:bCs/>
                <w:i w:val="0"/>
                <w:sz w:val="18"/>
                <w:szCs w:val="18"/>
              </w:rPr>
            </w:pPr>
            <w:r>
              <w:rPr>
                <w:rFonts w:ascii="Tahoma" w:hAnsi="Tahoma" w:cs="Tahoma"/>
                <w:b/>
                <w:bCs/>
                <w:i w:val="0"/>
                <w:sz w:val="18"/>
                <w:szCs w:val="18"/>
              </w:rPr>
              <w:t>2006</w:t>
            </w:r>
          </w:p>
        </w:tc>
        <w:tc>
          <w:tcPr>
            <w:tcW w:w="784" w:type="dxa"/>
            <w:tcBorders>
              <w:top w:val="single" w:sz="12" w:space="0" w:color="000000"/>
              <w:bottom w:val="single" w:sz="12" w:space="0" w:color="000000"/>
            </w:tcBorders>
            <w:vAlign w:val="bottom"/>
          </w:tcPr>
          <w:p w:rsidR="00652F81" w:rsidRPr="008B5261" w:rsidRDefault="00652F81" w:rsidP="00652F81">
            <w:pPr>
              <w:jc w:val="center"/>
              <w:cnfStyle w:val="100000000000"/>
              <w:rPr>
                <w:rFonts w:ascii="Tahoma" w:hAnsi="Tahoma" w:cs="Tahoma"/>
                <w:b/>
                <w:bCs/>
                <w:i w:val="0"/>
                <w:sz w:val="18"/>
                <w:szCs w:val="18"/>
              </w:rPr>
            </w:pPr>
            <w:r>
              <w:rPr>
                <w:rFonts w:ascii="Tahoma" w:hAnsi="Tahoma" w:cs="Tahoma"/>
                <w:b/>
                <w:bCs/>
                <w:i w:val="0"/>
                <w:sz w:val="18"/>
                <w:szCs w:val="18"/>
              </w:rPr>
              <w:t>2007</w:t>
            </w:r>
          </w:p>
        </w:tc>
        <w:tc>
          <w:tcPr>
            <w:tcW w:w="794" w:type="dxa"/>
            <w:tcBorders>
              <w:top w:val="single" w:sz="12" w:space="0" w:color="000000"/>
              <w:bottom w:val="single" w:sz="12" w:space="0" w:color="000000"/>
            </w:tcBorders>
            <w:vAlign w:val="bottom"/>
          </w:tcPr>
          <w:p w:rsidR="00652F81" w:rsidRPr="008160E1" w:rsidRDefault="00652F81" w:rsidP="00652F81">
            <w:pPr>
              <w:jc w:val="center"/>
              <w:cnfStyle w:val="100000000000"/>
              <w:rPr>
                <w:rFonts w:ascii="Tahoma" w:hAnsi="Tahoma" w:cs="Tahoma"/>
                <w:b/>
                <w:bCs/>
                <w:i w:val="0"/>
                <w:sz w:val="18"/>
                <w:szCs w:val="18"/>
              </w:rPr>
            </w:pPr>
            <w:r>
              <w:rPr>
                <w:rFonts w:ascii="Tahoma" w:hAnsi="Tahoma" w:cs="Tahoma"/>
                <w:b/>
                <w:bCs/>
                <w:i w:val="0"/>
                <w:sz w:val="18"/>
                <w:szCs w:val="18"/>
                <w:lang w:val="en-US"/>
              </w:rPr>
              <w:t>200</w:t>
            </w:r>
            <w:r>
              <w:rPr>
                <w:rFonts w:ascii="Tahoma" w:hAnsi="Tahoma" w:cs="Tahoma"/>
                <w:b/>
                <w:bCs/>
                <w:i w:val="0"/>
                <w:sz w:val="18"/>
                <w:szCs w:val="18"/>
              </w:rPr>
              <w:t>8</w:t>
            </w:r>
          </w:p>
        </w:tc>
        <w:tc>
          <w:tcPr>
            <w:tcW w:w="794" w:type="dxa"/>
            <w:tcBorders>
              <w:top w:val="single" w:sz="12" w:space="0" w:color="000000"/>
              <w:bottom w:val="single" w:sz="12" w:space="0" w:color="000000"/>
            </w:tcBorders>
            <w:vAlign w:val="bottom"/>
          </w:tcPr>
          <w:p w:rsidR="00652F81" w:rsidRPr="008160E1" w:rsidRDefault="00652F81" w:rsidP="00652F81">
            <w:pPr>
              <w:jc w:val="center"/>
              <w:cnfStyle w:val="100000000000"/>
              <w:rPr>
                <w:rFonts w:ascii="Tahoma" w:hAnsi="Tahoma" w:cs="Tahoma"/>
                <w:b/>
                <w:bCs/>
                <w:i w:val="0"/>
                <w:sz w:val="18"/>
                <w:szCs w:val="18"/>
              </w:rPr>
            </w:pPr>
            <w:r>
              <w:rPr>
                <w:rFonts w:ascii="Tahoma" w:hAnsi="Tahoma" w:cs="Tahoma"/>
                <w:b/>
                <w:bCs/>
                <w:i w:val="0"/>
                <w:sz w:val="18"/>
                <w:szCs w:val="18"/>
                <w:lang w:val="en-US"/>
              </w:rPr>
              <w:t>200</w:t>
            </w:r>
            <w:r>
              <w:rPr>
                <w:rFonts w:ascii="Tahoma" w:hAnsi="Tahoma" w:cs="Tahoma"/>
                <w:b/>
                <w:bCs/>
                <w:i w:val="0"/>
                <w:sz w:val="18"/>
                <w:szCs w:val="18"/>
              </w:rPr>
              <w:t>9</w:t>
            </w:r>
          </w:p>
        </w:tc>
        <w:tc>
          <w:tcPr>
            <w:tcW w:w="794" w:type="dxa"/>
            <w:tcBorders>
              <w:top w:val="single" w:sz="12" w:space="0" w:color="000000"/>
              <w:bottom w:val="single" w:sz="12" w:space="0" w:color="000000"/>
              <w:right w:val="nil"/>
            </w:tcBorders>
            <w:vAlign w:val="bottom"/>
          </w:tcPr>
          <w:p w:rsidR="00652F81" w:rsidRPr="008B5261" w:rsidRDefault="00652F81" w:rsidP="00652F81">
            <w:pPr>
              <w:jc w:val="center"/>
              <w:cnfStyle w:val="100000000000"/>
              <w:rPr>
                <w:rFonts w:ascii="Tahoma" w:hAnsi="Tahoma" w:cs="Tahoma"/>
                <w:b/>
                <w:bCs/>
                <w:i w:val="0"/>
                <w:sz w:val="18"/>
                <w:szCs w:val="18"/>
              </w:rPr>
            </w:pPr>
            <w:r w:rsidRPr="008B5261">
              <w:rPr>
                <w:rFonts w:ascii="Tahoma" w:hAnsi="Tahoma" w:cs="Tahoma"/>
                <w:b/>
                <w:bCs/>
                <w:i w:val="0"/>
                <w:sz w:val="18"/>
                <w:szCs w:val="18"/>
              </w:rPr>
              <w:t>20</w:t>
            </w:r>
            <w:r>
              <w:rPr>
                <w:rFonts w:ascii="Tahoma" w:hAnsi="Tahoma" w:cs="Tahoma"/>
                <w:b/>
                <w:bCs/>
                <w:i w:val="0"/>
                <w:sz w:val="18"/>
                <w:szCs w:val="18"/>
              </w:rPr>
              <w:t>10</w:t>
            </w:r>
          </w:p>
        </w:tc>
        <w:tc>
          <w:tcPr>
            <w:tcW w:w="888" w:type="dxa"/>
            <w:tcBorders>
              <w:top w:val="single" w:sz="12" w:space="0" w:color="000000"/>
              <w:left w:val="nil"/>
              <w:bottom w:val="single" w:sz="12" w:space="0" w:color="000000"/>
              <w:right w:val="double" w:sz="4" w:space="0" w:color="auto"/>
            </w:tcBorders>
            <w:vAlign w:val="bottom"/>
          </w:tcPr>
          <w:p w:rsidR="00652F81" w:rsidRPr="008160E1" w:rsidRDefault="00652F81" w:rsidP="00652F81">
            <w:pPr>
              <w:jc w:val="center"/>
              <w:cnfStyle w:val="100000000000"/>
              <w:rPr>
                <w:rFonts w:ascii="Tahoma" w:hAnsi="Tahoma" w:cs="Tahoma"/>
                <w:b/>
                <w:i w:val="0"/>
                <w:sz w:val="18"/>
                <w:szCs w:val="18"/>
                <w:lang w:val="fr-FR"/>
              </w:rPr>
            </w:pPr>
            <w:r>
              <w:rPr>
                <w:rFonts w:ascii="Tahoma" w:hAnsi="Tahoma" w:cs="Tahoma"/>
                <w:b/>
                <w:i w:val="0"/>
                <w:sz w:val="18"/>
                <w:szCs w:val="18"/>
                <w:lang w:val="fr-FR"/>
              </w:rPr>
              <w:t>2011</w:t>
            </w:r>
          </w:p>
        </w:tc>
        <w:tc>
          <w:tcPr>
            <w:tcW w:w="888" w:type="dxa"/>
            <w:tcBorders>
              <w:top w:val="single" w:sz="12" w:space="0" w:color="000000"/>
              <w:left w:val="double" w:sz="4" w:space="0" w:color="auto"/>
              <w:bottom w:val="single" w:sz="12" w:space="0" w:color="000000"/>
            </w:tcBorders>
            <w:vAlign w:val="bottom"/>
          </w:tcPr>
          <w:p w:rsidR="00652F81" w:rsidRPr="00947056" w:rsidRDefault="00652F81" w:rsidP="00652F81">
            <w:pPr>
              <w:jc w:val="center"/>
              <w:cnfStyle w:val="100000000000"/>
              <w:rPr>
                <w:rFonts w:ascii="Tahoma" w:hAnsi="Tahoma" w:cs="Tahoma"/>
                <w:b/>
                <w:i w:val="0"/>
                <w:sz w:val="18"/>
                <w:szCs w:val="18"/>
              </w:rPr>
            </w:pPr>
            <w:r>
              <w:rPr>
                <w:rFonts w:ascii="Tahoma" w:hAnsi="Tahoma" w:cs="Tahoma"/>
                <w:b/>
                <w:i w:val="0"/>
                <w:sz w:val="18"/>
                <w:szCs w:val="18"/>
                <w:lang w:val="fr-FR"/>
              </w:rPr>
              <w:t>201</w:t>
            </w:r>
            <w:r>
              <w:rPr>
                <w:rFonts w:ascii="Tahoma" w:hAnsi="Tahoma" w:cs="Tahoma"/>
                <w:b/>
                <w:i w:val="0"/>
                <w:sz w:val="18"/>
                <w:szCs w:val="18"/>
              </w:rPr>
              <w:t>1</w:t>
            </w:r>
          </w:p>
          <w:p w:rsidR="00652F81" w:rsidRPr="00947056" w:rsidRDefault="00652F81" w:rsidP="00652F81">
            <w:pPr>
              <w:jc w:val="center"/>
              <w:cnfStyle w:val="100000000000"/>
              <w:rPr>
                <w:rFonts w:ascii="Tahoma" w:hAnsi="Tahoma" w:cs="Tahoma"/>
                <w:i w:val="0"/>
                <w:sz w:val="14"/>
                <w:szCs w:val="14"/>
              </w:rPr>
            </w:pPr>
            <w:r w:rsidRPr="008160E1">
              <w:rPr>
                <w:rFonts w:ascii="Tahoma" w:hAnsi="Tahoma" w:cs="Tahoma"/>
                <w:i w:val="0"/>
                <w:sz w:val="14"/>
                <w:szCs w:val="14"/>
              </w:rPr>
              <w:t>Ιαν</w:t>
            </w:r>
            <w:r w:rsidRPr="008160E1">
              <w:rPr>
                <w:rFonts w:ascii="Tahoma" w:hAnsi="Tahoma" w:cs="Tahoma"/>
                <w:i w:val="0"/>
                <w:sz w:val="14"/>
                <w:szCs w:val="14"/>
                <w:lang w:val="fr-FR"/>
              </w:rPr>
              <w:t>-</w:t>
            </w:r>
            <w:r>
              <w:rPr>
                <w:rFonts w:ascii="Tahoma" w:hAnsi="Tahoma" w:cs="Tahoma"/>
                <w:i w:val="0"/>
                <w:sz w:val="14"/>
                <w:szCs w:val="14"/>
              </w:rPr>
              <w:t>Φεβ</w:t>
            </w:r>
          </w:p>
        </w:tc>
        <w:tc>
          <w:tcPr>
            <w:cnfStyle w:val="000000001000"/>
            <w:tcW w:w="900" w:type="dxa"/>
            <w:tcBorders>
              <w:top w:val="single" w:sz="12" w:space="0" w:color="000000"/>
              <w:bottom w:val="single" w:sz="12" w:space="0" w:color="000000"/>
            </w:tcBorders>
            <w:vAlign w:val="bottom"/>
          </w:tcPr>
          <w:p w:rsidR="00652F81" w:rsidRPr="008160E1" w:rsidRDefault="00652F81" w:rsidP="00652F81">
            <w:pPr>
              <w:jc w:val="center"/>
              <w:rPr>
                <w:rFonts w:ascii="Tahoma" w:hAnsi="Tahoma" w:cs="Tahoma"/>
                <w:sz w:val="18"/>
                <w:szCs w:val="18"/>
              </w:rPr>
            </w:pPr>
            <w:r w:rsidRPr="008160E1">
              <w:rPr>
                <w:rFonts w:ascii="Tahoma" w:hAnsi="Tahoma" w:cs="Tahoma"/>
                <w:sz w:val="18"/>
                <w:szCs w:val="18"/>
                <w:lang w:val="fr-FR"/>
              </w:rPr>
              <w:t>20</w:t>
            </w:r>
            <w:r>
              <w:rPr>
                <w:rFonts w:ascii="Tahoma" w:hAnsi="Tahoma" w:cs="Tahoma"/>
                <w:sz w:val="18"/>
                <w:szCs w:val="18"/>
                <w:lang w:val="fr-FR"/>
              </w:rPr>
              <w:t>1</w:t>
            </w:r>
            <w:r>
              <w:rPr>
                <w:rFonts w:ascii="Tahoma" w:hAnsi="Tahoma" w:cs="Tahoma"/>
                <w:sz w:val="18"/>
                <w:szCs w:val="18"/>
              </w:rPr>
              <w:t>2</w:t>
            </w:r>
          </w:p>
          <w:p w:rsidR="00652F81" w:rsidRPr="008160E1" w:rsidRDefault="00652F81" w:rsidP="00652F81">
            <w:pPr>
              <w:jc w:val="center"/>
              <w:rPr>
                <w:rFonts w:ascii="Tahoma" w:hAnsi="Tahoma" w:cs="Tahoma"/>
                <w:b w:val="0"/>
                <w:sz w:val="18"/>
                <w:szCs w:val="18"/>
              </w:rPr>
            </w:pPr>
            <w:r w:rsidRPr="008160E1">
              <w:rPr>
                <w:rFonts w:ascii="Tahoma" w:hAnsi="Tahoma" w:cs="Tahoma"/>
                <w:b w:val="0"/>
                <w:sz w:val="14"/>
                <w:szCs w:val="14"/>
              </w:rPr>
              <w:t>Ιαν</w:t>
            </w:r>
            <w:r w:rsidRPr="008160E1">
              <w:rPr>
                <w:rFonts w:ascii="Tahoma" w:hAnsi="Tahoma" w:cs="Tahoma"/>
                <w:b w:val="0"/>
                <w:sz w:val="14"/>
                <w:szCs w:val="14"/>
                <w:lang w:val="fr-FR"/>
              </w:rPr>
              <w:t>-</w:t>
            </w:r>
            <w:r>
              <w:rPr>
                <w:rFonts w:ascii="Tahoma" w:hAnsi="Tahoma" w:cs="Tahoma"/>
                <w:b w:val="0"/>
                <w:sz w:val="14"/>
                <w:szCs w:val="14"/>
              </w:rPr>
              <w:t>Φεβ</w:t>
            </w:r>
          </w:p>
        </w:tc>
      </w:tr>
      <w:tr w:rsidR="00652F81" w:rsidRPr="008160E1" w:rsidTr="00652F81">
        <w:tc>
          <w:tcPr>
            <w:cnfStyle w:val="001000000000"/>
            <w:tcW w:w="837" w:type="dxa"/>
            <w:tcBorders>
              <w:top w:val="single" w:sz="12" w:space="0" w:color="000000"/>
              <w:bottom w:val="dotted" w:sz="4" w:space="0" w:color="auto"/>
              <w:right w:val="nil"/>
            </w:tcBorders>
          </w:tcPr>
          <w:p w:rsidR="00652F81" w:rsidRPr="008160E1" w:rsidRDefault="00652F81" w:rsidP="00652F81">
            <w:pPr>
              <w:rPr>
                <w:rFonts w:ascii="Tahoma" w:hAnsi="Tahoma" w:cs="Tahoma"/>
                <w:b/>
                <w:bCs/>
                <w:lang w:val="fr-FR"/>
              </w:rPr>
            </w:pPr>
            <w:r w:rsidRPr="008160E1">
              <w:rPr>
                <w:rFonts w:ascii="Tahoma" w:hAnsi="Tahoma" w:cs="Tahoma"/>
                <w:b/>
                <w:bCs/>
                <w:lang w:val="fr-FR"/>
              </w:rPr>
              <w:t>EU27</w:t>
            </w:r>
          </w:p>
        </w:tc>
        <w:tc>
          <w:tcPr>
            <w:tcW w:w="784" w:type="dxa"/>
            <w:tcBorders>
              <w:top w:val="single" w:sz="12" w:space="0" w:color="000000"/>
              <w:bottom w:val="dotted" w:sz="4" w:space="0" w:color="auto"/>
            </w:tcBorders>
            <w:vAlign w:val="bottom"/>
          </w:tcPr>
          <w:p w:rsidR="00652F81" w:rsidRPr="008160E1" w:rsidRDefault="00652F81" w:rsidP="00652F81">
            <w:pPr>
              <w:jc w:val="right"/>
              <w:cnfStyle w:val="000000000000"/>
              <w:rPr>
                <w:rFonts w:ascii="Tahoma" w:hAnsi="Tahoma" w:cs="Tahoma"/>
                <w:lang w:val="fr-FR"/>
              </w:rPr>
            </w:pPr>
            <w:r w:rsidRPr="008160E1">
              <w:rPr>
                <w:rFonts w:ascii="Tahoma" w:hAnsi="Tahoma" w:cs="Tahoma"/>
                <w:lang w:val="fr-FR"/>
              </w:rPr>
              <w:t>2,3</w:t>
            </w:r>
          </w:p>
        </w:tc>
        <w:tc>
          <w:tcPr>
            <w:tcW w:w="784" w:type="dxa"/>
            <w:tcBorders>
              <w:top w:val="single" w:sz="12" w:space="0" w:color="000000"/>
              <w:bottom w:val="dotted" w:sz="4" w:space="0" w:color="auto"/>
            </w:tcBorders>
            <w:vAlign w:val="bottom"/>
          </w:tcPr>
          <w:p w:rsidR="00652F81" w:rsidRPr="008160E1" w:rsidRDefault="00652F81" w:rsidP="00652F81">
            <w:pPr>
              <w:jc w:val="right"/>
              <w:cnfStyle w:val="000000000000"/>
              <w:rPr>
                <w:rFonts w:ascii="Tahoma" w:hAnsi="Tahoma" w:cs="Tahoma"/>
                <w:lang w:val="fr-FR"/>
              </w:rPr>
            </w:pPr>
            <w:r w:rsidRPr="008160E1">
              <w:rPr>
                <w:rFonts w:ascii="Tahoma" w:hAnsi="Tahoma" w:cs="Tahoma"/>
                <w:lang w:val="fr-FR"/>
              </w:rPr>
              <w:t>2,3</w:t>
            </w:r>
          </w:p>
        </w:tc>
        <w:tc>
          <w:tcPr>
            <w:tcW w:w="784" w:type="dxa"/>
            <w:tcBorders>
              <w:top w:val="single" w:sz="12" w:space="0" w:color="000000"/>
              <w:bottom w:val="dotted" w:sz="4" w:space="0" w:color="auto"/>
            </w:tcBorders>
            <w:vAlign w:val="bottom"/>
          </w:tcPr>
          <w:p w:rsidR="00652F81" w:rsidRPr="008160E1" w:rsidRDefault="00652F81" w:rsidP="00652F81">
            <w:pPr>
              <w:jc w:val="right"/>
              <w:cnfStyle w:val="000000000000"/>
              <w:rPr>
                <w:rFonts w:ascii="Tahoma" w:hAnsi="Tahoma" w:cs="Tahoma"/>
                <w:lang w:val="fr-FR"/>
              </w:rPr>
            </w:pPr>
            <w:r w:rsidRPr="008160E1">
              <w:rPr>
                <w:rFonts w:ascii="Tahoma" w:hAnsi="Tahoma" w:cs="Tahoma"/>
                <w:lang w:val="fr-FR"/>
              </w:rPr>
              <w:t>2,3</w:t>
            </w:r>
          </w:p>
        </w:tc>
        <w:tc>
          <w:tcPr>
            <w:tcW w:w="784" w:type="dxa"/>
            <w:tcBorders>
              <w:top w:val="single" w:sz="12" w:space="0" w:color="000000"/>
              <w:bottom w:val="dotted" w:sz="4" w:space="0" w:color="auto"/>
            </w:tcBorders>
            <w:vAlign w:val="bottom"/>
          </w:tcPr>
          <w:p w:rsidR="00652F81" w:rsidRPr="008160E1" w:rsidRDefault="00652F81" w:rsidP="00652F81">
            <w:pPr>
              <w:jc w:val="right"/>
              <w:cnfStyle w:val="000000000000"/>
              <w:rPr>
                <w:rFonts w:ascii="Tahoma" w:hAnsi="Tahoma" w:cs="Tahoma"/>
                <w:lang w:val="fr-FR"/>
              </w:rPr>
            </w:pPr>
            <w:r w:rsidRPr="008160E1">
              <w:rPr>
                <w:rFonts w:ascii="Tahoma" w:hAnsi="Tahoma" w:cs="Tahoma"/>
                <w:lang w:val="fr-FR"/>
              </w:rPr>
              <w:t>2,4</w:t>
            </w:r>
          </w:p>
        </w:tc>
        <w:tc>
          <w:tcPr>
            <w:tcW w:w="794" w:type="dxa"/>
            <w:tcBorders>
              <w:top w:val="single" w:sz="12" w:space="0" w:color="000000"/>
              <w:bottom w:val="dotted" w:sz="4" w:space="0" w:color="auto"/>
            </w:tcBorders>
            <w:vAlign w:val="bottom"/>
          </w:tcPr>
          <w:p w:rsidR="00652F81" w:rsidRPr="008160E1" w:rsidRDefault="00652F81" w:rsidP="00652F81">
            <w:pPr>
              <w:jc w:val="right"/>
              <w:cnfStyle w:val="000000000000"/>
              <w:rPr>
                <w:rFonts w:ascii="Tahoma" w:hAnsi="Tahoma" w:cs="Tahoma"/>
                <w:lang w:val="fr-FR"/>
              </w:rPr>
            </w:pPr>
            <w:r w:rsidRPr="008160E1">
              <w:rPr>
                <w:rFonts w:ascii="Tahoma" w:hAnsi="Tahoma" w:cs="Tahoma"/>
                <w:lang w:val="fr-FR"/>
              </w:rPr>
              <w:t>3,7</w:t>
            </w:r>
          </w:p>
        </w:tc>
        <w:tc>
          <w:tcPr>
            <w:tcW w:w="794" w:type="dxa"/>
            <w:tcBorders>
              <w:top w:val="single" w:sz="12" w:space="0" w:color="000000"/>
              <w:bottom w:val="dotted" w:sz="4" w:space="0" w:color="auto"/>
            </w:tcBorders>
            <w:vAlign w:val="bottom"/>
          </w:tcPr>
          <w:p w:rsidR="00652F81" w:rsidRPr="008160E1" w:rsidRDefault="00652F81" w:rsidP="00652F81">
            <w:pPr>
              <w:jc w:val="right"/>
              <w:cnfStyle w:val="000000000000"/>
              <w:rPr>
                <w:rFonts w:ascii="Tahoma" w:hAnsi="Tahoma" w:cs="Tahoma"/>
                <w:lang w:val="fr-FR"/>
              </w:rPr>
            </w:pPr>
            <w:r w:rsidRPr="008160E1">
              <w:rPr>
                <w:rFonts w:ascii="Tahoma" w:hAnsi="Tahoma" w:cs="Tahoma"/>
                <w:lang w:val="fr-FR"/>
              </w:rPr>
              <w:t>1,0</w:t>
            </w:r>
          </w:p>
        </w:tc>
        <w:tc>
          <w:tcPr>
            <w:tcW w:w="794" w:type="dxa"/>
            <w:tcBorders>
              <w:top w:val="single" w:sz="12" w:space="0" w:color="000000"/>
              <w:bottom w:val="dotted" w:sz="4" w:space="0" w:color="auto"/>
              <w:right w:val="nil"/>
            </w:tcBorders>
            <w:vAlign w:val="bottom"/>
          </w:tcPr>
          <w:p w:rsidR="00652F81" w:rsidRPr="002E51BA" w:rsidRDefault="00652F81" w:rsidP="00652F81">
            <w:pPr>
              <w:jc w:val="right"/>
              <w:cnfStyle w:val="000000000000"/>
              <w:rPr>
                <w:rFonts w:ascii="Tahoma" w:hAnsi="Tahoma" w:cs="Tahoma"/>
              </w:rPr>
            </w:pPr>
            <w:r>
              <w:rPr>
                <w:rFonts w:ascii="Tahoma" w:hAnsi="Tahoma" w:cs="Tahoma"/>
              </w:rPr>
              <w:t>2,1</w:t>
            </w:r>
          </w:p>
        </w:tc>
        <w:tc>
          <w:tcPr>
            <w:tcW w:w="888" w:type="dxa"/>
            <w:tcBorders>
              <w:top w:val="single" w:sz="12" w:space="0" w:color="000000"/>
              <w:left w:val="nil"/>
              <w:bottom w:val="dotted" w:sz="4" w:space="0" w:color="auto"/>
              <w:right w:val="double" w:sz="4" w:space="0" w:color="auto"/>
            </w:tcBorders>
            <w:vAlign w:val="bottom"/>
          </w:tcPr>
          <w:p w:rsidR="00652F81" w:rsidRDefault="00652F81" w:rsidP="00652F81">
            <w:pPr>
              <w:jc w:val="right"/>
              <w:cnfStyle w:val="000000000000"/>
              <w:rPr>
                <w:rFonts w:ascii="Tahoma" w:hAnsi="Tahoma" w:cs="Tahoma"/>
              </w:rPr>
            </w:pPr>
            <w:r>
              <w:rPr>
                <w:rFonts w:ascii="Tahoma" w:hAnsi="Tahoma" w:cs="Tahoma"/>
              </w:rPr>
              <w:t>3,1</w:t>
            </w:r>
          </w:p>
        </w:tc>
        <w:tc>
          <w:tcPr>
            <w:tcW w:w="888" w:type="dxa"/>
            <w:tcBorders>
              <w:top w:val="single" w:sz="12" w:space="0" w:color="000000"/>
              <w:left w:val="double" w:sz="4" w:space="0" w:color="auto"/>
              <w:bottom w:val="dotted" w:sz="4" w:space="0" w:color="auto"/>
            </w:tcBorders>
          </w:tcPr>
          <w:p w:rsidR="00652F81" w:rsidRPr="0007216F" w:rsidRDefault="00652F81" w:rsidP="00652F81">
            <w:pPr>
              <w:jc w:val="right"/>
              <w:cnfStyle w:val="000000000000"/>
              <w:rPr>
                <w:rFonts w:ascii="Tahoma" w:hAnsi="Tahoma" w:cs="Tahoma"/>
              </w:rPr>
            </w:pPr>
            <w:r>
              <w:rPr>
                <w:rFonts w:ascii="Tahoma" w:hAnsi="Tahoma" w:cs="Tahoma"/>
              </w:rPr>
              <w:t>2,8</w:t>
            </w:r>
          </w:p>
        </w:tc>
        <w:tc>
          <w:tcPr>
            <w:tcW w:w="900" w:type="dxa"/>
            <w:tcBorders>
              <w:top w:val="single" w:sz="12" w:space="0" w:color="000000"/>
              <w:bottom w:val="dotted" w:sz="4" w:space="0" w:color="auto"/>
            </w:tcBorders>
          </w:tcPr>
          <w:p w:rsidR="00652F81" w:rsidRPr="0007216F" w:rsidRDefault="00652F81" w:rsidP="00652F81">
            <w:pPr>
              <w:jc w:val="right"/>
              <w:cnfStyle w:val="000000000000"/>
              <w:rPr>
                <w:rFonts w:ascii="Tahoma" w:hAnsi="Tahoma" w:cs="Tahoma"/>
              </w:rPr>
            </w:pPr>
            <w:r>
              <w:rPr>
                <w:rFonts w:ascii="Tahoma" w:hAnsi="Tahoma" w:cs="Tahoma"/>
              </w:rPr>
              <w:t>2,9</w:t>
            </w:r>
          </w:p>
        </w:tc>
      </w:tr>
      <w:tr w:rsidR="00652F81" w:rsidRPr="008160E1" w:rsidTr="00652F81">
        <w:tc>
          <w:tcPr>
            <w:cnfStyle w:val="001000000000"/>
            <w:tcW w:w="837" w:type="dxa"/>
            <w:tcBorders>
              <w:top w:val="dotted" w:sz="4" w:space="0" w:color="auto"/>
              <w:bottom w:val="dotted" w:sz="4" w:space="0" w:color="auto"/>
              <w:right w:val="nil"/>
            </w:tcBorders>
          </w:tcPr>
          <w:p w:rsidR="00652F81" w:rsidRPr="008160E1" w:rsidRDefault="00652F81" w:rsidP="00652F81">
            <w:pPr>
              <w:rPr>
                <w:rFonts w:ascii="Tahoma" w:hAnsi="Tahoma" w:cs="Tahoma"/>
                <w:b/>
                <w:bCs/>
                <w:lang w:val="fr-FR"/>
              </w:rPr>
            </w:pPr>
            <w:r w:rsidRPr="008160E1">
              <w:rPr>
                <w:rFonts w:ascii="Tahoma" w:hAnsi="Tahoma" w:cs="Tahoma"/>
                <w:b/>
                <w:bCs/>
                <w:lang w:val="fr-FR"/>
              </w:rPr>
              <w:t>EU25</w:t>
            </w:r>
          </w:p>
        </w:tc>
        <w:tc>
          <w:tcPr>
            <w:tcW w:w="784" w:type="dxa"/>
            <w:tcBorders>
              <w:top w:val="dotted" w:sz="4" w:space="0" w:color="auto"/>
              <w:bottom w:val="dotted" w:sz="4" w:space="0" w:color="auto"/>
            </w:tcBorders>
            <w:vAlign w:val="bottom"/>
          </w:tcPr>
          <w:p w:rsidR="00652F81" w:rsidRPr="008160E1" w:rsidRDefault="00652F81" w:rsidP="00652F81">
            <w:pPr>
              <w:jc w:val="right"/>
              <w:cnfStyle w:val="000000000000"/>
              <w:rPr>
                <w:rFonts w:ascii="Tahoma" w:hAnsi="Tahoma" w:cs="Tahoma"/>
                <w:lang w:val="fr-FR"/>
              </w:rPr>
            </w:pPr>
            <w:r w:rsidRPr="008160E1">
              <w:rPr>
                <w:rFonts w:ascii="Tahoma" w:hAnsi="Tahoma" w:cs="Tahoma"/>
                <w:lang w:val="fr-FR"/>
              </w:rPr>
              <w:t>2,1</w:t>
            </w:r>
          </w:p>
        </w:tc>
        <w:tc>
          <w:tcPr>
            <w:tcW w:w="784" w:type="dxa"/>
            <w:tcBorders>
              <w:top w:val="dotted" w:sz="4" w:space="0" w:color="auto"/>
              <w:bottom w:val="dotted" w:sz="4" w:space="0" w:color="auto"/>
            </w:tcBorders>
            <w:vAlign w:val="bottom"/>
          </w:tcPr>
          <w:p w:rsidR="00652F81" w:rsidRPr="008160E1" w:rsidRDefault="00652F81" w:rsidP="00652F81">
            <w:pPr>
              <w:jc w:val="right"/>
              <w:cnfStyle w:val="000000000000"/>
              <w:rPr>
                <w:rFonts w:ascii="Tahoma" w:hAnsi="Tahoma" w:cs="Tahoma"/>
                <w:lang w:val="fr-FR"/>
              </w:rPr>
            </w:pPr>
            <w:r w:rsidRPr="008160E1">
              <w:rPr>
                <w:rFonts w:ascii="Tahoma" w:hAnsi="Tahoma" w:cs="Tahoma"/>
                <w:lang w:val="fr-FR"/>
              </w:rPr>
              <w:t>2,2</w:t>
            </w:r>
          </w:p>
        </w:tc>
        <w:tc>
          <w:tcPr>
            <w:tcW w:w="784" w:type="dxa"/>
            <w:tcBorders>
              <w:top w:val="dotted" w:sz="4" w:space="0" w:color="auto"/>
              <w:bottom w:val="dotted" w:sz="4" w:space="0" w:color="auto"/>
            </w:tcBorders>
            <w:vAlign w:val="bottom"/>
          </w:tcPr>
          <w:p w:rsidR="00652F81" w:rsidRPr="008160E1" w:rsidRDefault="00652F81" w:rsidP="00652F81">
            <w:pPr>
              <w:jc w:val="right"/>
              <w:cnfStyle w:val="000000000000"/>
              <w:rPr>
                <w:rFonts w:ascii="Tahoma" w:hAnsi="Tahoma" w:cs="Tahoma"/>
                <w:lang w:val="fr-FR"/>
              </w:rPr>
            </w:pPr>
            <w:r w:rsidRPr="008160E1">
              <w:rPr>
                <w:rFonts w:ascii="Tahoma" w:hAnsi="Tahoma" w:cs="Tahoma"/>
                <w:lang w:val="fr-FR"/>
              </w:rPr>
              <w:t>2,2</w:t>
            </w:r>
          </w:p>
        </w:tc>
        <w:tc>
          <w:tcPr>
            <w:tcW w:w="784" w:type="dxa"/>
            <w:tcBorders>
              <w:top w:val="dotted" w:sz="4" w:space="0" w:color="auto"/>
              <w:bottom w:val="dotted" w:sz="4" w:space="0" w:color="auto"/>
            </w:tcBorders>
            <w:vAlign w:val="bottom"/>
          </w:tcPr>
          <w:p w:rsidR="00652F81" w:rsidRPr="008160E1" w:rsidRDefault="00652F81" w:rsidP="00652F81">
            <w:pPr>
              <w:jc w:val="right"/>
              <w:cnfStyle w:val="000000000000"/>
              <w:rPr>
                <w:rFonts w:ascii="Tahoma" w:hAnsi="Tahoma" w:cs="Tahoma"/>
                <w:lang w:val="fr-FR"/>
              </w:rPr>
            </w:pPr>
            <w:r w:rsidRPr="008160E1">
              <w:rPr>
                <w:rFonts w:ascii="Tahoma" w:hAnsi="Tahoma" w:cs="Tahoma"/>
                <w:lang w:val="fr-FR"/>
              </w:rPr>
              <w:t>2,3</w:t>
            </w:r>
          </w:p>
        </w:tc>
        <w:tc>
          <w:tcPr>
            <w:tcW w:w="794" w:type="dxa"/>
            <w:tcBorders>
              <w:top w:val="dotted" w:sz="4" w:space="0" w:color="auto"/>
              <w:bottom w:val="dotted" w:sz="4" w:space="0" w:color="auto"/>
            </w:tcBorders>
            <w:vAlign w:val="bottom"/>
          </w:tcPr>
          <w:p w:rsidR="00652F81" w:rsidRPr="008160E1" w:rsidRDefault="00652F81" w:rsidP="00652F81">
            <w:pPr>
              <w:jc w:val="right"/>
              <w:cnfStyle w:val="000000000000"/>
              <w:rPr>
                <w:rFonts w:ascii="Tahoma" w:hAnsi="Tahoma" w:cs="Tahoma"/>
                <w:lang w:val="fr-FR"/>
              </w:rPr>
            </w:pPr>
            <w:r w:rsidRPr="008160E1">
              <w:rPr>
                <w:rFonts w:ascii="Tahoma" w:hAnsi="Tahoma" w:cs="Tahoma"/>
                <w:lang w:val="fr-FR"/>
              </w:rPr>
              <w:t>3,5</w:t>
            </w:r>
          </w:p>
        </w:tc>
        <w:tc>
          <w:tcPr>
            <w:tcW w:w="794" w:type="dxa"/>
            <w:tcBorders>
              <w:top w:val="dotted" w:sz="4" w:space="0" w:color="auto"/>
              <w:bottom w:val="dotted" w:sz="4" w:space="0" w:color="auto"/>
            </w:tcBorders>
            <w:vAlign w:val="bottom"/>
          </w:tcPr>
          <w:p w:rsidR="00652F81" w:rsidRPr="008160E1" w:rsidRDefault="00652F81" w:rsidP="00652F81">
            <w:pPr>
              <w:jc w:val="right"/>
              <w:cnfStyle w:val="000000000000"/>
              <w:rPr>
                <w:rFonts w:ascii="Tahoma" w:hAnsi="Tahoma" w:cs="Tahoma"/>
                <w:lang w:val="fr-FR"/>
              </w:rPr>
            </w:pPr>
            <w:r w:rsidRPr="008160E1">
              <w:rPr>
                <w:rFonts w:ascii="Tahoma" w:hAnsi="Tahoma" w:cs="Tahoma"/>
                <w:lang w:val="fr-FR"/>
              </w:rPr>
              <w:t>0,9</w:t>
            </w:r>
          </w:p>
        </w:tc>
        <w:tc>
          <w:tcPr>
            <w:tcW w:w="794" w:type="dxa"/>
            <w:tcBorders>
              <w:top w:val="dotted" w:sz="4" w:space="0" w:color="auto"/>
              <w:bottom w:val="dotted" w:sz="4" w:space="0" w:color="auto"/>
              <w:right w:val="nil"/>
            </w:tcBorders>
            <w:vAlign w:val="bottom"/>
          </w:tcPr>
          <w:p w:rsidR="00652F81" w:rsidRPr="002E51BA" w:rsidRDefault="00652F81" w:rsidP="00652F81">
            <w:pPr>
              <w:jc w:val="right"/>
              <w:cnfStyle w:val="000000000000"/>
              <w:rPr>
                <w:rFonts w:ascii="Tahoma" w:hAnsi="Tahoma" w:cs="Tahoma"/>
              </w:rPr>
            </w:pPr>
            <w:r>
              <w:rPr>
                <w:rFonts w:ascii="Tahoma" w:hAnsi="Tahoma" w:cs="Tahoma"/>
              </w:rPr>
              <w:t>2,0</w:t>
            </w:r>
          </w:p>
        </w:tc>
        <w:tc>
          <w:tcPr>
            <w:tcW w:w="888" w:type="dxa"/>
            <w:tcBorders>
              <w:top w:val="dotted" w:sz="4" w:space="0" w:color="auto"/>
              <w:left w:val="nil"/>
              <w:bottom w:val="dotted" w:sz="4" w:space="0" w:color="auto"/>
              <w:right w:val="double" w:sz="4" w:space="0" w:color="auto"/>
            </w:tcBorders>
            <w:vAlign w:val="bottom"/>
          </w:tcPr>
          <w:p w:rsidR="00652F81" w:rsidRDefault="00652F81" w:rsidP="00652F81">
            <w:pPr>
              <w:jc w:val="right"/>
              <w:cnfStyle w:val="000000000000"/>
              <w:rPr>
                <w:rFonts w:ascii="Tahoma" w:hAnsi="Tahoma" w:cs="Tahoma"/>
              </w:rPr>
            </w:pPr>
            <w:r>
              <w:rPr>
                <w:rFonts w:ascii="Tahoma" w:hAnsi="Tahoma" w:cs="Tahoma"/>
              </w:rPr>
              <w:t>2,7</w:t>
            </w:r>
          </w:p>
        </w:tc>
        <w:tc>
          <w:tcPr>
            <w:tcW w:w="888" w:type="dxa"/>
            <w:tcBorders>
              <w:top w:val="dotted" w:sz="4" w:space="0" w:color="auto"/>
              <w:left w:val="double" w:sz="4" w:space="0" w:color="auto"/>
              <w:bottom w:val="dotted" w:sz="4" w:space="0" w:color="auto"/>
            </w:tcBorders>
          </w:tcPr>
          <w:p w:rsidR="00652F81" w:rsidRPr="0007216F" w:rsidRDefault="00652F81" w:rsidP="00652F81">
            <w:pPr>
              <w:jc w:val="right"/>
              <w:cnfStyle w:val="000000000000"/>
              <w:rPr>
                <w:rFonts w:ascii="Tahoma" w:hAnsi="Tahoma" w:cs="Tahoma"/>
              </w:rPr>
            </w:pPr>
            <w:r>
              <w:rPr>
                <w:rFonts w:ascii="Tahoma" w:hAnsi="Tahoma" w:cs="Tahoma"/>
              </w:rPr>
              <w:t>2,8</w:t>
            </w:r>
          </w:p>
        </w:tc>
        <w:tc>
          <w:tcPr>
            <w:tcW w:w="900" w:type="dxa"/>
            <w:tcBorders>
              <w:top w:val="dotted" w:sz="4" w:space="0" w:color="auto"/>
              <w:bottom w:val="dotted" w:sz="4" w:space="0" w:color="auto"/>
            </w:tcBorders>
          </w:tcPr>
          <w:p w:rsidR="00652F81" w:rsidRPr="0007216F" w:rsidRDefault="00652F81" w:rsidP="00652F81">
            <w:pPr>
              <w:jc w:val="right"/>
              <w:cnfStyle w:val="000000000000"/>
              <w:rPr>
                <w:rFonts w:ascii="Tahoma" w:hAnsi="Tahoma" w:cs="Tahoma"/>
              </w:rPr>
            </w:pPr>
            <w:r>
              <w:rPr>
                <w:rFonts w:ascii="Tahoma" w:hAnsi="Tahoma" w:cs="Tahoma"/>
              </w:rPr>
              <w:t>2,9</w:t>
            </w:r>
          </w:p>
        </w:tc>
      </w:tr>
      <w:tr w:rsidR="00652F81" w:rsidRPr="008B5261" w:rsidTr="00652F81">
        <w:tc>
          <w:tcPr>
            <w:cnfStyle w:val="001000000000"/>
            <w:tcW w:w="837" w:type="dxa"/>
            <w:tcBorders>
              <w:top w:val="dotted" w:sz="4" w:space="0" w:color="auto"/>
              <w:bottom w:val="dotted" w:sz="4" w:space="0" w:color="auto"/>
              <w:right w:val="nil"/>
            </w:tcBorders>
          </w:tcPr>
          <w:p w:rsidR="00652F81" w:rsidRPr="008160E1" w:rsidRDefault="00652F81" w:rsidP="00652F81">
            <w:pPr>
              <w:rPr>
                <w:rFonts w:ascii="Tahoma" w:hAnsi="Tahoma" w:cs="Tahoma"/>
                <w:b/>
                <w:bCs/>
                <w:lang w:val="fr-FR"/>
              </w:rPr>
            </w:pPr>
            <w:r w:rsidRPr="008160E1">
              <w:rPr>
                <w:rFonts w:ascii="Tahoma" w:hAnsi="Tahoma" w:cs="Tahoma"/>
                <w:b/>
                <w:bCs/>
                <w:lang w:val="fr-FR"/>
              </w:rPr>
              <w:t>EU15</w:t>
            </w:r>
          </w:p>
        </w:tc>
        <w:tc>
          <w:tcPr>
            <w:tcW w:w="784" w:type="dxa"/>
            <w:tcBorders>
              <w:top w:val="dotted" w:sz="4" w:space="0" w:color="auto"/>
              <w:bottom w:val="dotted" w:sz="4" w:space="0" w:color="auto"/>
            </w:tcBorders>
            <w:vAlign w:val="bottom"/>
          </w:tcPr>
          <w:p w:rsidR="00652F81" w:rsidRPr="008160E1" w:rsidRDefault="00652F81" w:rsidP="00652F81">
            <w:pPr>
              <w:jc w:val="right"/>
              <w:cnfStyle w:val="000000000000"/>
              <w:rPr>
                <w:rFonts w:ascii="Tahoma" w:hAnsi="Tahoma" w:cs="Tahoma"/>
                <w:lang w:val="fr-FR"/>
              </w:rPr>
            </w:pPr>
            <w:r w:rsidRPr="008160E1">
              <w:rPr>
                <w:rFonts w:ascii="Tahoma" w:hAnsi="Tahoma" w:cs="Tahoma"/>
                <w:lang w:val="fr-FR"/>
              </w:rPr>
              <w:t>2,0</w:t>
            </w:r>
          </w:p>
        </w:tc>
        <w:tc>
          <w:tcPr>
            <w:tcW w:w="784" w:type="dxa"/>
            <w:tcBorders>
              <w:top w:val="dotted" w:sz="4" w:space="0" w:color="auto"/>
              <w:bottom w:val="dotted" w:sz="4" w:space="0" w:color="auto"/>
            </w:tcBorders>
            <w:vAlign w:val="bottom"/>
          </w:tcPr>
          <w:p w:rsidR="00652F81" w:rsidRPr="008160E1" w:rsidRDefault="00652F81" w:rsidP="00652F81">
            <w:pPr>
              <w:jc w:val="right"/>
              <w:cnfStyle w:val="000000000000"/>
              <w:rPr>
                <w:rFonts w:ascii="Tahoma" w:hAnsi="Tahoma" w:cs="Tahoma"/>
                <w:lang w:val="fr-FR"/>
              </w:rPr>
            </w:pPr>
            <w:r w:rsidRPr="008160E1">
              <w:rPr>
                <w:rFonts w:ascii="Tahoma" w:hAnsi="Tahoma" w:cs="Tahoma"/>
                <w:lang w:val="fr-FR"/>
              </w:rPr>
              <w:t>2,1</w:t>
            </w:r>
          </w:p>
        </w:tc>
        <w:tc>
          <w:tcPr>
            <w:tcW w:w="784" w:type="dxa"/>
            <w:tcBorders>
              <w:top w:val="dotted" w:sz="4" w:space="0" w:color="auto"/>
              <w:bottom w:val="dotted" w:sz="4" w:space="0" w:color="auto"/>
            </w:tcBorders>
            <w:vAlign w:val="bottom"/>
          </w:tcPr>
          <w:p w:rsidR="00652F81" w:rsidRPr="001D711A" w:rsidRDefault="00652F81" w:rsidP="00652F81">
            <w:pPr>
              <w:jc w:val="right"/>
              <w:cnfStyle w:val="000000000000"/>
              <w:rPr>
                <w:rFonts w:ascii="Tahoma" w:hAnsi="Tahoma" w:cs="Tahoma"/>
              </w:rPr>
            </w:pPr>
            <w:r>
              <w:rPr>
                <w:rFonts w:ascii="Tahoma" w:hAnsi="Tahoma" w:cs="Tahoma"/>
              </w:rPr>
              <w:t>2,2</w:t>
            </w:r>
          </w:p>
        </w:tc>
        <w:tc>
          <w:tcPr>
            <w:tcW w:w="784" w:type="dxa"/>
            <w:tcBorders>
              <w:top w:val="dotted" w:sz="4" w:space="0" w:color="auto"/>
              <w:bottom w:val="dotted" w:sz="4" w:space="0" w:color="auto"/>
            </w:tcBorders>
            <w:vAlign w:val="bottom"/>
          </w:tcPr>
          <w:p w:rsidR="00652F81" w:rsidRPr="001D711A" w:rsidRDefault="00652F81" w:rsidP="00652F81">
            <w:pPr>
              <w:jc w:val="right"/>
              <w:cnfStyle w:val="000000000000"/>
              <w:rPr>
                <w:rFonts w:ascii="Tahoma" w:hAnsi="Tahoma" w:cs="Tahoma"/>
              </w:rPr>
            </w:pPr>
            <w:r w:rsidRPr="001D711A">
              <w:rPr>
                <w:rFonts w:ascii="Tahoma" w:hAnsi="Tahoma" w:cs="Tahoma"/>
              </w:rPr>
              <w:t>:</w:t>
            </w:r>
          </w:p>
        </w:tc>
        <w:tc>
          <w:tcPr>
            <w:tcW w:w="794" w:type="dxa"/>
            <w:tcBorders>
              <w:top w:val="dotted" w:sz="4" w:space="0" w:color="auto"/>
              <w:bottom w:val="dotted" w:sz="4" w:space="0" w:color="auto"/>
            </w:tcBorders>
            <w:vAlign w:val="bottom"/>
          </w:tcPr>
          <w:p w:rsidR="00652F81" w:rsidRPr="001D711A" w:rsidRDefault="00652F81" w:rsidP="00652F81">
            <w:pPr>
              <w:jc w:val="right"/>
              <w:cnfStyle w:val="000000000000"/>
              <w:rPr>
                <w:rFonts w:ascii="Tahoma" w:hAnsi="Tahoma" w:cs="Tahoma"/>
              </w:rPr>
            </w:pPr>
            <w:r w:rsidRPr="001D711A">
              <w:rPr>
                <w:rFonts w:ascii="Tahoma" w:hAnsi="Tahoma" w:cs="Tahoma"/>
              </w:rPr>
              <w:t>:</w:t>
            </w:r>
          </w:p>
        </w:tc>
        <w:tc>
          <w:tcPr>
            <w:tcW w:w="794" w:type="dxa"/>
            <w:tcBorders>
              <w:top w:val="dotted" w:sz="4" w:space="0" w:color="auto"/>
              <w:bottom w:val="dotted" w:sz="4" w:space="0" w:color="auto"/>
            </w:tcBorders>
            <w:vAlign w:val="bottom"/>
          </w:tcPr>
          <w:p w:rsidR="00652F81" w:rsidRPr="001D711A" w:rsidRDefault="00652F81" w:rsidP="00652F81">
            <w:pPr>
              <w:jc w:val="right"/>
              <w:cnfStyle w:val="000000000000"/>
              <w:rPr>
                <w:rFonts w:ascii="Tahoma" w:hAnsi="Tahoma" w:cs="Tahoma"/>
              </w:rPr>
            </w:pPr>
            <w:r w:rsidRPr="001D711A">
              <w:rPr>
                <w:rFonts w:ascii="Tahoma" w:hAnsi="Tahoma" w:cs="Tahoma"/>
              </w:rPr>
              <w:t>:</w:t>
            </w:r>
          </w:p>
        </w:tc>
        <w:tc>
          <w:tcPr>
            <w:tcW w:w="794" w:type="dxa"/>
            <w:tcBorders>
              <w:top w:val="dotted" w:sz="4" w:space="0" w:color="auto"/>
              <w:bottom w:val="dotted" w:sz="4" w:space="0" w:color="auto"/>
              <w:right w:val="nil"/>
            </w:tcBorders>
            <w:vAlign w:val="bottom"/>
          </w:tcPr>
          <w:p w:rsidR="00652F81" w:rsidRPr="001D711A" w:rsidRDefault="00652F81" w:rsidP="00652F81">
            <w:pPr>
              <w:jc w:val="right"/>
              <w:cnfStyle w:val="000000000000"/>
              <w:rPr>
                <w:rFonts w:ascii="Tahoma" w:hAnsi="Tahoma" w:cs="Tahoma"/>
              </w:rPr>
            </w:pPr>
            <w:r>
              <w:rPr>
                <w:rFonts w:ascii="Tahoma" w:hAnsi="Tahoma" w:cs="Tahoma"/>
              </w:rPr>
              <w:t>:</w:t>
            </w:r>
          </w:p>
        </w:tc>
        <w:tc>
          <w:tcPr>
            <w:tcW w:w="888" w:type="dxa"/>
            <w:tcBorders>
              <w:top w:val="dotted" w:sz="4" w:space="0" w:color="auto"/>
              <w:left w:val="nil"/>
              <w:bottom w:val="dotted" w:sz="4" w:space="0" w:color="auto"/>
              <w:right w:val="double" w:sz="4" w:space="0" w:color="auto"/>
            </w:tcBorders>
            <w:vAlign w:val="bottom"/>
          </w:tcPr>
          <w:p w:rsidR="00652F81" w:rsidRDefault="00652F81" w:rsidP="00652F81">
            <w:pPr>
              <w:jc w:val="right"/>
              <w:cnfStyle w:val="000000000000"/>
              <w:rPr>
                <w:rFonts w:ascii="Tahoma" w:hAnsi="Tahoma" w:cs="Tahoma"/>
              </w:rPr>
            </w:pPr>
            <w:r>
              <w:rPr>
                <w:rFonts w:ascii="Tahoma" w:hAnsi="Tahoma" w:cs="Tahoma"/>
              </w:rPr>
              <w:t>:</w:t>
            </w:r>
          </w:p>
        </w:tc>
        <w:tc>
          <w:tcPr>
            <w:tcW w:w="888" w:type="dxa"/>
            <w:tcBorders>
              <w:top w:val="dotted" w:sz="4" w:space="0" w:color="auto"/>
              <w:left w:val="double" w:sz="4" w:space="0" w:color="auto"/>
              <w:bottom w:val="dotted" w:sz="4" w:space="0" w:color="auto"/>
            </w:tcBorders>
          </w:tcPr>
          <w:p w:rsidR="00652F81" w:rsidRPr="0007216F" w:rsidRDefault="00652F81" w:rsidP="00652F81">
            <w:pPr>
              <w:jc w:val="right"/>
              <w:cnfStyle w:val="000000000000"/>
              <w:rPr>
                <w:rFonts w:ascii="Tahoma" w:hAnsi="Tahoma" w:cs="Tahoma"/>
              </w:rPr>
            </w:pPr>
            <w:r>
              <w:rPr>
                <w:rFonts w:ascii="Tahoma" w:hAnsi="Tahoma" w:cs="Tahoma"/>
              </w:rPr>
              <w:t>:</w:t>
            </w:r>
          </w:p>
        </w:tc>
        <w:tc>
          <w:tcPr>
            <w:tcW w:w="900" w:type="dxa"/>
            <w:tcBorders>
              <w:top w:val="dotted" w:sz="4" w:space="0" w:color="auto"/>
              <w:bottom w:val="dotted" w:sz="4" w:space="0" w:color="auto"/>
            </w:tcBorders>
          </w:tcPr>
          <w:p w:rsidR="00652F81" w:rsidRPr="0007216F" w:rsidRDefault="00652F81" w:rsidP="00652F81">
            <w:pPr>
              <w:jc w:val="right"/>
              <w:cnfStyle w:val="000000000000"/>
              <w:rPr>
                <w:rFonts w:ascii="Tahoma" w:hAnsi="Tahoma" w:cs="Tahoma"/>
              </w:rPr>
            </w:pPr>
            <w:r>
              <w:rPr>
                <w:rFonts w:ascii="Tahoma" w:hAnsi="Tahoma" w:cs="Tahoma"/>
              </w:rPr>
              <w:t>:</w:t>
            </w:r>
          </w:p>
        </w:tc>
      </w:tr>
      <w:tr w:rsidR="00652F81" w:rsidRPr="008B5261" w:rsidTr="00652F81">
        <w:tc>
          <w:tcPr>
            <w:cnfStyle w:val="001000000000"/>
            <w:tcW w:w="837" w:type="dxa"/>
            <w:tcBorders>
              <w:top w:val="dotted" w:sz="4" w:space="0" w:color="auto"/>
              <w:bottom w:val="dotted" w:sz="4" w:space="0" w:color="auto"/>
              <w:right w:val="nil"/>
            </w:tcBorders>
          </w:tcPr>
          <w:p w:rsidR="00652F81" w:rsidRPr="002E51BA" w:rsidRDefault="00652F81" w:rsidP="00652F81">
            <w:pPr>
              <w:rPr>
                <w:rFonts w:ascii="Tahoma" w:hAnsi="Tahoma" w:cs="Tahoma"/>
                <w:b/>
                <w:bCs/>
              </w:rPr>
            </w:pPr>
            <w:r w:rsidRPr="008B5261">
              <w:rPr>
                <w:rFonts w:ascii="Tahoma" w:hAnsi="Tahoma" w:cs="Tahoma"/>
                <w:b/>
                <w:bCs/>
              </w:rPr>
              <w:t>EA1</w:t>
            </w:r>
            <w:r>
              <w:rPr>
                <w:rFonts w:ascii="Tahoma" w:hAnsi="Tahoma" w:cs="Tahoma"/>
                <w:b/>
                <w:bCs/>
              </w:rPr>
              <w:t>7</w:t>
            </w:r>
          </w:p>
        </w:tc>
        <w:tc>
          <w:tcPr>
            <w:tcW w:w="784" w:type="dxa"/>
            <w:tcBorders>
              <w:top w:val="dotted" w:sz="4" w:space="0" w:color="auto"/>
              <w:bottom w:val="dotted" w:sz="4" w:space="0" w:color="auto"/>
            </w:tcBorders>
            <w:vAlign w:val="bottom"/>
          </w:tcPr>
          <w:p w:rsidR="00652F81" w:rsidRPr="001D711A" w:rsidRDefault="00652F81" w:rsidP="00652F81">
            <w:pPr>
              <w:jc w:val="right"/>
              <w:cnfStyle w:val="000000000000"/>
              <w:rPr>
                <w:rFonts w:ascii="Tahoma" w:hAnsi="Tahoma" w:cs="Tahoma"/>
              </w:rPr>
            </w:pPr>
            <w:r>
              <w:rPr>
                <w:rFonts w:ascii="Tahoma" w:hAnsi="Tahoma" w:cs="Tahoma"/>
              </w:rPr>
              <w:t>2,2</w:t>
            </w:r>
          </w:p>
        </w:tc>
        <w:tc>
          <w:tcPr>
            <w:tcW w:w="784" w:type="dxa"/>
            <w:tcBorders>
              <w:top w:val="dotted" w:sz="4" w:space="0" w:color="auto"/>
              <w:bottom w:val="dotted" w:sz="4" w:space="0" w:color="auto"/>
            </w:tcBorders>
            <w:vAlign w:val="bottom"/>
          </w:tcPr>
          <w:p w:rsidR="00652F81" w:rsidRPr="001D711A" w:rsidRDefault="00652F81" w:rsidP="00652F81">
            <w:pPr>
              <w:jc w:val="right"/>
              <w:cnfStyle w:val="000000000000"/>
              <w:rPr>
                <w:rFonts w:ascii="Tahoma" w:hAnsi="Tahoma" w:cs="Tahoma"/>
              </w:rPr>
            </w:pPr>
            <w:r w:rsidRPr="001D711A">
              <w:rPr>
                <w:rFonts w:ascii="Tahoma" w:hAnsi="Tahoma" w:cs="Tahoma"/>
              </w:rPr>
              <w:t>2,</w:t>
            </w:r>
            <w:r>
              <w:rPr>
                <w:rFonts w:ascii="Tahoma" w:hAnsi="Tahoma" w:cs="Tahoma"/>
              </w:rPr>
              <w:t>2</w:t>
            </w:r>
          </w:p>
        </w:tc>
        <w:tc>
          <w:tcPr>
            <w:tcW w:w="784" w:type="dxa"/>
            <w:tcBorders>
              <w:top w:val="dotted" w:sz="4" w:space="0" w:color="auto"/>
              <w:bottom w:val="dotted" w:sz="4" w:space="0" w:color="auto"/>
            </w:tcBorders>
            <w:vAlign w:val="bottom"/>
          </w:tcPr>
          <w:p w:rsidR="00652F81" w:rsidRPr="001D711A" w:rsidRDefault="00652F81" w:rsidP="00652F81">
            <w:pPr>
              <w:jc w:val="right"/>
              <w:cnfStyle w:val="000000000000"/>
              <w:rPr>
                <w:rFonts w:ascii="Tahoma" w:hAnsi="Tahoma" w:cs="Tahoma"/>
              </w:rPr>
            </w:pPr>
            <w:r>
              <w:rPr>
                <w:rFonts w:ascii="Tahoma" w:hAnsi="Tahoma" w:cs="Tahoma"/>
              </w:rPr>
              <w:t>2,2</w:t>
            </w:r>
          </w:p>
        </w:tc>
        <w:tc>
          <w:tcPr>
            <w:tcW w:w="784" w:type="dxa"/>
            <w:tcBorders>
              <w:top w:val="dotted" w:sz="4" w:space="0" w:color="auto"/>
              <w:bottom w:val="dotted" w:sz="4" w:space="0" w:color="auto"/>
            </w:tcBorders>
            <w:vAlign w:val="bottom"/>
          </w:tcPr>
          <w:p w:rsidR="00652F81" w:rsidRPr="001D711A" w:rsidRDefault="00652F81" w:rsidP="00652F81">
            <w:pPr>
              <w:jc w:val="right"/>
              <w:cnfStyle w:val="000000000000"/>
              <w:rPr>
                <w:rFonts w:ascii="Tahoma" w:hAnsi="Tahoma" w:cs="Tahoma"/>
              </w:rPr>
            </w:pPr>
            <w:r>
              <w:rPr>
                <w:rFonts w:ascii="Tahoma" w:hAnsi="Tahoma" w:cs="Tahoma"/>
              </w:rPr>
              <w:t>2,1</w:t>
            </w:r>
          </w:p>
        </w:tc>
        <w:tc>
          <w:tcPr>
            <w:tcW w:w="794" w:type="dxa"/>
            <w:tcBorders>
              <w:top w:val="dotted" w:sz="4" w:space="0" w:color="auto"/>
              <w:bottom w:val="dotted" w:sz="4" w:space="0" w:color="auto"/>
            </w:tcBorders>
            <w:vAlign w:val="bottom"/>
          </w:tcPr>
          <w:p w:rsidR="00652F81" w:rsidRPr="001D711A" w:rsidRDefault="00652F81" w:rsidP="00652F81">
            <w:pPr>
              <w:jc w:val="right"/>
              <w:cnfStyle w:val="000000000000"/>
              <w:rPr>
                <w:rFonts w:ascii="Tahoma" w:hAnsi="Tahoma" w:cs="Tahoma"/>
              </w:rPr>
            </w:pPr>
            <w:r>
              <w:rPr>
                <w:rFonts w:ascii="Tahoma" w:hAnsi="Tahoma" w:cs="Tahoma"/>
              </w:rPr>
              <w:t>3,3</w:t>
            </w:r>
          </w:p>
        </w:tc>
        <w:tc>
          <w:tcPr>
            <w:tcW w:w="794" w:type="dxa"/>
            <w:tcBorders>
              <w:top w:val="dotted" w:sz="4" w:space="0" w:color="auto"/>
              <w:bottom w:val="dotted" w:sz="4" w:space="0" w:color="auto"/>
            </w:tcBorders>
            <w:vAlign w:val="bottom"/>
          </w:tcPr>
          <w:p w:rsidR="00652F81" w:rsidRPr="001D711A" w:rsidRDefault="00652F81" w:rsidP="00652F81">
            <w:pPr>
              <w:jc w:val="right"/>
              <w:cnfStyle w:val="000000000000"/>
              <w:rPr>
                <w:rFonts w:ascii="Tahoma" w:hAnsi="Tahoma" w:cs="Tahoma"/>
              </w:rPr>
            </w:pPr>
            <w:r>
              <w:rPr>
                <w:rFonts w:ascii="Tahoma" w:hAnsi="Tahoma" w:cs="Tahoma"/>
              </w:rPr>
              <w:t>0,3</w:t>
            </w:r>
          </w:p>
        </w:tc>
        <w:tc>
          <w:tcPr>
            <w:tcW w:w="794" w:type="dxa"/>
            <w:tcBorders>
              <w:top w:val="dotted" w:sz="4" w:space="0" w:color="auto"/>
              <w:bottom w:val="dotted" w:sz="4" w:space="0" w:color="auto"/>
              <w:right w:val="nil"/>
            </w:tcBorders>
            <w:vAlign w:val="bottom"/>
          </w:tcPr>
          <w:p w:rsidR="00652F81" w:rsidRPr="001D711A" w:rsidRDefault="00652F81" w:rsidP="00652F81">
            <w:pPr>
              <w:jc w:val="right"/>
              <w:cnfStyle w:val="000000000000"/>
              <w:rPr>
                <w:rFonts w:ascii="Tahoma" w:hAnsi="Tahoma" w:cs="Tahoma"/>
              </w:rPr>
            </w:pPr>
            <w:r>
              <w:rPr>
                <w:rFonts w:ascii="Tahoma" w:hAnsi="Tahoma" w:cs="Tahoma"/>
              </w:rPr>
              <w:t>1,6</w:t>
            </w:r>
          </w:p>
        </w:tc>
        <w:tc>
          <w:tcPr>
            <w:tcW w:w="888" w:type="dxa"/>
            <w:tcBorders>
              <w:top w:val="dotted" w:sz="4" w:space="0" w:color="auto"/>
              <w:left w:val="nil"/>
              <w:bottom w:val="dotted" w:sz="4" w:space="0" w:color="auto"/>
              <w:right w:val="double" w:sz="4" w:space="0" w:color="auto"/>
            </w:tcBorders>
            <w:vAlign w:val="bottom"/>
          </w:tcPr>
          <w:p w:rsidR="00652F81" w:rsidRDefault="00652F81" w:rsidP="00652F81">
            <w:pPr>
              <w:jc w:val="right"/>
              <w:cnfStyle w:val="000000000000"/>
              <w:rPr>
                <w:rFonts w:ascii="Tahoma" w:hAnsi="Tahoma" w:cs="Tahoma"/>
              </w:rPr>
            </w:pPr>
            <w:r>
              <w:rPr>
                <w:rFonts w:ascii="Tahoma" w:hAnsi="Tahoma" w:cs="Tahoma"/>
              </w:rPr>
              <w:t>2,7</w:t>
            </w:r>
          </w:p>
        </w:tc>
        <w:tc>
          <w:tcPr>
            <w:tcW w:w="888" w:type="dxa"/>
            <w:tcBorders>
              <w:top w:val="dotted" w:sz="4" w:space="0" w:color="auto"/>
              <w:left w:val="double" w:sz="4" w:space="0" w:color="auto"/>
              <w:bottom w:val="dotted" w:sz="4" w:space="0" w:color="auto"/>
            </w:tcBorders>
          </w:tcPr>
          <w:p w:rsidR="00652F81" w:rsidRPr="0007216F" w:rsidRDefault="00652F81" w:rsidP="00652F81">
            <w:pPr>
              <w:jc w:val="right"/>
              <w:cnfStyle w:val="000000000000"/>
              <w:rPr>
                <w:rFonts w:ascii="Tahoma" w:hAnsi="Tahoma" w:cs="Tahoma"/>
              </w:rPr>
            </w:pPr>
            <w:r>
              <w:rPr>
                <w:rFonts w:ascii="Tahoma" w:hAnsi="Tahoma" w:cs="Tahoma"/>
              </w:rPr>
              <w:t>2,4</w:t>
            </w:r>
          </w:p>
        </w:tc>
        <w:tc>
          <w:tcPr>
            <w:tcW w:w="900" w:type="dxa"/>
            <w:tcBorders>
              <w:top w:val="dotted" w:sz="4" w:space="0" w:color="auto"/>
              <w:bottom w:val="dotted" w:sz="4" w:space="0" w:color="auto"/>
            </w:tcBorders>
          </w:tcPr>
          <w:p w:rsidR="00652F81" w:rsidRPr="0007216F" w:rsidRDefault="00652F81" w:rsidP="00652F81">
            <w:pPr>
              <w:jc w:val="right"/>
              <w:cnfStyle w:val="000000000000"/>
              <w:rPr>
                <w:rFonts w:ascii="Tahoma" w:hAnsi="Tahoma" w:cs="Tahoma"/>
              </w:rPr>
            </w:pPr>
            <w:r>
              <w:rPr>
                <w:rFonts w:ascii="Tahoma" w:hAnsi="Tahoma" w:cs="Tahoma"/>
              </w:rPr>
              <w:t>2,7</w:t>
            </w:r>
          </w:p>
        </w:tc>
      </w:tr>
      <w:tr w:rsidR="00652F81" w:rsidRPr="008B5261" w:rsidTr="00652F81">
        <w:trPr>
          <w:cnfStyle w:val="010000000000"/>
        </w:trPr>
        <w:tc>
          <w:tcPr>
            <w:cnfStyle w:val="001000000001"/>
            <w:tcW w:w="837" w:type="dxa"/>
            <w:tcBorders>
              <w:top w:val="dotted" w:sz="4" w:space="0" w:color="auto"/>
              <w:bottom w:val="single" w:sz="12" w:space="0" w:color="000000"/>
              <w:right w:val="nil"/>
            </w:tcBorders>
          </w:tcPr>
          <w:p w:rsidR="00652F81" w:rsidRPr="008B5261" w:rsidRDefault="00652F81" w:rsidP="00652F81">
            <w:pPr>
              <w:rPr>
                <w:rFonts w:ascii="Tahoma" w:hAnsi="Tahoma" w:cs="Tahoma"/>
                <w:bCs w:val="0"/>
              </w:rPr>
            </w:pPr>
            <w:r w:rsidRPr="008B5261">
              <w:rPr>
                <w:rFonts w:ascii="Tahoma" w:hAnsi="Tahoma" w:cs="Tahoma"/>
                <w:bCs w:val="0"/>
              </w:rPr>
              <w:t>EL</w:t>
            </w:r>
          </w:p>
        </w:tc>
        <w:tc>
          <w:tcPr>
            <w:tcW w:w="784" w:type="dxa"/>
            <w:tcBorders>
              <w:top w:val="dotted" w:sz="4" w:space="0" w:color="auto"/>
              <w:bottom w:val="single" w:sz="12" w:space="0" w:color="000000"/>
            </w:tcBorders>
            <w:vAlign w:val="bottom"/>
          </w:tcPr>
          <w:p w:rsidR="00652F81" w:rsidRPr="001D711A" w:rsidRDefault="00652F81" w:rsidP="00652F81">
            <w:pPr>
              <w:jc w:val="right"/>
              <w:cnfStyle w:val="010000000000"/>
              <w:rPr>
                <w:rFonts w:ascii="Tahoma" w:hAnsi="Tahoma" w:cs="Tahoma"/>
              </w:rPr>
            </w:pPr>
            <w:r>
              <w:rPr>
                <w:rFonts w:ascii="Tahoma" w:hAnsi="Tahoma" w:cs="Tahoma"/>
              </w:rPr>
              <w:t>3,0</w:t>
            </w:r>
          </w:p>
        </w:tc>
        <w:tc>
          <w:tcPr>
            <w:tcW w:w="784" w:type="dxa"/>
            <w:tcBorders>
              <w:top w:val="dotted" w:sz="4" w:space="0" w:color="auto"/>
              <w:bottom w:val="single" w:sz="12" w:space="0" w:color="000000"/>
            </w:tcBorders>
            <w:vAlign w:val="bottom"/>
          </w:tcPr>
          <w:p w:rsidR="00652F81" w:rsidRPr="001D711A" w:rsidRDefault="00652F81" w:rsidP="00652F81">
            <w:pPr>
              <w:jc w:val="right"/>
              <w:cnfStyle w:val="010000000000"/>
              <w:rPr>
                <w:rFonts w:ascii="Tahoma" w:hAnsi="Tahoma" w:cs="Tahoma"/>
              </w:rPr>
            </w:pPr>
            <w:r>
              <w:rPr>
                <w:rFonts w:ascii="Tahoma" w:hAnsi="Tahoma" w:cs="Tahoma"/>
              </w:rPr>
              <w:t>3,5</w:t>
            </w:r>
          </w:p>
        </w:tc>
        <w:tc>
          <w:tcPr>
            <w:tcW w:w="784" w:type="dxa"/>
            <w:tcBorders>
              <w:top w:val="dotted" w:sz="4" w:space="0" w:color="auto"/>
              <w:bottom w:val="single" w:sz="12" w:space="0" w:color="000000"/>
            </w:tcBorders>
            <w:vAlign w:val="bottom"/>
          </w:tcPr>
          <w:p w:rsidR="00652F81" w:rsidRPr="001D711A" w:rsidRDefault="00652F81" w:rsidP="00652F81">
            <w:pPr>
              <w:jc w:val="right"/>
              <w:cnfStyle w:val="010000000000"/>
              <w:rPr>
                <w:rFonts w:ascii="Tahoma" w:hAnsi="Tahoma" w:cs="Tahoma"/>
              </w:rPr>
            </w:pPr>
            <w:r>
              <w:rPr>
                <w:rFonts w:ascii="Tahoma" w:hAnsi="Tahoma" w:cs="Tahoma"/>
              </w:rPr>
              <w:t>3,3</w:t>
            </w:r>
          </w:p>
        </w:tc>
        <w:tc>
          <w:tcPr>
            <w:tcW w:w="784" w:type="dxa"/>
            <w:tcBorders>
              <w:top w:val="dotted" w:sz="4" w:space="0" w:color="auto"/>
              <w:bottom w:val="single" w:sz="12" w:space="0" w:color="000000"/>
            </w:tcBorders>
            <w:vAlign w:val="bottom"/>
          </w:tcPr>
          <w:p w:rsidR="00652F81" w:rsidRPr="001D711A" w:rsidRDefault="00652F81" w:rsidP="00652F81">
            <w:pPr>
              <w:jc w:val="right"/>
              <w:cnfStyle w:val="010000000000"/>
              <w:rPr>
                <w:rFonts w:ascii="Tahoma" w:hAnsi="Tahoma" w:cs="Tahoma"/>
              </w:rPr>
            </w:pPr>
            <w:r>
              <w:rPr>
                <w:rFonts w:ascii="Tahoma" w:hAnsi="Tahoma" w:cs="Tahoma"/>
              </w:rPr>
              <w:t>3,0</w:t>
            </w:r>
          </w:p>
        </w:tc>
        <w:tc>
          <w:tcPr>
            <w:tcW w:w="794" w:type="dxa"/>
            <w:tcBorders>
              <w:top w:val="dotted" w:sz="4" w:space="0" w:color="auto"/>
              <w:bottom w:val="single" w:sz="12" w:space="0" w:color="000000"/>
            </w:tcBorders>
            <w:vAlign w:val="bottom"/>
          </w:tcPr>
          <w:p w:rsidR="00652F81" w:rsidRPr="001D711A" w:rsidRDefault="00652F81" w:rsidP="00652F81">
            <w:pPr>
              <w:jc w:val="right"/>
              <w:cnfStyle w:val="010000000000"/>
              <w:rPr>
                <w:rFonts w:ascii="Tahoma" w:hAnsi="Tahoma" w:cs="Tahoma"/>
              </w:rPr>
            </w:pPr>
            <w:r>
              <w:rPr>
                <w:rFonts w:ascii="Tahoma" w:hAnsi="Tahoma" w:cs="Tahoma"/>
              </w:rPr>
              <w:t>4,2</w:t>
            </w:r>
          </w:p>
        </w:tc>
        <w:tc>
          <w:tcPr>
            <w:tcW w:w="794" w:type="dxa"/>
            <w:tcBorders>
              <w:top w:val="dotted" w:sz="4" w:space="0" w:color="auto"/>
              <w:bottom w:val="single" w:sz="12" w:space="0" w:color="000000"/>
            </w:tcBorders>
            <w:vAlign w:val="bottom"/>
          </w:tcPr>
          <w:p w:rsidR="00652F81" w:rsidRPr="001D711A" w:rsidRDefault="00652F81" w:rsidP="00652F81">
            <w:pPr>
              <w:jc w:val="right"/>
              <w:cnfStyle w:val="010000000000"/>
              <w:rPr>
                <w:rFonts w:ascii="Tahoma" w:hAnsi="Tahoma" w:cs="Tahoma"/>
              </w:rPr>
            </w:pPr>
            <w:r>
              <w:rPr>
                <w:rFonts w:ascii="Tahoma" w:hAnsi="Tahoma" w:cs="Tahoma"/>
              </w:rPr>
              <w:t>1,3</w:t>
            </w:r>
          </w:p>
        </w:tc>
        <w:tc>
          <w:tcPr>
            <w:tcW w:w="794" w:type="dxa"/>
            <w:tcBorders>
              <w:top w:val="dotted" w:sz="4" w:space="0" w:color="auto"/>
              <w:bottom w:val="single" w:sz="12" w:space="0" w:color="000000"/>
              <w:right w:val="nil"/>
            </w:tcBorders>
            <w:vAlign w:val="bottom"/>
          </w:tcPr>
          <w:p w:rsidR="00652F81" w:rsidRPr="001D711A" w:rsidRDefault="00652F81" w:rsidP="00652F81">
            <w:pPr>
              <w:jc w:val="right"/>
              <w:cnfStyle w:val="010000000000"/>
              <w:rPr>
                <w:rFonts w:ascii="Tahoma" w:hAnsi="Tahoma" w:cs="Tahoma"/>
              </w:rPr>
            </w:pPr>
            <w:r>
              <w:rPr>
                <w:rFonts w:ascii="Tahoma" w:hAnsi="Tahoma" w:cs="Tahoma"/>
              </w:rPr>
              <w:t>4,7</w:t>
            </w:r>
          </w:p>
        </w:tc>
        <w:tc>
          <w:tcPr>
            <w:tcW w:w="888" w:type="dxa"/>
            <w:tcBorders>
              <w:top w:val="dotted" w:sz="4" w:space="0" w:color="auto"/>
              <w:left w:val="nil"/>
              <w:bottom w:val="single" w:sz="12" w:space="0" w:color="000000"/>
              <w:right w:val="double" w:sz="4" w:space="0" w:color="auto"/>
            </w:tcBorders>
            <w:vAlign w:val="bottom"/>
          </w:tcPr>
          <w:p w:rsidR="00652F81" w:rsidRDefault="00652F81" w:rsidP="00652F81">
            <w:pPr>
              <w:jc w:val="right"/>
              <w:cnfStyle w:val="010000000000"/>
              <w:rPr>
                <w:rFonts w:ascii="Tahoma" w:hAnsi="Tahoma" w:cs="Tahoma"/>
              </w:rPr>
            </w:pPr>
            <w:r>
              <w:rPr>
                <w:rFonts w:ascii="Tahoma" w:hAnsi="Tahoma" w:cs="Tahoma"/>
              </w:rPr>
              <w:t>3,1</w:t>
            </w:r>
          </w:p>
        </w:tc>
        <w:tc>
          <w:tcPr>
            <w:tcW w:w="888" w:type="dxa"/>
            <w:tcBorders>
              <w:top w:val="dotted" w:sz="4" w:space="0" w:color="auto"/>
              <w:left w:val="double" w:sz="4" w:space="0" w:color="auto"/>
              <w:bottom w:val="single" w:sz="12" w:space="0" w:color="000000"/>
            </w:tcBorders>
          </w:tcPr>
          <w:p w:rsidR="00652F81" w:rsidRPr="0007216F" w:rsidRDefault="00652F81" w:rsidP="00652F81">
            <w:pPr>
              <w:jc w:val="right"/>
              <w:cnfStyle w:val="010000000000"/>
              <w:rPr>
                <w:rFonts w:ascii="Tahoma" w:hAnsi="Tahoma" w:cs="Tahoma"/>
              </w:rPr>
            </w:pPr>
            <w:r>
              <w:rPr>
                <w:rFonts w:ascii="Tahoma" w:hAnsi="Tahoma" w:cs="Tahoma"/>
              </w:rPr>
              <w:t>4,5</w:t>
            </w:r>
          </w:p>
        </w:tc>
        <w:tc>
          <w:tcPr>
            <w:tcW w:w="900" w:type="dxa"/>
            <w:tcBorders>
              <w:top w:val="dotted" w:sz="4" w:space="0" w:color="auto"/>
              <w:bottom w:val="single" w:sz="12" w:space="0" w:color="000000"/>
            </w:tcBorders>
          </w:tcPr>
          <w:p w:rsidR="00652F81" w:rsidRPr="0007216F" w:rsidRDefault="00652F81" w:rsidP="00652F81">
            <w:pPr>
              <w:jc w:val="right"/>
              <w:cnfStyle w:val="010000000000"/>
              <w:rPr>
                <w:rFonts w:ascii="Tahoma" w:hAnsi="Tahoma" w:cs="Tahoma"/>
              </w:rPr>
            </w:pPr>
            <w:r>
              <w:rPr>
                <w:rFonts w:ascii="Tahoma" w:hAnsi="Tahoma" w:cs="Tahoma"/>
              </w:rPr>
              <w:t>1,9</w:t>
            </w:r>
          </w:p>
        </w:tc>
      </w:tr>
    </w:tbl>
    <w:p w:rsidR="00652F81" w:rsidRPr="00232CDA" w:rsidRDefault="00652F81" w:rsidP="00652F81">
      <w:pPr>
        <w:pStyle w:val="1"/>
        <w:rPr>
          <w:rFonts w:ascii="Tahoma" w:hAnsi="Tahoma" w:cs="Tahoma"/>
          <w:sz w:val="18"/>
          <w:szCs w:val="18"/>
        </w:rPr>
      </w:pPr>
      <w:r>
        <w:rPr>
          <w:rFonts w:ascii="Tahoma" w:hAnsi="Tahoma" w:cs="Tahoma"/>
          <w:sz w:val="18"/>
          <w:szCs w:val="18"/>
        </w:rPr>
        <w:t xml:space="preserve">    </w:t>
      </w:r>
      <w:r w:rsidRPr="00186E8B">
        <w:rPr>
          <w:rFonts w:ascii="Tahoma" w:hAnsi="Tahoma" w:cs="Tahoma"/>
          <w:sz w:val="18"/>
          <w:szCs w:val="18"/>
        </w:rPr>
        <w:t>Πηγή:</w:t>
      </w:r>
      <w:r w:rsidRPr="00232CDA">
        <w:rPr>
          <w:rFonts w:ascii="Tahoma" w:hAnsi="Tahoma" w:cs="Tahoma"/>
          <w:b w:val="0"/>
          <w:sz w:val="18"/>
          <w:szCs w:val="18"/>
        </w:rPr>
        <w:t xml:space="preserve"> </w:t>
      </w:r>
      <w:r w:rsidRPr="00232CDA">
        <w:rPr>
          <w:rFonts w:ascii="Tahoma" w:hAnsi="Tahoma" w:cs="Tahoma"/>
          <w:b w:val="0"/>
          <w:sz w:val="18"/>
          <w:szCs w:val="18"/>
          <w:lang w:val="en-US"/>
        </w:rPr>
        <w:t>Eurostat</w:t>
      </w:r>
    </w:p>
    <w:p w:rsidR="00652F81" w:rsidRPr="00592CD8" w:rsidRDefault="00652F81" w:rsidP="00652F81">
      <w:pPr>
        <w:pStyle w:val="new12"/>
      </w:pPr>
    </w:p>
    <w:p w:rsidR="00652F81" w:rsidRPr="00592CD8" w:rsidRDefault="00652F81" w:rsidP="00652F81">
      <w:pPr>
        <w:pStyle w:val="new12"/>
      </w:pPr>
    </w:p>
    <w:p w:rsidR="00652F81" w:rsidRPr="00592CD8" w:rsidRDefault="00652F81" w:rsidP="00652F81">
      <w:pPr>
        <w:pStyle w:val="new12"/>
      </w:pPr>
    </w:p>
    <w:p w:rsidR="00652F81" w:rsidRPr="00592CD8" w:rsidRDefault="00652F81" w:rsidP="00652F81">
      <w:pPr>
        <w:pStyle w:val="new12"/>
      </w:pPr>
    </w:p>
    <w:p w:rsidR="00652F81" w:rsidRPr="00592CD8" w:rsidRDefault="00652F81" w:rsidP="00652F81">
      <w:pPr>
        <w:pStyle w:val="new12"/>
        <w:sectPr w:rsidR="00652F81" w:rsidRPr="00592CD8" w:rsidSect="00652F81">
          <w:footerReference w:type="default" r:id="rId109"/>
          <w:pgSz w:w="11906" w:h="16838"/>
          <w:pgMar w:top="1701" w:right="1418" w:bottom="1418" w:left="1418" w:header="720" w:footer="720" w:gutter="0"/>
          <w:paperSrc w:first="242" w:other="242"/>
          <w:cols w:space="720"/>
        </w:sectPr>
      </w:pPr>
    </w:p>
    <w:p w:rsidR="00652F81" w:rsidRPr="00294913" w:rsidRDefault="00652F81" w:rsidP="00652F81">
      <w:pPr>
        <w:pStyle w:val="new12"/>
      </w:pPr>
      <w:bookmarkStart w:id="518" w:name="_Toc169881559"/>
      <w:bookmarkStart w:id="519" w:name="_Toc170201912"/>
      <w:r w:rsidRPr="00294913">
        <w:lastRenderedPageBreak/>
        <w:t>Ι-4β</w:t>
      </w:r>
      <w:r>
        <w:t>,</w:t>
      </w:r>
      <w:r w:rsidRPr="00294913">
        <w:tab/>
        <w:t>Ισοζύγιο Γενικής Κυβέρνησης</w:t>
      </w:r>
      <w:bookmarkEnd w:id="513"/>
      <w:bookmarkEnd w:id="514"/>
      <w:bookmarkEnd w:id="515"/>
      <w:bookmarkEnd w:id="516"/>
      <w:bookmarkEnd w:id="517"/>
      <w:bookmarkEnd w:id="518"/>
      <w:bookmarkEnd w:id="519"/>
      <w:r>
        <w:t xml:space="preserve"> </w:t>
      </w:r>
    </w:p>
    <w:p w:rsidR="00652F81" w:rsidRPr="004F56C3" w:rsidRDefault="00652F81" w:rsidP="00652F81">
      <w:pPr>
        <w:pStyle w:val="new1210pt"/>
      </w:pPr>
      <w:bookmarkStart w:id="520" w:name="_Toc150308636"/>
      <w:bookmarkStart w:id="521" w:name="_Toc170201913"/>
      <w:r w:rsidRPr="00294913">
        <w:t>(ως % του ΑΕΠ)</w:t>
      </w:r>
      <w:bookmarkEnd w:id="520"/>
      <w:bookmarkEnd w:id="521"/>
    </w:p>
    <w:p w:rsidR="00652F81" w:rsidRPr="004F56C3" w:rsidRDefault="00652F81" w:rsidP="00652F81"/>
    <w:p w:rsidR="00652F81" w:rsidRPr="004F56C3" w:rsidRDefault="00652F81" w:rsidP="00652F81"/>
    <w:p w:rsidR="00652F81" w:rsidRPr="001A1DF8" w:rsidRDefault="00652F81" w:rsidP="00652F81">
      <w:pPr>
        <w:jc w:val="center"/>
        <w:rPr>
          <w:rFonts w:ascii="Tahoma" w:hAnsi="Tahoma" w:cs="Tahoma"/>
          <w:sz w:val="28"/>
        </w:rPr>
      </w:pPr>
      <w:r>
        <w:rPr>
          <w:noProof/>
          <w:lang w:val="en-US" w:eastAsia="en-US"/>
        </w:rPr>
        <w:drawing>
          <wp:inline distT="0" distB="0" distL="0" distR="0">
            <wp:extent cx="5686425" cy="3048000"/>
            <wp:effectExtent l="0" t="0" r="0" b="0"/>
            <wp:docPr id="33" name="Εικόνα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0" cstate="print"/>
                    <a:srcRect/>
                    <a:stretch>
                      <a:fillRect/>
                    </a:stretch>
                  </pic:blipFill>
                  <pic:spPr bwMode="auto">
                    <a:xfrm>
                      <a:off x="0" y="0"/>
                      <a:ext cx="5686425" cy="3048000"/>
                    </a:xfrm>
                    <a:prstGeom prst="rect">
                      <a:avLst/>
                    </a:prstGeom>
                    <a:noFill/>
                    <a:ln w="9525">
                      <a:noFill/>
                      <a:miter lim="800000"/>
                      <a:headEnd/>
                      <a:tailEnd/>
                    </a:ln>
                  </pic:spPr>
                </pic:pic>
              </a:graphicData>
            </a:graphic>
          </wp:inline>
        </w:drawing>
      </w:r>
    </w:p>
    <w:p w:rsidR="00652F81" w:rsidRDefault="00652F81" w:rsidP="00652F81">
      <w:pPr>
        <w:pStyle w:val="new12"/>
        <w:rPr>
          <w:lang w:val="en-US"/>
        </w:rPr>
      </w:pPr>
      <w:bookmarkStart w:id="522" w:name="_Toc150308638"/>
    </w:p>
    <w:p w:rsidR="00652F81" w:rsidRDefault="00652F81" w:rsidP="00652F81">
      <w:pPr>
        <w:pStyle w:val="new12"/>
        <w:rPr>
          <w:lang w:val="en-US"/>
        </w:rPr>
      </w:pPr>
    </w:p>
    <w:tbl>
      <w:tblPr>
        <w:tblW w:w="9600" w:type="dxa"/>
        <w:tblBorders>
          <w:top w:val="single" w:sz="12" w:space="0" w:color="auto"/>
          <w:bottom w:val="single" w:sz="12" w:space="0" w:color="auto"/>
          <w:insideH w:val="dotted" w:sz="4" w:space="0" w:color="auto"/>
        </w:tblBorders>
        <w:tblLook w:val="00A0"/>
      </w:tblPr>
      <w:tblGrid>
        <w:gridCol w:w="960"/>
        <w:gridCol w:w="960"/>
        <w:gridCol w:w="960"/>
        <w:gridCol w:w="960"/>
        <w:gridCol w:w="960"/>
        <w:gridCol w:w="960"/>
        <w:gridCol w:w="960"/>
        <w:gridCol w:w="960"/>
        <w:gridCol w:w="960"/>
        <w:gridCol w:w="960"/>
      </w:tblGrid>
      <w:tr w:rsidR="00652F81" w:rsidRPr="00E676C6" w:rsidTr="00652F81">
        <w:trPr>
          <w:trHeight w:val="255"/>
        </w:trPr>
        <w:tc>
          <w:tcPr>
            <w:tcW w:w="960" w:type="dxa"/>
            <w:tcBorders>
              <w:top w:val="single" w:sz="12" w:space="0" w:color="auto"/>
              <w:bottom w:val="single" w:sz="8" w:space="0" w:color="auto"/>
            </w:tcBorders>
            <w:noWrap/>
          </w:tcPr>
          <w:p w:rsidR="00652F81" w:rsidRPr="00CA39FC" w:rsidRDefault="00652F81" w:rsidP="00652F81">
            <w:pPr>
              <w:jc w:val="center"/>
              <w:rPr>
                <w:rFonts w:ascii="Tahoma" w:hAnsi="Tahoma" w:cs="Tahoma"/>
                <w:bCs/>
              </w:rPr>
            </w:pP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2002</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2003</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2004</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2005</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2006</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lang w:val="en-US"/>
              </w:rPr>
            </w:pPr>
            <w:r w:rsidRPr="00CA39FC">
              <w:rPr>
                <w:rFonts w:ascii="Tahoma" w:hAnsi="Tahoma" w:cs="Tahoma"/>
                <w:b/>
                <w:bCs/>
                <w:lang w:val="en-US"/>
              </w:rPr>
              <w:t>2007</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lang w:val="en-US"/>
              </w:rPr>
            </w:pPr>
            <w:r>
              <w:rPr>
                <w:rFonts w:ascii="Tahoma" w:hAnsi="Tahoma" w:cs="Tahoma"/>
                <w:b/>
                <w:bCs/>
                <w:lang w:val="en-US"/>
              </w:rPr>
              <w:t>2008</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lang w:val="en-US"/>
              </w:rPr>
            </w:pPr>
            <w:r>
              <w:rPr>
                <w:rFonts w:ascii="Tahoma" w:hAnsi="Tahoma" w:cs="Tahoma"/>
                <w:b/>
                <w:bCs/>
                <w:lang w:val="en-US"/>
              </w:rPr>
              <w:t>2009</w:t>
            </w:r>
          </w:p>
        </w:tc>
        <w:tc>
          <w:tcPr>
            <w:tcW w:w="960" w:type="dxa"/>
            <w:tcBorders>
              <w:top w:val="single" w:sz="12" w:space="0" w:color="auto"/>
              <w:bottom w:val="single" w:sz="8" w:space="0" w:color="auto"/>
            </w:tcBorders>
            <w:noWrap/>
            <w:vAlign w:val="bottom"/>
          </w:tcPr>
          <w:p w:rsidR="00652F81" w:rsidRPr="007F2B8D" w:rsidRDefault="00652F81" w:rsidP="00652F81">
            <w:pPr>
              <w:jc w:val="center"/>
              <w:rPr>
                <w:rFonts w:ascii="Tahoma" w:hAnsi="Tahoma" w:cs="Tahoma"/>
                <w:b/>
                <w:bCs/>
              </w:rPr>
            </w:pPr>
            <w:r>
              <w:rPr>
                <w:rFonts w:ascii="Tahoma" w:hAnsi="Tahoma" w:cs="Tahoma"/>
                <w:b/>
                <w:bCs/>
              </w:rPr>
              <w:t>2010</w:t>
            </w:r>
          </w:p>
        </w:tc>
      </w:tr>
      <w:tr w:rsidR="00652F81" w:rsidRPr="00E676C6" w:rsidTr="00652F81">
        <w:trPr>
          <w:trHeight w:val="255"/>
        </w:trPr>
        <w:tc>
          <w:tcPr>
            <w:tcW w:w="960" w:type="dxa"/>
            <w:tcBorders>
              <w:top w:val="single" w:sz="8" w:space="0" w:color="auto"/>
            </w:tcBorders>
            <w:noWrap/>
            <w:vAlign w:val="bottom"/>
          </w:tcPr>
          <w:p w:rsidR="00652F81" w:rsidRPr="00CA39FC" w:rsidRDefault="00652F81" w:rsidP="00652F81">
            <w:pPr>
              <w:rPr>
                <w:rFonts w:ascii="Tahoma" w:hAnsi="Tahoma" w:cs="Tahoma"/>
                <w:b/>
                <w:bCs/>
              </w:rPr>
            </w:pPr>
            <w:r w:rsidRPr="00CA39FC">
              <w:rPr>
                <w:rFonts w:ascii="Tahoma" w:hAnsi="Tahoma" w:cs="Tahoma"/>
                <w:b/>
                <w:bCs/>
              </w:rPr>
              <w:t>EU27</w:t>
            </w:r>
          </w:p>
        </w:tc>
        <w:tc>
          <w:tcPr>
            <w:tcW w:w="960" w:type="dxa"/>
            <w:tcBorders>
              <w:top w:val="single" w:sz="8" w:space="0" w:color="auto"/>
            </w:tcBorders>
            <w:noWrap/>
            <w:vAlign w:val="bottom"/>
          </w:tcPr>
          <w:p w:rsidR="00652F81" w:rsidRPr="00D539C5" w:rsidRDefault="00652F81" w:rsidP="00652F81">
            <w:pPr>
              <w:jc w:val="right"/>
              <w:rPr>
                <w:rFonts w:ascii="Tahoma" w:hAnsi="Tahoma" w:cs="Tahoma"/>
              </w:rPr>
            </w:pPr>
            <w:r w:rsidRPr="00D539C5">
              <w:rPr>
                <w:rFonts w:ascii="Tahoma" w:hAnsi="Tahoma" w:cs="Tahoma"/>
              </w:rPr>
              <w:t>-2,6</w:t>
            </w:r>
          </w:p>
        </w:tc>
        <w:tc>
          <w:tcPr>
            <w:tcW w:w="960" w:type="dxa"/>
            <w:tcBorders>
              <w:top w:val="single" w:sz="8" w:space="0" w:color="auto"/>
            </w:tcBorders>
            <w:noWrap/>
            <w:vAlign w:val="bottom"/>
          </w:tcPr>
          <w:p w:rsidR="00652F81" w:rsidRPr="00D539C5" w:rsidRDefault="00652F81" w:rsidP="00652F81">
            <w:pPr>
              <w:jc w:val="right"/>
              <w:rPr>
                <w:rFonts w:ascii="Tahoma" w:hAnsi="Tahoma" w:cs="Tahoma"/>
              </w:rPr>
            </w:pPr>
            <w:r w:rsidRPr="00D539C5">
              <w:rPr>
                <w:rFonts w:ascii="Tahoma" w:hAnsi="Tahoma" w:cs="Tahoma"/>
              </w:rPr>
              <w:t>-3,2</w:t>
            </w:r>
          </w:p>
        </w:tc>
        <w:tc>
          <w:tcPr>
            <w:tcW w:w="960" w:type="dxa"/>
            <w:tcBorders>
              <w:top w:val="single" w:sz="8" w:space="0" w:color="auto"/>
            </w:tcBorders>
            <w:noWrap/>
            <w:vAlign w:val="bottom"/>
          </w:tcPr>
          <w:p w:rsidR="00652F81" w:rsidRPr="00D539C5" w:rsidRDefault="00652F81" w:rsidP="00652F81">
            <w:pPr>
              <w:jc w:val="right"/>
              <w:rPr>
                <w:rFonts w:ascii="Tahoma" w:hAnsi="Tahoma" w:cs="Tahoma"/>
              </w:rPr>
            </w:pPr>
            <w:r w:rsidRPr="00D539C5">
              <w:rPr>
                <w:rFonts w:ascii="Tahoma" w:hAnsi="Tahoma" w:cs="Tahoma"/>
              </w:rPr>
              <w:t>-2,9</w:t>
            </w:r>
          </w:p>
        </w:tc>
        <w:tc>
          <w:tcPr>
            <w:tcW w:w="960" w:type="dxa"/>
            <w:tcBorders>
              <w:top w:val="single" w:sz="8" w:space="0" w:color="auto"/>
            </w:tcBorders>
            <w:noWrap/>
            <w:vAlign w:val="bottom"/>
          </w:tcPr>
          <w:p w:rsidR="00652F81" w:rsidRPr="00D539C5" w:rsidRDefault="00652F81" w:rsidP="00652F81">
            <w:pPr>
              <w:jc w:val="right"/>
              <w:rPr>
                <w:rFonts w:ascii="Tahoma" w:hAnsi="Tahoma" w:cs="Tahoma"/>
              </w:rPr>
            </w:pPr>
            <w:r w:rsidRPr="00D539C5">
              <w:rPr>
                <w:rFonts w:ascii="Tahoma" w:hAnsi="Tahoma" w:cs="Tahoma"/>
              </w:rPr>
              <w:t>-2,4</w:t>
            </w:r>
          </w:p>
        </w:tc>
        <w:tc>
          <w:tcPr>
            <w:tcW w:w="960" w:type="dxa"/>
            <w:tcBorders>
              <w:top w:val="single" w:sz="8" w:space="0" w:color="auto"/>
            </w:tcBorders>
            <w:noWrap/>
            <w:vAlign w:val="bottom"/>
          </w:tcPr>
          <w:p w:rsidR="00652F81" w:rsidRPr="00D539C5" w:rsidRDefault="00652F81" w:rsidP="00652F81">
            <w:pPr>
              <w:jc w:val="right"/>
              <w:rPr>
                <w:rFonts w:ascii="Tahoma" w:hAnsi="Tahoma" w:cs="Tahoma"/>
              </w:rPr>
            </w:pPr>
            <w:r w:rsidRPr="00D539C5">
              <w:rPr>
                <w:rFonts w:ascii="Tahoma" w:hAnsi="Tahoma" w:cs="Tahoma"/>
              </w:rPr>
              <w:t>-1,5</w:t>
            </w:r>
          </w:p>
        </w:tc>
        <w:tc>
          <w:tcPr>
            <w:tcW w:w="960" w:type="dxa"/>
            <w:tcBorders>
              <w:top w:val="single" w:sz="8" w:space="0" w:color="auto"/>
            </w:tcBorders>
            <w:noWrap/>
            <w:vAlign w:val="bottom"/>
          </w:tcPr>
          <w:p w:rsidR="00652F81" w:rsidRPr="00D539C5" w:rsidRDefault="00652F81" w:rsidP="00652F81">
            <w:pPr>
              <w:jc w:val="right"/>
              <w:rPr>
                <w:rFonts w:ascii="Tahoma" w:hAnsi="Tahoma" w:cs="Tahoma"/>
              </w:rPr>
            </w:pPr>
            <w:r w:rsidRPr="00D539C5">
              <w:rPr>
                <w:rFonts w:ascii="Tahoma" w:hAnsi="Tahoma" w:cs="Tahoma"/>
              </w:rPr>
              <w:t>-0,9</w:t>
            </w:r>
          </w:p>
        </w:tc>
        <w:tc>
          <w:tcPr>
            <w:tcW w:w="960" w:type="dxa"/>
            <w:tcBorders>
              <w:top w:val="single" w:sz="8" w:space="0" w:color="auto"/>
            </w:tcBorders>
            <w:noWrap/>
            <w:vAlign w:val="bottom"/>
          </w:tcPr>
          <w:p w:rsidR="00652F81" w:rsidRPr="00D539C5" w:rsidRDefault="00652F81" w:rsidP="00652F81">
            <w:pPr>
              <w:jc w:val="right"/>
              <w:rPr>
                <w:rFonts w:ascii="Tahoma" w:hAnsi="Tahoma" w:cs="Tahoma"/>
              </w:rPr>
            </w:pPr>
            <w:r w:rsidRPr="00D539C5">
              <w:rPr>
                <w:rFonts w:ascii="Tahoma" w:hAnsi="Tahoma" w:cs="Tahoma"/>
              </w:rPr>
              <w:t>-2,4</w:t>
            </w:r>
          </w:p>
        </w:tc>
        <w:tc>
          <w:tcPr>
            <w:tcW w:w="960" w:type="dxa"/>
            <w:tcBorders>
              <w:top w:val="single" w:sz="8" w:space="0" w:color="auto"/>
            </w:tcBorders>
            <w:noWrap/>
            <w:vAlign w:val="bottom"/>
          </w:tcPr>
          <w:p w:rsidR="00652F81" w:rsidRPr="00D539C5" w:rsidRDefault="00652F81" w:rsidP="00652F81">
            <w:pPr>
              <w:jc w:val="right"/>
              <w:rPr>
                <w:rFonts w:ascii="Tahoma" w:hAnsi="Tahoma" w:cs="Tahoma"/>
              </w:rPr>
            </w:pPr>
            <w:r w:rsidRPr="00D539C5">
              <w:rPr>
                <w:rFonts w:ascii="Tahoma" w:hAnsi="Tahoma" w:cs="Tahoma"/>
              </w:rPr>
              <w:t>-6,9</w:t>
            </w:r>
          </w:p>
        </w:tc>
        <w:tc>
          <w:tcPr>
            <w:tcW w:w="960" w:type="dxa"/>
            <w:tcBorders>
              <w:top w:val="single" w:sz="8" w:space="0" w:color="auto"/>
            </w:tcBorders>
            <w:noWrap/>
            <w:vAlign w:val="bottom"/>
          </w:tcPr>
          <w:p w:rsidR="00652F81" w:rsidRPr="00D539C5" w:rsidRDefault="00652F81" w:rsidP="00652F81">
            <w:pPr>
              <w:jc w:val="right"/>
              <w:rPr>
                <w:rFonts w:ascii="Tahoma" w:hAnsi="Tahoma" w:cs="Tahoma"/>
              </w:rPr>
            </w:pPr>
            <w:r w:rsidRPr="00D539C5">
              <w:rPr>
                <w:rFonts w:ascii="Tahoma" w:hAnsi="Tahoma" w:cs="Tahoma"/>
              </w:rPr>
              <w:t>-6,6</w:t>
            </w:r>
          </w:p>
        </w:tc>
      </w:tr>
      <w:tr w:rsidR="00652F81" w:rsidRPr="00E676C6"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EU25</w:t>
            </w:r>
          </w:p>
        </w:tc>
        <w:tc>
          <w:tcPr>
            <w:tcW w:w="960" w:type="dxa"/>
            <w:noWrap/>
            <w:vAlign w:val="bottom"/>
          </w:tcPr>
          <w:p w:rsidR="00652F81" w:rsidRPr="00D539C5" w:rsidRDefault="00652F81" w:rsidP="00652F81">
            <w:pPr>
              <w:jc w:val="right"/>
              <w:rPr>
                <w:rFonts w:ascii="Tahoma" w:hAnsi="Tahoma" w:cs="Tahoma"/>
              </w:rPr>
            </w:pPr>
            <w:r w:rsidRPr="00D539C5">
              <w:rPr>
                <w:rFonts w:ascii="Tahoma" w:hAnsi="Tahoma" w:cs="Tahoma"/>
              </w:rPr>
              <w:t>-2,6</w:t>
            </w:r>
          </w:p>
        </w:tc>
        <w:tc>
          <w:tcPr>
            <w:tcW w:w="960" w:type="dxa"/>
            <w:noWrap/>
            <w:vAlign w:val="bottom"/>
          </w:tcPr>
          <w:p w:rsidR="00652F81" w:rsidRPr="00D539C5" w:rsidRDefault="00652F81" w:rsidP="00652F81">
            <w:pPr>
              <w:jc w:val="right"/>
              <w:rPr>
                <w:rFonts w:ascii="Tahoma" w:hAnsi="Tahoma" w:cs="Tahoma"/>
              </w:rPr>
            </w:pPr>
            <w:r w:rsidRPr="00D539C5">
              <w:rPr>
                <w:rFonts w:ascii="Tahoma" w:hAnsi="Tahoma" w:cs="Tahoma"/>
              </w:rPr>
              <w:t>-3,2</w:t>
            </w:r>
          </w:p>
        </w:tc>
        <w:tc>
          <w:tcPr>
            <w:tcW w:w="960" w:type="dxa"/>
            <w:noWrap/>
            <w:vAlign w:val="bottom"/>
          </w:tcPr>
          <w:p w:rsidR="00652F81" w:rsidRPr="00D539C5" w:rsidRDefault="00652F81" w:rsidP="00652F81">
            <w:pPr>
              <w:jc w:val="right"/>
              <w:rPr>
                <w:rFonts w:ascii="Tahoma" w:hAnsi="Tahoma" w:cs="Tahoma"/>
              </w:rPr>
            </w:pPr>
            <w:r w:rsidRPr="00D539C5">
              <w:rPr>
                <w:rFonts w:ascii="Tahoma" w:hAnsi="Tahoma" w:cs="Tahoma"/>
              </w:rPr>
              <w:t>-2,9</w:t>
            </w:r>
          </w:p>
        </w:tc>
        <w:tc>
          <w:tcPr>
            <w:tcW w:w="960" w:type="dxa"/>
            <w:noWrap/>
            <w:vAlign w:val="bottom"/>
          </w:tcPr>
          <w:p w:rsidR="00652F81" w:rsidRPr="00D539C5" w:rsidRDefault="00652F81" w:rsidP="00652F81">
            <w:pPr>
              <w:jc w:val="right"/>
              <w:rPr>
                <w:rFonts w:ascii="Tahoma" w:hAnsi="Tahoma" w:cs="Tahoma"/>
              </w:rPr>
            </w:pPr>
            <w:r w:rsidRPr="00D539C5">
              <w:rPr>
                <w:rFonts w:ascii="Tahoma" w:hAnsi="Tahoma" w:cs="Tahoma"/>
              </w:rPr>
              <w:t>-2,5</w:t>
            </w:r>
          </w:p>
        </w:tc>
        <w:tc>
          <w:tcPr>
            <w:tcW w:w="960" w:type="dxa"/>
            <w:noWrap/>
            <w:vAlign w:val="bottom"/>
          </w:tcPr>
          <w:p w:rsidR="00652F81" w:rsidRPr="00D539C5" w:rsidRDefault="00652F81" w:rsidP="00652F81">
            <w:pPr>
              <w:jc w:val="right"/>
              <w:rPr>
                <w:rFonts w:ascii="Tahoma" w:hAnsi="Tahoma" w:cs="Tahoma"/>
              </w:rPr>
            </w:pPr>
            <w:r w:rsidRPr="00D539C5">
              <w:rPr>
                <w:rFonts w:ascii="Tahoma" w:hAnsi="Tahoma" w:cs="Tahoma"/>
              </w:rPr>
              <w:t>-1,5</w:t>
            </w:r>
          </w:p>
        </w:tc>
        <w:tc>
          <w:tcPr>
            <w:tcW w:w="960" w:type="dxa"/>
            <w:noWrap/>
            <w:vAlign w:val="bottom"/>
          </w:tcPr>
          <w:p w:rsidR="00652F81" w:rsidRPr="00D539C5" w:rsidRDefault="00652F81" w:rsidP="00652F81">
            <w:pPr>
              <w:jc w:val="right"/>
              <w:rPr>
                <w:rFonts w:ascii="Tahoma" w:hAnsi="Tahoma" w:cs="Tahoma"/>
              </w:rPr>
            </w:pPr>
            <w:r w:rsidRPr="00D539C5">
              <w:rPr>
                <w:rFonts w:ascii="Tahoma" w:hAnsi="Tahoma" w:cs="Tahoma"/>
              </w:rPr>
              <w:t>-0,9</w:t>
            </w:r>
          </w:p>
        </w:tc>
        <w:tc>
          <w:tcPr>
            <w:tcW w:w="960" w:type="dxa"/>
            <w:noWrap/>
            <w:vAlign w:val="bottom"/>
          </w:tcPr>
          <w:p w:rsidR="00652F81" w:rsidRPr="00D539C5" w:rsidRDefault="00652F81" w:rsidP="00652F81">
            <w:pPr>
              <w:jc w:val="right"/>
              <w:rPr>
                <w:rFonts w:ascii="Tahoma" w:hAnsi="Tahoma" w:cs="Tahoma"/>
              </w:rPr>
            </w:pPr>
            <w:r w:rsidRPr="00D539C5">
              <w:rPr>
                <w:rFonts w:ascii="Tahoma" w:hAnsi="Tahoma" w:cs="Tahoma"/>
              </w:rPr>
              <w:t>-2,4</w:t>
            </w:r>
          </w:p>
        </w:tc>
        <w:tc>
          <w:tcPr>
            <w:tcW w:w="960" w:type="dxa"/>
            <w:noWrap/>
            <w:vAlign w:val="bottom"/>
          </w:tcPr>
          <w:p w:rsidR="00652F81" w:rsidRPr="00D539C5" w:rsidRDefault="00652F81" w:rsidP="00652F81">
            <w:pPr>
              <w:jc w:val="right"/>
              <w:rPr>
                <w:rFonts w:ascii="Tahoma" w:hAnsi="Tahoma" w:cs="Tahoma"/>
              </w:rPr>
            </w:pPr>
            <w:r w:rsidRPr="00D539C5">
              <w:rPr>
                <w:rFonts w:ascii="Tahoma" w:hAnsi="Tahoma" w:cs="Tahoma"/>
              </w:rPr>
              <w:t>-6,9</w:t>
            </w:r>
          </w:p>
        </w:tc>
        <w:tc>
          <w:tcPr>
            <w:tcW w:w="960" w:type="dxa"/>
            <w:noWrap/>
            <w:vAlign w:val="bottom"/>
          </w:tcPr>
          <w:p w:rsidR="00652F81" w:rsidRPr="00D539C5" w:rsidRDefault="00652F81" w:rsidP="00652F81">
            <w:pPr>
              <w:jc w:val="right"/>
              <w:rPr>
                <w:rFonts w:ascii="Tahoma" w:hAnsi="Tahoma" w:cs="Tahoma"/>
              </w:rPr>
            </w:pPr>
            <w:r w:rsidRPr="00D539C5">
              <w:rPr>
                <w:rFonts w:ascii="Tahoma" w:hAnsi="Tahoma" w:cs="Tahoma"/>
              </w:rPr>
              <w:t>-6,6</w:t>
            </w:r>
          </w:p>
        </w:tc>
      </w:tr>
      <w:tr w:rsidR="00652F81" w:rsidRPr="00E676C6"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EU15</w:t>
            </w:r>
          </w:p>
        </w:tc>
        <w:tc>
          <w:tcPr>
            <w:tcW w:w="960" w:type="dxa"/>
            <w:noWrap/>
            <w:vAlign w:val="bottom"/>
          </w:tcPr>
          <w:p w:rsidR="00652F81" w:rsidRPr="00D539C5" w:rsidRDefault="00652F81" w:rsidP="00652F81">
            <w:pPr>
              <w:jc w:val="right"/>
              <w:rPr>
                <w:rFonts w:ascii="Tahoma" w:hAnsi="Tahoma" w:cs="Tahoma"/>
              </w:rPr>
            </w:pPr>
            <w:r>
              <w:rPr>
                <w:rFonts w:ascii="Tahoma" w:hAnsi="Tahoma" w:cs="Tahoma"/>
              </w:rPr>
              <w:t>:</w:t>
            </w:r>
          </w:p>
        </w:tc>
        <w:tc>
          <w:tcPr>
            <w:tcW w:w="960" w:type="dxa"/>
            <w:noWrap/>
            <w:vAlign w:val="bottom"/>
          </w:tcPr>
          <w:p w:rsidR="00652F81" w:rsidRPr="00D539C5" w:rsidRDefault="00652F81" w:rsidP="00652F81">
            <w:pPr>
              <w:jc w:val="right"/>
              <w:rPr>
                <w:rFonts w:ascii="Tahoma" w:hAnsi="Tahoma" w:cs="Tahoma"/>
              </w:rPr>
            </w:pPr>
            <w:r>
              <w:rPr>
                <w:rFonts w:ascii="Tahoma" w:hAnsi="Tahoma" w:cs="Tahoma"/>
              </w:rPr>
              <w:t>:</w:t>
            </w:r>
          </w:p>
        </w:tc>
        <w:tc>
          <w:tcPr>
            <w:tcW w:w="960" w:type="dxa"/>
            <w:noWrap/>
            <w:vAlign w:val="bottom"/>
          </w:tcPr>
          <w:p w:rsidR="00652F81" w:rsidRPr="00D539C5" w:rsidRDefault="00652F81" w:rsidP="00652F81">
            <w:pPr>
              <w:jc w:val="right"/>
              <w:rPr>
                <w:rFonts w:ascii="Tahoma" w:hAnsi="Tahoma" w:cs="Tahoma"/>
              </w:rPr>
            </w:pPr>
            <w:r>
              <w:rPr>
                <w:rFonts w:ascii="Tahoma" w:hAnsi="Tahoma" w:cs="Tahoma"/>
              </w:rPr>
              <w:t>:</w:t>
            </w:r>
          </w:p>
        </w:tc>
        <w:tc>
          <w:tcPr>
            <w:tcW w:w="960" w:type="dxa"/>
            <w:noWrap/>
            <w:vAlign w:val="bottom"/>
          </w:tcPr>
          <w:p w:rsidR="00652F81" w:rsidRPr="00D539C5" w:rsidRDefault="00652F81" w:rsidP="00652F81">
            <w:pPr>
              <w:jc w:val="right"/>
              <w:rPr>
                <w:rFonts w:ascii="Tahoma" w:hAnsi="Tahoma" w:cs="Tahoma"/>
              </w:rPr>
            </w:pPr>
            <w:r>
              <w:rPr>
                <w:rFonts w:ascii="Tahoma" w:hAnsi="Tahoma" w:cs="Tahoma"/>
              </w:rPr>
              <w:t>:</w:t>
            </w:r>
          </w:p>
        </w:tc>
        <w:tc>
          <w:tcPr>
            <w:tcW w:w="960" w:type="dxa"/>
            <w:noWrap/>
            <w:vAlign w:val="bottom"/>
          </w:tcPr>
          <w:p w:rsidR="00652F81" w:rsidRPr="00D539C5" w:rsidRDefault="00652F81" w:rsidP="00652F81">
            <w:pPr>
              <w:jc w:val="right"/>
              <w:rPr>
                <w:rFonts w:ascii="Tahoma" w:hAnsi="Tahoma" w:cs="Tahoma"/>
              </w:rPr>
            </w:pPr>
            <w:r>
              <w:rPr>
                <w:rFonts w:ascii="Tahoma" w:hAnsi="Tahoma" w:cs="Tahoma"/>
              </w:rPr>
              <w:t>:</w:t>
            </w:r>
          </w:p>
        </w:tc>
        <w:tc>
          <w:tcPr>
            <w:tcW w:w="960" w:type="dxa"/>
            <w:noWrap/>
            <w:vAlign w:val="bottom"/>
          </w:tcPr>
          <w:p w:rsidR="00652F81" w:rsidRPr="00D539C5" w:rsidRDefault="00652F81" w:rsidP="00652F81">
            <w:pPr>
              <w:jc w:val="right"/>
              <w:rPr>
                <w:rFonts w:ascii="Tahoma" w:hAnsi="Tahoma" w:cs="Tahoma"/>
              </w:rPr>
            </w:pPr>
            <w:r>
              <w:rPr>
                <w:rFonts w:ascii="Tahoma" w:hAnsi="Tahoma" w:cs="Tahoma"/>
              </w:rPr>
              <w:t>:</w:t>
            </w:r>
          </w:p>
        </w:tc>
        <w:tc>
          <w:tcPr>
            <w:tcW w:w="960" w:type="dxa"/>
            <w:noWrap/>
            <w:vAlign w:val="bottom"/>
          </w:tcPr>
          <w:p w:rsidR="00652F81" w:rsidRPr="00D539C5" w:rsidRDefault="00652F81" w:rsidP="00652F81">
            <w:pPr>
              <w:jc w:val="right"/>
              <w:rPr>
                <w:rFonts w:ascii="Tahoma" w:hAnsi="Tahoma" w:cs="Tahoma"/>
              </w:rPr>
            </w:pPr>
            <w:r>
              <w:rPr>
                <w:rFonts w:ascii="Tahoma" w:hAnsi="Tahoma" w:cs="Tahoma"/>
              </w:rPr>
              <w:t>:</w:t>
            </w:r>
          </w:p>
        </w:tc>
        <w:tc>
          <w:tcPr>
            <w:tcW w:w="960" w:type="dxa"/>
            <w:noWrap/>
            <w:vAlign w:val="bottom"/>
          </w:tcPr>
          <w:p w:rsidR="00652F81" w:rsidRPr="00D539C5" w:rsidRDefault="00652F81" w:rsidP="00652F81">
            <w:pPr>
              <w:jc w:val="right"/>
              <w:rPr>
                <w:rFonts w:ascii="Tahoma" w:hAnsi="Tahoma" w:cs="Tahoma"/>
              </w:rPr>
            </w:pPr>
            <w:r>
              <w:rPr>
                <w:rFonts w:ascii="Tahoma" w:hAnsi="Tahoma" w:cs="Tahoma"/>
              </w:rPr>
              <w:t>:</w:t>
            </w:r>
          </w:p>
        </w:tc>
        <w:tc>
          <w:tcPr>
            <w:tcW w:w="960" w:type="dxa"/>
            <w:noWrap/>
            <w:vAlign w:val="bottom"/>
          </w:tcPr>
          <w:p w:rsidR="00652F81" w:rsidRPr="00D539C5" w:rsidRDefault="00652F81" w:rsidP="00652F81">
            <w:pPr>
              <w:jc w:val="right"/>
              <w:rPr>
                <w:rFonts w:ascii="Tahoma" w:hAnsi="Tahoma" w:cs="Tahoma"/>
              </w:rPr>
            </w:pPr>
            <w:r>
              <w:rPr>
                <w:rFonts w:ascii="Tahoma" w:hAnsi="Tahoma" w:cs="Tahoma"/>
              </w:rPr>
              <w:t>:</w:t>
            </w:r>
          </w:p>
        </w:tc>
      </w:tr>
      <w:tr w:rsidR="00652F81" w:rsidRPr="00E676C6" w:rsidTr="00652F81">
        <w:trPr>
          <w:trHeight w:val="255"/>
        </w:trPr>
        <w:tc>
          <w:tcPr>
            <w:tcW w:w="960" w:type="dxa"/>
            <w:noWrap/>
            <w:vAlign w:val="bottom"/>
          </w:tcPr>
          <w:p w:rsidR="00652F81" w:rsidRPr="007F2B8D" w:rsidRDefault="00652F81" w:rsidP="00652F81">
            <w:pPr>
              <w:rPr>
                <w:rFonts w:ascii="Tahoma" w:hAnsi="Tahoma" w:cs="Tahoma"/>
                <w:b/>
                <w:bCs/>
              </w:rPr>
            </w:pPr>
            <w:r>
              <w:rPr>
                <w:rFonts w:ascii="Tahoma" w:hAnsi="Tahoma" w:cs="Tahoma"/>
                <w:b/>
                <w:bCs/>
              </w:rPr>
              <w:t>EA17</w:t>
            </w:r>
          </w:p>
        </w:tc>
        <w:tc>
          <w:tcPr>
            <w:tcW w:w="960" w:type="dxa"/>
            <w:noWrap/>
            <w:vAlign w:val="bottom"/>
          </w:tcPr>
          <w:p w:rsidR="00652F81" w:rsidRPr="00D539C5" w:rsidRDefault="00652F81" w:rsidP="00652F81">
            <w:pPr>
              <w:jc w:val="right"/>
              <w:rPr>
                <w:rFonts w:ascii="Tahoma" w:hAnsi="Tahoma" w:cs="Tahoma"/>
              </w:rPr>
            </w:pPr>
            <w:r w:rsidRPr="00D539C5">
              <w:rPr>
                <w:rFonts w:ascii="Tahoma" w:hAnsi="Tahoma" w:cs="Tahoma"/>
              </w:rPr>
              <w:t>-2,6</w:t>
            </w:r>
          </w:p>
        </w:tc>
        <w:tc>
          <w:tcPr>
            <w:tcW w:w="960" w:type="dxa"/>
            <w:noWrap/>
            <w:vAlign w:val="bottom"/>
          </w:tcPr>
          <w:p w:rsidR="00652F81" w:rsidRPr="00D539C5" w:rsidRDefault="00652F81" w:rsidP="00652F81">
            <w:pPr>
              <w:jc w:val="right"/>
              <w:rPr>
                <w:rFonts w:ascii="Tahoma" w:hAnsi="Tahoma" w:cs="Tahoma"/>
              </w:rPr>
            </w:pPr>
            <w:r w:rsidRPr="00D539C5">
              <w:rPr>
                <w:rFonts w:ascii="Tahoma" w:hAnsi="Tahoma" w:cs="Tahoma"/>
              </w:rPr>
              <w:t>-3,1</w:t>
            </w:r>
          </w:p>
        </w:tc>
        <w:tc>
          <w:tcPr>
            <w:tcW w:w="960" w:type="dxa"/>
            <w:noWrap/>
            <w:vAlign w:val="bottom"/>
          </w:tcPr>
          <w:p w:rsidR="00652F81" w:rsidRPr="00D539C5" w:rsidRDefault="00652F81" w:rsidP="00652F81">
            <w:pPr>
              <w:jc w:val="right"/>
              <w:rPr>
                <w:rFonts w:ascii="Tahoma" w:hAnsi="Tahoma" w:cs="Tahoma"/>
              </w:rPr>
            </w:pPr>
            <w:r w:rsidRPr="00D539C5">
              <w:rPr>
                <w:rFonts w:ascii="Tahoma" w:hAnsi="Tahoma" w:cs="Tahoma"/>
              </w:rPr>
              <w:t>-2,9</w:t>
            </w:r>
          </w:p>
        </w:tc>
        <w:tc>
          <w:tcPr>
            <w:tcW w:w="960" w:type="dxa"/>
            <w:noWrap/>
            <w:vAlign w:val="bottom"/>
          </w:tcPr>
          <w:p w:rsidR="00652F81" w:rsidRPr="00D539C5" w:rsidRDefault="00652F81" w:rsidP="00652F81">
            <w:pPr>
              <w:jc w:val="right"/>
              <w:rPr>
                <w:rFonts w:ascii="Tahoma" w:hAnsi="Tahoma" w:cs="Tahoma"/>
              </w:rPr>
            </w:pPr>
            <w:r w:rsidRPr="00D539C5">
              <w:rPr>
                <w:rFonts w:ascii="Tahoma" w:hAnsi="Tahoma" w:cs="Tahoma"/>
              </w:rPr>
              <w:t>-2,5</w:t>
            </w:r>
          </w:p>
        </w:tc>
        <w:tc>
          <w:tcPr>
            <w:tcW w:w="960" w:type="dxa"/>
            <w:noWrap/>
            <w:vAlign w:val="bottom"/>
          </w:tcPr>
          <w:p w:rsidR="00652F81" w:rsidRPr="00D539C5" w:rsidRDefault="00652F81" w:rsidP="00652F81">
            <w:pPr>
              <w:jc w:val="right"/>
              <w:rPr>
                <w:rFonts w:ascii="Tahoma" w:hAnsi="Tahoma" w:cs="Tahoma"/>
              </w:rPr>
            </w:pPr>
            <w:r w:rsidRPr="00D539C5">
              <w:rPr>
                <w:rFonts w:ascii="Tahoma" w:hAnsi="Tahoma" w:cs="Tahoma"/>
              </w:rPr>
              <w:t>-1,3</w:t>
            </w:r>
          </w:p>
        </w:tc>
        <w:tc>
          <w:tcPr>
            <w:tcW w:w="960" w:type="dxa"/>
            <w:noWrap/>
            <w:vAlign w:val="bottom"/>
          </w:tcPr>
          <w:p w:rsidR="00652F81" w:rsidRPr="00D539C5" w:rsidRDefault="00652F81" w:rsidP="00652F81">
            <w:pPr>
              <w:jc w:val="right"/>
              <w:rPr>
                <w:rFonts w:ascii="Tahoma" w:hAnsi="Tahoma" w:cs="Tahoma"/>
              </w:rPr>
            </w:pPr>
            <w:r w:rsidRPr="00D539C5">
              <w:rPr>
                <w:rFonts w:ascii="Tahoma" w:hAnsi="Tahoma" w:cs="Tahoma"/>
              </w:rPr>
              <w:t>-0,7</w:t>
            </w:r>
          </w:p>
        </w:tc>
        <w:tc>
          <w:tcPr>
            <w:tcW w:w="960" w:type="dxa"/>
            <w:noWrap/>
            <w:vAlign w:val="bottom"/>
          </w:tcPr>
          <w:p w:rsidR="00652F81" w:rsidRPr="00D539C5" w:rsidRDefault="00652F81" w:rsidP="00652F81">
            <w:pPr>
              <w:jc w:val="right"/>
              <w:rPr>
                <w:rFonts w:ascii="Tahoma" w:hAnsi="Tahoma" w:cs="Tahoma"/>
              </w:rPr>
            </w:pPr>
            <w:r w:rsidRPr="00D539C5">
              <w:rPr>
                <w:rFonts w:ascii="Tahoma" w:hAnsi="Tahoma" w:cs="Tahoma"/>
              </w:rPr>
              <w:t>-2,1</w:t>
            </w:r>
          </w:p>
        </w:tc>
        <w:tc>
          <w:tcPr>
            <w:tcW w:w="960" w:type="dxa"/>
            <w:noWrap/>
            <w:vAlign w:val="bottom"/>
          </w:tcPr>
          <w:p w:rsidR="00652F81" w:rsidRPr="00D539C5" w:rsidRDefault="00652F81" w:rsidP="00652F81">
            <w:pPr>
              <w:jc w:val="right"/>
              <w:rPr>
                <w:rFonts w:ascii="Tahoma" w:hAnsi="Tahoma" w:cs="Tahoma"/>
              </w:rPr>
            </w:pPr>
            <w:r w:rsidRPr="00D539C5">
              <w:rPr>
                <w:rFonts w:ascii="Tahoma" w:hAnsi="Tahoma" w:cs="Tahoma"/>
              </w:rPr>
              <w:t>-6,4</w:t>
            </w:r>
          </w:p>
        </w:tc>
        <w:tc>
          <w:tcPr>
            <w:tcW w:w="960" w:type="dxa"/>
            <w:noWrap/>
            <w:vAlign w:val="bottom"/>
          </w:tcPr>
          <w:p w:rsidR="00652F81" w:rsidRPr="00D539C5" w:rsidRDefault="00652F81" w:rsidP="00652F81">
            <w:pPr>
              <w:jc w:val="right"/>
              <w:rPr>
                <w:rFonts w:ascii="Tahoma" w:hAnsi="Tahoma" w:cs="Tahoma"/>
              </w:rPr>
            </w:pPr>
            <w:r w:rsidRPr="00D539C5">
              <w:rPr>
                <w:rFonts w:ascii="Tahoma" w:hAnsi="Tahoma" w:cs="Tahoma"/>
              </w:rPr>
              <w:t>-6,2</w:t>
            </w:r>
          </w:p>
        </w:tc>
      </w:tr>
      <w:tr w:rsidR="00652F81" w:rsidRPr="00E676C6"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EL</w:t>
            </w:r>
          </w:p>
        </w:tc>
        <w:tc>
          <w:tcPr>
            <w:tcW w:w="960" w:type="dxa"/>
            <w:noWrap/>
            <w:vAlign w:val="bottom"/>
          </w:tcPr>
          <w:p w:rsidR="00652F81" w:rsidRPr="00D539C5" w:rsidRDefault="00652F81" w:rsidP="00652F81">
            <w:pPr>
              <w:jc w:val="right"/>
              <w:rPr>
                <w:rFonts w:ascii="Tahoma" w:hAnsi="Tahoma" w:cs="Tahoma"/>
              </w:rPr>
            </w:pPr>
            <w:r w:rsidRPr="00D539C5">
              <w:rPr>
                <w:rFonts w:ascii="Tahoma" w:hAnsi="Tahoma" w:cs="Tahoma"/>
              </w:rPr>
              <w:t>-4,8</w:t>
            </w:r>
          </w:p>
        </w:tc>
        <w:tc>
          <w:tcPr>
            <w:tcW w:w="960" w:type="dxa"/>
            <w:noWrap/>
            <w:vAlign w:val="bottom"/>
          </w:tcPr>
          <w:p w:rsidR="00652F81" w:rsidRPr="00D539C5" w:rsidRDefault="00652F81" w:rsidP="00652F81">
            <w:pPr>
              <w:jc w:val="right"/>
              <w:rPr>
                <w:rFonts w:ascii="Tahoma" w:hAnsi="Tahoma" w:cs="Tahoma"/>
              </w:rPr>
            </w:pPr>
            <w:r w:rsidRPr="00D539C5">
              <w:rPr>
                <w:rFonts w:ascii="Tahoma" w:hAnsi="Tahoma" w:cs="Tahoma"/>
              </w:rPr>
              <w:t>-5,6</w:t>
            </w:r>
          </w:p>
        </w:tc>
        <w:tc>
          <w:tcPr>
            <w:tcW w:w="960" w:type="dxa"/>
            <w:noWrap/>
            <w:vAlign w:val="bottom"/>
          </w:tcPr>
          <w:p w:rsidR="00652F81" w:rsidRPr="00D539C5" w:rsidRDefault="00652F81" w:rsidP="00652F81">
            <w:pPr>
              <w:jc w:val="right"/>
              <w:rPr>
                <w:rFonts w:ascii="Tahoma" w:hAnsi="Tahoma" w:cs="Tahoma"/>
              </w:rPr>
            </w:pPr>
            <w:r w:rsidRPr="00D539C5">
              <w:rPr>
                <w:rFonts w:ascii="Tahoma" w:hAnsi="Tahoma" w:cs="Tahoma"/>
              </w:rPr>
              <w:t>-7,5</w:t>
            </w:r>
          </w:p>
        </w:tc>
        <w:tc>
          <w:tcPr>
            <w:tcW w:w="960" w:type="dxa"/>
            <w:noWrap/>
            <w:vAlign w:val="bottom"/>
          </w:tcPr>
          <w:p w:rsidR="00652F81" w:rsidRPr="00D539C5" w:rsidRDefault="00652F81" w:rsidP="00652F81">
            <w:pPr>
              <w:jc w:val="right"/>
              <w:rPr>
                <w:rFonts w:ascii="Tahoma" w:hAnsi="Tahoma" w:cs="Tahoma"/>
              </w:rPr>
            </w:pPr>
            <w:r w:rsidRPr="00D539C5">
              <w:rPr>
                <w:rFonts w:ascii="Tahoma" w:hAnsi="Tahoma" w:cs="Tahoma"/>
              </w:rPr>
              <w:t>-5,2</w:t>
            </w:r>
          </w:p>
        </w:tc>
        <w:tc>
          <w:tcPr>
            <w:tcW w:w="960" w:type="dxa"/>
            <w:noWrap/>
            <w:vAlign w:val="bottom"/>
          </w:tcPr>
          <w:p w:rsidR="00652F81" w:rsidRPr="00D539C5" w:rsidRDefault="00652F81" w:rsidP="00652F81">
            <w:pPr>
              <w:jc w:val="right"/>
              <w:rPr>
                <w:rFonts w:ascii="Tahoma" w:hAnsi="Tahoma" w:cs="Tahoma"/>
              </w:rPr>
            </w:pPr>
            <w:r w:rsidRPr="00D539C5">
              <w:rPr>
                <w:rFonts w:ascii="Tahoma" w:hAnsi="Tahoma" w:cs="Tahoma"/>
              </w:rPr>
              <w:t>-5,7</w:t>
            </w:r>
          </w:p>
        </w:tc>
        <w:tc>
          <w:tcPr>
            <w:tcW w:w="960" w:type="dxa"/>
            <w:noWrap/>
            <w:vAlign w:val="bottom"/>
          </w:tcPr>
          <w:p w:rsidR="00652F81" w:rsidRPr="00D539C5" w:rsidRDefault="00652F81" w:rsidP="00652F81">
            <w:pPr>
              <w:jc w:val="right"/>
              <w:rPr>
                <w:rFonts w:ascii="Tahoma" w:hAnsi="Tahoma" w:cs="Tahoma"/>
              </w:rPr>
            </w:pPr>
            <w:r w:rsidRPr="00D539C5">
              <w:rPr>
                <w:rFonts w:ascii="Tahoma" w:hAnsi="Tahoma" w:cs="Tahoma"/>
              </w:rPr>
              <w:t>-6,5</w:t>
            </w:r>
          </w:p>
        </w:tc>
        <w:tc>
          <w:tcPr>
            <w:tcW w:w="960" w:type="dxa"/>
            <w:noWrap/>
            <w:vAlign w:val="bottom"/>
          </w:tcPr>
          <w:p w:rsidR="00652F81" w:rsidRPr="00D539C5" w:rsidRDefault="00652F81" w:rsidP="00652F81">
            <w:pPr>
              <w:jc w:val="right"/>
              <w:rPr>
                <w:rFonts w:ascii="Tahoma" w:hAnsi="Tahoma" w:cs="Tahoma"/>
              </w:rPr>
            </w:pPr>
            <w:r w:rsidRPr="00D539C5">
              <w:rPr>
                <w:rFonts w:ascii="Tahoma" w:hAnsi="Tahoma" w:cs="Tahoma"/>
              </w:rPr>
              <w:t>-9,8</w:t>
            </w:r>
          </w:p>
        </w:tc>
        <w:tc>
          <w:tcPr>
            <w:tcW w:w="960" w:type="dxa"/>
            <w:noWrap/>
            <w:vAlign w:val="bottom"/>
          </w:tcPr>
          <w:p w:rsidR="00652F81" w:rsidRPr="00D539C5" w:rsidRDefault="00652F81" w:rsidP="00652F81">
            <w:pPr>
              <w:jc w:val="right"/>
              <w:rPr>
                <w:rFonts w:ascii="Tahoma" w:hAnsi="Tahoma" w:cs="Tahoma"/>
              </w:rPr>
            </w:pPr>
            <w:r w:rsidRPr="00D539C5">
              <w:rPr>
                <w:rFonts w:ascii="Tahoma" w:hAnsi="Tahoma" w:cs="Tahoma"/>
              </w:rPr>
              <w:t>-15,8</w:t>
            </w:r>
          </w:p>
        </w:tc>
        <w:tc>
          <w:tcPr>
            <w:tcW w:w="960" w:type="dxa"/>
            <w:noWrap/>
            <w:vAlign w:val="bottom"/>
          </w:tcPr>
          <w:p w:rsidR="00652F81" w:rsidRPr="00D539C5" w:rsidRDefault="00652F81" w:rsidP="00652F81">
            <w:pPr>
              <w:jc w:val="right"/>
              <w:rPr>
                <w:rFonts w:ascii="Tahoma" w:hAnsi="Tahoma" w:cs="Tahoma"/>
              </w:rPr>
            </w:pPr>
            <w:r w:rsidRPr="00D539C5">
              <w:rPr>
                <w:rFonts w:ascii="Tahoma" w:hAnsi="Tahoma" w:cs="Tahoma"/>
              </w:rPr>
              <w:t>-10,6</w:t>
            </w:r>
          </w:p>
        </w:tc>
      </w:tr>
    </w:tbl>
    <w:p w:rsidR="00652F81" w:rsidRPr="006B0B31" w:rsidRDefault="00652F81" w:rsidP="00652F81">
      <w:pPr>
        <w:pStyle w:val="1"/>
        <w:rPr>
          <w:rFonts w:ascii="Tahoma" w:hAnsi="Tahoma" w:cs="Tahoma"/>
          <w:sz w:val="18"/>
          <w:szCs w:val="18"/>
        </w:rPr>
      </w:pPr>
      <w:r w:rsidRPr="00B55EFA">
        <w:rPr>
          <w:rFonts w:ascii="Tahoma" w:hAnsi="Tahoma" w:cs="Tahoma"/>
          <w:sz w:val="18"/>
          <w:szCs w:val="18"/>
        </w:rPr>
        <w:t>Πηγή:</w:t>
      </w:r>
      <w:r w:rsidRPr="006B0B31">
        <w:rPr>
          <w:rFonts w:ascii="Tahoma" w:hAnsi="Tahoma" w:cs="Tahoma"/>
          <w:b w:val="0"/>
          <w:sz w:val="18"/>
          <w:szCs w:val="18"/>
        </w:rPr>
        <w:t xml:space="preserve"> </w:t>
      </w:r>
      <w:r w:rsidRPr="006B0B31">
        <w:rPr>
          <w:rFonts w:ascii="Tahoma" w:hAnsi="Tahoma" w:cs="Tahoma"/>
          <w:b w:val="0"/>
          <w:sz w:val="18"/>
          <w:szCs w:val="18"/>
          <w:lang w:val="en-US"/>
        </w:rPr>
        <w:t>Eurostat</w:t>
      </w:r>
    </w:p>
    <w:p w:rsidR="00652F81" w:rsidRPr="006B0B31" w:rsidRDefault="00652F81" w:rsidP="00652F81">
      <w:pPr>
        <w:pStyle w:val="new12"/>
        <w:sectPr w:rsidR="00652F81" w:rsidRPr="006B0B31" w:rsidSect="00652F81">
          <w:footerReference w:type="default" r:id="rId111"/>
          <w:pgSz w:w="11906" w:h="16838"/>
          <w:pgMar w:top="1701" w:right="1418" w:bottom="1418" w:left="1418" w:header="720" w:footer="720" w:gutter="0"/>
          <w:paperSrc w:first="242" w:other="242"/>
          <w:cols w:space="720"/>
        </w:sectPr>
      </w:pPr>
    </w:p>
    <w:p w:rsidR="00652F81" w:rsidRPr="00294913" w:rsidRDefault="00652F81" w:rsidP="00652F81">
      <w:pPr>
        <w:pStyle w:val="new12"/>
      </w:pPr>
      <w:bookmarkStart w:id="523" w:name="_Toc169881560"/>
      <w:bookmarkStart w:id="524" w:name="_Toc170201914"/>
      <w:r w:rsidRPr="00294913">
        <w:lastRenderedPageBreak/>
        <w:t>Ι-5β</w:t>
      </w:r>
      <w:r>
        <w:t>,</w:t>
      </w:r>
      <w:r w:rsidRPr="00294913">
        <w:tab/>
        <w:t>Χρέος Γενικής Κυβέρνησης</w:t>
      </w:r>
      <w:bookmarkEnd w:id="522"/>
      <w:bookmarkEnd w:id="523"/>
      <w:bookmarkEnd w:id="524"/>
      <w:r w:rsidRPr="008B34CB">
        <w:rPr>
          <w:color w:val="0000FF"/>
          <w:sz w:val="16"/>
          <w:szCs w:val="16"/>
        </w:rPr>
        <w:t xml:space="preserve"> </w:t>
      </w:r>
    </w:p>
    <w:p w:rsidR="00652F81" w:rsidRPr="00294913" w:rsidRDefault="00652F81" w:rsidP="00652F81">
      <w:pPr>
        <w:pStyle w:val="new1210pt"/>
      </w:pPr>
      <w:bookmarkStart w:id="525" w:name="_Toc150308639"/>
      <w:bookmarkStart w:id="526" w:name="_Toc170201915"/>
      <w:r w:rsidRPr="00294913">
        <w:t>(ως % του ΑΕΠ)</w:t>
      </w:r>
      <w:bookmarkEnd w:id="525"/>
      <w:bookmarkEnd w:id="526"/>
    </w:p>
    <w:p w:rsidR="00652F81" w:rsidRPr="004F56C3" w:rsidRDefault="00652F81" w:rsidP="00652F81"/>
    <w:p w:rsidR="00652F81" w:rsidRPr="003A709D" w:rsidRDefault="00652F81" w:rsidP="00652F81"/>
    <w:p w:rsidR="00652F81" w:rsidRPr="003A709D" w:rsidRDefault="00652F81" w:rsidP="00652F81">
      <w:pPr>
        <w:spacing w:line="288" w:lineRule="auto"/>
        <w:jc w:val="both"/>
        <w:rPr>
          <w:rFonts w:ascii="Tahoma" w:hAnsi="Tahoma" w:cs="Tahoma"/>
        </w:rPr>
      </w:pPr>
      <w:r w:rsidRPr="003A709D">
        <w:rPr>
          <w:rFonts w:ascii="Tahoma" w:hAnsi="Tahoma" w:cs="Tahoma"/>
        </w:rPr>
        <w:t>Το χρέος Γενικής Κυβέρνησης καθορίζεται ως το απόθεμα του ακαθάριστου χρέους στο τέλος του έτους σε ονομαστικές τιμές</w:t>
      </w:r>
      <w:r w:rsidR="00930031">
        <w:rPr>
          <w:rFonts w:ascii="Tahoma" w:hAnsi="Tahoma" w:cs="Tahoma"/>
        </w:rPr>
        <w:t>.</w:t>
      </w:r>
    </w:p>
    <w:p w:rsidR="00652F81" w:rsidRPr="00444B53" w:rsidRDefault="00652F81" w:rsidP="00652F81">
      <w:r>
        <w:rPr>
          <w:noProof/>
          <w:lang w:val="en-US" w:eastAsia="en-US"/>
        </w:rPr>
        <w:drawing>
          <wp:inline distT="0" distB="0" distL="0" distR="0">
            <wp:extent cx="5753100" cy="2914650"/>
            <wp:effectExtent l="0" t="0" r="0" b="0"/>
            <wp:docPr id="34"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2" cstate="print"/>
                    <a:srcRect/>
                    <a:stretch>
                      <a:fillRect/>
                    </a:stretch>
                  </pic:blipFill>
                  <pic:spPr bwMode="auto">
                    <a:xfrm>
                      <a:off x="0" y="0"/>
                      <a:ext cx="5753100" cy="2914650"/>
                    </a:xfrm>
                    <a:prstGeom prst="rect">
                      <a:avLst/>
                    </a:prstGeom>
                    <a:noFill/>
                    <a:ln w="9525">
                      <a:noFill/>
                      <a:miter lim="800000"/>
                      <a:headEnd/>
                      <a:tailEnd/>
                    </a:ln>
                  </pic:spPr>
                </pic:pic>
              </a:graphicData>
            </a:graphic>
          </wp:inline>
        </w:drawing>
      </w:r>
    </w:p>
    <w:p w:rsidR="00652F81" w:rsidRPr="00A91BD4" w:rsidRDefault="00652F81" w:rsidP="00652F81"/>
    <w:p w:rsidR="00652F81" w:rsidRPr="00294913" w:rsidRDefault="00652F81" w:rsidP="00652F81">
      <w:pPr>
        <w:rPr>
          <w:rFonts w:ascii="Tahoma" w:hAnsi="Tahoma" w:cs="Tahoma"/>
        </w:rPr>
      </w:pPr>
    </w:p>
    <w:tbl>
      <w:tblPr>
        <w:tblW w:w="9600" w:type="dxa"/>
        <w:tblBorders>
          <w:top w:val="single" w:sz="12" w:space="0" w:color="auto"/>
          <w:bottom w:val="single" w:sz="12" w:space="0" w:color="auto"/>
          <w:insideH w:val="dotted" w:sz="4" w:space="0" w:color="auto"/>
        </w:tblBorders>
        <w:tblLook w:val="00A0"/>
      </w:tblPr>
      <w:tblGrid>
        <w:gridCol w:w="960"/>
        <w:gridCol w:w="960"/>
        <w:gridCol w:w="960"/>
        <w:gridCol w:w="960"/>
        <w:gridCol w:w="960"/>
        <w:gridCol w:w="960"/>
        <w:gridCol w:w="960"/>
        <w:gridCol w:w="960"/>
        <w:gridCol w:w="960"/>
        <w:gridCol w:w="960"/>
      </w:tblGrid>
      <w:tr w:rsidR="00652F81" w:rsidRPr="00E676C6" w:rsidTr="00652F81">
        <w:trPr>
          <w:trHeight w:val="255"/>
        </w:trPr>
        <w:tc>
          <w:tcPr>
            <w:tcW w:w="960" w:type="dxa"/>
            <w:tcBorders>
              <w:top w:val="single" w:sz="12" w:space="0" w:color="auto"/>
              <w:bottom w:val="single" w:sz="8" w:space="0" w:color="auto"/>
            </w:tcBorders>
            <w:noWrap/>
          </w:tcPr>
          <w:p w:rsidR="00652F81" w:rsidRPr="00CA39FC" w:rsidRDefault="00652F81" w:rsidP="00652F81">
            <w:pPr>
              <w:jc w:val="center"/>
              <w:rPr>
                <w:rFonts w:ascii="Tahoma" w:hAnsi="Tahoma" w:cs="Tahoma"/>
                <w:bCs/>
              </w:rPr>
            </w:pP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2002</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2003</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2004</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2005</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2006</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lang w:val="en-US"/>
              </w:rPr>
            </w:pPr>
            <w:r w:rsidRPr="00CA39FC">
              <w:rPr>
                <w:rFonts w:ascii="Tahoma" w:hAnsi="Tahoma" w:cs="Tahoma"/>
                <w:b/>
                <w:bCs/>
              </w:rPr>
              <w:t>200</w:t>
            </w:r>
            <w:r w:rsidRPr="00CA39FC">
              <w:rPr>
                <w:rFonts w:ascii="Tahoma" w:hAnsi="Tahoma" w:cs="Tahoma"/>
                <w:b/>
                <w:bCs/>
                <w:lang w:val="en-US"/>
              </w:rPr>
              <w:t>7</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lang w:val="en-US"/>
              </w:rPr>
            </w:pPr>
            <w:r>
              <w:rPr>
                <w:rFonts w:ascii="Tahoma" w:hAnsi="Tahoma" w:cs="Tahoma"/>
                <w:b/>
                <w:bCs/>
                <w:lang w:val="en-US"/>
              </w:rPr>
              <w:t>2008</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lang w:val="en-US"/>
              </w:rPr>
            </w:pPr>
            <w:r>
              <w:rPr>
                <w:rFonts w:ascii="Tahoma" w:hAnsi="Tahoma" w:cs="Tahoma"/>
                <w:b/>
                <w:bCs/>
                <w:lang w:val="en-US"/>
              </w:rPr>
              <w:t>2009</w:t>
            </w:r>
          </w:p>
        </w:tc>
        <w:tc>
          <w:tcPr>
            <w:tcW w:w="960" w:type="dxa"/>
            <w:tcBorders>
              <w:top w:val="single" w:sz="12" w:space="0" w:color="auto"/>
              <w:bottom w:val="single" w:sz="8" w:space="0" w:color="auto"/>
            </w:tcBorders>
            <w:noWrap/>
            <w:vAlign w:val="bottom"/>
          </w:tcPr>
          <w:p w:rsidR="00652F81" w:rsidRPr="000A1896" w:rsidRDefault="00652F81" w:rsidP="00652F81">
            <w:pPr>
              <w:jc w:val="center"/>
              <w:rPr>
                <w:rFonts w:ascii="Tahoma" w:hAnsi="Tahoma" w:cs="Tahoma"/>
                <w:b/>
                <w:bCs/>
              </w:rPr>
            </w:pPr>
            <w:r>
              <w:rPr>
                <w:rFonts w:ascii="Tahoma" w:hAnsi="Tahoma" w:cs="Tahoma"/>
                <w:b/>
                <w:bCs/>
              </w:rPr>
              <w:t>2010</w:t>
            </w:r>
          </w:p>
        </w:tc>
      </w:tr>
      <w:tr w:rsidR="00652F81" w:rsidRPr="00E676C6" w:rsidTr="00652F81">
        <w:trPr>
          <w:trHeight w:val="255"/>
        </w:trPr>
        <w:tc>
          <w:tcPr>
            <w:tcW w:w="960" w:type="dxa"/>
            <w:tcBorders>
              <w:top w:val="single" w:sz="8" w:space="0" w:color="auto"/>
            </w:tcBorders>
            <w:noWrap/>
            <w:vAlign w:val="bottom"/>
          </w:tcPr>
          <w:p w:rsidR="00652F81" w:rsidRPr="00CA39FC" w:rsidRDefault="00652F81" w:rsidP="00652F81">
            <w:pPr>
              <w:rPr>
                <w:rFonts w:ascii="Tahoma" w:hAnsi="Tahoma" w:cs="Tahoma"/>
                <w:b/>
                <w:bCs/>
              </w:rPr>
            </w:pPr>
            <w:r w:rsidRPr="00CA39FC">
              <w:rPr>
                <w:rFonts w:ascii="Tahoma" w:hAnsi="Tahoma" w:cs="Tahoma"/>
                <w:b/>
                <w:bCs/>
              </w:rPr>
              <w:t>EU27</w:t>
            </w:r>
          </w:p>
        </w:tc>
        <w:tc>
          <w:tcPr>
            <w:tcW w:w="960" w:type="dxa"/>
            <w:tcBorders>
              <w:top w:val="single" w:sz="8" w:space="0" w:color="auto"/>
            </w:tcBorders>
            <w:noWrap/>
            <w:vAlign w:val="bottom"/>
          </w:tcPr>
          <w:p w:rsidR="00652F81" w:rsidRPr="00444B53" w:rsidRDefault="00652F81" w:rsidP="00652F81">
            <w:pPr>
              <w:jc w:val="right"/>
              <w:rPr>
                <w:rFonts w:ascii="Tahoma" w:hAnsi="Tahoma" w:cs="Tahoma"/>
              </w:rPr>
            </w:pPr>
            <w:r w:rsidRPr="00444B53">
              <w:rPr>
                <w:rFonts w:ascii="Tahoma" w:hAnsi="Tahoma" w:cs="Tahoma"/>
              </w:rPr>
              <w:t>60,4</w:t>
            </w:r>
          </w:p>
        </w:tc>
        <w:tc>
          <w:tcPr>
            <w:tcW w:w="960" w:type="dxa"/>
            <w:tcBorders>
              <w:top w:val="single" w:sz="8" w:space="0" w:color="auto"/>
            </w:tcBorders>
            <w:noWrap/>
            <w:vAlign w:val="bottom"/>
          </w:tcPr>
          <w:p w:rsidR="00652F81" w:rsidRPr="00444B53" w:rsidRDefault="00652F81" w:rsidP="00652F81">
            <w:pPr>
              <w:jc w:val="right"/>
              <w:rPr>
                <w:rFonts w:ascii="Tahoma" w:hAnsi="Tahoma" w:cs="Tahoma"/>
              </w:rPr>
            </w:pPr>
            <w:r w:rsidRPr="00444B53">
              <w:rPr>
                <w:rFonts w:ascii="Tahoma" w:hAnsi="Tahoma" w:cs="Tahoma"/>
              </w:rPr>
              <w:t>61,8</w:t>
            </w:r>
          </w:p>
        </w:tc>
        <w:tc>
          <w:tcPr>
            <w:tcW w:w="960" w:type="dxa"/>
            <w:tcBorders>
              <w:top w:val="single" w:sz="8" w:space="0" w:color="auto"/>
            </w:tcBorders>
            <w:noWrap/>
            <w:vAlign w:val="bottom"/>
          </w:tcPr>
          <w:p w:rsidR="00652F81" w:rsidRPr="00444B53" w:rsidRDefault="00652F81" w:rsidP="00652F81">
            <w:pPr>
              <w:jc w:val="right"/>
              <w:rPr>
                <w:rFonts w:ascii="Tahoma" w:hAnsi="Tahoma" w:cs="Tahoma"/>
              </w:rPr>
            </w:pPr>
            <w:r w:rsidRPr="00444B53">
              <w:rPr>
                <w:rFonts w:ascii="Tahoma" w:hAnsi="Tahoma" w:cs="Tahoma"/>
              </w:rPr>
              <w:t>62,2</w:t>
            </w:r>
          </w:p>
        </w:tc>
        <w:tc>
          <w:tcPr>
            <w:tcW w:w="960" w:type="dxa"/>
            <w:tcBorders>
              <w:top w:val="single" w:sz="8" w:space="0" w:color="auto"/>
            </w:tcBorders>
            <w:noWrap/>
            <w:vAlign w:val="bottom"/>
          </w:tcPr>
          <w:p w:rsidR="00652F81" w:rsidRPr="00444B53" w:rsidRDefault="00652F81" w:rsidP="00652F81">
            <w:pPr>
              <w:jc w:val="right"/>
              <w:rPr>
                <w:rFonts w:ascii="Tahoma" w:hAnsi="Tahoma" w:cs="Tahoma"/>
              </w:rPr>
            </w:pPr>
            <w:r w:rsidRPr="00444B53">
              <w:rPr>
                <w:rFonts w:ascii="Tahoma" w:hAnsi="Tahoma" w:cs="Tahoma"/>
              </w:rPr>
              <w:t>62,8</w:t>
            </w:r>
          </w:p>
        </w:tc>
        <w:tc>
          <w:tcPr>
            <w:tcW w:w="960" w:type="dxa"/>
            <w:tcBorders>
              <w:top w:val="single" w:sz="8" w:space="0" w:color="auto"/>
            </w:tcBorders>
            <w:noWrap/>
            <w:vAlign w:val="bottom"/>
          </w:tcPr>
          <w:p w:rsidR="00652F81" w:rsidRPr="00444B53" w:rsidRDefault="00652F81" w:rsidP="00652F81">
            <w:pPr>
              <w:jc w:val="right"/>
              <w:rPr>
                <w:rFonts w:ascii="Tahoma" w:hAnsi="Tahoma" w:cs="Tahoma"/>
              </w:rPr>
            </w:pPr>
            <w:r w:rsidRPr="00444B53">
              <w:rPr>
                <w:rFonts w:ascii="Tahoma" w:hAnsi="Tahoma" w:cs="Tahoma"/>
              </w:rPr>
              <w:t>61,5</w:t>
            </w:r>
          </w:p>
        </w:tc>
        <w:tc>
          <w:tcPr>
            <w:tcW w:w="960" w:type="dxa"/>
            <w:tcBorders>
              <w:top w:val="single" w:sz="8" w:space="0" w:color="auto"/>
            </w:tcBorders>
            <w:noWrap/>
            <w:vAlign w:val="bottom"/>
          </w:tcPr>
          <w:p w:rsidR="00652F81" w:rsidRPr="00444B53" w:rsidRDefault="00652F81" w:rsidP="00652F81">
            <w:pPr>
              <w:jc w:val="right"/>
              <w:rPr>
                <w:rFonts w:ascii="Tahoma" w:hAnsi="Tahoma" w:cs="Tahoma"/>
              </w:rPr>
            </w:pPr>
            <w:r w:rsidRPr="00444B53">
              <w:rPr>
                <w:rFonts w:ascii="Tahoma" w:hAnsi="Tahoma" w:cs="Tahoma"/>
              </w:rPr>
              <w:t>59</w:t>
            </w:r>
            <w:r>
              <w:rPr>
                <w:rFonts w:ascii="Tahoma" w:hAnsi="Tahoma" w:cs="Tahoma"/>
              </w:rPr>
              <w:t>,0</w:t>
            </w:r>
          </w:p>
        </w:tc>
        <w:tc>
          <w:tcPr>
            <w:tcW w:w="960" w:type="dxa"/>
            <w:tcBorders>
              <w:top w:val="single" w:sz="8" w:space="0" w:color="auto"/>
            </w:tcBorders>
            <w:noWrap/>
            <w:vAlign w:val="bottom"/>
          </w:tcPr>
          <w:p w:rsidR="00652F81" w:rsidRPr="00444B53" w:rsidRDefault="00652F81" w:rsidP="00652F81">
            <w:pPr>
              <w:jc w:val="right"/>
              <w:rPr>
                <w:rFonts w:ascii="Tahoma" w:hAnsi="Tahoma" w:cs="Tahoma"/>
              </w:rPr>
            </w:pPr>
            <w:r>
              <w:rPr>
                <w:rFonts w:ascii="Tahoma" w:hAnsi="Tahoma" w:cs="Tahoma"/>
              </w:rPr>
              <w:t>62,5</w:t>
            </w:r>
          </w:p>
        </w:tc>
        <w:tc>
          <w:tcPr>
            <w:tcW w:w="960" w:type="dxa"/>
            <w:tcBorders>
              <w:top w:val="single" w:sz="8" w:space="0" w:color="auto"/>
            </w:tcBorders>
            <w:noWrap/>
            <w:vAlign w:val="bottom"/>
          </w:tcPr>
          <w:p w:rsidR="00652F81" w:rsidRPr="00444B53" w:rsidRDefault="00652F81" w:rsidP="00652F81">
            <w:pPr>
              <w:jc w:val="right"/>
              <w:rPr>
                <w:rFonts w:ascii="Tahoma" w:hAnsi="Tahoma" w:cs="Tahoma"/>
              </w:rPr>
            </w:pPr>
            <w:r>
              <w:rPr>
                <w:rFonts w:ascii="Tahoma" w:hAnsi="Tahoma" w:cs="Tahoma"/>
              </w:rPr>
              <w:t>74,7</w:t>
            </w:r>
          </w:p>
        </w:tc>
        <w:tc>
          <w:tcPr>
            <w:tcW w:w="960" w:type="dxa"/>
            <w:tcBorders>
              <w:top w:val="single" w:sz="8" w:space="0" w:color="auto"/>
            </w:tcBorders>
            <w:noWrap/>
            <w:vAlign w:val="bottom"/>
          </w:tcPr>
          <w:p w:rsidR="00652F81" w:rsidRPr="00444B53" w:rsidRDefault="00652F81" w:rsidP="00652F81">
            <w:pPr>
              <w:jc w:val="right"/>
              <w:rPr>
                <w:rFonts w:ascii="Tahoma" w:hAnsi="Tahoma" w:cs="Tahoma"/>
              </w:rPr>
            </w:pPr>
            <w:r w:rsidRPr="00444B53">
              <w:rPr>
                <w:rFonts w:ascii="Tahoma" w:hAnsi="Tahoma" w:cs="Tahoma"/>
              </w:rPr>
              <w:t>80</w:t>
            </w:r>
            <w:r>
              <w:rPr>
                <w:rFonts w:ascii="Tahoma" w:hAnsi="Tahoma" w:cs="Tahoma"/>
              </w:rPr>
              <w:t>,1</w:t>
            </w:r>
          </w:p>
        </w:tc>
      </w:tr>
      <w:tr w:rsidR="00652F81" w:rsidRPr="00E676C6"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EU25</w:t>
            </w:r>
          </w:p>
        </w:tc>
        <w:tc>
          <w:tcPr>
            <w:tcW w:w="960" w:type="dxa"/>
            <w:noWrap/>
            <w:vAlign w:val="bottom"/>
          </w:tcPr>
          <w:p w:rsidR="00652F81" w:rsidRPr="00444B53" w:rsidRDefault="00652F81" w:rsidP="00652F81">
            <w:pPr>
              <w:jc w:val="right"/>
              <w:rPr>
                <w:rFonts w:ascii="Tahoma" w:hAnsi="Tahoma" w:cs="Tahoma"/>
              </w:rPr>
            </w:pPr>
            <w:r w:rsidRPr="00444B53">
              <w:rPr>
                <w:rFonts w:ascii="Tahoma" w:hAnsi="Tahoma" w:cs="Tahoma"/>
              </w:rPr>
              <w:t>60,6</w:t>
            </w:r>
          </w:p>
        </w:tc>
        <w:tc>
          <w:tcPr>
            <w:tcW w:w="960" w:type="dxa"/>
            <w:noWrap/>
            <w:vAlign w:val="bottom"/>
          </w:tcPr>
          <w:p w:rsidR="00652F81" w:rsidRPr="00444B53" w:rsidRDefault="00652F81" w:rsidP="00652F81">
            <w:pPr>
              <w:jc w:val="right"/>
              <w:rPr>
                <w:rFonts w:ascii="Tahoma" w:hAnsi="Tahoma" w:cs="Tahoma"/>
              </w:rPr>
            </w:pPr>
            <w:r w:rsidRPr="00444B53">
              <w:rPr>
                <w:rFonts w:ascii="Tahoma" w:hAnsi="Tahoma" w:cs="Tahoma"/>
              </w:rPr>
              <w:t>62,1</w:t>
            </w:r>
          </w:p>
        </w:tc>
        <w:tc>
          <w:tcPr>
            <w:tcW w:w="960" w:type="dxa"/>
            <w:noWrap/>
            <w:vAlign w:val="bottom"/>
          </w:tcPr>
          <w:p w:rsidR="00652F81" w:rsidRPr="00444B53" w:rsidRDefault="00652F81" w:rsidP="00652F81">
            <w:pPr>
              <w:jc w:val="right"/>
              <w:rPr>
                <w:rFonts w:ascii="Tahoma" w:hAnsi="Tahoma" w:cs="Tahoma"/>
              </w:rPr>
            </w:pPr>
            <w:r w:rsidRPr="00444B53">
              <w:rPr>
                <w:rFonts w:ascii="Tahoma" w:hAnsi="Tahoma" w:cs="Tahoma"/>
              </w:rPr>
              <w:t>62,5</w:t>
            </w:r>
          </w:p>
        </w:tc>
        <w:tc>
          <w:tcPr>
            <w:tcW w:w="960" w:type="dxa"/>
            <w:noWrap/>
            <w:vAlign w:val="bottom"/>
          </w:tcPr>
          <w:p w:rsidR="00652F81" w:rsidRPr="00444B53" w:rsidRDefault="00652F81" w:rsidP="00652F81">
            <w:pPr>
              <w:jc w:val="right"/>
              <w:rPr>
                <w:rFonts w:ascii="Tahoma" w:hAnsi="Tahoma" w:cs="Tahoma"/>
              </w:rPr>
            </w:pPr>
            <w:r w:rsidRPr="00444B53">
              <w:rPr>
                <w:rFonts w:ascii="Tahoma" w:hAnsi="Tahoma" w:cs="Tahoma"/>
              </w:rPr>
              <w:t>63,2</w:t>
            </w:r>
          </w:p>
        </w:tc>
        <w:tc>
          <w:tcPr>
            <w:tcW w:w="960" w:type="dxa"/>
            <w:noWrap/>
            <w:vAlign w:val="bottom"/>
          </w:tcPr>
          <w:p w:rsidR="00652F81" w:rsidRPr="00444B53" w:rsidRDefault="00652F81" w:rsidP="00652F81">
            <w:pPr>
              <w:jc w:val="right"/>
              <w:rPr>
                <w:rFonts w:ascii="Tahoma" w:hAnsi="Tahoma" w:cs="Tahoma"/>
              </w:rPr>
            </w:pPr>
            <w:r w:rsidRPr="00444B53">
              <w:rPr>
                <w:rFonts w:ascii="Tahoma" w:hAnsi="Tahoma" w:cs="Tahoma"/>
              </w:rPr>
              <w:t>62</w:t>
            </w:r>
          </w:p>
        </w:tc>
        <w:tc>
          <w:tcPr>
            <w:tcW w:w="960" w:type="dxa"/>
            <w:noWrap/>
            <w:vAlign w:val="bottom"/>
          </w:tcPr>
          <w:p w:rsidR="00652F81" w:rsidRPr="00444B53" w:rsidRDefault="00652F81" w:rsidP="00652F81">
            <w:pPr>
              <w:jc w:val="right"/>
              <w:rPr>
                <w:rFonts w:ascii="Tahoma" w:hAnsi="Tahoma" w:cs="Tahoma"/>
              </w:rPr>
            </w:pPr>
            <w:r w:rsidRPr="00444B53">
              <w:rPr>
                <w:rFonts w:ascii="Tahoma" w:hAnsi="Tahoma" w:cs="Tahoma"/>
              </w:rPr>
              <w:t>59,6</w:t>
            </w:r>
          </w:p>
        </w:tc>
        <w:tc>
          <w:tcPr>
            <w:tcW w:w="960" w:type="dxa"/>
            <w:noWrap/>
            <w:vAlign w:val="bottom"/>
          </w:tcPr>
          <w:p w:rsidR="00652F81" w:rsidRPr="00444B53" w:rsidRDefault="00652F81" w:rsidP="00652F81">
            <w:pPr>
              <w:jc w:val="right"/>
              <w:rPr>
                <w:rFonts w:ascii="Tahoma" w:hAnsi="Tahoma" w:cs="Tahoma"/>
              </w:rPr>
            </w:pPr>
            <w:r w:rsidRPr="00444B53">
              <w:rPr>
                <w:rFonts w:ascii="Tahoma" w:hAnsi="Tahoma" w:cs="Tahoma"/>
              </w:rPr>
              <w:t>63</w:t>
            </w:r>
            <w:r>
              <w:rPr>
                <w:rFonts w:ascii="Tahoma" w:hAnsi="Tahoma" w:cs="Tahoma"/>
              </w:rPr>
              <w:t>,2</w:t>
            </w:r>
          </w:p>
        </w:tc>
        <w:tc>
          <w:tcPr>
            <w:tcW w:w="960" w:type="dxa"/>
            <w:noWrap/>
            <w:vAlign w:val="bottom"/>
          </w:tcPr>
          <w:p w:rsidR="00652F81" w:rsidRPr="00444B53" w:rsidRDefault="00652F81" w:rsidP="00652F81">
            <w:pPr>
              <w:jc w:val="right"/>
              <w:rPr>
                <w:rFonts w:ascii="Tahoma" w:hAnsi="Tahoma" w:cs="Tahoma"/>
              </w:rPr>
            </w:pPr>
            <w:r>
              <w:rPr>
                <w:rFonts w:ascii="Tahoma" w:hAnsi="Tahoma" w:cs="Tahoma"/>
              </w:rPr>
              <w:t>75,4</w:t>
            </w:r>
          </w:p>
        </w:tc>
        <w:tc>
          <w:tcPr>
            <w:tcW w:w="960" w:type="dxa"/>
            <w:noWrap/>
            <w:vAlign w:val="bottom"/>
          </w:tcPr>
          <w:p w:rsidR="00652F81" w:rsidRPr="00444B53" w:rsidRDefault="00652F81" w:rsidP="00652F81">
            <w:pPr>
              <w:jc w:val="right"/>
              <w:rPr>
                <w:rFonts w:ascii="Tahoma" w:hAnsi="Tahoma" w:cs="Tahoma"/>
              </w:rPr>
            </w:pPr>
            <w:r>
              <w:rPr>
                <w:rFonts w:ascii="Tahoma" w:hAnsi="Tahoma" w:cs="Tahoma"/>
              </w:rPr>
              <w:t>80,8</w:t>
            </w:r>
          </w:p>
        </w:tc>
      </w:tr>
      <w:tr w:rsidR="00652F81" w:rsidRPr="00E676C6"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EU15</w:t>
            </w:r>
          </w:p>
        </w:tc>
        <w:tc>
          <w:tcPr>
            <w:tcW w:w="960" w:type="dxa"/>
            <w:noWrap/>
            <w:vAlign w:val="bottom"/>
          </w:tcPr>
          <w:p w:rsidR="00652F81" w:rsidRPr="00444B53" w:rsidRDefault="00652F81" w:rsidP="00652F81">
            <w:pPr>
              <w:jc w:val="right"/>
              <w:rPr>
                <w:rFonts w:ascii="Tahoma" w:hAnsi="Tahoma" w:cs="Tahoma"/>
              </w:rPr>
            </w:pPr>
            <w:r>
              <w:rPr>
                <w:rFonts w:ascii="Tahoma" w:hAnsi="Tahoma" w:cs="Tahoma"/>
              </w:rPr>
              <w:t>:</w:t>
            </w:r>
          </w:p>
        </w:tc>
        <w:tc>
          <w:tcPr>
            <w:tcW w:w="960" w:type="dxa"/>
            <w:noWrap/>
            <w:vAlign w:val="bottom"/>
          </w:tcPr>
          <w:p w:rsidR="00652F81" w:rsidRPr="00444B53" w:rsidRDefault="00652F81" w:rsidP="00652F81">
            <w:pPr>
              <w:jc w:val="right"/>
              <w:rPr>
                <w:rFonts w:ascii="Tahoma" w:hAnsi="Tahoma" w:cs="Tahoma"/>
              </w:rPr>
            </w:pPr>
            <w:r>
              <w:rPr>
                <w:rFonts w:ascii="Tahoma" w:hAnsi="Tahoma" w:cs="Tahoma"/>
              </w:rPr>
              <w:t>:</w:t>
            </w:r>
          </w:p>
        </w:tc>
        <w:tc>
          <w:tcPr>
            <w:tcW w:w="960" w:type="dxa"/>
            <w:noWrap/>
            <w:vAlign w:val="bottom"/>
          </w:tcPr>
          <w:p w:rsidR="00652F81" w:rsidRPr="00444B53" w:rsidRDefault="00652F81" w:rsidP="00652F81">
            <w:pPr>
              <w:jc w:val="right"/>
              <w:rPr>
                <w:rFonts w:ascii="Tahoma" w:hAnsi="Tahoma" w:cs="Tahoma"/>
              </w:rPr>
            </w:pPr>
            <w:r>
              <w:rPr>
                <w:rFonts w:ascii="Tahoma" w:hAnsi="Tahoma" w:cs="Tahoma"/>
              </w:rPr>
              <w:t>:</w:t>
            </w:r>
          </w:p>
        </w:tc>
        <w:tc>
          <w:tcPr>
            <w:tcW w:w="960" w:type="dxa"/>
            <w:noWrap/>
            <w:vAlign w:val="bottom"/>
          </w:tcPr>
          <w:p w:rsidR="00652F81" w:rsidRPr="00444B53" w:rsidRDefault="00652F81" w:rsidP="00652F81">
            <w:pPr>
              <w:jc w:val="right"/>
              <w:rPr>
                <w:rFonts w:ascii="Tahoma" w:hAnsi="Tahoma" w:cs="Tahoma"/>
              </w:rPr>
            </w:pPr>
            <w:r>
              <w:rPr>
                <w:rFonts w:ascii="Tahoma" w:hAnsi="Tahoma" w:cs="Tahoma"/>
              </w:rPr>
              <w:t>:</w:t>
            </w:r>
          </w:p>
        </w:tc>
        <w:tc>
          <w:tcPr>
            <w:tcW w:w="960" w:type="dxa"/>
            <w:noWrap/>
            <w:vAlign w:val="bottom"/>
          </w:tcPr>
          <w:p w:rsidR="00652F81" w:rsidRPr="00444B53" w:rsidRDefault="00652F81" w:rsidP="00652F81">
            <w:pPr>
              <w:jc w:val="right"/>
              <w:rPr>
                <w:rFonts w:ascii="Tahoma" w:hAnsi="Tahoma" w:cs="Tahoma"/>
              </w:rPr>
            </w:pPr>
            <w:r>
              <w:rPr>
                <w:rFonts w:ascii="Tahoma" w:hAnsi="Tahoma" w:cs="Tahoma"/>
              </w:rPr>
              <w:t>:</w:t>
            </w:r>
          </w:p>
        </w:tc>
        <w:tc>
          <w:tcPr>
            <w:tcW w:w="960" w:type="dxa"/>
            <w:noWrap/>
            <w:vAlign w:val="bottom"/>
          </w:tcPr>
          <w:p w:rsidR="00652F81" w:rsidRPr="00444B53" w:rsidRDefault="00652F81" w:rsidP="00652F81">
            <w:pPr>
              <w:jc w:val="right"/>
              <w:rPr>
                <w:rFonts w:ascii="Tahoma" w:hAnsi="Tahoma" w:cs="Tahoma"/>
              </w:rPr>
            </w:pPr>
            <w:r>
              <w:rPr>
                <w:rFonts w:ascii="Tahoma" w:hAnsi="Tahoma" w:cs="Tahoma"/>
              </w:rPr>
              <w:t>:</w:t>
            </w:r>
          </w:p>
        </w:tc>
        <w:tc>
          <w:tcPr>
            <w:tcW w:w="960" w:type="dxa"/>
            <w:noWrap/>
            <w:vAlign w:val="bottom"/>
          </w:tcPr>
          <w:p w:rsidR="00652F81" w:rsidRPr="00444B53" w:rsidRDefault="00652F81" w:rsidP="00652F81">
            <w:pPr>
              <w:jc w:val="right"/>
              <w:rPr>
                <w:rFonts w:ascii="Tahoma" w:hAnsi="Tahoma" w:cs="Tahoma"/>
              </w:rPr>
            </w:pPr>
            <w:r>
              <w:rPr>
                <w:rFonts w:ascii="Tahoma" w:hAnsi="Tahoma" w:cs="Tahoma"/>
              </w:rPr>
              <w:t>:</w:t>
            </w:r>
          </w:p>
        </w:tc>
        <w:tc>
          <w:tcPr>
            <w:tcW w:w="960" w:type="dxa"/>
            <w:noWrap/>
            <w:vAlign w:val="bottom"/>
          </w:tcPr>
          <w:p w:rsidR="00652F81" w:rsidRPr="00444B53" w:rsidRDefault="00652F81" w:rsidP="00652F81">
            <w:pPr>
              <w:jc w:val="right"/>
              <w:rPr>
                <w:rFonts w:ascii="Tahoma" w:hAnsi="Tahoma" w:cs="Tahoma"/>
              </w:rPr>
            </w:pPr>
            <w:r>
              <w:rPr>
                <w:rFonts w:ascii="Tahoma" w:hAnsi="Tahoma" w:cs="Tahoma"/>
              </w:rPr>
              <w:t>:</w:t>
            </w:r>
          </w:p>
        </w:tc>
        <w:tc>
          <w:tcPr>
            <w:tcW w:w="960" w:type="dxa"/>
            <w:noWrap/>
            <w:vAlign w:val="bottom"/>
          </w:tcPr>
          <w:p w:rsidR="00652F81" w:rsidRPr="00444B53" w:rsidRDefault="00652F81" w:rsidP="00652F81">
            <w:pPr>
              <w:jc w:val="right"/>
              <w:rPr>
                <w:rFonts w:ascii="Tahoma" w:hAnsi="Tahoma" w:cs="Tahoma"/>
              </w:rPr>
            </w:pPr>
            <w:r>
              <w:rPr>
                <w:rFonts w:ascii="Tahoma" w:hAnsi="Tahoma" w:cs="Tahoma"/>
              </w:rPr>
              <w:t>:</w:t>
            </w:r>
          </w:p>
        </w:tc>
      </w:tr>
      <w:tr w:rsidR="00652F81" w:rsidRPr="00E676C6" w:rsidTr="00652F81">
        <w:trPr>
          <w:trHeight w:val="255"/>
        </w:trPr>
        <w:tc>
          <w:tcPr>
            <w:tcW w:w="960" w:type="dxa"/>
            <w:noWrap/>
            <w:vAlign w:val="bottom"/>
          </w:tcPr>
          <w:p w:rsidR="00652F81" w:rsidRPr="00FD46C5" w:rsidRDefault="00652F81" w:rsidP="00652F81">
            <w:pPr>
              <w:rPr>
                <w:rFonts w:ascii="Tahoma" w:hAnsi="Tahoma" w:cs="Tahoma"/>
                <w:b/>
                <w:bCs/>
              </w:rPr>
            </w:pPr>
            <w:r>
              <w:rPr>
                <w:rFonts w:ascii="Tahoma" w:hAnsi="Tahoma" w:cs="Tahoma"/>
                <w:b/>
                <w:bCs/>
              </w:rPr>
              <w:t>EA17</w:t>
            </w:r>
          </w:p>
        </w:tc>
        <w:tc>
          <w:tcPr>
            <w:tcW w:w="960" w:type="dxa"/>
            <w:noWrap/>
            <w:vAlign w:val="bottom"/>
          </w:tcPr>
          <w:p w:rsidR="00652F81" w:rsidRPr="00444B53" w:rsidRDefault="00652F81" w:rsidP="00652F81">
            <w:pPr>
              <w:jc w:val="right"/>
              <w:rPr>
                <w:rFonts w:ascii="Tahoma" w:hAnsi="Tahoma" w:cs="Tahoma"/>
              </w:rPr>
            </w:pPr>
            <w:r w:rsidRPr="00444B53">
              <w:rPr>
                <w:rFonts w:ascii="Tahoma" w:hAnsi="Tahoma" w:cs="Tahoma"/>
              </w:rPr>
              <w:t>67,9</w:t>
            </w:r>
          </w:p>
        </w:tc>
        <w:tc>
          <w:tcPr>
            <w:tcW w:w="960" w:type="dxa"/>
            <w:noWrap/>
            <w:vAlign w:val="bottom"/>
          </w:tcPr>
          <w:p w:rsidR="00652F81" w:rsidRPr="00444B53" w:rsidRDefault="00652F81" w:rsidP="00652F81">
            <w:pPr>
              <w:jc w:val="right"/>
              <w:rPr>
                <w:rFonts w:ascii="Tahoma" w:hAnsi="Tahoma" w:cs="Tahoma"/>
              </w:rPr>
            </w:pPr>
            <w:r w:rsidRPr="00444B53">
              <w:rPr>
                <w:rFonts w:ascii="Tahoma" w:hAnsi="Tahoma" w:cs="Tahoma"/>
              </w:rPr>
              <w:t>69</w:t>
            </w:r>
          </w:p>
        </w:tc>
        <w:tc>
          <w:tcPr>
            <w:tcW w:w="960" w:type="dxa"/>
            <w:noWrap/>
            <w:vAlign w:val="bottom"/>
          </w:tcPr>
          <w:p w:rsidR="00652F81" w:rsidRPr="00444B53" w:rsidRDefault="00652F81" w:rsidP="00652F81">
            <w:pPr>
              <w:jc w:val="right"/>
              <w:rPr>
                <w:rFonts w:ascii="Tahoma" w:hAnsi="Tahoma" w:cs="Tahoma"/>
              </w:rPr>
            </w:pPr>
            <w:r w:rsidRPr="00444B53">
              <w:rPr>
                <w:rFonts w:ascii="Tahoma" w:hAnsi="Tahoma" w:cs="Tahoma"/>
              </w:rPr>
              <w:t>69,5</w:t>
            </w:r>
          </w:p>
        </w:tc>
        <w:tc>
          <w:tcPr>
            <w:tcW w:w="960" w:type="dxa"/>
            <w:noWrap/>
            <w:vAlign w:val="bottom"/>
          </w:tcPr>
          <w:p w:rsidR="00652F81" w:rsidRPr="00444B53" w:rsidRDefault="00652F81" w:rsidP="00652F81">
            <w:pPr>
              <w:jc w:val="right"/>
              <w:rPr>
                <w:rFonts w:ascii="Tahoma" w:hAnsi="Tahoma" w:cs="Tahoma"/>
              </w:rPr>
            </w:pPr>
            <w:r w:rsidRPr="00444B53">
              <w:rPr>
                <w:rFonts w:ascii="Tahoma" w:hAnsi="Tahoma" w:cs="Tahoma"/>
              </w:rPr>
              <w:t>70</w:t>
            </w:r>
            <w:r>
              <w:rPr>
                <w:rFonts w:ascii="Tahoma" w:hAnsi="Tahoma" w:cs="Tahoma"/>
              </w:rPr>
              <w:t>,1</w:t>
            </w:r>
          </w:p>
        </w:tc>
        <w:tc>
          <w:tcPr>
            <w:tcW w:w="960" w:type="dxa"/>
            <w:noWrap/>
            <w:vAlign w:val="bottom"/>
          </w:tcPr>
          <w:p w:rsidR="00652F81" w:rsidRPr="00444B53" w:rsidRDefault="00652F81" w:rsidP="00652F81">
            <w:pPr>
              <w:jc w:val="right"/>
              <w:rPr>
                <w:rFonts w:ascii="Tahoma" w:hAnsi="Tahoma" w:cs="Tahoma"/>
              </w:rPr>
            </w:pPr>
            <w:r>
              <w:rPr>
                <w:rFonts w:ascii="Tahoma" w:hAnsi="Tahoma" w:cs="Tahoma"/>
              </w:rPr>
              <w:t>68,5</w:t>
            </w:r>
          </w:p>
        </w:tc>
        <w:tc>
          <w:tcPr>
            <w:tcW w:w="960" w:type="dxa"/>
            <w:noWrap/>
            <w:vAlign w:val="bottom"/>
          </w:tcPr>
          <w:p w:rsidR="00652F81" w:rsidRPr="00444B53" w:rsidRDefault="00652F81" w:rsidP="00652F81">
            <w:pPr>
              <w:jc w:val="right"/>
              <w:rPr>
                <w:rFonts w:ascii="Tahoma" w:hAnsi="Tahoma" w:cs="Tahoma"/>
              </w:rPr>
            </w:pPr>
            <w:r>
              <w:rPr>
                <w:rFonts w:ascii="Tahoma" w:hAnsi="Tahoma" w:cs="Tahoma"/>
              </w:rPr>
              <w:t>66,3</w:t>
            </w:r>
          </w:p>
        </w:tc>
        <w:tc>
          <w:tcPr>
            <w:tcW w:w="960" w:type="dxa"/>
            <w:noWrap/>
            <w:vAlign w:val="bottom"/>
          </w:tcPr>
          <w:p w:rsidR="00652F81" w:rsidRPr="00444B53" w:rsidRDefault="00652F81" w:rsidP="00652F81">
            <w:pPr>
              <w:jc w:val="right"/>
              <w:rPr>
                <w:rFonts w:ascii="Tahoma" w:hAnsi="Tahoma" w:cs="Tahoma"/>
              </w:rPr>
            </w:pPr>
            <w:r>
              <w:rPr>
                <w:rFonts w:ascii="Tahoma" w:hAnsi="Tahoma" w:cs="Tahoma"/>
              </w:rPr>
              <w:t>70,1</w:t>
            </w:r>
          </w:p>
        </w:tc>
        <w:tc>
          <w:tcPr>
            <w:tcW w:w="960" w:type="dxa"/>
            <w:noWrap/>
            <w:vAlign w:val="bottom"/>
          </w:tcPr>
          <w:p w:rsidR="00652F81" w:rsidRPr="00444B53" w:rsidRDefault="00652F81" w:rsidP="00652F81">
            <w:pPr>
              <w:jc w:val="right"/>
              <w:rPr>
                <w:rFonts w:ascii="Tahoma" w:hAnsi="Tahoma" w:cs="Tahoma"/>
              </w:rPr>
            </w:pPr>
            <w:r>
              <w:rPr>
                <w:rFonts w:ascii="Tahoma" w:hAnsi="Tahoma" w:cs="Tahoma"/>
              </w:rPr>
              <w:t>79,8</w:t>
            </w:r>
          </w:p>
        </w:tc>
        <w:tc>
          <w:tcPr>
            <w:tcW w:w="960" w:type="dxa"/>
            <w:noWrap/>
            <w:vAlign w:val="bottom"/>
          </w:tcPr>
          <w:p w:rsidR="00652F81" w:rsidRPr="00444B53" w:rsidRDefault="00652F81" w:rsidP="00652F81">
            <w:pPr>
              <w:jc w:val="right"/>
              <w:rPr>
                <w:rFonts w:ascii="Tahoma" w:hAnsi="Tahoma" w:cs="Tahoma"/>
              </w:rPr>
            </w:pPr>
            <w:r w:rsidRPr="00444B53">
              <w:rPr>
                <w:rFonts w:ascii="Tahoma" w:hAnsi="Tahoma" w:cs="Tahoma"/>
              </w:rPr>
              <w:t>85,</w:t>
            </w:r>
            <w:r>
              <w:rPr>
                <w:rFonts w:ascii="Tahoma" w:hAnsi="Tahoma" w:cs="Tahoma"/>
              </w:rPr>
              <w:t>3</w:t>
            </w:r>
          </w:p>
        </w:tc>
      </w:tr>
      <w:tr w:rsidR="00652F81" w:rsidRPr="00E676C6"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EL</w:t>
            </w:r>
          </w:p>
        </w:tc>
        <w:tc>
          <w:tcPr>
            <w:tcW w:w="960" w:type="dxa"/>
            <w:noWrap/>
            <w:vAlign w:val="bottom"/>
          </w:tcPr>
          <w:p w:rsidR="00652F81" w:rsidRPr="00444B53" w:rsidRDefault="00652F81" w:rsidP="00652F81">
            <w:pPr>
              <w:jc w:val="right"/>
              <w:rPr>
                <w:rFonts w:ascii="Tahoma" w:hAnsi="Tahoma" w:cs="Tahoma"/>
              </w:rPr>
            </w:pPr>
            <w:r w:rsidRPr="00444B53">
              <w:rPr>
                <w:rFonts w:ascii="Tahoma" w:hAnsi="Tahoma" w:cs="Tahoma"/>
              </w:rPr>
              <w:t>101,7</w:t>
            </w:r>
          </w:p>
        </w:tc>
        <w:tc>
          <w:tcPr>
            <w:tcW w:w="960" w:type="dxa"/>
            <w:noWrap/>
            <w:vAlign w:val="bottom"/>
          </w:tcPr>
          <w:p w:rsidR="00652F81" w:rsidRPr="00444B53" w:rsidRDefault="00652F81" w:rsidP="00652F81">
            <w:pPr>
              <w:jc w:val="right"/>
              <w:rPr>
                <w:rFonts w:ascii="Tahoma" w:hAnsi="Tahoma" w:cs="Tahoma"/>
              </w:rPr>
            </w:pPr>
            <w:r w:rsidRPr="00444B53">
              <w:rPr>
                <w:rFonts w:ascii="Tahoma" w:hAnsi="Tahoma" w:cs="Tahoma"/>
              </w:rPr>
              <w:t>97,4</w:t>
            </w:r>
          </w:p>
        </w:tc>
        <w:tc>
          <w:tcPr>
            <w:tcW w:w="960" w:type="dxa"/>
            <w:noWrap/>
            <w:vAlign w:val="bottom"/>
          </w:tcPr>
          <w:p w:rsidR="00652F81" w:rsidRPr="00444B53" w:rsidRDefault="00652F81" w:rsidP="00652F81">
            <w:pPr>
              <w:jc w:val="right"/>
              <w:rPr>
                <w:rFonts w:ascii="Tahoma" w:hAnsi="Tahoma" w:cs="Tahoma"/>
              </w:rPr>
            </w:pPr>
            <w:r w:rsidRPr="00444B53">
              <w:rPr>
                <w:rFonts w:ascii="Tahoma" w:hAnsi="Tahoma" w:cs="Tahoma"/>
              </w:rPr>
              <w:t>98,6</w:t>
            </w:r>
          </w:p>
        </w:tc>
        <w:tc>
          <w:tcPr>
            <w:tcW w:w="960" w:type="dxa"/>
            <w:noWrap/>
            <w:vAlign w:val="bottom"/>
          </w:tcPr>
          <w:p w:rsidR="00652F81" w:rsidRPr="00444B53" w:rsidRDefault="00652F81" w:rsidP="00652F81">
            <w:pPr>
              <w:jc w:val="right"/>
              <w:rPr>
                <w:rFonts w:ascii="Tahoma" w:hAnsi="Tahoma" w:cs="Tahoma"/>
              </w:rPr>
            </w:pPr>
            <w:r w:rsidRPr="00444B53">
              <w:rPr>
                <w:rFonts w:ascii="Tahoma" w:hAnsi="Tahoma" w:cs="Tahoma"/>
              </w:rPr>
              <w:t>100</w:t>
            </w:r>
          </w:p>
        </w:tc>
        <w:tc>
          <w:tcPr>
            <w:tcW w:w="960" w:type="dxa"/>
            <w:noWrap/>
            <w:vAlign w:val="bottom"/>
          </w:tcPr>
          <w:p w:rsidR="00652F81" w:rsidRPr="00444B53" w:rsidRDefault="00652F81" w:rsidP="00652F81">
            <w:pPr>
              <w:jc w:val="right"/>
              <w:rPr>
                <w:rFonts w:ascii="Tahoma" w:hAnsi="Tahoma" w:cs="Tahoma"/>
              </w:rPr>
            </w:pPr>
            <w:r w:rsidRPr="00444B53">
              <w:rPr>
                <w:rFonts w:ascii="Tahoma" w:hAnsi="Tahoma" w:cs="Tahoma"/>
              </w:rPr>
              <w:t>106,1</w:t>
            </w:r>
          </w:p>
        </w:tc>
        <w:tc>
          <w:tcPr>
            <w:tcW w:w="960" w:type="dxa"/>
            <w:noWrap/>
            <w:vAlign w:val="bottom"/>
          </w:tcPr>
          <w:p w:rsidR="00652F81" w:rsidRPr="00444B53" w:rsidRDefault="00652F81" w:rsidP="00652F81">
            <w:pPr>
              <w:jc w:val="right"/>
              <w:rPr>
                <w:rFonts w:ascii="Tahoma" w:hAnsi="Tahoma" w:cs="Tahoma"/>
              </w:rPr>
            </w:pPr>
            <w:r>
              <w:rPr>
                <w:rFonts w:ascii="Tahoma" w:hAnsi="Tahoma" w:cs="Tahoma"/>
              </w:rPr>
              <w:t>107</w:t>
            </w:r>
            <w:r w:rsidRPr="00444B53">
              <w:rPr>
                <w:rFonts w:ascii="Tahoma" w:hAnsi="Tahoma" w:cs="Tahoma"/>
              </w:rPr>
              <w:t>,4</w:t>
            </w:r>
          </w:p>
        </w:tc>
        <w:tc>
          <w:tcPr>
            <w:tcW w:w="960" w:type="dxa"/>
            <w:noWrap/>
            <w:vAlign w:val="bottom"/>
          </w:tcPr>
          <w:p w:rsidR="00652F81" w:rsidRPr="00444B53" w:rsidRDefault="00652F81" w:rsidP="00652F81">
            <w:pPr>
              <w:jc w:val="right"/>
              <w:rPr>
                <w:rFonts w:ascii="Tahoma" w:hAnsi="Tahoma" w:cs="Tahoma"/>
              </w:rPr>
            </w:pPr>
            <w:r>
              <w:rPr>
                <w:rFonts w:ascii="Tahoma" w:hAnsi="Tahoma" w:cs="Tahoma"/>
              </w:rPr>
              <w:t>113,0</w:t>
            </w:r>
          </w:p>
        </w:tc>
        <w:tc>
          <w:tcPr>
            <w:tcW w:w="960" w:type="dxa"/>
            <w:noWrap/>
            <w:vAlign w:val="bottom"/>
          </w:tcPr>
          <w:p w:rsidR="00652F81" w:rsidRPr="00444B53" w:rsidRDefault="00652F81" w:rsidP="00652F81">
            <w:pPr>
              <w:jc w:val="right"/>
              <w:rPr>
                <w:rFonts w:ascii="Tahoma" w:hAnsi="Tahoma" w:cs="Tahoma"/>
              </w:rPr>
            </w:pPr>
            <w:r>
              <w:rPr>
                <w:rFonts w:ascii="Tahoma" w:hAnsi="Tahoma" w:cs="Tahoma"/>
              </w:rPr>
              <w:t>129,3</w:t>
            </w:r>
          </w:p>
        </w:tc>
        <w:tc>
          <w:tcPr>
            <w:tcW w:w="960" w:type="dxa"/>
            <w:noWrap/>
            <w:vAlign w:val="bottom"/>
          </w:tcPr>
          <w:p w:rsidR="00652F81" w:rsidRPr="00444B53" w:rsidRDefault="00652F81" w:rsidP="00652F81">
            <w:pPr>
              <w:jc w:val="right"/>
              <w:rPr>
                <w:rFonts w:ascii="Tahoma" w:hAnsi="Tahoma" w:cs="Tahoma"/>
              </w:rPr>
            </w:pPr>
            <w:r>
              <w:rPr>
                <w:rFonts w:ascii="Tahoma" w:hAnsi="Tahoma" w:cs="Tahoma"/>
              </w:rPr>
              <w:t>144,9</w:t>
            </w:r>
          </w:p>
        </w:tc>
      </w:tr>
    </w:tbl>
    <w:p w:rsidR="00652F81" w:rsidRPr="00D149F8" w:rsidRDefault="00652F81" w:rsidP="00652F81">
      <w:pPr>
        <w:pStyle w:val="1"/>
        <w:rPr>
          <w:rFonts w:ascii="Tahoma" w:hAnsi="Tahoma" w:cs="Tahoma"/>
          <w:sz w:val="18"/>
          <w:szCs w:val="18"/>
        </w:rPr>
      </w:pPr>
      <w:r w:rsidRPr="005D227C">
        <w:rPr>
          <w:rFonts w:ascii="Tahoma" w:hAnsi="Tahoma" w:cs="Tahoma"/>
          <w:sz w:val="18"/>
          <w:szCs w:val="18"/>
        </w:rPr>
        <w:t>Πηγή:</w:t>
      </w:r>
      <w:r w:rsidRPr="00D149F8">
        <w:rPr>
          <w:rFonts w:ascii="Tahoma" w:hAnsi="Tahoma" w:cs="Tahoma"/>
          <w:b w:val="0"/>
          <w:sz w:val="18"/>
          <w:szCs w:val="18"/>
        </w:rPr>
        <w:t xml:space="preserve"> </w:t>
      </w:r>
      <w:r w:rsidRPr="00D149F8">
        <w:rPr>
          <w:rFonts w:ascii="Tahoma" w:hAnsi="Tahoma" w:cs="Tahoma"/>
          <w:b w:val="0"/>
          <w:sz w:val="18"/>
          <w:szCs w:val="18"/>
          <w:lang w:val="en-US"/>
        </w:rPr>
        <w:t>Eurostat</w:t>
      </w:r>
    </w:p>
    <w:p w:rsidR="00652F81" w:rsidRPr="00294913" w:rsidRDefault="00652F81" w:rsidP="00652F81">
      <w:pPr>
        <w:rPr>
          <w:rFonts w:ascii="Tahoma" w:hAnsi="Tahoma" w:cs="Tahoma"/>
          <w:b/>
          <w:smallCaps/>
          <w:sz w:val="24"/>
        </w:rPr>
        <w:sectPr w:rsidR="00652F81" w:rsidRPr="00294913" w:rsidSect="00652F81">
          <w:footerReference w:type="default" r:id="rId113"/>
          <w:pgSz w:w="11906" w:h="16838"/>
          <w:pgMar w:top="1701" w:right="1418" w:bottom="1418" w:left="1418" w:header="720" w:footer="720" w:gutter="0"/>
          <w:paperSrc w:first="242" w:other="242"/>
          <w:cols w:space="720"/>
        </w:sectPr>
      </w:pPr>
    </w:p>
    <w:p w:rsidR="00652F81" w:rsidRPr="00294913" w:rsidRDefault="00652F81" w:rsidP="00652F81">
      <w:pPr>
        <w:pStyle w:val="new6"/>
      </w:pPr>
      <w:bookmarkStart w:id="527" w:name="_Toc150308641"/>
      <w:bookmarkStart w:id="528" w:name="_Toc169881561"/>
      <w:bookmarkStart w:id="529" w:name="_Toc170201916"/>
      <w:r w:rsidRPr="00294913">
        <w:lastRenderedPageBreak/>
        <w:t>ΙΙ-Β</w:t>
      </w:r>
      <w:r>
        <w:t>,</w:t>
      </w:r>
      <w:r w:rsidRPr="00294913">
        <w:tab/>
        <w:t>Απασχόληση</w:t>
      </w:r>
      <w:bookmarkEnd w:id="527"/>
      <w:bookmarkEnd w:id="528"/>
      <w:bookmarkEnd w:id="529"/>
    </w:p>
    <w:p w:rsidR="00652F81" w:rsidRPr="00294913" w:rsidRDefault="00652F81" w:rsidP="00652F81"/>
    <w:p w:rsidR="00652F81" w:rsidRPr="00294913" w:rsidRDefault="00652F81" w:rsidP="00652F81"/>
    <w:p w:rsidR="00652F81" w:rsidRPr="00702903" w:rsidRDefault="00652F81" w:rsidP="00652F81">
      <w:pPr>
        <w:pStyle w:val="new12"/>
      </w:pPr>
      <w:bookmarkStart w:id="530" w:name="_Toc150308642"/>
      <w:bookmarkStart w:id="531" w:name="_Toc169881562"/>
      <w:bookmarkStart w:id="532" w:name="_Toc170201917"/>
      <w:r w:rsidRPr="00702903">
        <w:t>ΙI-1β</w:t>
      </w:r>
      <w:r>
        <w:t>,</w:t>
      </w:r>
      <w:r w:rsidRPr="00702903">
        <w:tab/>
      </w:r>
      <w:r w:rsidRPr="00932FA2">
        <w:t>Ποσοστό Ανεργίας</w:t>
      </w:r>
      <w:bookmarkEnd w:id="530"/>
      <w:bookmarkEnd w:id="531"/>
      <w:bookmarkEnd w:id="532"/>
    </w:p>
    <w:p w:rsidR="00652F81" w:rsidRPr="00294913" w:rsidRDefault="00652F81" w:rsidP="00652F81">
      <w:pPr>
        <w:pStyle w:val="new1210pt"/>
      </w:pPr>
      <w:bookmarkStart w:id="533" w:name="_Toc150308643"/>
      <w:bookmarkStart w:id="534" w:name="_Toc170201918"/>
      <w:r w:rsidRPr="00702903">
        <w:t>(άνεργοι ως μερίδιο του εργατικού δυναμικού)</w:t>
      </w:r>
      <w:bookmarkEnd w:id="533"/>
      <w:bookmarkEnd w:id="534"/>
    </w:p>
    <w:p w:rsidR="00652F81" w:rsidRPr="00592CD8" w:rsidRDefault="00652F81" w:rsidP="00652F81">
      <w:pPr>
        <w:spacing w:line="288" w:lineRule="auto"/>
        <w:jc w:val="both"/>
        <w:rPr>
          <w:rFonts w:ascii="Tahoma" w:hAnsi="Tahoma" w:cs="Tahoma"/>
          <w:sz w:val="10"/>
          <w:szCs w:val="10"/>
        </w:rPr>
      </w:pPr>
    </w:p>
    <w:p w:rsidR="00652F81" w:rsidRPr="003A709D" w:rsidRDefault="00652F81" w:rsidP="00652F81">
      <w:pPr>
        <w:spacing w:line="288" w:lineRule="auto"/>
        <w:jc w:val="both"/>
        <w:rPr>
          <w:rFonts w:ascii="Tahoma" w:hAnsi="Tahoma" w:cs="Tahoma"/>
        </w:rPr>
      </w:pPr>
      <w:r w:rsidRPr="003A709D">
        <w:rPr>
          <w:rFonts w:ascii="Tahoma" w:hAnsi="Tahoma" w:cs="Tahoma"/>
        </w:rPr>
        <w:t>Ως άνεργους θεωρούμε τα άτομα τουλάχιστον 15 ετών τα οποία δεν μένουν σε συλλογικές κατοικίες και δεν θα  εργαστούν ή θα ξεκινήσουν να εργάζονται τις επόμενες δυο εβδομάδες καθώς ψάχνουν για εργασία</w:t>
      </w:r>
      <w:r>
        <w:rPr>
          <w:rFonts w:ascii="Tahoma" w:hAnsi="Tahoma" w:cs="Tahoma"/>
        </w:rPr>
        <w:t>,</w:t>
      </w:r>
    </w:p>
    <w:p w:rsidR="00652F81" w:rsidRPr="00AC15D9" w:rsidRDefault="00652F81" w:rsidP="00652F81">
      <w:pPr>
        <w:rPr>
          <w:lang w:val="en-US"/>
        </w:rPr>
      </w:pPr>
      <w:r>
        <w:rPr>
          <w:noProof/>
          <w:lang w:val="en-US" w:eastAsia="en-US"/>
        </w:rPr>
        <w:drawing>
          <wp:inline distT="0" distB="0" distL="0" distR="0">
            <wp:extent cx="5486400" cy="3171825"/>
            <wp:effectExtent l="0" t="0" r="0" b="0"/>
            <wp:docPr id="35" name="Εικόνα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4" cstate="print"/>
                    <a:srcRect/>
                    <a:stretch>
                      <a:fillRect/>
                    </a:stretch>
                  </pic:blipFill>
                  <pic:spPr bwMode="auto">
                    <a:xfrm>
                      <a:off x="0" y="0"/>
                      <a:ext cx="5486400" cy="3171825"/>
                    </a:xfrm>
                    <a:prstGeom prst="rect">
                      <a:avLst/>
                    </a:prstGeom>
                    <a:noFill/>
                    <a:ln w="9525">
                      <a:noFill/>
                      <a:miter lim="800000"/>
                      <a:headEnd/>
                      <a:tailEnd/>
                    </a:ln>
                  </pic:spPr>
                </pic:pic>
              </a:graphicData>
            </a:graphic>
          </wp:inline>
        </w:drawing>
      </w:r>
    </w:p>
    <w:tbl>
      <w:tblPr>
        <w:tblStyle w:val="TableClassic1"/>
        <w:tblW w:w="0" w:type="auto"/>
        <w:jc w:val="center"/>
        <w:tblLook w:val="01E0"/>
      </w:tblPr>
      <w:tblGrid>
        <w:gridCol w:w="1084"/>
        <w:gridCol w:w="774"/>
        <w:gridCol w:w="774"/>
        <w:gridCol w:w="775"/>
        <w:gridCol w:w="775"/>
        <w:gridCol w:w="775"/>
        <w:gridCol w:w="775"/>
        <w:gridCol w:w="775"/>
        <w:gridCol w:w="775"/>
        <w:gridCol w:w="775"/>
      </w:tblGrid>
      <w:tr w:rsidR="00652F81" w:rsidTr="00652F81">
        <w:trPr>
          <w:cnfStyle w:val="100000000000"/>
          <w:jc w:val="center"/>
        </w:trPr>
        <w:tc>
          <w:tcPr>
            <w:cnfStyle w:val="001000000000"/>
            <w:tcW w:w="1084" w:type="dxa"/>
            <w:tcBorders>
              <w:top w:val="single" w:sz="12" w:space="0" w:color="000000"/>
              <w:bottom w:val="single" w:sz="12" w:space="0" w:color="000000"/>
              <w:right w:val="nil"/>
            </w:tcBorders>
          </w:tcPr>
          <w:p w:rsidR="00652F81" w:rsidRPr="00D70C81" w:rsidRDefault="00652F81" w:rsidP="00652F81">
            <w:pPr>
              <w:rPr>
                <w:b/>
                <w:i w:val="0"/>
                <w:lang w:val="en-US"/>
              </w:rPr>
            </w:pPr>
          </w:p>
        </w:tc>
        <w:tc>
          <w:tcPr>
            <w:tcW w:w="774" w:type="dxa"/>
            <w:tcBorders>
              <w:top w:val="single" w:sz="12" w:space="0" w:color="000000"/>
              <w:left w:val="nil"/>
              <w:bottom w:val="single" w:sz="12" w:space="0" w:color="000000"/>
            </w:tcBorders>
            <w:vAlign w:val="bottom"/>
          </w:tcPr>
          <w:p w:rsidR="00652F81" w:rsidRPr="00D70C81" w:rsidRDefault="00652F81" w:rsidP="00652F81">
            <w:pPr>
              <w:jc w:val="center"/>
              <w:cnfStyle w:val="100000000000"/>
              <w:rPr>
                <w:rFonts w:ascii="Tahoma" w:hAnsi="Tahoma" w:cs="Tahoma"/>
                <w:b/>
                <w:bCs/>
                <w:i w:val="0"/>
                <w:sz w:val="18"/>
                <w:szCs w:val="18"/>
              </w:rPr>
            </w:pPr>
            <w:r w:rsidRPr="00D70C81">
              <w:rPr>
                <w:rFonts w:ascii="Tahoma" w:hAnsi="Tahoma" w:cs="Tahoma"/>
                <w:b/>
                <w:bCs/>
                <w:i w:val="0"/>
                <w:sz w:val="18"/>
                <w:szCs w:val="18"/>
              </w:rPr>
              <w:t>2003</w:t>
            </w:r>
          </w:p>
        </w:tc>
        <w:tc>
          <w:tcPr>
            <w:tcW w:w="774" w:type="dxa"/>
            <w:tcBorders>
              <w:top w:val="single" w:sz="12" w:space="0" w:color="000000"/>
              <w:bottom w:val="single" w:sz="12" w:space="0" w:color="000000"/>
            </w:tcBorders>
            <w:vAlign w:val="bottom"/>
          </w:tcPr>
          <w:p w:rsidR="00652F81" w:rsidRPr="00D70C81" w:rsidRDefault="00652F81" w:rsidP="00652F81">
            <w:pPr>
              <w:jc w:val="center"/>
              <w:cnfStyle w:val="100000000000"/>
              <w:rPr>
                <w:rFonts w:ascii="Tahoma" w:hAnsi="Tahoma" w:cs="Tahoma"/>
                <w:b/>
                <w:bCs/>
                <w:i w:val="0"/>
                <w:sz w:val="18"/>
                <w:szCs w:val="18"/>
              </w:rPr>
            </w:pPr>
            <w:r w:rsidRPr="00D70C81">
              <w:rPr>
                <w:rFonts w:ascii="Tahoma" w:hAnsi="Tahoma" w:cs="Tahoma"/>
                <w:b/>
                <w:bCs/>
                <w:i w:val="0"/>
                <w:sz w:val="18"/>
                <w:szCs w:val="18"/>
              </w:rPr>
              <w:t>2004</w:t>
            </w:r>
          </w:p>
        </w:tc>
        <w:tc>
          <w:tcPr>
            <w:tcW w:w="775" w:type="dxa"/>
            <w:tcBorders>
              <w:top w:val="single" w:sz="12" w:space="0" w:color="000000"/>
              <w:bottom w:val="single" w:sz="12" w:space="0" w:color="000000"/>
            </w:tcBorders>
            <w:vAlign w:val="bottom"/>
          </w:tcPr>
          <w:p w:rsidR="00652F81" w:rsidRPr="00D70C81" w:rsidRDefault="00652F81" w:rsidP="00652F81">
            <w:pPr>
              <w:jc w:val="center"/>
              <w:cnfStyle w:val="100000000000"/>
              <w:rPr>
                <w:rFonts w:ascii="Tahoma" w:hAnsi="Tahoma" w:cs="Tahoma"/>
                <w:b/>
                <w:bCs/>
                <w:i w:val="0"/>
                <w:sz w:val="18"/>
                <w:szCs w:val="18"/>
              </w:rPr>
            </w:pPr>
            <w:r w:rsidRPr="00D70C81">
              <w:rPr>
                <w:rFonts w:ascii="Tahoma" w:hAnsi="Tahoma" w:cs="Tahoma"/>
                <w:b/>
                <w:bCs/>
                <w:i w:val="0"/>
                <w:sz w:val="18"/>
                <w:szCs w:val="18"/>
              </w:rPr>
              <w:t>2005</w:t>
            </w:r>
          </w:p>
        </w:tc>
        <w:tc>
          <w:tcPr>
            <w:tcW w:w="775" w:type="dxa"/>
            <w:tcBorders>
              <w:top w:val="single" w:sz="12" w:space="0" w:color="000000"/>
              <w:bottom w:val="single" w:sz="12" w:space="0" w:color="000000"/>
            </w:tcBorders>
            <w:vAlign w:val="bottom"/>
          </w:tcPr>
          <w:p w:rsidR="00652F81" w:rsidRPr="00D70C81" w:rsidRDefault="00652F81" w:rsidP="00652F81">
            <w:pPr>
              <w:jc w:val="center"/>
              <w:cnfStyle w:val="100000000000"/>
              <w:rPr>
                <w:rFonts w:ascii="Tahoma" w:hAnsi="Tahoma" w:cs="Tahoma"/>
                <w:b/>
                <w:bCs/>
                <w:i w:val="0"/>
                <w:sz w:val="18"/>
                <w:szCs w:val="18"/>
              </w:rPr>
            </w:pPr>
            <w:r w:rsidRPr="00D70C81">
              <w:rPr>
                <w:rFonts w:ascii="Tahoma" w:hAnsi="Tahoma" w:cs="Tahoma"/>
                <w:b/>
                <w:bCs/>
                <w:i w:val="0"/>
                <w:sz w:val="18"/>
                <w:szCs w:val="18"/>
              </w:rPr>
              <w:t>2006</w:t>
            </w:r>
          </w:p>
        </w:tc>
        <w:tc>
          <w:tcPr>
            <w:tcW w:w="775" w:type="dxa"/>
            <w:tcBorders>
              <w:top w:val="single" w:sz="12" w:space="0" w:color="000000"/>
              <w:bottom w:val="single" w:sz="12" w:space="0" w:color="000000"/>
            </w:tcBorders>
            <w:vAlign w:val="bottom"/>
          </w:tcPr>
          <w:p w:rsidR="00652F81" w:rsidRPr="00D70C81" w:rsidRDefault="00652F81" w:rsidP="00652F81">
            <w:pPr>
              <w:jc w:val="center"/>
              <w:cnfStyle w:val="100000000000"/>
              <w:rPr>
                <w:rFonts w:ascii="Tahoma" w:hAnsi="Tahoma" w:cs="Tahoma"/>
                <w:b/>
                <w:bCs/>
                <w:i w:val="0"/>
                <w:sz w:val="18"/>
                <w:szCs w:val="18"/>
              </w:rPr>
            </w:pPr>
            <w:r w:rsidRPr="00D70C81">
              <w:rPr>
                <w:rFonts w:ascii="Tahoma" w:hAnsi="Tahoma" w:cs="Tahoma"/>
                <w:b/>
                <w:bCs/>
                <w:i w:val="0"/>
                <w:sz w:val="18"/>
                <w:szCs w:val="18"/>
              </w:rPr>
              <w:t>2007</w:t>
            </w:r>
          </w:p>
        </w:tc>
        <w:tc>
          <w:tcPr>
            <w:tcW w:w="775" w:type="dxa"/>
            <w:tcBorders>
              <w:top w:val="single" w:sz="12" w:space="0" w:color="000000"/>
              <w:bottom w:val="single" w:sz="12" w:space="0" w:color="000000"/>
            </w:tcBorders>
            <w:vAlign w:val="bottom"/>
          </w:tcPr>
          <w:p w:rsidR="00652F81" w:rsidRPr="00D70C81" w:rsidRDefault="00652F81" w:rsidP="00652F81">
            <w:pPr>
              <w:jc w:val="center"/>
              <w:cnfStyle w:val="100000000000"/>
              <w:rPr>
                <w:rFonts w:ascii="Tahoma" w:hAnsi="Tahoma" w:cs="Tahoma"/>
                <w:b/>
                <w:bCs/>
                <w:i w:val="0"/>
                <w:sz w:val="18"/>
                <w:szCs w:val="18"/>
              </w:rPr>
            </w:pPr>
            <w:r w:rsidRPr="00D70C81">
              <w:rPr>
                <w:rFonts w:ascii="Tahoma" w:hAnsi="Tahoma" w:cs="Tahoma"/>
                <w:b/>
                <w:bCs/>
                <w:i w:val="0"/>
                <w:sz w:val="18"/>
                <w:szCs w:val="18"/>
              </w:rPr>
              <w:t>2008</w:t>
            </w:r>
          </w:p>
        </w:tc>
        <w:tc>
          <w:tcPr>
            <w:tcW w:w="775" w:type="dxa"/>
            <w:tcBorders>
              <w:top w:val="single" w:sz="12" w:space="0" w:color="000000"/>
              <w:bottom w:val="single" w:sz="12" w:space="0" w:color="000000"/>
            </w:tcBorders>
            <w:vAlign w:val="bottom"/>
          </w:tcPr>
          <w:p w:rsidR="00652F81" w:rsidRPr="00D70C81" w:rsidRDefault="00652F81" w:rsidP="00652F81">
            <w:pPr>
              <w:jc w:val="center"/>
              <w:cnfStyle w:val="100000000000"/>
              <w:rPr>
                <w:rFonts w:ascii="Tahoma" w:hAnsi="Tahoma" w:cs="Tahoma"/>
                <w:b/>
                <w:i w:val="0"/>
                <w:sz w:val="18"/>
                <w:szCs w:val="18"/>
              </w:rPr>
            </w:pPr>
            <w:r w:rsidRPr="00D70C81">
              <w:rPr>
                <w:rFonts w:ascii="Tahoma" w:hAnsi="Tahoma" w:cs="Tahoma"/>
                <w:b/>
                <w:i w:val="0"/>
                <w:sz w:val="18"/>
                <w:szCs w:val="18"/>
              </w:rPr>
              <w:t>2009</w:t>
            </w:r>
          </w:p>
        </w:tc>
        <w:tc>
          <w:tcPr>
            <w:tcW w:w="775" w:type="dxa"/>
            <w:tcBorders>
              <w:top w:val="single" w:sz="12" w:space="0" w:color="000000"/>
              <w:bottom w:val="single" w:sz="12" w:space="0" w:color="000000"/>
              <w:right w:val="nil"/>
            </w:tcBorders>
            <w:vAlign w:val="bottom"/>
          </w:tcPr>
          <w:p w:rsidR="00652F81" w:rsidRPr="00D70C81" w:rsidRDefault="00652F81" w:rsidP="00652F81">
            <w:pPr>
              <w:jc w:val="center"/>
              <w:cnfStyle w:val="100000000000"/>
              <w:rPr>
                <w:rFonts w:ascii="Tahoma" w:hAnsi="Tahoma" w:cs="Tahoma"/>
                <w:b/>
                <w:i w:val="0"/>
                <w:sz w:val="18"/>
                <w:szCs w:val="18"/>
              </w:rPr>
            </w:pPr>
            <w:r w:rsidRPr="00D70C81">
              <w:rPr>
                <w:rFonts w:ascii="Tahoma" w:hAnsi="Tahoma" w:cs="Tahoma"/>
                <w:b/>
                <w:i w:val="0"/>
                <w:sz w:val="18"/>
                <w:szCs w:val="18"/>
              </w:rPr>
              <w:t>2010</w:t>
            </w:r>
          </w:p>
        </w:tc>
        <w:tc>
          <w:tcPr>
            <w:cnfStyle w:val="000000001000"/>
            <w:tcW w:w="775" w:type="dxa"/>
            <w:tcBorders>
              <w:top w:val="single" w:sz="12" w:space="0" w:color="000000"/>
              <w:left w:val="nil"/>
              <w:bottom w:val="single" w:sz="12" w:space="0" w:color="000000"/>
              <w:right w:val="nil"/>
            </w:tcBorders>
            <w:vAlign w:val="bottom"/>
          </w:tcPr>
          <w:p w:rsidR="00652F81" w:rsidRPr="00D70C81" w:rsidRDefault="00652F81" w:rsidP="00652F81">
            <w:pPr>
              <w:jc w:val="center"/>
              <w:rPr>
                <w:rFonts w:ascii="Tahoma" w:hAnsi="Tahoma" w:cs="Tahoma"/>
                <w:sz w:val="18"/>
                <w:szCs w:val="18"/>
              </w:rPr>
            </w:pPr>
            <w:r>
              <w:rPr>
                <w:rFonts w:ascii="Tahoma" w:hAnsi="Tahoma" w:cs="Tahoma"/>
                <w:sz w:val="18"/>
                <w:szCs w:val="18"/>
              </w:rPr>
              <w:t>2011</w:t>
            </w:r>
          </w:p>
        </w:tc>
      </w:tr>
      <w:tr w:rsidR="00652F81" w:rsidTr="00652F81">
        <w:trPr>
          <w:jc w:val="center"/>
        </w:trPr>
        <w:tc>
          <w:tcPr>
            <w:cnfStyle w:val="001000000000"/>
            <w:tcW w:w="1084" w:type="dxa"/>
            <w:tcBorders>
              <w:top w:val="single" w:sz="12" w:space="0" w:color="000000"/>
              <w:bottom w:val="single" w:sz="6" w:space="0" w:color="000000"/>
              <w:right w:val="nil"/>
            </w:tcBorders>
          </w:tcPr>
          <w:p w:rsidR="00652F81" w:rsidRPr="00B20E1A" w:rsidRDefault="00652F81" w:rsidP="00652F81">
            <w:pPr>
              <w:rPr>
                <w:rFonts w:ascii="Tahoma" w:hAnsi="Tahoma" w:cs="Tahoma"/>
                <w:b/>
              </w:rPr>
            </w:pPr>
            <w:r w:rsidRPr="00B20E1A">
              <w:rPr>
                <w:rFonts w:ascii="Tahoma" w:hAnsi="Tahoma" w:cs="Tahoma"/>
                <w:b/>
              </w:rPr>
              <w:t>Σύνολο</w:t>
            </w:r>
          </w:p>
        </w:tc>
        <w:tc>
          <w:tcPr>
            <w:tcW w:w="774" w:type="dxa"/>
            <w:tcBorders>
              <w:top w:val="single" w:sz="12" w:space="0" w:color="000000"/>
              <w:left w:val="nil"/>
              <w:bottom w:val="single" w:sz="6" w:space="0" w:color="000000"/>
            </w:tcBorders>
            <w:vAlign w:val="bottom"/>
          </w:tcPr>
          <w:p w:rsidR="00652F81" w:rsidRDefault="00652F81" w:rsidP="00652F81">
            <w:pPr>
              <w:jc w:val="center"/>
              <w:cnfStyle w:val="000000000000"/>
              <w:rPr>
                <w:lang w:val="en-US"/>
              </w:rPr>
            </w:pPr>
          </w:p>
        </w:tc>
        <w:tc>
          <w:tcPr>
            <w:tcW w:w="774" w:type="dxa"/>
            <w:tcBorders>
              <w:top w:val="single" w:sz="12" w:space="0" w:color="000000"/>
              <w:bottom w:val="single" w:sz="6" w:space="0" w:color="000000"/>
            </w:tcBorders>
            <w:vAlign w:val="bottom"/>
          </w:tcPr>
          <w:p w:rsidR="00652F81" w:rsidRDefault="00652F81" w:rsidP="00652F81">
            <w:pPr>
              <w:jc w:val="center"/>
              <w:cnfStyle w:val="000000000000"/>
              <w:rPr>
                <w:lang w:val="en-US"/>
              </w:rPr>
            </w:pPr>
          </w:p>
        </w:tc>
        <w:tc>
          <w:tcPr>
            <w:tcW w:w="775" w:type="dxa"/>
            <w:tcBorders>
              <w:top w:val="single" w:sz="12" w:space="0" w:color="000000"/>
              <w:bottom w:val="single" w:sz="6" w:space="0" w:color="000000"/>
            </w:tcBorders>
            <w:vAlign w:val="bottom"/>
          </w:tcPr>
          <w:p w:rsidR="00652F81" w:rsidRDefault="00652F81" w:rsidP="00652F81">
            <w:pPr>
              <w:jc w:val="center"/>
              <w:cnfStyle w:val="000000000000"/>
              <w:rPr>
                <w:lang w:val="en-US"/>
              </w:rPr>
            </w:pPr>
          </w:p>
        </w:tc>
        <w:tc>
          <w:tcPr>
            <w:tcW w:w="775" w:type="dxa"/>
            <w:tcBorders>
              <w:top w:val="single" w:sz="12" w:space="0" w:color="000000"/>
              <w:bottom w:val="single" w:sz="6" w:space="0" w:color="000000"/>
            </w:tcBorders>
            <w:vAlign w:val="bottom"/>
          </w:tcPr>
          <w:p w:rsidR="00652F81" w:rsidRDefault="00652F81" w:rsidP="00652F81">
            <w:pPr>
              <w:jc w:val="center"/>
              <w:cnfStyle w:val="000000000000"/>
              <w:rPr>
                <w:lang w:val="en-US"/>
              </w:rPr>
            </w:pPr>
          </w:p>
        </w:tc>
        <w:tc>
          <w:tcPr>
            <w:tcW w:w="775" w:type="dxa"/>
            <w:tcBorders>
              <w:top w:val="single" w:sz="12" w:space="0" w:color="000000"/>
              <w:bottom w:val="single" w:sz="6" w:space="0" w:color="000000"/>
            </w:tcBorders>
            <w:vAlign w:val="bottom"/>
          </w:tcPr>
          <w:p w:rsidR="00652F81" w:rsidRDefault="00652F81" w:rsidP="00652F81">
            <w:pPr>
              <w:jc w:val="center"/>
              <w:cnfStyle w:val="000000000000"/>
              <w:rPr>
                <w:lang w:val="en-US"/>
              </w:rPr>
            </w:pPr>
          </w:p>
        </w:tc>
        <w:tc>
          <w:tcPr>
            <w:tcW w:w="775" w:type="dxa"/>
            <w:tcBorders>
              <w:top w:val="single" w:sz="12" w:space="0" w:color="000000"/>
              <w:bottom w:val="single" w:sz="6" w:space="0" w:color="000000"/>
            </w:tcBorders>
            <w:vAlign w:val="bottom"/>
          </w:tcPr>
          <w:p w:rsidR="00652F81" w:rsidRDefault="00652F81" w:rsidP="00652F81">
            <w:pPr>
              <w:jc w:val="center"/>
              <w:cnfStyle w:val="000000000000"/>
              <w:rPr>
                <w:lang w:val="en-US"/>
              </w:rPr>
            </w:pPr>
          </w:p>
        </w:tc>
        <w:tc>
          <w:tcPr>
            <w:tcW w:w="775" w:type="dxa"/>
            <w:tcBorders>
              <w:top w:val="single" w:sz="12" w:space="0" w:color="000000"/>
              <w:bottom w:val="single" w:sz="6" w:space="0" w:color="000000"/>
            </w:tcBorders>
            <w:vAlign w:val="bottom"/>
          </w:tcPr>
          <w:p w:rsidR="00652F81" w:rsidRDefault="00652F81" w:rsidP="00652F81">
            <w:pPr>
              <w:jc w:val="center"/>
              <w:cnfStyle w:val="000000000000"/>
              <w:rPr>
                <w:lang w:val="en-US"/>
              </w:rPr>
            </w:pPr>
          </w:p>
        </w:tc>
        <w:tc>
          <w:tcPr>
            <w:tcW w:w="775" w:type="dxa"/>
            <w:tcBorders>
              <w:top w:val="single" w:sz="12" w:space="0" w:color="000000"/>
              <w:bottom w:val="single" w:sz="6" w:space="0" w:color="000000"/>
              <w:right w:val="nil"/>
            </w:tcBorders>
            <w:vAlign w:val="bottom"/>
          </w:tcPr>
          <w:p w:rsidR="00652F81" w:rsidRDefault="00652F81" w:rsidP="00652F81">
            <w:pPr>
              <w:jc w:val="center"/>
              <w:cnfStyle w:val="000000000000"/>
              <w:rPr>
                <w:lang w:val="en-US"/>
              </w:rPr>
            </w:pPr>
          </w:p>
        </w:tc>
        <w:tc>
          <w:tcPr>
            <w:tcW w:w="775" w:type="dxa"/>
            <w:tcBorders>
              <w:top w:val="single" w:sz="12" w:space="0" w:color="000000"/>
              <w:left w:val="nil"/>
              <w:bottom w:val="single" w:sz="6" w:space="0" w:color="000000"/>
              <w:right w:val="nil"/>
            </w:tcBorders>
          </w:tcPr>
          <w:p w:rsidR="00652F81" w:rsidRDefault="00652F81" w:rsidP="00652F81">
            <w:pPr>
              <w:cnfStyle w:val="000000000000"/>
              <w:rPr>
                <w:lang w:val="en-US"/>
              </w:rPr>
            </w:pPr>
          </w:p>
        </w:tc>
      </w:tr>
      <w:tr w:rsidR="00652F81" w:rsidTr="00652F81">
        <w:trPr>
          <w:jc w:val="center"/>
        </w:trPr>
        <w:tc>
          <w:tcPr>
            <w:cnfStyle w:val="001000000000"/>
            <w:tcW w:w="1084" w:type="dxa"/>
            <w:tcBorders>
              <w:top w:val="single" w:sz="6" w:space="0" w:color="000000"/>
              <w:bottom w:val="dotted" w:sz="4" w:space="0" w:color="auto"/>
              <w:right w:val="nil"/>
            </w:tcBorders>
          </w:tcPr>
          <w:p w:rsidR="00652F81" w:rsidRPr="00611C5D" w:rsidRDefault="00652F81" w:rsidP="00652F81">
            <w:pPr>
              <w:rPr>
                <w:rFonts w:ascii="Tahoma" w:hAnsi="Tahoma" w:cs="Tahoma"/>
                <w:b/>
                <w:bCs/>
              </w:rPr>
            </w:pPr>
            <w:r w:rsidRPr="00611C5D">
              <w:rPr>
                <w:rFonts w:ascii="Tahoma" w:hAnsi="Tahoma" w:cs="Tahoma"/>
                <w:b/>
                <w:bCs/>
              </w:rPr>
              <w:t>EU27</w:t>
            </w:r>
          </w:p>
        </w:tc>
        <w:tc>
          <w:tcPr>
            <w:tcW w:w="774" w:type="dxa"/>
            <w:tcBorders>
              <w:top w:val="single" w:sz="6" w:space="0" w:color="000000"/>
              <w:left w:val="nil"/>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9,0</w:t>
            </w:r>
          </w:p>
        </w:tc>
        <w:tc>
          <w:tcPr>
            <w:tcW w:w="774" w:type="dxa"/>
            <w:tcBorders>
              <w:top w:val="single" w:sz="6" w:space="0" w:color="000000"/>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9,1</w:t>
            </w:r>
          </w:p>
        </w:tc>
        <w:tc>
          <w:tcPr>
            <w:tcW w:w="775" w:type="dxa"/>
            <w:tcBorders>
              <w:top w:val="single" w:sz="6" w:space="0" w:color="000000"/>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8,9</w:t>
            </w:r>
          </w:p>
        </w:tc>
        <w:tc>
          <w:tcPr>
            <w:tcW w:w="775" w:type="dxa"/>
            <w:tcBorders>
              <w:top w:val="single" w:sz="6" w:space="0" w:color="000000"/>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8,2</w:t>
            </w:r>
          </w:p>
        </w:tc>
        <w:tc>
          <w:tcPr>
            <w:tcW w:w="775" w:type="dxa"/>
            <w:tcBorders>
              <w:top w:val="single" w:sz="6" w:space="0" w:color="000000"/>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7,2</w:t>
            </w:r>
          </w:p>
        </w:tc>
        <w:tc>
          <w:tcPr>
            <w:tcW w:w="775" w:type="dxa"/>
            <w:tcBorders>
              <w:top w:val="single" w:sz="6" w:space="0" w:color="000000"/>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7,0</w:t>
            </w:r>
          </w:p>
        </w:tc>
        <w:tc>
          <w:tcPr>
            <w:tcW w:w="775" w:type="dxa"/>
            <w:tcBorders>
              <w:top w:val="single" w:sz="6" w:space="0" w:color="000000"/>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8,9</w:t>
            </w:r>
          </w:p>
        </w:tc>
        <w:tc>
          <w:tcPr>
            <w:tcW w:w="775" w:type="dxa"/>
            <w:tcBorders>
              <w:top w:val="single" w:sz="6" w:space="0" w:color="000000"/>
              <w:bottom w:val="dotted" w:sz="4" w:space="0" w:color="auto"/>
              <w:right w:val="nil"/>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9,6</w:t>
            </w:r>
          </w:p>
        </w:tc>
        <w:tc>
          <w:tcPr>
            <w:tcW w:w="775" w:type="dxa"/>
            <w:tcBorders>
              <w:top w:val="single" w:sz="6" w:space="0" w:color="000000"/>
              <w:left w:val="nil"/>
              <w:bottom w:val="dotted" w:sz="4" w:space="0" w:color="auto"/>
              <w:right w:val="nil"/>
            </w:tcBorders>
            <w:vAlign w:val="bottom"/>
          </w:tcPr>
          <w:p w:rsidR="00652F81" w:rsidRPr="00EF220F" w:rsidRDefault="00652F81" w:rsidP="00652F81">
            <w:pPr>
              <w:jc w:val="right"/>
              <w:cnfStyle w:val="000000000000"/>
              <w:rPr>
                <w:rFonts w:ascii="Tahoma" w:hAnsi="Tahoma" w:cs="Tahoma"/>
              </w:rPr>
            </w:pPr>
            <w:r>
              <w:rPr>
                <w:rFonts w:ascii="Tahoma" w:hAnsi="Tahoma" w:cs="Tahoma"/>
              </w:rPr>
              <w:t>9,7</w:t>
            </w:r>
          </w:p>
        </w:tc>
      </w:tr>
      <w:tr w:rsidR="00652F81" w:rsidTr="00652F81">
        <w:trPr>
          <w:jc w:val="center"/>
        </w:trPr>
        <w:tc>
          <w:tcPr>
            <w:cnfStyle w:val="001000000000"/>
            <w:tcW w:w="1084" w:type="dxa"/>
            <w:tcBorders>
              <w:top w:val="dotted" w:sz="4" w:space="0" w:color="auto"/>
              <w:bottom w:val="dotted" w:sz="4" w:space="0" w:color="auto"/>
              <w:right w:val="nil"/>
            </w:tcBorders>
          </w:tcPr>
          <w:p w:rsidR="00652F81" w:rsidRPr="00611C5D" w:rsidRDefault="00652F81" w:rsidP="00652F81">
            <w:pPr>
              <w:rPr>
                <w:rFonts w:ascii="Tahoma" w:hAnsi="Tahoma" w:cs="Tahoma"/>
                <w:b/>
                <w:bCs/>
              </w:rPr>
            </w:pPr>
            <w:r w:rsidRPr="00611C5D">
              <w:rPr>
                <w:rFonts w:ascii="Tahoma" w:hAnsi="Tahoma" w:cs="Tahoma"/>
                <w:b/>
                <w:bCs/>
              </w:rPr>
              <w:t>EU25</w:t>
            </w:r>
          </w:p>
        </w:tc>
        <w:tc>
          <w:tcPr>
            <w:tcW w:w="774" w:type="dxa"/>
            <w:tcBorders>
              <w:top w:val="dotted" w:sz="4" w:space="0" w:color="auto"/>
              <w:left w:val="nil"/>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9,0</w:t>
            </w:r>
          </w:p>
        </w:tc>
        <w:tc>
          <w:tcPr>
            <w:tcW w:w="774"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9,1</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9,0</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8,2</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7,2</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7,1</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9,0</w:t>
            </w:r>
          </w:p>
        </w:tc>
        <w:tc>
          <w:tcPr>
            <w:tcW w:w="775" w:type="dxa"/>
            <w:tcBorders>
              <w:top w:val="dotted" w:sz="4" w:space="0" w:color="auto"/>
              <w:bottom w:val="dotted" w:sz="4" w:space="0" w:color="auto"/>
              <w:right w:val="nil"/>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9,7</w:t>
            </w:r>
          </w:p>
        </w:tc>
        <w:tc>
          <w:tcPr>
            <w:tcW w:w="775" w:type="dxa"/>
            <w:tcBorders>
              <w:top w:val="dotted" w:sz="4" w:space="0" w:color="auto"/>
              <w:left w:val="nil"/>
              <w:bottom w:val="dotted" w:sz="4" w:space="0" w:color="auto"/>
              <w:right w:val="nil"/>
            </w:tcBorders>
            <w:vAlign w:val="bottom"/>
          </w:tcPr>
          <w:p w:rsidR="00652F81" w:rsidRPr="00EF220F" w:rsidRDefault="00652F81" w:rsidP="00652F81">
            <w:pPr>
              <w:jc w:val="right"/>
              <w:cnfStyle w:val="000000000000"/>
              <w:rPr>
                <w:rFonts w:ascii="Tahoma" w:hAnsi="Tahoma" w:cs="Tahoma"/>
              </w:rPr>
            </w:pPr>
            <w:r>
              <w:rPr>
                <w:rFonts w:ascii="Tahoma" w:hAnsi="Tahoma" w:cs="Tahoma"/>
              </w:rPr>
              <w:t>9,7</w:t>
            </w:r>
          </w:p>
        </w:tc>
      </w:tr>
      <w:tr w:rsidR="00652F81" w:rsidTr="00652F81">
        <w:trPr>
          <w:jc w:val="center"/>
        </w:trPr>
        <w:tc>
          <w:tcPr>
            <w:cnfStyle w:val="001000000000"/>
            <w:tcW w:w="1084" w:type="dxa"/>
            <w:tcBorders>
              <w:top w:val="dotted" w:sz="4" w:space="0" w:color="auto"/>
              <w:bottom w:val="dotted" w:sz="4" w:space="0" w:color="auto"/>
              <w:right w:val="nil"/>
            </w:tcBorders>
          </w:tcPr>
          <w:p w:rsidR="00652F81" w:rsidRPr="00611C5D" w:rsidRDefault="00652F81" w:rsidP="00652F81">
            <w:pPr>
              <w:rPr>
                <w:rFonts w:ascii="Tahoma" w:hAnsi="Tahoma" w:cs="Tahoma"/>
                <w:b/>
                <w:bCs/>
              </w:rPr>
            </w:pPr>
            <w:r w:rsidRPr="00611C5D">
              <w:rPr>
                <w:rFonts w:ascii="Tahoma" w:hAnsi="Tahoma" w:cs="Tahoma"/>
                <w:b/>
                <w:bCs/>
              </w:rPr>
              <w:t>EU15</w:t>
            </w:r>
          </w:p>
        </w:tc>
        <w:tc>
          <w:tcPr>
            <w:tcW w:w="774" w:type="dxa"/>
            <w:tcBorders>
              <w:top w:val="dotted" w:sz="4" w:space="0" w:color="auto"/>
              <w:left w:val="nil"/>
              <w:bottom w:val="dotted" w:sz="4" w:space="0" w:color="auto"/>
              <w:right w:val="nil"/>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8,0</w:t>
            </w:r>
          </w:p>
        </w:tc>
        <w:tc>
          <w:tcPr>
            <w:tcW w:w="774" w:type="dxa"/>
            <w:tcBorders>
              <w:top w:val="dotted" w:sz="4" w:space="0" w:color="auto"/>
              <w:left w:val="nil"/>
              <w:bottom w:val="dotted" w:sz="4" w:space="0" w:color="auto"/>
              <w:right w:val="nil"/>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8,1</w:t>
            </w:r>
          </w:p>
        </w:tc>
        <w:tc>
          <w:tcPr>
            <w:tcW w:w="775" w:type="dxa"/>
            <w:tcBorders>
              <w:top w:val="dotted" w:sz="4" w:space="0" w:color="auto"/>
              <w:left w:val="nil"/>
              <w:bottom w:val="dotted" w:sz="4" w:space="0" w:color="auto"/>
              <w:right w:val="nil"/>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8,2</w:t>
            </w:r>
          </w:p>
        </w:tc>
        <w:tc>
          <w:tcPr>
            <w:tcW w:w="775" w:type="dxa"/>
            <w:tcBorders>
              <w:top w:val="dotted" w:sz="4" w:space="0" w:color="auto"/>
              <w:left w:val="nil"/>
              <w:bottom w:val="dotted" w:sz="4" w:space="0" w:color="auto"/>
              <w:right w:val="nil"/>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7,7</w:t>
            </w:r>
          </w:p>
        </w:tc>
        <w:tc>
          <w:tcPr>
            <w:tcW w:w="775" w:type="dxa"/>
            <w:tcBorders>
              <w:top w:val="dotted" w:sz="4" w:space="0" w:color="auto"/>
              <w:left w:val="nil"/>
              <w:bottom w:val="dotted" w:sz="4" w:space="0" w:color="auto"/>
              <w:right w:val="nil"/>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7,0</w:t>
            </w:r>
          </w:p>
        </w:tc>
        <w:tc>
          <w:tcPr>
            <w:tcW w:w="775" w:type="dxa"/>
            <w:tcBorders>
              <w:top w:val="dotted" w:sz="4" w:space="0" w:color="auto"/>
              <w:left w:val="nil"/>
              <w:bottom w:val="dotted" w:sz="4" w:space="0" w:color="auto"/>
              <w:right w:val="nil"/>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7,1</w:t>
            </w:r>
          </w:p>
        </w:tc>
        <w:tc>
          <w:tcPr>
            <w:tcW w:w="775" w:type="dxa"/>
            <w:tcBorders>
              <w:top w:val="dotted" w:sz="4" w:space="0" w:color="auto"/>
              <w:left w:val="nil"/>
              <w:bottom w:val="dotted" w:sz="4" w:space="0" w:color="auto"/>
              <w:right w:val="nil"/>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9,0</w:t>
            </w:r>
          </w:p>
        </w:tc>
        <w:tc>
          <w:tcPr>
            <w:tcW w:w="775" w:type="dxa"/>
            <w:tcBorders>
              <w:top w:val="dotted" w:sz="4" w:space="0" w:color="auto"/>
              <w:left w:val="nil"/>
              <w:bottom w:val="dotted" w:sz="4" w:space="0" w:color="auto"/>
              <w:right w:val="nil"/>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9,5</w:t>
            </w:r>
          </w:p>
        </w:tc>
        <w:tc>
          <w:tcPr>
            <w:tcW w:w="775" w:type="dxa"/>
            <w:tcBorders>
              <w:top w:val="dotted" w:sz="4" w:space="0" w:color="auto"/>
              <w:left w:val="nil"/>
              <w:bottom w:val="dotted" w:sz="4" w:space="0" w:color="auto"/>
              <w:right w:val="nil"/>
            </w:tcBorders>
            <w:vAlign w:val="bottom"/>
          </w:tcPr>
          <w:p w:rsidR="00652F81" w:rsidRPr="00EF220F" w:rsidRDefault="00652F81" w:rsidP="00652F81">
            <w:pPr>
              <w:jc w:val="right"/>
              <w:cnfStyle w:val="000000000000"/>
              <w:rPr>
                <w:rFonts w:ascii="Tahoma" w:hAnsi="Tahoma" w:cs="Tahoma"/>
              </w:rPr>
            </w:pPr>
            <w:r>
              <w:rPr>
                <w:rFonts w:ascii="Tahoma" w:hAnsi="Tahoma" w:cs="Tahoma"/>
              </w:rPr>
              <w:t>9,7</w:t>
            </w:r>
          </w:p>
        </w:tc>
      </w:tr>
      <w:tr w:rsidR="00652F81" w:rsidTr="00652F81">
        <w:trPr>
          <w:jc w:val="center"/>
        </w:trPr>
        <w:tc>
          <w:tcPr>
            <w:cnfStyle w:val="001000000000"/>
            <w:tcW w:w="1084" w:type="dxa"/>
            <w:tcBorders>
              <w:top w:val="dotted" w:sz="4" w:space="0" w:color="auto"/>
              <w:bottom w:val="dotted" w:sz="4" w:space="0" w:color="auto"/>
              <w:right w:val="nil"/>
            </w:tcBorders>
          </w:tcPr>
          <w:p w:rsidR="00652F81" w:rsidRPr="00771DC7" w:rsidRDefault="00652F81" w:rsidP="00652F81">
            <w:pPr>
              <w:rPr>
                <w:rFonts w:ascii="Tahoma" w:hAnsi="Tahoma" w:cs="Tahoma"/>
                <w:b/>
                <w:bCs/>
              </w:rPr>
            </w:pPr>
            <w:r w:rsidRPr="00611C5D">
              <w:rPr>
                <w:rFonts w:ascii="Tahoma" w:hAnsi="Tahoma" w:cs="Tahoma"/>
                <w:b/>
                <w:bCs/>
              </w:rPr>
              <w:t>EA1</w:t>
            </w:r>
            <w:r>
              <w:rPr>
                <w:rFonts w:ascii="Tahoma" w:hAnsi="Tahoma" w:cs="Tahoma"/>
                <w:b/>
                <w:bCs/>
              </w:rPr>
              <w:t>7</w:t>
            </w:r>
          </w:p>
        </w:tc>
        <w:tc>
          <w:tcPr>
            <w:tcW w:w="774" w:type="dxa"/>
            <w:tcBorders>
              <w:top w:val="dotted" w:sz="4" w:space="0" w:color="auto"/>
              <w:left w:val="nil"/>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8,8</w:t>
            </w:r>
          </w:p>
        </w:tc>
        <w:tc>
          <w:tcPr>
            <w:tcW w:w="774"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9,0</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9,0</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8,4</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7,5</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7,5</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9,5</w:t>
            </w:r>
          </w:p>
        </w:tc>
        <w:tc>
          <w:tcPr>
            <w:tcW w:w="775" w:type="dxa"/>
            <w:tcBorders>
              <w:top w:val="dotted" w:sz="4" w:space="0" w:color="auto"/>
              <w:bottom w:val="dotted" w:sz="4" w:space="0" w:color="auto"/>
              <w:right w:val="nil"/>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10,0</w:t>
            </w:r>
          </w:p>
        </w:tc>
        <w:tc>
          <w:tcPr>
            <w:tcW w:w="775" w:type="dxa"/>
            <w:tcBorders>
              <w:top w:val="dotted" w:sz="4" w:space="0" w:color="auto"/>
              <w:left w:val="nil"/>
              <w:bottom w:val="dotted" w:sz="4" w:space="0" w:color="auto"/>
              <w:right w:val="nil"/>
            </w:tcBorders>
            <w:vAlign w:val="bottom"/>
          </w:tcPr>
          <w:p w:rsidR="00652F81" w:rsidRPr="00EF220F" w:rsidRDefault="00652F81" w:rsidP="00652F81">
            <w:pPr>
              <w:jc w:val="right"/>
              <w:cnfStyle w:val="000000000000"/>
              <w:rPr>
                <w:rFonts w:ascii="Tahoma" w:hAnsi="Tahoma" w:cs="Tahoma"/>
              </w:rPr>
            </w:pPr>
            <w:r>
              <w:rPr>
                <w:rFonts w:ascii="Tahoma" w:hAnsi="Tahoma" w:cs="Tahoma"/>
              </w:rPr>
              <w:t>10,2</w:t>
            </w:r>
          </w:p>
        </w:tc>
      </w:tr>
      <w:tr w:rsidR="00652F81" w:rsidTr="00652F81">
        <w:trPr>
          <w:jc w:val="center"/>
        </w:trPr>
        <w:tc>
          <w:tcPr>
            <w:cnfStyle w:val="001000000000"/>
            <w:tcW w:w="1084" w:type="dxa"/>
            <w:tcBorders>
              <w:top w:val="dotted" w:sz="4" w:space="0" w:color="auto"/>
              <w:bottom w:val="single" w:sz="6" w:space="0" w:color="000000"/>
              <w:right w:val="nil"/>
            </w:tcBorders>
          </w:tcPr>
          <w:p w:rsidR="00652F81" w:rsidRPr="00611C5D" w:rsidRDefault="00652F81" w:rsidP="00652F81">
            <w:pPr>
              <w:rPr>
                <w:rFonts w:ascii="Tahoma" w:hAnsi="Tahoma" w:cs="Tahoma"/>
                <w:b/>
                <w:bCs/>
              </w:rPr>
            </w:pPr>
            <w:r w:rsidRPr="00611C5D">
              <w:rPr>
                <w:rFonts w:ascii="Tahoma" w:hAnsi="Tahoma" w:cs="Tahoma"/>
                <w:b/>
                <w:bCs/>
              </w:rPr>
              <w:t>EL</w:t>
            </w:r>
          </w:p>
        </w:tc>
        <w:tc>
          <w:tcPr>
            <w:tcW w:w="774" w:type="dxa"/>
            <w:tcBorders>
              <w:top w:val="dotted" w:sz="4" w:space="0" w:color="auto"/>
              <w:left w:val="nil"/>
              <w:bottom w:val="single" w:sz="6" w:space="0" w:color="000000"/>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9,7</w:t>
            </w:r>
          </w:p>
        </w:tc>
        <w:tc>
          <w:tcPr>
            <w:tcW w:w="774" w:type="dxa"/>
            <w:tcBorders>
              <w:top w:val="dotted" w:sz="4" w:space="0" w:color="auto"/>
              <w:bottom w:val="single" w:sz="6" w:space="0" w:color="000000"/>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10,5</w:t>
            </w:r>
          </w:p>
        </w:tc>
        <w:tc>
          <w:tcPr>
            <w:tcW w:w="775" w:type="dxa"/>
            <w:tcBorders>
              <w:top w:val="dotted" w:sz="4" w:space="0" w:color="auto"/>
              <w:bottom w:val="single" w:sz="6" w:space="0" w:color="000000"/>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9,9</w:t>
            </w:r>
          </w:p>
        </w:tc>
        <w:tc>
          <w:tcPr>
            <w:tcW w:w="775" w:type="dxa"/>
            <w:tcBorders>
              <w:top w:val="dotted" w:sz="4" w:space="0" w:color="auto"/>
              <w:bottom w:val="single" w:sz="6" w:space="0" w:color="000000"/>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8,9</w:t>
            </w:r>
          </w:p>
        </w:tc>
        <w:tc>
          <w:tcPr>
            <w:tcW w:w="775" w:type="dxa"/>
            <w:tcBorders>
              <w:top w:val="dotted" w:sz="4" w:space="0" w:color="auto"/>
              <w:bottom w:val="single" w:sz="6" w:space="0" w:color="000000"/>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8,3</w:t>
            </w:r>
          </w:p>
        </w:tc>
        <w:tc>
          <w:tcPr>
            <w:tcW w:w="775" w:type="dxa"/>
            <w:tcBorders>
              <w:top w:val="dotted" w:sz="4" w:space="0" w:color="auto"/>
              <w:bottom w:val="single" w:sz="6" w:space="0" w:color="000000"/>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7,7</w:t>
            </w:r>
          </w:p>
        </w:tc>
        <w:tc>
          <w:tcPr>
            <w:tcW w:w="775" w:type="dxa"/>
            <w:tcBorders>
              <w:top w:val="dotted" w:sz="4" w:space="0" w:color="auto"/>
              <w:bottom w:val="single" w:sz="6" w:space="0" w:color="000000"/>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9,5</w:t>
            </w:r>
          </w:p>
        </w:tc>
        <w:tc>
          <w:tcPr>
            <w:tcW w:w="775" w:type="dxa"/>
            <w:tcBorders>
              <w:top w:val="dotted" w:sz="4" w:space="0" w:color="auto"/>
              <w:bottom w:val="single" w:sz="6" w:space="0" w:color="000000"/>
              <w:right w:val="nil"/>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12,5</w:t>
            </w:r>
          </w:p>
        </w:tc>
        <w:tc>
          <w:tcPr>
            <w:tcW w:w="775" w:type="dxa"/>
            <w:tcBorders>
              <w:top w:val="dotted" w:sz="4" w:space="0" w:color="auto"/>
              <w:left w:val="nil"/>
              <w:bottom w:val="single" w:sz="6" w:space="0" w:color="000000"/>
              <w:right w:val="nil"/>
            </w:tcBorders>
            <w:vAlign w:val="bottom"/>
          </w:tcPr>
          <w:p w:rsidR="00652F81" w:rsidRPr="00EF220F" w:rsidRDefault="00652F81" w:rsidP="00652F81">
            <w:pPr>
              <w:jc w:val="right"/>
              <w:cnfStyle w:val="000000000000"/>
              <w:rPr>
                <w:rFonts w:ascii="Tahoma" w:hAnsi="Tahoma" w:cs="Tahoma"/>
              </w:rPr>
            </w:pPr>
            <w:r>
              <w:rPr>
                <w:rFonts w:ascii="Tahoma" w:hAnsi="Tahoma" w:cs="Tahoma"/>
              </w:rPr>
              <w:t>17,7</w:t>
            </w:r>
          </w:p>
        </w:tc>
      </w:tr>
      <w:tr w:rsidR="00652F81" w:rsidTr="00652F81">
        <w:trPr>
          <w:jc w:val="center"/>
        </w:trPr>
        <w:tc>
          <w:tcPr>
            <w:cnfStyle w:val="001000000000"/>
            <w:tcW w:w="1084" w:type="dxa"/>
            <w:tcBorders>
              <w:top w:val="single" w:sz="6" w:space="0" w:color="000000"/>
              <w:bottom w:val="single" w:sz="6" w:space="0" w:color="000000"/>
              <w:right w:val="nil"/>
            </w:tcBorders>
          </w:tcPr>
          <w:p w:rsidR="00652F81" w:rsidRPr="00B20E1A" w:rsidRDefault="00652F81" w:rsidP="00652F81">
            <w:pPr>
              <w:rPr>
                <w:rFonts w:ascii="Tahoma" w:hAnsi="Tahoma" w:cs="Tahoma"/>
                <w:b/>
              </w:rPr>
            </w:pPr>
            <w:r w:rsidRPr="00B20E1A">
              <w:rPr>
                <w:rFonts w:ascii="Tahoma" w:hAnsi="Tahoma" w:cs="Tahoma"/>
                <w:b/>
              </w:rPr>
              <w:t>Άνδρες</w:t>
            </w:r>
          </w:p>
        </w:tc>
        <w:tc>
          <w:tcPr>
            <w:tcW w:w="774" w:type="dxa"/>
            <w:tcBorders>
              <w:top w:val="single" w:sz="6" w:space="0" w:color="000000"/>
              <w:left w:val="nil"/>
              <w:bottom w:val="single" w:sz="6" w:space="0" w:color="000000"/>
              <w:right w:val="nil"/>
            </w:tcBorders>
            <w:vAlign w:val="bottom"/>
          </w:tcPr>
          <w:p w:rsidR="00652F81" w:rsidRPr="00611C5D" w:rsidRDefault="00652F81" w:rsidP="00652F81">
            <w:pPr>
              <w:jc w:val="right"/>
              <w:cnfStyle w:val="000000000000"/>
              <w:rPr>
                <w:rFonts w:ascii="Tahoma" w:hAnsi="Tahoma" w:cs="Tahoma"/>
              </w:rPr>
            </w:pPr>
          </w:p>
        </w:tc>
        <w:tc>
          <w:tcPr>
            <w:tcW w:w="774" w:type="dxa"/>
            <w:tcBorders>
              <w:top w:val="single" w:sz="6" w:space="0" w:color="000000"/>
              <w:left w:val="nil"/>
              <w:bottom w:val="single" w:sz="6" w:space="0" w:color="000000"/>
              <w:right w:val="nil"/>
            </w:tcBorders>
            <w:vAlign w:val="bottom"/>
          </w:tcPr>
          <w:p w:rsidR="00652F81" w:rsidRPr="00611C5D" w:rsidRDefault="00652F81" w:rsidP="00652F81">
            <w:pPr>
              <w:jc w:val="right"/>
              <w:cnfStyle w:val="000000000000"/>
              <w:rPr>
                <w:rFonts w:ascii="Tahoma" w:hAnsi="Tahoma" w:cs="Tahoma"/>
              </w:rPr>
            </w:pPr>
          </w:p>
        </w:tc>
        <w:tc>
          <w:tcPr>
            <w:tcW w:w="775" w:type="dxa"/>
            <w:tcBorders>
              <w:top w:val="single" w:sz="6" w:space="0" w:color="000000"/>
              <w:left w:val="nil"/>
              <w:bottom w:val="single" w:sz="6" w:space="0" w:color="000000"/>
              <w:right w:val="nil"/>
            </w:tcBorders>
            <w:vAlign w:val="bottom"/>
          </w:tcPr>
          <w:p w:rsidR="00652F81" w:rsidRPr="00611C5D" w:rsidRDefault="00652F81" w:rsidP="00652F81">
            <w:pPr>
              <w:jc w:val="right"/>
              <w:cnfStyle w:val="000000000000"/>
              <w:rPr>
                <w:rFonts w:ascii="Tahoma" w:hAnsi="Tahoma" w:cs="Tahoma"/>
              </w:rPr>
            </w:pPr>
          </w:p>
        </w:tc>
        <w:tc>
          <w:tcPr>
            <w:tcW w:w="775" w:type="dxa"/>
            <w:tcBorders>
              <w:top w:val="single" w:sz="6" w:space="0" w:color="000000"/>
              <w:left w:val="nil"/>
              <w:bottom w:val="single" w:sz="6" w:space="0" w:color="000000"/>
              <w:right w:val="nil"/>
            </w:tcBorders>
            <w:vAlign w:val="bottom"/>
          </w:tcPr>
          <w:p w:rsidR="00652F81" w:rsidRPr="00611C5D" w:rsidRDefault="00652F81" w:rsidP="00652F81">
            <w:pPr>
              <w:jc w:val="right"/>
              <w:cnfStyle w:val="000000000000"/>
              <w:rPr>
                <w:rFonts w:ascii="Tahoma" w:hAnsi="Tahoma" w:cs="Tahoma"/>
              </w:rPr>
            </w:pPr>
          </w:p>
        </w:tc>
        <w:tc>
          <w:tcPr>
            <w:tcW w:w="775" w:type="dxa"/>
            <w:tcBorders>
              <w:top w:val="single" w:sz="6" w:space="0" w:color="000000"/>
              <w:left w:val="nil"/>
              <w:bottom w:val="single" w:sz="6" w:space="0" w:color="000000"/>
              <w:right w:val="nil"/>
            </w:tcBorders>
            <w:vAlign w:val="bottom"/>
          </w:tcPr>
          <w:p w:rsidR="00652F81" w:rsidRPr="00611C5D" w:rsidRDefault="00652F81" w:rsidP="00652F81">
            <w:pPr>
              <w:jc w:val="right"/>
              <w:cnfStyle w:val="000000000000"/>
              <w:rPr>
                <w:rFonts w:ascii="Tahoma" w:hAnsi="Tahoma" w:cs="Tahoma"/>
              </w:rPr>
            </w:pPr>
          </w:p>
        </w:tc>
        <w:tc>
          <w:tcPr>
            <w:tcW w:w="775" w:type="dxa"/>
            <w:tcBorders>
              <w:top w:val="single" w:sz="6" w:space="0" w:color="000000"/>
              <w:left w:val="nil"/>
              <w:bottom w:val="single" w:sz="6" w:space="0" w:color="000000"/>
              <w:right w:val="nil"/>
            </w:tcBorders>
            <w:vAlign w:val="bottom"/>
          </w:tcPr>
          <w:p w:rsidR="00652F81" w:rsidRPr="00611C5D" w:rsidRDefault="00652F81" w:rsidP="00652F81">
            <w:pPr>
              <w:jc w:val="right"/>
              <w:cnfStyle w:val="000000000000"/>
              <w:rPr>
                <w:rFonts w:ascii="Tahoma" w:hAnsi="Tahoma" w:cs="Tahoma"/>
              </w:rPr>
            </w:pPr>
          </w:p>
        </w:tc>
        <w:tc>
          <w:tcPr>
            <w:tcW w:w="775" w:type="dxa"/>
            <w:tcBorders>
              <w:top w:val="single" w:sz="6" w:space="0" w:color="000000"/>
              <w:left w:val="nil"/>
              <w:bottom w:val="single" w:sz="6" w:space="0" w:color="000000"/>
              <w:right w:val="nil"/>
            </w:tcBorders>
            <w:vAlign w:val="bottom"/>
          </w:tcPr>
          <w:p w:rsidR="00652F81" w:rsidRPr="00611C5D" w:rsidRDefault="00652F81" w:rsidP="00652F81">
            <w:pPr>
              <w:jc w:val="right"/>
              <w:cnfStyle w:val="000000000000"/>
              <w:rPr>
                <w:rFonts w:ascii="Tahoma" w:hAnsi="Tahoma" w:cs="Tahoma"/>
              </w:rPr>
            </w:pPr>
          </w:p>
        </w:tc>
        <w:tc>
          <w:tcPr>
            <w:tcW w:w="775" w:type="dxa"/>
            <w:tcBorders>
              <w:top w:val="single" w:sz="6" w:space="0" w:color="000000"/>
              <w:left w:val="nil"/>
              <w:bottom w:val="single" w:sz="6" w:space="0" w:color="000000"/>
              <w:right w:val="nil"/>
            </w:tcBorders>
            <w:vAlign w:val="bottom"/>
          </w:tcPr>
          <w:p w:rsidR="00652F81" w:rsidRPr="00611C5D" w:rsidRDefault="00652F81" w:rsidP="00652F81">
            <w:pPr>
              <w:jc w:val="right"/>
              <w:cnfStyle w:val="000000000000"/>
              <w:rPr>
                <w:rFonts w:ascii="Tahoma" w:hAnsi="Tahoma" w:cs="Tahoma"/>
              </w:rPr>
            </w:pPr>
          </w:p>
        </w:tc>
        <w:tc>
          <w:tcPr>
            <w:tcW w:w="775" w:type="dxa"/>
            <w:tcBorders>
              <w:top w:val="single" w:sz="6" w:space="0" w:color="000000"/>
              <w:left w:val="nil"/>
              <w:bottom w:val="single" w:sz="6" w:space="0" w:color="000000"/>
              <w:right w:val="nil"/>
            </w:tcBorders>
          </w:tcPr>
          <w:p w:rsidR="00652F81" w:rsidRPr="00611C5D" w:rsidRDefault="00652F81" w:rsidP="00652F81">
            <w:pPr>
              <w:jc w:val="right"/>
              <w:cnfStyle w:val="000000000000"/>
              <w:rPr>
                <w:rFonts w:ascii="Tahoma" w:hAnsi="Tahoma" w:cs="Tahoma"/>
              </w:rPr>
            </w:pPr>
          </w:p>
        </w:tc>
      </w:tr>
      <w:tr w:rsidR="00652F81" w:rsidTr="00652F81">
        <w:trPr>
          <w:jc w:val="center"/>
        </w:trPr>
        <w:tc>
          <w:tcPr>
            <w:cnfStyle w:val="001000000000"/>
            <w:tcW w:w="1084" w:type="dxa"/>
            <w:tcBorders>
              <w:top w:val="single" w:sz="6" w:space="0" w:color="000000"/>
              <w:bottom w:val="dotted" w:sz="4" w:space="0" w:color="auto"/>
              <w:right w:val="nil"/>
            </w:tcBorders>
          </w:tcPr>
          <w:p w:rsidR="00652F81" w:rsidRPr="00611C5D" w:rsidRDefault="00652F81" w:rsidP="00652F81">
            <w:pPr>
              <w:rPr>
                <w:rFonts w:ascii="Tahoma" w:hAnsi="Tahoma" w:cs="Tahoma"/>
                <w:b/>
                <w:bCs/>
              </w:rPr>
            </w:pPr>
            <w:r w:rsidRPr="00611C5D">
              <w:rPr>
                <w:rFonts w:ascii="Tahoma" w:hAnsi="Tahoma" w:cs="Tahoma"/>
                <w:b/>
                <w:bCs/>
              </w:rPr>
              <w:t>EU27</w:t>
            </w:r>
          </w:p>
        </w:tc>
        <w:tc>
          <w:tcPr>
            <w:tcW w:w="774" w:type="dxa"/>
            <w:tcBorders>
              <w:top w:val="single" w:sz="6" w:space="0" w:color="000000"/>
              <w:left w:val="nil"/>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8,4</w:t>
            </w:r>
          </w:p>
        </w:tc>
        <w:tc>
          <w:tcPr>
            <w:tcW w:w="774" w:type="dxa"/>
            <w:tcBorders>
              <w:top w:val="single" w:sz="6" w:space="0" w:color="000000"/>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8,5</w:t>
            </w:r>
          </w:p>
        </w:tc>
        <w:tc>
          <w:tcPr>
            <w:tcW w:w="775" w:type="dxa"/>
            <w:tcBorders>
              <w:top w:val="single" w:sz="6" w:space="0" w:color="000000"/>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8,3</w:t>
            </w:r>
          </w:p>
        </w:tc>
        <w:tc>
          <w:tcPr>
            <w:tcW w:w="775" w:type="dxa"/>
            <w:tcBorders>
              <w:top w:val="single" w:sz="6" w:space="0" w:color="000000"/>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7,6</w:t>
            </w:r>
          </w:p>
        </w:tc>
        <w:tc>
          <w:tcPr>
            <w:tcW w:w="775" w:type="dxa"/>
            <w:tcBorders>
              <w:top w:val="single" w:sz="6" w:space="0" w:color="000000"/>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6,6</w:t>
            </w:r>
          </w:p>
        </w:tc>
        <w:tc>
          <w:tcPr>
            <w:tcW w:w="775" w:type="dxa"/>
            <w:tcBorders>
              <w:top w:val="single" w:sz="6" w:space="0" w:color="000000"/>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6,6</w:t>
            </w:r>
          </w:p>
        </w:tc>
        <w:tc>
          <w:tcPr>
            <w:tcW w:w="775" w:type="dxa"/>
            <w:tcBorders>
              <w:top w:val="single" w:sz="6" w:space="0" w:color="000000"/>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9,0</w:t>
            </w:r>
          </w:p>
        </w:tc>
        <w:tc>
          <w:tcPr>
            <w:tcW w:w="775" w:type="dxa"/>
            <w:tcBorders>
              <w:top w:val="single" w:sz="6" w:space="0" w:color="000000"/>
              <w:bottom w:val="dotted" w:sz="4" w:space="0" w:color="auto"/>
              <w:right w:val="nil"/>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9,6</w:t>
            </w:r>
          </w:p>
        </w:tc>
        <w:tc>
          <w:tcPr>
            <w:tcW w:w="775" w:type="dxa"/>
            <w:tcBorders>
              <w:top w:val="single" w:sz="6" w:space="0" w:color="000000"/>
              <w:left w:val="nil"/>
              <w:bottom w:val="dotted" w:sz="4" w:space="0" w:color="auto"/>
              <w:right w:val="nil"/>
            </w:tcBorders>
            <w:vAlign w:val="bottom"/>
          </w:tcPr>
          <w:p w:rsidR="00652F81" w:rsidRPr="00EF220F" w:rsidRDefault="00652F81" w:rsidP="00652F81">
            <w:pPr>
              <w:jc w:val="right"/>
              <w:cnfStyle w:val="000000000000"/>
              <w:rPr>
                <w:rFonts w:ascii="Tahoma" w:hAnsi="Tahoma" w:cs="Tahoma"/>
              </w:rPr>
            </w:pPr>
            <w:r>
              <w:rPr>
                <w:rFonts w:ascii="Tahoma" w:hAnsi="Tahoma" w:cs="Tahoma"/>
              </w:rPr>
              <w:t>9,6</w:t>
            </w:r>
          </w:p>
        </w:tc>
      </w:tr>
      <w:tr w:rsidR="00652F81" w:rsidTr="00652F81">
        <w:trPr>
          <w:jc w:val="center"/>
        </w:trPr>
        <w:tc>
          <w:tcPr>
            <w:cnfStyle w:val="001000000000"/>
            <w:tcW w:w="1084" w:type="dxa"/>
            <w:tcBorders>
              <w:top w:val="dotted" w:sz="4" w:space="0" w:color="auto"/>
              <w:bottom w:val="dotted" w:sz="4" w:space="0" w:color="auto"/>
              <w:right w:val="nil"/>
            </w:tcBorders>
          </w:tcPr>
          <w:p w:rsidR="00652F81" w:rsidRPr="00611C5D" w:rsidRDefault="00652F81" w:rsidP="00652F81">
            <w:pPr>
              <w:rPr>
                <w:rFonts w:ascii="Tahoma" w:hAnsi="Tahoma" w:cs="Tahoma"/>
                <w:b/>
                <w:bCs/>
              </w:rPr>
            </w:pPr>
            <w:r w:rsidRPr="00611C5D">
              <w:rPr>
                <w:rFonts w:ascii="Tahoma" w:hAnsi="Tahoma" w:cs="Tahoma"/>
                <w:b/>
                <w:bCs/>
              </w:rPr>
              <w:t>EU25</w:t>
            </w:r>
          </w:p>
        </w:tc>
        <w:tc>
          <w:tcPr>
            <w:tcW w:w="774" w:type="dxa"/>
            <w:tcBorders>
              <w:top w:val="dotted" w:sz="4" w:space="0" w:color="auto"/>
              <w:left w:val="nil"/>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8,4</w:t>
            </w:r>
          </w:p>
        </w:tc>
        <w:tc>
          <w:tcPr>
            <w:tcW w:w="774"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8,4</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8,3</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7,5</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6,6</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6,6</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9,1</w:t>
            </w:r>
          </w:p>
        </w:tc>
        <w:tc>
          <w:tcPr>
            <w:tcW w:w="775" w:type="dxa"/>
            <w:tcBorders>
              <w:top w:val="dotted" w:sz="4" w:space="0" w:color="auto"/>
              <w:bottom w:val="dotted" w:sz="4" w:space="0" w:color="auto"/>
              <w:right w:val="nil"/>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9,7</w:t>
            </w:r>
          </w:p>
        </w:tc>
        <w:tc>
          <w:tcPr>
            <w:tcW w:w="775" w:type="dxa"/>
            <w:tcBorders>
              <w:top w:val="dotted" w:sz="4" w:space="0" w:color="auto"/>
              <w:left w:val="nil"/>
              <w:bottom w:val="dotted" w:sz="4" w:space="0" w:color="auto"/>
              <w:right w:val="nil"/>
            </w:tcBorders>
            <w:vAlign w:val="bottom"/>
          </w:tcPr>
          <w:p w:rsidR="00652F81" w:rsidRPr="00EF220F" w:rsidRDefault="00652F81" w:rsidP="00652F81">
            <w:pPr>
              <w:jc w:val="right"/>
              <w:cnfStyle w:val="000000000000"/>
              <w:rPr>
                <w:rFonts w:ascii="Tahoma" w:hAnsi="Tahoma" w:cs="Tahoma"/>
              </w:rPr>
            </w:pPr>
            <w:r>
              <w:rPr>
                <w:rFonts w:ascii="Tahoma" w:hAnsi="Tahoma" w:cs="Tahoma"/>
              </w:rPr>
              <w:t>9,6</w:t>
            </w:r>
          </w:p>
        </w:tc>
      </w:tr>
      <w:tr w:rsidR="00652F81" w:rsidTr="00652F81">
        <w:trPr>
          <w:jc w:val="center"/>
        </w:trPr>
        <w:tc>
          <w:tcPr>
            <w:cnfStyle w:val="001000000000"/>
            <w:tcW w:w="1084" w:type="dxa"/>
            <w:tcBorders>
              <w:top w:val="dotted" w:sz="4" w:space="0" w:color="auto"/>
              <w:bottom w:val="dotted" w:sz="4" w:space="0" w:color="auto"/>
              <w:right w:val="nil"/>
            </w:tcBorders>
          </w:tcPr>
          <w:p w:rsidR="00652F81" w:rsidRPr="00611C5D" w:rsidRDefault="00652F81" w:rsidP="00652F81">
            <w:pPr>
              <w:rPr>
                <w:rFonts w:ascii="Tahoma" w:hAnsi="Tahoma" w:cs="Tahoma"/>
                <w:b/>
                <w:bCs/>
              </w:rPr>
            </w:pPr>
            <w:r w:rsidRPr="00611C5D">
              <w:rPr>
                <w:rFonts w:ascii="Tahoma" w:hAnsi="Tahoma" w:cs="Tahoma"/>
                <w:b/>
                <w:bCs/>
              </w:rPr>
              <w:t>EU15</w:t>
            </w:r>
          </w:p>
        </w:tc>
        <w:tc>
          <w:tcPr>
            <w:tcW w:w="774" w:type="dxa"/>
            <w:tcBorders>
              <w:top w:val="dotted" w:sz="4" w:space="0" w:color="auto"/>
              <w:left w:val="nil"/>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7,3</w:t>
            </w:r>
          </w:p>
        </w:tc>
        <w:tc>
          <w:tcPr>
            <w:tcW w:w="774"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7,5</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7,6</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7,1</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6,4</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6,7</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9,1</w:t>
            </w:r>
          </w:p>
        </w:tc>
        <w:tc>
          <w:tcPr>
            <w:tcW w:w="775" w:type="dxa"/>
            <w:tcBorders>
              <w:top w:val="dotted" w:sz="4" w:space="0" w:color="auto"/>
              <w:bottom w:val="dotted" w:sz="4" w:space="0" w:color="auto"/>
              <w:right w:val="nil"/>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9,6</w:t>
            </w:r>
          </w:p>
        </w:tc>
        <w:tc>
          <w:tcPr>
            <w:tcW w:w="775" w:type="dxa"/>
            <w:tcBorders>
              <w:top w:val="dotted" w:sz="4" w:space="0" w:color="auto"/>
              <w:left w:val="nil"/>
              <w:bottom w:val="dotted" w:sz="4" w:space="0" w:color="auto"/>
              <w:right w:val="nil"/>
            </w:tcBorders>
            <w:vAlign w:val="bottom"/>
          </w:tcPr>
          <w:p w:rsidR="00652F81" w:rsidRPr="00EF220F" w:rsidRDefault="00652F81" w:rsidP="00652F81">
            <w:pPr>
              <w:jc w:val="right"/>
              <w:cnfStyle w:val="000000000000"/>
              <w:rPr>
                <w:rFonts w:ascii="Tahoma" w:hAnsi="Tahoma" w:cs="Tahoma"/>
              </w:rPr>
            </w:pPr>
            <w:r>
              <w:rPr>
                <w:rFonts w:ascii="Tahoma" w:hAnsi="Tahoma" w:cs="Tahoma"/>
              </w:rPr>
              <w:t>9,6</w:t>
            </w:r>
          </w:p>
        </w:tc>
      </w:tr>
      <w:tr w:rsidR="00652F81" w:rsidTr="00652F81">
        <w:trPr>
          <w:jc w:val="center"/>
        </w:trPr>
        <w:tc>
          <w:tcPr>
            <w:cnfStyle w:val="001000000000"/>
            <w:tcW w:w="1084" w:type="dxa"/>
            <w:tcBorders>
              <w:top w:val="dotted" w:sz="4" w:space="0" w:color="auto"/>
              <w:bottom w:val="dotted" w:sz="4" w:space="0" w:color="auto"/>
              <w:right w:val="nil"/>
            </w:tcBorders>
          </w:tcPr>
          <w:p w:rsidR="00652F81" w:rsidRPr="00771DC7" w:rsidRDefault="00652F81" w:rsidP="00652F81">
            <w:pPr>
              <w:rPr>
                <w:rFonts w:ascii="Tahoma" w:hAnsi="Tahoma" w:cs="Tahoma"/>
                <w:b/>
                <w:bCs/>
              </w:rPr>
            </w:pPr>
            <w:r w:rsidRPr="00611C5D">
              <w:rPr>
                <w:rFonts w:ascii="Tahoma" w:hAnsi="Tahoma" w:cs="Tahoma"/>
                <w:b/>
                <w:bCs/>
              </w:rPr>
              <w:t>EA1</w:t>
            </w:r>
            <w:r>
              <w:rPr>
                <w:rFonts w:ascii="Tahoma" w:hAnsi="Tahoma" w:cs="Tahoma"/>
                <w:b/>
                <w:bCs/>
              </w:rPr>
              <w:t>7</w:t>
            </w:r>
          </w:p>
        </w:tc>
        <w:tc>
          <w:tcPr>
            <w:tcW w:w="774" w:type="dxa"/>
            <w:tcBorders>
              <w:top w:val="dotted" w:sz="4" w:space="0" w:color="auto"/>
              <w:left w:val="nil"/>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7,9</w:t>
            </w:r>
          </w:p>
        </w:tc>
        <w:tc>
          <w:tcPr>
            <w:tcW w:w="774"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8,1</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8,2</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7,5</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6,7</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6,9</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9,3</w:t>
            </w:r>
          </w:p>
        </w:tc>
        <w:tc>
          <w:tcPr>
            <w:tcW w:w="775" w:type="dxa"/>
            <w:tcBorders>
              <w:top w:val="dotted" w:sz="4" w:space="0" w:color="auto"/>
              <w:bottom w:val="dotted" w:sz="4" w:space="0" w:color="auto"/>
              <w:right w:val="nil"/>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9,9</w:t>
            </w:r>
          </w:p>
        </w:tc>
        <w:tc>
          <w:tcPr>
            <w:tcW w:w="775" w:type="dxa"/>
            <w:tcBorders>
              <w:top w:val="dotted" w:sz="4" w:space="0" w:color="auto"/>
              <w:left w:val="nil"/>
              <w:bottom w:val="dotted" w:sz="4" w:space="0" w:color="auto"/>
              <w:right w:val="nil"/>
            </w:tcBorders>
            <w:vAlign w:val="bottom"/>
          </w:tcPr>
          <w:p w:rsidR="00652F81" w:rsidRPr="00EF220F" w:rsidRDefault="00652F81" w:rsidP="00652F81">
            <w:pPr>
              <w:jc w:val="right"/>
              <w:cnfStyle w:val="000000000000"/>
              <w:rPr>
                <w:rFonts w:ascii="Tahoma" w:hAnsi="Tahoma" w:cs="Tahoma"/>
              </w:rPr>
            </w:pPr>
            <w:r>
              <w:rPr>
                <w:rFonts w:ascii="Tahoma" w:hAnsi="Tahoma" w:cs="Tahoma"/>
              </w:rPr>
              <w:t>9,9</w:t>
            </w:r>
          </w:p>
        </w:tc>
      </w:tr>
      <w:tr w:rsidR="00652F81" w:rsidTr="00652F81">
        <w:trPr>
          <w:jc w:val="center"/>
        </w:trPr>
        <w:tc>
          <w:tcPr>
            <w:cnfStyle w:val="001000000000"/>
            <w:tcW w:w="1084" w:type="dxa"/>
            <w:tcBorders>
              <w:top w:val="dotted" w:sz="4" w:space="0" w:color="auto"/>
              <w:bottom w:val="single" w:sz="6" w:space="0" w:color="000000"/>
              <w:right w:val="nil"/>
            </w:tcBorders>
          </w:tcPr>
          <w:p w:rsidR="00652F81" w:rsidRPr="00611C5D" w:rsidRDefault="00652F81" w:rsidP="00652F81">
            <w:pPr>
              <w:rPr>
                <w:rFonts w:ascii="Tahoma" w:hAnsi="Tahoma" w:cs="Tahoma"/>
                <w:b/>
                <w:bCs/>
              </w:rPr>
            </w:pPr>
            <w:r w:rsidRPr="00611C5D">
              <w:rPr>
                <w:rFonts w:ascii="Tahoma" w:hAnsi="Tahoma" w:cs="Tahoma"/>
                <w:b/>
                <w:bCs/>
              </w:rPr>
              <w:t>EL</w:t>
            </w:r>
          </w:p>
        </w:tc>
        <w:tc>
          <w:tcPr>
            <w:tcW w:w="774" w:type="dxa"/>
            <w:tcBorders>
              <w:top w:val="dotted" w:sz="4" w:space="0" w:color="auto"/>
              <w:left w:val="nil"/>
              <w:bottom w:val="single" w:sz="6" w:space="0" w:color="000000"/>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6,2</w:t>
            </w:r>
          </w:p>
        </w:tc>
        <w:tc>
          <w:tcPr>
            <w:tcW w:w="774" w:type="dxa"/>
            <w:tcBorders>
              <w:top w:val="dotted" w:sz="4" w:space="0" w:color="auto"/>
              <w:bottom w:val="single" w:sz="6" w:space="0" w:color="000000"/>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6,6</w:t>
            </w:r>
          </w:p>
        </w:tc>
        <w:tc>
          <w:tcPr>
            <w:tcW w:w="775" w:type="dxa"/>
            <w:tcBorders>
              <w:top w:val="dotted" w:sz="4" w:space="0" w:color="auto"/>
              <w:bottom w:val="single" w:sz="6" w:space="0" w:color="000000"/>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6,1</w:t>
            </w:r>
          </w:p>
        </w:tc>
        <w:tc>
          <w:tcPr>
            <w:tcW w:w="775" w:type="dxa"/>
            <w:tcBorders>
              <w:top w:val="dotted" w:sz="4" w:space="0" w:color="auto"/>
              <w:bottom w:val="single" w:sz="6" w:space="0" w:color="000000"/>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5,6</w:t>
            </w:r>
          </w:p>
        </w:tc>
        <w:tc>
          <w:tcPr>
            <w:tcW w:w="775" w:type="dxa"/>
            <w:tcBorders>
              <w:top w:val="dotted" w:sz="4" w:space="0" w:color="auto"/>
              <w:bottom w:val="single" w:sz="6" w:space="0" w:color="000000"/>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5,2</w:t>
            </w:r>
          </w:p>
        </w:tc>
        <w:tc>
          <w:tcPr>
            <w:tcW w:w="775" w:type="dxa"/>
            <w:tcBorders>
              <w:top w:val="dotted" w:sz="4" w:space="0" w:color="auto"/>
              <w:bottom w:val="single" w:sz="6" w:space="0" w:color="000000"/>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5,1</w:t>
            </w:r>
          </w:p>
        </w:tc>
        <w:tc>
          <w:tcPr>
            <w:tcW w:w="775" w:type="dxa"/>
            <w:tcBorders>
              <w:top w:val="dotted" w:sz="4" w:space="0" w:color="auto"/>
              <w:bottom w:val="single" w:sz="6" w:space="0" w:color="000000"/>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6,9</w:t>
            </w:r>
          </w:p>
        </w:tc>
        <w:tc>
          <w:tcPr>
            <w:tcW w:w="775" w:type="dxa"/>
            <w:tcBorders>
              <w:top w:val="dotted" w:sz="4" w:space="0" w:color="auto"/>
              <w:bottom w:val="single" w:sz="6" w:space="0" w:color="000000"/>
              <w:right w:val="nil"/>
            </w:tcBorders>
            <w:vAlign w:val="bottom"/>
          </w:tcPr>
          <w:p w:rsidR="00652F81" w:rsidRPr="00EF220F" w:rsidRDefault="00652F81" w:rsidP="00652F81">
            <w:pPr>
              <w:jc w:val="right"/>
              <w:cnfStyle w:val="000000000000"/>
              <w:rPr>
                <w:rFonts w:ascii="Tahoma" w:hAnsi="Tahoma" w:cs="Tahoma"/>
              </w:rPr>
            </w:pPr>
            <w:r>
              <w:rPr>
                <w:rFonts w:ascii="Tahoma" w:hAnsi="Tahoma" w:cs="Tahoma"/>
              </w:rPr>
              <w:t>9,9</w:t>
            </w:r>
          </w:p>
        </w:tc>
        <w:tc>
          <w:tcPr>
            <w:tcW w:w="775" w:type="dxa"/>
            <w:tcBorders>
              <w:top w:val="dotted" w:sz="4" w:space="0" w:color="auto"/>
              <w:left w:val="nil"/>
              <w:bottom w:val="single" w:sz="6" w:space="0" w:color="000000"/>
              <w:right w:val="nil"/>
            </w:tcBorders>
            <w:vAlign w:val="bottom"/>
          </w:tcPr>
          <w:p w:rsidR="00652F81" w:rsidRPr="00EF220F" w:rsidRDefault="00652F81" w:rsidP="00652F81">
            <w:pPr>
              <w:jc w:val="right"/>
              <w:cnfStyle w:val="000000000000"/>
              <w:rPr>
                <w:rFonts w:ascii="Tahoma" w:hAnsi="Tahoma" w:cs="Tahoma"/>
              </w:rPr>
            </w:pPr>
            <w:r>
              <w:rPr>
                <w:rFonts w:ascii="Tahoma" w:hAnsi="Tahoma" w:cs="Tahoma"/>
              </w:rPr>
              <w:t>15,0</w:t>
            </w:r>
          </w:p>
        </w:tc>
      </w:tr>
      <w:tr w:rsidR="00652F81" w:rsidTr="00652F81">
        <w:trPr>
          <w:jc w:val="center"/>
        </w:trPr>
        <w:tc>
          <w:tcPr>
            <w:cnfStyle w:val="001000000000"/>
            <w:tcW w:w="1084" w:type="dxa"/>
            <w:tcBorders>
              <w:top w:val="single" w:sz="6" w:space="0" w:color="000000"/>
              <w:bottom w:val="single" w:sz="6" w:space="0" w:color="000000"/>
              <w:right w:val="nil"/>
            </w:tcBorders>
          </w:tcPr>
          <w:p w:rsidR="00652F81" w:rsidRPr="00B20E1A" w:rsidRDefault="00652F81" w:rsidP="00652F81">
            <w:pPr>
              <w:rPr>
                <w:rFonts w:ascii="Tahoma" w:hAnsi="Tahoma" w:cs="Tahoma"/>
                <w:b/>
              </w:rPr>
            </w:pPr>
            <w:r w:rsidRPr="00B20E1A">
              <w:rPr>
                <w:rFonts w:ascii="Tahoma" w:hAnsi="Tahoma" w:cs="Tahoma"/>
                <w:b/>
              </w:rPr>
              <w:t>Γυναίκες</w:t>
            </w:r>
          </w:p>
        </w:tc>
        <w:tc>
          <w:tcPr>
            <w:tcW w:w="774" w:type="dxa"/>
            <w:tcBorders>
              <w:top w:val="single" w:sz="6" w:space="0" w:color="000000"/>
              <w:left w:val="nil"/>
              <w:bottom w:val="single" w:sz="6" w:space="0" w:color="000000"/>
              <w:right w:val="nil"/>
            </w:tcBorders>
            <w:vAlign w:val="bottom"/>
          </w:tcPr>
          <w:p w:rsidR="00652F81" w:rsidRPr="00611C5D" w:rsidRDefault="00652F81" w:rsidP="00652F81">
            <w:pPr>
              <w:jc w:val="right"/>
              <w:cnfStyle w:val="000000000000"/>
              <w:rPr>
                <w:rFonts w:ascii="Tahoma" w:hAnsi="Tahoma" w:cs="Tahoma"/>
              </w:rPr>
            </w:pPr>
          </w:p>
        </w:tc>
        <w:tc>
          <w:tcPr>
            <w:tcW w:w="774" w:type="dxa"/>
            <w:tcBorders>
              <w:top w:val="single" w:sz="6" w:space="0" w:color="000000"/>
              <w:left w:val="nil"/>
              <w:bottom w:val="single" w:sz="6" w:space="0" w:color="000000"/>
              <w:right w:val="nil"/>
            </w:tcBorders>
            <w:vAlign w:val="bottom"/>
          </w:tcPr>
          <w:p w:rsidR="00652F81" w:rsidRPr="00611C5D" w:rsidRDefault="00652F81" w:rsidP="00652F81">
            <w:pPr>
              <w:jc w:val="right"/>
              <w:cnfStyle w:val="000000000000"/>
              <w:rPr>
                <w:rFonts w:ascii="Tahoma" w:hAnsi="Tahoma" w:cs="Tahoma"/>
              </w:rPr>
            </w:pPr>
          </w:p>
        </w:tc>
        <w:tc>
          <w:tcPr>
            <w:tcW w:w="775" w:type="dxa"/>
            <w:tcBorders>
              <w:top w:val="single" w:sz="6" w:space="0" w:color="000000"/>
              <w:left w:val="nil"/>
              <w:bottom w:val="single" w:sz="6" w:space="0" w:color="000000"/>
              <w:right w:val="nil"/>
            </w:tcBorders>
            <w:vAlign w:val="bottom"/>
          </w:tcPr>
          <w:p w:rsidR="00652F81" w:rsidRPr="00611C5D" w:rsidRDefault="00652F81" w:rsidP="00652F81">
            <w:pPr>
              <w:jc w:val="right"/>
              <w:cnfStyle w:val="000000000000"/>
              <w:rPr>
                <w:rFonts w:ascii="Tahoma" w:hAnsi="Tahoma" w:cs="Tahoma"/>
              </w:rPr>
            </w:pPr>
          </w:p>
        </w:tc>
        <w:tc>
          <w:tcPr>
            <w:tcW w:w="775" w:type="dxa"/>
            <w:tcBorders>
              <w:top w:val="single" w:sz="6" w:space="0" w:color="000000"/>
              <w:left w:val="nil"/>
              <w:bottom w:val="single" w:sz="6" w:space="0" w:color="000000"/>
              <w:right w:val="nil"/>
            </w:tcBorders>
            <w:vAlign w:val="bottom"/>
          </w:tcPr>
          <w:p w:rsidR="00652F81" w:rsidRPr="00611C5D" w:rsidRDefault="00652F81" w:rsidP="00652F81">
            <w:pPr>
              <w:jc w:val="right"/>
              <w:cnfStyle w:val="000000000000"/>
              <w:rPr>
                <w:rFonts w:ascii="Tahoma" w:hAnsi="Tahoma" w:cs="Tahoma"/>
              </w:rPr>
            </w:pPr>
          </w:p>
        </w:tc>
        <w:tc>
          <w:tcPr>
            <w:tcW w:w="775" w:type="dxa"/>
            <w:tcBorders>
              <w:top w:val="single" w:sz="6" w:space="0" w:color="000000"/>
              <w:left w:val="nil"/>
              <w:bottom w:val="single" w:sz="6" w:space="0" w:color="000000"/>
              <w:right w:val="nil"/>
            </w:tcBorders>
            <w:vAlign w:val="bottom"/>
          </w:tcPr>
          <w:p w:rsidR="00652F81" w:rsidRPr="00611C5D" w:rsidRDefault="00652F81" w:rsidP="00652F81">
            <w:pPr>
              <w:jc w:val="right"/>
              <w:cnfStyle w:val="000000000000"/>
              <w:rPr>
                <w:rFonts w:ascii="Tahoma" w:hAnsi="Tahoma" w:cs="Tahoma"/>
              </w:rPr>
            </w:pPr>
          </w:p>
        </w:tc>
        <w:tc>
          <w:tcPr>
            <w:tcW w:w="775" w:type="dxa"/>
            <w:tcBorders>
              <w:top w:val="single" w:sz="6" w:space="0" w:color="000000"/>
              <w:left w:val="nil"/>
              <w:bottom w:val="single" w:sz="6" w:space="0" w:color="000000"/>
              <w:right w:val="nil"/>
            </w:tcBorders>
            <w:vAlign w:val="bottom"/>
          </w:tcPr>
          <w:p w:rsidR="00652F81" w:rsidRPr="00611C5D" w:rsidRDefault="00652F81" w:rsidP="00652F81">
            <w:pPr>
              <w:jc w:val="right"/>
              <w:cnfStyle w:val="000000000000"/>
              <w:rPr>
                <w:rFonts w:ascii="Tahoma" w:hAnsi="Tahoma" w:cs="Tahoma"/>
              </w:rPr>
            </w:pPr>
          </w:p>
        </w:tc>
        <w:tc>
          <w:tcPr>
            <w:tcW w:w="775" w:type="dxa"/>
            <w:tcBorders>
              <w:top w:val="single" w:sz="6" w:space="0" w:color="000000"/>
              <w:left w:val="nil"/>
              <w:bottom w:val="single" w:sz="6" w:space="0" w:color="000000"/>
              <w:right w:val="nil"/>
            </w:tcBorders>
            <w:vAlign w:val="bottom"/>
          </w:tcPr>
          <w:p w:rsidR="00652F81" w:rsidRPr="00611C5D" w:rsidRDefault="00652F81" w:rsidP="00652F81">
            <w:pPr>
              <w:jc w:val="right"/>
              <w:cnfStyle w:val="000000000000"/>
              <w:rPr>
                <w:rFonts w:ascii="Tahoma" w:hAnsi="Tahoma" w:cs="Tahoma"/>
              </w:rPr>
            </w:pPr>
          </w:p>
        </w:tc>
        <w:tc>
          <w:tcPr>
            <w:tcW w:w="775" w:type="dxa"/>
            <w:tcBorders>
              <w:top w:val="single" w:sz="6" w:space="0" w:color="000000"/>
              <w:left w:val="nil"/>
              <w:bottom w:val="single" w:sz="6" w:space="0" w:color="000000"/>
              <w:right w:val="nil"/>
            </w:tcBorders>
            <w:vAlign w:val="bottom"/>
          </w:tcPr>
          <w:p w:rsidR="00652F81" w:rsidRPr="00611C5D" w:rsidRDefault="00652F81" w:rsidP="00652F81">
            <w:pPr>
              <w:jc w:val="right"/>
              <w:cnfStyle w:val="000000000000"/>
              <w:rPr>
                <w:rFonts w:ascii="Tahoma" w:hAnsi="Tahoma" w:cs="Tahoma"/>
              </w:rPr>
            </w:pPr>
          </w:p>
        </w:tc>
        <w:tc>
          <w:tcPr>
            <w:tcW w:w="775" w:type="dxa"/>
            <w:tcBorders>
              <w:top w:val="single" w:sz="6" w:space="0" w:color="000000"/>
              <w:left w:val="nil"/>
              <w:bottom w:val="single" w:sz="6" w:space="0" w:color="000000"/>
              <w:right w:val="nil"/>
            </w:tcBorders>
          </w:tcPr>
          <w:p w:rsidR="00652F81" w:rsidRPr="00611C5D" w:rsidRDefault="00652F81" w:rsidP="00652F81">
            <w:pPr>
              <w:jc w:val="right"/>
              <w:cnfStyle w:val="000000000000"/>
              <w:rPr>
                <w:rFonts w:ascii="Tahoma" w:hAnsi="Tahoma" w:cs="Tahoma"/>
              </w:rPr>
            </w:pPr>
          </w:p>
        </w:tc>
      </w:tr>
      <w:tr w:rsidR="00652F81" w:rsidTr="00652F81">
        <w:trPr>
          <w:jc w:val="center"/>
        </w:trPr>
        <w:tc>
          <w:tcPr>
            <w:cnfStyle w:val="001000000000"/>
            <w:tcW w:w="1084" w:type="dxa"/>
            <w:tcBorders>
              <w:top w:val="single" w:sz="6" w:space="0" w:color="000000"/>
              <w:bottom w:val="dotted" w:sz="4" w:space="0" w:color="auto"/>
              <w:right w:val="nil"/>
            </w:tcBorders>
          </w:tcPr>
          <w:p w:rsidR="00652F81" w:rsidRPr="00611C5D" w:rsidRDefault="00652F81" w:rsidP="00652F81">
            <w:pPr>
              <w:rPr>
                <w:rFonts w:ascii="Tahoma" w:hAnsi="Tahoma" w:cs="Tahoma"/>
                <w:b/>
                <w:bCs/>
              </w:rPr>
            </w:pPr>
            <w:r w:rsidRPr="00611C5D">
              <w:rPr>
                <w:rFonts w:ascii="Tahoma" w:hAnsi="Tahoma" w:cs="Tahoma"/>
                <w:b/>
                <w:bCs/>
              </w:rPr>
              <w:t>EU27</w:t>
            </w:r>
          </w:p>
        </w:tc>
        <w:tc>
          <w:tcPr>
            <w:tcW w:w="774" w:type="dxa"/>
            <w:tcBorders>
              <w:top w:val="single" w:sz="6" w:space="0" w:color="000000"/>
              <w:left w:val="nil"/>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9,7</w:t>
            </w:r>
          </w:p>
        </w:tc>
        <w:tc>
          <w:tcPr>
            <w:tcW w:w="774" w:type="dxa"/>
            <w:tcBorders>
              <w:top w:val="single" w:sz="6" w:space="0" w:color="000000"/>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9,8</w:t>
            </w:r>
          </w:p>
        </w:tc>
        <w:tc>
          <w:tcPr>
            <w:tcW w:w="775" w:type="dxa"/>
            <w:tcBorders>
              <w:top w:val="single" w:sz="6" w:space="0" w:color="000000"/>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9,6</w:t>
            </w:r>
          </w:p>
        </w:tc>
        <w:tc>
          <w:tcPr>
            <w:tcW w:w="775" w:type="dxa"/>
            <w:tcBorders>
              <w:top w:val="single" w:sz="6" w:space="0" w:color="000000"/>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8,9</w:t>
            </w:r>
          </w:p>
        </w:tc>
        <w:tc>
          <w:tcPr>
            <w:tcW w:w="775" w:type="dxa"/>
            <w:tcBorders>
              <w:top w:val="single" w:sz="6" w:space="0" w:color="000000"/>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7,8</w:t>
            </w:r>
          </w:p>
        </w:tc>
        <w:tc>
          <w:tcPr>
            <w:tcW w:w="775" w:type="dxa"/>
            <w:tcBorders>
              <w:top w:val="single" w:sz="6" w:space="0" w:color="000000"/>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7,5</w:t>
            </w:r>
          </w:p>
        </w:tc>
        <w:tc>
          <w:tcPr>
            <w:tcW w:w="775" w:type="dxa"/>
            <w:tcBorders>
              <w:top w:val="single" w:sz="6" w:space="0" w:color="000000"/>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8,8</w:t>
            </w:r>
          </w:p>
        </w:tc>
        <w:tc>
          <w:tcPr>
            <w:tcW w:w="775" w:type="dxa"/>
            <w:tcBorders>
              <w:top w:val="single" w:sz="6" w:space="0" w:color="000000"/>
              <w:bottom w:val="dotted" w:sz="4" w:space="0" w:color="auto"/>
              <w:right w:val="nil"/>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9,5</w:t>
            </w:r>
          </w:p>
        </w:tc>
        <w:tc>
          <w:tcPr>
            <w:tcW w:w="775" w:type="dxa"/>
            <w:tcBorders>
              <w:top w:val="single" w:sz="6" w:space="0" w:color="000000"/>
              <w:left w:val="nil"/>
              <w:bottom w:val="dotted" w:sz="4" w:space="0" w:color="auto"/>
              <w:right w:val="nil"/>
            </w:tcBorders>
            <w:vAlign w:val="bottom"/>
          </w:tcPr>
          <w:p w:rsidR="00652F81" w:rsidRPr="00EF220F" w:rsidRDefault="00652F81" w:rsidP="00652F81">
            <w:pPr>
              <w:jc w:val="right"/>
              <w:cnfStyle w:val="000000000000"/>
              <w:rPr>
                <w:rFonts w:ascii="Tahoma" w:hAnsi="Tahoma" w:cs="Tahoma"/>
              </w:rPr>
            </w:pPr>
            <w:r>
              <w:rPr>
                <w:rFonts w:ascii="Tahoma" w:hAnsi="Tahoma" w:cs="Tahoma"/>
              </w:rPr>
              <w:t>9,8</w:t>
            </w:r>
          </w:p>
        </w:tc>
      </w:tr>
      <w:tr w:rsidR="00652F81" w:rsidTr="00652F81">
        <w:trPr>
          <w:jc w:val="center"/>
        </w:trPr>
        <w:tc>
          <w:tcPr>
            <w:cnfStyle w:val="001000000000"/>
            <w:tcW w:w="1084" w:type="dxa"/>
            <w:tcBorders>
              <w:top w:val="dotted" w:sz="4" w:space="0" w:color="auto"/>
              <w:bottom w:val="dotted" w:sz="4" w:space="0" w:color="auto"/>
              <w:right w:val="nil"/>
            </w:tcBorders>
          </w:tcPr>
          <w:p w:rsidR="00652F81" w:rsidRPr="00611C5D" w:rsidRDefault="00652F81" w:rsidP="00652F81">
            <w:pPr>
              <w:rPr>
                <w:rFonts w:ascii="Tahoma" w:hAnsi="Tahoma" w:cs="Tahoma"/>
                <w:b/>
                <w:bCs/>
              </w:rPr>
            </w:pPr>
            <w:r w:rsidRPr="00611C5D">
              <w:rPr>
                <w:rFonts w:ascii="Tahoma" w:hAnsi="Tahoma" w:cs="Tahoma"/>
                <w:b/>
                <w:bCs/>
              </w:rPr>
              <w:t>EU25</w:t>
            </w:r>
          </w:p>
        </w:tc>
        <w:tc>
          <w:tcPr>
            <w:tcW w:w="774" w:type="dxa"/>
            <w:tcBorders>
              <w:top w:val="dotted" w:sz="4" w:space="0" w:color="auto"/>
              <w:left w:val="nil"/>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9,8</w:t>
            </w:r>
          </w:p>
        </w:tc>
        <w:tc>
          <w:tcPr>
            <w:tcW w:w="774"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9,9</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9,8</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9,0</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8,0</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7,6</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9,0</w:t>
            </w:r>
          </w:p>
        </w:tc>
        <w:tc>
          <w:tcPr>
            <w:tcW w:w="775" w:type="dxa"/>
            <w:tcBorders>
              <w:top w:val="dotted" w:sz="4" w:space="0" w:color="auto"/>
              <w:bottom w:val="dotted" w:sz="4" w:space="0" w:color="auto"/>
              <w:right w:val="nil"/>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9,6</w:t>
            </w:r>
          </w:p>
        </w:tc>
        <w:tc>
          <w:tcPr>
            <w:tcW w:w="775" w:type="dxa"/>
            <w:tcBorders>
              <w:top w:val="dotted" w:sz="4" w:space="0" w:color="auto"/>
              <w:left w:val="nil"/>
              <w:bottom w:val="dotted" w:sz="4" w:space="0" w:color="auto"/>
              <w:right w:val="nil"/>
            </w:tcBorders>
            <w:vAlign w:val="bottom"/>
          </w:tcPr>
          <w:p w:rsidR="00652F81" w:rsidRPr="00EF220F" w:rsidRDefault="00652F81" w:rsidP="00652F81">
            <w:pPr>
              <w:jc w:val="right"/>
              <w:cnfStyle w:val="000000000000"/>
              <w:rPr>
                <w:rFonts w:ascii="Tahoma" w:hAnsi="Tahoma" w:cs="Tahoma"/>
              </w:rPr>
            </w:pPr>
            <w:r>
              <w:rPr>
                <w:rFonts w:ascii="Tahoma" w:hAnsi="Tahoma" w:cs="Tahoma"/>
              </w:rPr>
              <w:t>9,8</w:t>
            </w:r>
          </w:p>
        </w:tc>
      </w:tr>
      <w:tr w:rsidR="00652F81" w:rsidTr="00652F81">
        <w:trPr>
          <w:jc w:val="center"/>
        </w:trPr>
        <w:tc>
          <w:tcPr>
            <w:cnfStyle w:val="001000000000"/>
            <w:tcW w:w="1084" w:type="dxa"/>
            <w:tcBorders>
              <w:top w:val="dotted" w:sz="4" w:space="0" w:color="auto"/>
              <w:bottom w:val="dotted" w:sz="4" w:space="0" w:color="auto"/>
              <w:right w:val="nil"/>
            </w:tcBorders>
          </w:tcPr>
          <w:p w:rsidR="00652F81" w:rsidRPr="00611C5D" w:rsidRDefault="00652F81" w:rsidP="00652F81">
            <w:pPr>
              <w:rPr>
                <w:rFonts w:ascii="Tahoma" w:hAnsi="Tahoma" w:cs="Tahoma"/>
                <w:b/>
                <w:bCs/>
              </w:rPr>
            </w:pPr>
            <w:r w:rsidRPr="00611C5D">
              <w:rPr>
                <w:rFonts w:ascii="Tahoma" w:hAnsi="Tahoma" w:cs="Tahoma"/>
                <w:b/>
                <w:bCs/>
              </w:rPr>
              <w:t>EU15</w:t>
            </w:r>
          </w:p>
        </w:tc>
        <w:tc>
          <w:tcPr>
            <w:tcW w:w="774" w:type="dxa"/>
            <w:tcBorders>
              <w:top w:val="dotted" w:sz="4" w:space="0" w:color="auto"/>
              <w:left w:val="nil"/>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8,8</w:t>
            </w:r>
          </w:p>
        </w:tc>
        <w:tc>
          <w:tcPr>
            <w:tcW w:w="774"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8,9</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8,9</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8,5</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7,8</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7,7</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9,0</w:t>
            </w:r>
          </w:p>
        </w:tc>
        <w:tc>
          <w:tcPr>
            <w:tcW w:w="775" w:type="dxa"/>
            <w:tcBorders>
              <w:top w:val="dotted" w:sz="4" w:space="0" w:color="auto"/>
              <w:bottom w:val="dotted" w:sz="4" w:space="0" w:color="auto"/>
              <w:right w:val="nil"/>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9,4</w:t>
            </w:r>
          </w:p>
        </w:tc>
        <w:tc>
          <w:tcPr>
            <w:tcW w:w="775" w:type="dxa"/>
            <w:tcBorders>
              <w:top w:val="dotted" w:sz="4" w:space="0" w:color="auto"/>
              <w:left w:val="nil"/>
              <w:bottom w:val="dotted" w:sz="4" w:space="0" w:color="auto"/>
              <w:right w:val="nil"/>
            </w:tcBorders>
            <w:vAlign w:val="bottom"/>
          </w:tcPr>
          <w:p w:rsidR="00652F81" w:rsidRPr="00EF220F" w:rsidRDefault="00652F81" w:rsidP="00652F81">
            <w:pPr>
              <w:jc w:val="right"/>
              <w:cnfStyle w:val="000000000000"/>
              <w:rPr>
                <w:rFonts w:ascii="Tahoma" w:hAnsi="Tahoma" w:cs="Tahoma"/>
              </w:rPr>
            </w:pPr>
            <w:r>
              <w:rPr>
                <w:rFonts w:ascii="Tahoma" w:hAnsi="Tahoma" w:cs="Tahoma"/>
              </w:rPr>
              <w:t>9,9</w:t>
            </w:r>
          </w:p>
        </w:tc>
      </w:tr>
      <w:tr w:rsidR="00652F81" w:rsidTr="00652F81">
        <w:trPr>
          <w:jc w:val="center"/>
        </w:trPr>
        <w:tc>
          <w:tcPr>
            <w:cnfStyle w:val="001000000000"/>
            <w:tcW w:w="1084" w:type="dxa"/>
            <w:tcBorders>
              <w:top w:val="dotted" w:sz="4" w:space="0" w:color="auto"/>
              <w:bottom w:val="dotted" w:sz="4" w:space="0" w:color="auto"/>
              <w:right w:val="nil"/>
            </w:tcBorders>
          </w:tcPr>
          <w:p w:rsidR="00652F81" w:rsidRPr="00771DC7" w:rsidRDefault="00652F81" w:rsidP="00652F81">
            <w:pPr>
              <w:rPr>
                <w:rFonts w:ascii="Tahoma" w:hAnsi="Tahoma" w:cs="Tahoma"/>
                <w:b/>
                <w:bCs/>
              </w:rPr>
            </w:pPr>
            <w:r w:rsidRPr="00611C5D">
              <w:rPr>
                <w:rFonts w:ascii="Tahoma" w:hAnsi="Tahoma" w:cs="Tahoma"/>
                <w:b/>
                <w:bCs/>
              </w:rPr>
              <w:t>EA1</w:t>
            </w:r>
            <w:r>
              <w:rPr>
                <w:rFonts w:ascii="Tahoma" w:hAnsi="Tahoma" w:cs="Tahoma"/>
                <w:b/>
                <w:bCs/>
              </w:rPr>
              <w:t>7</w:t>
            </w:r>
          </w:p>
        </w:tc>
        <w:tc>
          <w:tcPr>
            <w:tcW w:w="774" w:type="dxa"/>
            <w:tcBorders>
              <w:top w:val="dotted" w:sz="4" w:space="0" w:color="auto"/>
              <w:left w:val="nil"/>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10,0</w:t>
            </w:r>
          </w:p>
        </w:tc>
        <w:tc>
          <w:tcPr>
            <w:tcW w:w="774"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10,1</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10,1</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9,5</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8,5</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8,3</w:t>
            </w:r>
          </w:p>
        </w:tc>
        <w:tc>
          <w:tcPr>
            <w:tcW w:w="775" w:type="dxa"/>
            <w:tcBorders>
              <w:top w:val="dotted" w:sz="4" w:space="0" w:color="auto"/>
              <w:bottom w:val="dotted" w:sz="4" w:space="0" w:color="auto"/>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9,6</w:t>
            </w:r>
          </w:p>
        </w:tc>
        <w:tc>
          <w:tcPr>
            <w:tcW w:w="775" w:type="dxa"/>
            <w:tcBorders>
              <w:top w:val="dotted" w:sz="4" w:space="0" w:color="auto"/>
              <w:bottom w:val="dotted" w:sz="4" w:space="0" w:color="auto"/>
              <w:right w:val="nil"/>
            </w:tcBorders>
            <w:vAlign w:val="bottom"/>
          </w:tcPr>
          <w:p w:rsidR="00652F81" w:rsidRPr="00EF220F" w:rsidRDefault="00652F81" w:rsidP="00652F81">
            <w:pPr>
              <w:jc w:val="right"/>
              <w:cnfStyle w:val="000000000000"/>
              <w:rPr>
                <w:rFonts w:ascii="Tahoma" w:hAnsi="Tahoma" w:cs="Tahoma"/>
              </w:rPr>
            </w:pPr>
            <w:r w:rsidRPr="00EF220F">
              <w:rPr>
                <w:rFonts w:ascii="Tahoma" w:hAnsi="Tahoma" w:cs="Tahoma"/>
              </w:rPr>
              <w:t>10,1</w:t>
            </w:r>
          </w:p>
        </w:tc>
        <w:tc>
          <w:tcPr>
            <w:tcW w:w="775" w:type="dxa"/>
            <w:tcBorders>
              <w:top w:val="dotted" w:sz="4" w:space="0" w:color="auto"/>
              <w:left w:val="nil"/>
              <w:bottom w:val="dotted" w:sz="4" w:space="0" w:color="auto"/>
              <w:right w:val="nil"/>
            </w:tcBorders>
            <w:vAlign w:val="bottom"/>
          </w:tcPr>
          <w:p w:rsidR="00652F81" w:rsidRPr="00EF220F" w:rsidRDefault="00652F81" w:rsidP="00652F81">
            <w:pPr>
              <w:jc w:val="right"/>
              <w:cnfStyle w:val="000000000000"/>
              <w:rPr>
                <w:rFonts w:ascii="Tahoma" w:hAnsi="Tahoma" w:cs="Tahoma"/>
              </w:rPr>
            </w:pPr>
            <w:r>
              <w:rPr>
                <w:rFonts w:ascii="Tahoma" w:hAnsi="Tahoma" w:cs="Tahoma"/>
              </w:rPr>
              <w:t>10,5</w:t>
            </w:r>
          </w:p>
        </w:tc>
      </w:tr>
      <w:tr w:rsidR="00652F81" w:rsidTr="00652F81">
        <w:trPr>
          <w:cnfStyle w:val="010000000000"/>
          <w:jc w:val="center"/>
        </w:trPr>
        <w:tc>
          <w:tcPr>
            <w:cnfStyle w:val="001000000001"/>
            <w:tcW w:w="1084" w:type="dxa"/>
            <w:tcBorders>
              <w:top w:val="dotted" w:sz="4" w:space="0" w:color="auto"/>
              <w:bottom w:val="single" w:sz="12" w:space="0" w:color="000000"/>
              <w:right w:val="nil"/>
            </w:tcBorders>
          </w:tcPr>
          <w:p w:rsidR="00652F81" w:rsidRPr="00611C5D" w:rsidRDefault="00652F81" w:rsidP="00652F81">
            <w:pPr>
              <w:rPr>
                <w:rFonts w:ascii="Tahoma" w:hAnsi="Tahoma" w:cs="Tahoma"/>
                <w:bCs w:val="0"/>
              </w:rPr>
            </w:pPr>
            <w:r w:rsidRPr="00611C5D">
              <w:rPr>
                <w:rFonts w:ascii="Tahoma" w:hAnsi="Tahoma" w:cs="Tahoma"/>
                <w:bCs w:val="0"/>
              </w:rPr>
              <w:t>EL</w:t>
            </w:r>
          </w:p>
        </w:tc>
        <w:tc>
          <w:tcPr>
            <w:tcW w:w="774" w:type="dxa"/>
            <w:tcBorders>
              <w:top w:val="dotted" w:sz="4" w:space="0" w:color="auto"/>
              <w:left w:val="nil"/>
              <w:bottom w:val="single" w:sz="12" w:space="0" w:color="000000"/>
            </w:tcBorders>
            <w:vAlign w:val="bottom"/>
          </w:tcPr>
          <w:p w:rsidR="00652F81" w:rsidRPr="00EF220F" w:rsidRDefault="00652F81" w:rsidP="00652F81">
            <w:pPr>
              <w:jc w:val="right"/>
              <w:cnfStyle w:val="010000000000"/>
              <w:rPr>
                <w:rFonts w:ascii="Tahoma" w:hAnsi="Tahoma" w:cs="Tahoma"/>
              </w:rPr>
            </w:pPr>
            <w:r w:rsidRPr="00EF220F">
              <w:rPr>
                <w:rFonts w:ascii="Tahoma" w:hAnsi="Tahoma" w:cs="Tahoma"/>
              </w:rPr>
              <w:t>15,0</w:t>
            </w:r>
          </w:p>
        </w:tc>
        <w:tc>
          <w:tcPr>
            <w:tcW w:w="774" w:type="dxa"/>
            <w:tcBorders>
              <w:top w:val="dotted" w:sz="4" w:space="0" w:color="auto"/>
              <w:bottom w:val="single" w:sz="12" w:space="0" w:color="000000"/>
            </w:tcBorders>
            <w:vAlign w:val="bottom"/>
          </w:tcPr>
          <w:p w:rsidR="00652F81" w:rsidRPr="00EF220F" w:rsidRDefault="00652F81" w:rsidP="00652F81">
            <w:pPr>
              <w:jc w:val="right"/>
              <w:cnfStyle w:val="010000000000"/>
              <w:rPr>
                <w:rFonts w:ascii="Tahoma" w:hAnsi="Tahoma" w:cs="Tahoma"/>
              </w:rPr>
            </w:pPr>
            <w:r w:rsidRPr="00EF220F">
              <w:rPr>
                <w:rFonts w:ascii="Tahoma" w:hAnsi="Tahoma" w:cs="Tahoma"/>
              </w:rPr>
              <w:t>16,2</w:t>
            </w:r>
          </w:p>
        </w:tc>
        <w:tc>
          <w:tcPr>
            <w:tcW w:w="775" w:type="dxa"/>
            <w:tcBorders>
              <w:top w:val="dotted" w:sz="4" w:space="0" w:color="auto"/>
              <w:bottom w:val="single" w:sz="12" w:space="0" w:color="000000"/>
            </w:tcBorders>
            <w:vAlign w:val="bottom"/>
          </w:tcPr>
          <w:p w:rsidR="00652F81" w:rsidRPr="00EF220F" w:rsidRDefault="00652F81" w:rsidP="00652F81">
            <w:pPr>
              <w:jc w:val="right"/>
              <w:cnfStyle w:val="010000000000"/>
              <w:rPr>
                <w:rFonts w:ascii="Tahoma" w:hAnsi="Tahoma" w:cs="Tahoma"/>
              </w:rPr>
            </w:pPr>
            <w:r w:rsidRPr="00EF220F">
              <w:rPr>
                <w:rFonts w:ascii="Tahoma" w:hAnsi="Tahoma" w:cs="Tahoma"/>
              </w:rPr>
              <w:t>15,3</w:t>
            </w:r>
          </w:p>
        </w:tc>
        <w:tc>
          <w:tcPr>
            <w:tcW w:w="775" w:type="dxa"/>
            <w:tcBorders>
              <w:top w:val="dotted" w:sz="4" w:space="0" w:color="auto"/>
              <w:bottom w:val="single" w:sz="12" w:space="0" w:color="000000"/>
            </w:tcBorders>
            <w:vAlign w:val="bottom"/>
          </w:tcPr>
          <w:p w:rsidR="00652F81" w:rsidRPr="00EF220F" w:rsidRDefault="00652F81" w:rsidP="00652F81">
            <w:pPr>
              <w:jc w:val="right"/>
              <w:cnfStyle w:val="010000000000"/>
              <w:rPr>
                <w:rFonts w:ascii="Tahoma" w:hAnsi="Tahoma" w:cs="Tahoma"/>
              </w:rPr>
            </w:pPr>
            <w:r w:rsidRPr="00EF220F">
              <w:rPr>
                <w:rFonts w:ascii="Tahoma" w:hAnsi="Tahoma" w:cs="Tahoma"/>
              </w:rPr>
              <w:t>13,6</w:t>
            </w:r>
          </w:p>
        </w:tc>
        <w:tc>
          <w:tcPr>
            <w:tcW w:w="775" w:type="dxa"/>
            <w:tcBorders>
              <w:top w:val="dotted" w:sz="4" w:space="0" w:color="auto"/>
              <w:bottom w:val="single" w:sz="12" w:space="0" w:color="000000"/>
            </w:tcBorders>
            <w:vAlign w:val="bottom"/>
          </w:tcPr>
          <w:p w:rsidR="00652F81" w:rsidRPr="00EF220F" w:rsidRDefault="00652F81" w:rsidP="00652F81">
            <w:pPr>
              <w:jc w:val="right"/>
              <w:cnfStyle w:val="010000000000"/>
              <w:rPr>
                <w:rFonts w:ascii="Tahoma" w:hAnsi="Tahoma" w:cs="Tahoma"/>
              </w:rPr>
            </w:pPr>
            <w:r w:rsidRPr="00EF220F">
              <w:rPr>
                <w:rFonts w:ascii="Tahoma" w:hAnsi="Tahoma" w:cs="Tahoma"/>
              </w:rPr>
              <w:t>12,8</w:t>
            </w:r>
          </w:p>
        </w:tc>
        <w:tc>
          <w:tcPr>
            <w:tcW w:w="775" w:type="dxa"/>
            <w:tcBorders>
              <w:top w:val="dotted" w:sz="4" w:space="0" w:color="auto"/>
              <w:bottom w:val="single" w:sz="12" w:space="0" w:color="000000"/>
            </w:tcBorders>
            <w:vAlign w:val="bottom"/>
          </w:tcPr>
          <w:p w:rsidR="00652F81" w:rsidRPr="00EF220F" w:rsidRDefault="00652F81" w:rsidP="00652F81">
            <w:pPr>
              <w:jc w:val="right"/>
              <w:cnfStyle w:val="010000000000"/>
              <w:rPr>
                <w:rFonts w:ascii="Tahoma" w:hAnsi="Tahoma" w:cs="Tahoma"/>
              </w:rPr>
            </w:pPr>
            <w:r w:rsidRPr="00EF220F">
              <w:rPr>
                <w:rFonts w:ascii="Tahoma" w:hAnsi="Tahoma" w:cs="Tahoma"/>
              </w:rPr>
              <w:t>11,4</w:t>
            </w:r>
          </w:p>
        </w:tc>
        <w:tc>
          <w:tcPr>
            <w:tcW w:w="775" w:type="dxa"/>
            <w:tcBorders>
              <w:top w:val="dotted" w:sz="4" w:space="0" w:color="auto"/>
              <w:bottom w:val="single" w:sz="12" w:space="0" w:color="000000"/>
            </w:tcBorders>
            <w:vAlign w:val="bottom"/>
          </w:tcPr>
          <w:p w:rsidR="00652F81" w:rsidRPr="00EF220F" w:rsidRDefault="00652F81" w:rsidP="00652F81">
            <w:pPr>
              <w:jc w:val="right"/>
              <w:cnfStyle w:val="010000000000"/>
              <w:rPr>
                <w:rFonts w:ascii="Tahoma" w:hAnsi="Tahoma" w:cs="Tahoma"/>
              </w:rPr>
            </w:pPr>
            <w:r w:rsidRPr="00EF220F">
              <w:rPr>
                <w:rFonts w:ascii="Tahoma" w:hAnsi="Tahoma" w:cs="Tahoma"/>
              </w:rPr>
              <w:t>13,2</w:t>
            </w:r>
          </w:p>
        </w:tc>
        <w:tc>
          <w:tcPr>
            <w:tcW w:w="775" w:type="dxa"/>
            <w:tcBorders>
              <w:top w:val="dotted" w:sz="4" w:space="0" w:color="auto"/>
              <w:bottom w:val="single" w:sz="12" w:space="0" w:color="000000"/>
              <w:right w:val="nil"/>
            </w:tcBorders>
            <w:vAlign w:val="bottom"/>
          </w:tcPr>
          <w:p w:rsidR="00652F81" w:rsidRPr="00EF220F" w:rsidRDefault="00652F81" w:rsidP="00652F81">
            <w:pPr>
              <w:jc w:val="right"/>
              <w:cnfStyle w:val="010000000000"/>
              <w:rPr>
                <w:rFonts w:ascii="Tahoma" w:hAnsi="Tahoma" w:cs="Tahoma"/>
              </w:rPr>
            </w:pPr>
            <w:r>
              <w:rPr>
                <w:rFonts w:ascii="Tahoma" w:hAnsi="Tahoma" w:cs="Tahoma"/>
              </w:rPr>
              <w:t>16,2</w:t>
            </w:r>
          </w:p>
        </w:tc>
        <w:tc>
          <w:tcPr>
            <w:tcW w:w="775" w:type="dxa"/>
            <w:tcBorders>
              <w:top w:val="dotted" w:sz="4" w:space="0" w:color="auto"/>
              <w:left w:val="nil"/>
              <w:bottom w:val="single" w:sz="12" w:space="0" w:color="000000"/>
              <w:right w:val="nil"/>
            </w:tcBorders>
            <w:vAlign w:val="bottom"/>
          </w:tcPr>
          <w:p w:rsidR="00652F81" w:rsidRPr="00EF220F" w:rsidRDefault="00652F81" w:rsidP="00652F81">
            <w:pPr>
              <w:jc w:val="right"/>
              <w:cnfStyle w:val="010000000000"/>
              <w:rPr>
                <w:rFonts w:ascii="Tahoma" w:hAnsi="Tahoma" w:cs="Tahoma"/>
              </w:rPr>
            </w:pPr>
            <w:r>
              <w:rPr>
                <w:rFonts w:ascii="Tahoma" w:hAnsi="Tahoma" w:cs="Tahoma"/>
              </w:rPr>
              <w:t>21,4</w:t>
            </w:r>
          </w:p>
        </w:tc>
      </w:tr>
    </w:tbl>
    <w:p w:rsidR="00652F81" w:rsidRPr="008B5BF4" w:rsidRDefault="00652F81" w:rsidP="00652F81">
      <w:pPr>
        <w:pStyle w:val="1"/>
        <w:rPr>
          <w:rFonts w:ascii="Tahoma" w:hAnsi="Tahoma" w:cs="Tahoma"/>
          <w:b w:val="0"/>
          <w:sz w:val="18"/>
          <w:szCs w:val="18"/>
        </w:rPr>
      </w:pPr>
      <w:r>
        <w:rPr>
          <w:rFonts w:ascii="Tahoma" w:hAnsi="Tahoma" w:cs="Tahoma"/>
          <w:sz w:val="18"/>
          <w:szCs w:val="18"/>
        </w:rPr>
        <w:t xml:space="preserve">         </w:t>
      </w:r>
      <w:r w:rsidRPr="005D227C">
        <w:rPr>
          <w:rFonts w:ascii="Tahoma" w:hAnsi="Tahoma" w:cs="Tahoma"/>
          <w:sz w:val="18"/>
          <w:szCs w:val="18"/>
        </w:rPr>
        <w:t>Πηγή:</w:t>
      </w:r>
      <w:r w:rsidRPr="008B5BF4">
        <w:rPr>
          <w:rFonts w:ascii="Tahoma" w:hAnsi="Tahoma" w:cs="Tahoma"/>
          <w:b w:val="0"/>
          <w:sz w:val="18"/>
          <w:szCs w:val="18"/>
        </w:rPr>
        <w:t xml:space="preserve"> </w:t>
      </w:r>
      <w:r w:rsidRPr="008B5BF4">
        <w:rPr>
          <w:rFonts w:ascii="Tahoma" w:hAnsi="Tahoma" w:cs="Tahoma"/>
          <w:b w:val="0"/>
          <w:sz w:val="18"/>
          <w:szCs w:val="18"/>
          <w:lang w:val="en-US"/>
        </w:rPr>
        <w:t>Eurostat</w:t>
      </w:r>
      <w:r w:rsidRPr="008B5BF4">
        <w:rPr>
          <w:rFonts w:ascii="Tahoma" w:hAnsi="Tahoma" w:cs="Tahoma"/>
          <w:b w:val="0"/>
          <w:sz w:val="18"/>
          <w:szCs w:val="18"/>
        </w:rPr>
        <w:t xml:space="preserve"> </w:t>
      </w:r>
    </w:p>
    <w:p w:rsidR="00652F81" w:rsidRPr="005735CD" w:rsidRDefault="00652F81" w:rsidP="00652F81">
      <w:pPr>
        <w:pStyle w:val="new12"/>
        <w:rPr>
          <w:b w:val="0"/>
          <w:i/>
          <w:sz w:val="20"/>
          <w:szCs w:val="20"/>
        </w:rPr>
        <w:sectPr w:rsidR="00652F81" w:rsidRPr="005735CD" w:rsidSect="00652F81">
          <w:footerReference w:type="default" r:id="rId115"/>
          <w:pgSz w:w="11906" w:h="16838"/>
          <w:pgMar w:top="1701" w:right="1418" w:bottom="1418" w:left="1418" w:header="720" w:footer="720" w:gutter="0"/>
          <w:cols w:space="720"/>
        </w:sectPr>
      </w:pPr>
      <w:bookmarkStart w:id="535" w:name="_Toc150308645"/>
    </w:p>
    <w:p w:rsidR="00652F81" w:rsidRPr="005735CD" w:rsidRDefault="00652F81" w:rsidP="00652F81">
      <w:pPr>
        <w:pStyle w:val="new12"/>
        <w:rPr>
          <w:sz w:val="6"/>
          <w:szCs w:val="6"/>
        </w:rPr>
      </w:pPr>
    </w:p>
    <w:p w:rsidR="00652F81" w:rsidRPr="00294913" w:rsidRDefault="00652F81" w:rsidP="00652F81">
      <w:pPr>
        <w:pStyle w:val="new12"/>
      </w:pPr>
      <w:bookmarkStart w:id="536" w:name="_Toc169881563"/>
      <w:bookmarkStart w:id="537" w:name="_Toc170201919"/>
      <w:r w:rsidRPr="00294913">
        <w:t>ΙΙ-2β</w:t>
      </w:r>
      <w:r>
        <w:t>,</w:t>
      </w:r>
      <w:r w:rsidRPr="00294913">
        <w:tab/>
        <w:t xml:space="preserve">Δια </w:t>
      </w:r>
      <w:r>
        <w:t>Βίου Ε</w:t>
      </w:r>
      <w:r w:rsidRPr="00294913">
        <w:t>κπαίδευση</w:t>
      </w:r>
      <w:bookmarkEnd w:id="535"/>
      <w:bookmarkEnd w:id="536"/>
      <w:bookmarkEnd w:id="537"/>
      <w:r>
        <w:t xml:space="preserve"> </w:t>
      </w:r>
    </w:p>
    <w:p w:rsidR="00652F81" w:rsidRPr="00C27EEB" w:rsidRDefault="00652F81" w:rsidP="00652F81">
      <w:pPr>
        <w:pStyle w:val="new1210pt"/>
      </w:pPr>
      <w:bookmarkStart w:id="538" w:name="_Toc150308646"/>
      <w:bookmarkStart w:id="539" w:name="_Toc170201920"/>
      <w:r w:rsidRPr="00294913">
        <w:t>(% πληθυσμού 25-64 ετών που συμμετέχουν σε προγράμματα εκπαίδευσης ή κατάρτισης)</w:t>
      </w:r>
      <w:bookmarkEnd w:id="538"/>
      <w:bookmarkEnd w:id="539"/>
    </w:p>
    <w:p w:rsidR="00652F81" w:rsidRPr="00C27EEB" w:rsidRDefault="00652F81" w:rsidP="00652F81">
      <w:pPr>
        <w:rPr>
          <w:sz w:val="10"/>
          <w:szCs w:val="10"/>
        </w:rPr>
      </w:pPr>
    </w:p>
    <w:p w:rsidR="00652F81" w:rsidRPr="003A709D" w:rsidRDefault="00652F81" w:rsidP="00652F81">
      <w:pPr>
        <w:pStyle w:val="BodyText2"/>
        <w:spacing w:line="240" w:lineRule="auto"/>
        <w:jc w:val="both"/>
        <w:rPr>
          <w:rFonts w:ascii="Tahoma" w:hAnsi="Tahoma" w:cs="Tahoma"/>
          <w:sz w:val="20"/>
        </w:rPr>
      </w:pPr>
      <w:r w:rsidRPr="003A709D">
        <w:rPr>
          <w:rFonts w:ascii="Tahoma" w:hAnsi="Tahoma" w:cs="Tahoma"/>
          <w:sz w:val="20"/>
        </w:rPr>
        <w:t>Η αναφερόμενη περίοδος είναι οι τελευταίες τέσσερις εβδομάδες διεξαγωγής της έρευνας (εξαιρούνται η Γαλλία, η Ολλανδία και η Πορτογαλία για τις οποίες τα στοιχεία αναφέρονται σε εκπαίδευση ή μόρφωση που λαμβάνεται την στιγμή που γίνεται η έρευνα)</w:t>
      </w:r>
      <w:r w:rsidR="00141B93" w:rsidRPr="00141B93">
        <w:rPr>
          <w:rFonts w:ascii="Tahoma" w:hAnsi="Tahoma" w:cs="Tahoma"/>
          <w:sz w:val="20"/>
        </w:rPr>
        <w:t>.</w:t>
      </w:r>
      <w:r w:rsidRPr="003A709D">
        <w:rPr>
          <w:rFonts w:ascii="Tahoma" w:hAnsi="Tahoma" w:cs="Tahoma"/>
          <w:sz w:val="20"/>
        </w:rPr>
        <w:t xml:space="preserve"> Στη μόρφωση περιλαμβάνεται η βασική, ανώτερη και ανώτατη εκπαίδευση καθώς επίσης η εκπαίδευση μέσα από την εργασία, σεμινάρια, εξ’ αποστάσεως, άνευ διδασκάλου εκπαίδευση κ</w:t>
      </w:r>
      <w:r w:rsidR="00141B93" w:rsidRPr="00141B93">
        <w:rPr>
          <w:rFonts w:ascii="Tahoma" w:hAnsi="Tahoma" w:cs="Tahoma"/>
          <w:sz w:val="20"/>
        </w:rPr>
        <w:t>.</w:t>
      </w:r>
      <w:r w:rsidRPr="003A709D">
        <w:rPr>
          <w:rFonts w:ascii="Tahoma" w:hAnsi="Tahoma" w:cs="Tahoma"/>
          <w:sz w:val="20"/>
        </w:rPr>
        <w:t>τ</w:t>
      </w:r>
      <w:r w:rsidR="00141B93">
        <w:rPr>
          <w:rFonts w:ascii="Tahoma" w:hAnsi="Tahoma" w:cs="Tahoma"/>
          <w:sz w:val="20"/>
        </w:rPr>
        <w:t>.</w:t>
      </w:r>
      <w:r w:rsidRPr="003A709D">
        <w:rPr>
          <w:rFonts w:ascii="Tahoma" w:hAnsi="Tahoma" w:cs="Tahoma"/>
          <w:sz w:val="20"/>
        </w:rPr>
        <w:t>λ</w:t>
      </w:r>
      <w:r w:rsidR="00141B93" w:rsidRPr="00141B93">
        <w:rPr>
          <w:rFonts w:ascii="Tahoma" w:hAnsi="Tahoma" w:cs="Tahoma"/>
          <w:sz w:val="20"/>
        </w:rPr>
        <w:t>.</w:t>
      </w:r>
      <w:r w:rsidRPr="003A709D">
        <w:rPr>
          <w:rFonts w:ascii="Tahoma" w:hAnsi="Tahoma" w:cs="Tahoma"/>
          <w:sz w:val="20"/>
        </w:rPr>
        <w:t xml:space="preserve"> Επίσης περιλαμβάνονται ειδικά τμήματα π</w:t>
      </w:r>
      <w:r w:rsidR="00141B93" w:rsidRPr="00141B93">
        <w:rPr>
          <w:rFonts w:ascii="Tahoma" w:hAnsi="Tahoma" w:cs="Tahoma"/>
          <w:sz w:val="20"/>
        </w:rPr>
        <w:t>.</w:t>
      </w:r>
      <w:r w:rsidRPr="003A709D">
        <w:rPr>
          <w:rFonts w:ascii="Tahoma" w:hAnsi="Tahoma" w:cs="Tahoma"/>
          <w:sz w:val="20"/>
        </w:rPr>
        <w:t>χ ξένων γλωσσών, καλών τεχνών όπως επίσης και για διοίκηση επιχειρήσεων, επεξεργασία στοιχείων κ</w:t>
      </w:r>
      <w:r w:rsidR="00141B93" w:rsidRPr="00141B93">
        <w:rPr>
          <w:rFonts w:ascii="Tahoma" w:hAnsi="Tahoma" w:cs="Tahoma"/>
          <w:sz w:val="20"/>
        </w:rPr>
        <w:t>.</w:t>
      </w:r>
      <w:r w:rsidR="00141B93">
        <w:rPr>
          <w:rFonts w:ascii="Tahoma" w:hAnsi="Tahoma" w:cs="Tahoma"/>
          <w:sz w:val="20"/>
        </w:rPr>
        <w:t>ά.</w:t>
      </w:r>
      <w:r w:rsidRPr="003A709D">
        <w:rPr>
          <w:rFonts w:ascii="Tahoma" w:hAnsi="Tahoma" w:cs="Tahoma"/>
          <w:sz w:val="20"/>
        </w:rPr>
        <w:t xml:space="preserve"> Μέχρι το 1998 ως εκπαίδευση θεωρούνταν η γενική και επαγγελματική εκπαίδευση η οποία σχετίζεται με την τρέχουσα ή μελλοντική εργασία του ερωτηθέντα</w:t>
      </w:r>
      <w:r w:rsidR="00141B93">
        <w:rPr>
          <w:rFonts w:ascii="Tahoma" w:hAnsi="Tahoma" w:cs="Tahoma"/>
          <w:sz w:val="20"/>
        </w:rPr>
        <w:t>.</w:t>
      </w:r>
      <w:r w:rsidRPr="003A709D">
        <w:rPr>
          <w:rFonts w:ascii="Tahoma" w:hAnsi="Tahoma" w:cs="Tahoma"/>
          <w:sz w:val="20"/>
        </w:rPr>
        <w:t xml:space="preserve"> </w:t>
      </w:r>
    </w:p>
    <w:p w:rsidR="00652F81" w:rsidRPr="00CD3AB4" w:rsidRDefault="00652F81" w:rsidP="00652F81">
      <w:pPr>
        <w:rPr>
          <w:lang w:val="en-US"/>
        </w:rPr>
      </w:pPr>
      <w:r>
        <w:rPr>
          <w:noProof/>
          <w:lang w:val="en-US" w:eastAsia="en-US"/>
        </w:rPr>
        <w:drawing>
          <wp:inline distT="0" distB="0" distL="0" distR="0">
            <wp:extent cx="5543550" cy="3133725"/>
            <wp:effectExtent l="0" t="0" r="0" b="0"/>
            <wp:docPr id="36" name="Εικόνα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6" cstate="print"/>
                    <a:srcRect/>
                    <a:stretch>
                      <a:fillRect/>
                    </a:stretch>
                  </pic:blipFill>
                  <pic:spPr bwMode="auto">
                    <a:xfrm>
                      <a:off x="0" y="0"/>
                      <a:ext cx="5543550" cy="3133725"/>
                    </a:xfrm>
                    <a:prstGeom prst="rect">
                      <a:avLst/>
                    </a:prstGeom>
                    <a:noFill/>
                    <a:ln w="9525">
                      <a:noFill/>
                      <a:miter lim="800000"/>
                      <a:headEnd/>
                      <a:tailEnd/>
                    </a:ln>
                  </pic:spPr>
                </pic:pic>
              </a:graphicData>
            </a:graphic>
          </wp:inline>
        </w:drawing>
      </w:r>
    </w:p>
    <w:p w:rsidR="00652F81" w:rsidRPr="005D227C" w:rsidRDefault="00652F81" w:rsidP="00652F81">
      <w:pPr>
        <w:rPr>
          <w:lang w:val="en-US"/>
        </w:rPr>
      </w:pPr>
    </w:p>
    <w:tbl>
      <w:tblPr>
        <w:tblW w:w="9600" w:type="dxa"/>
        <w:tblBorders>
          <w:top w:val="single" w:sz="12" w:space="0" w:color="auto"/>
          <w:bottom w:val="single" w:sz="12" w:space="0" w:color="auto"/>
          <w:insideH w:val="dotted" w:sz="4" w:space="0" w:color="auto"/>
        </w:tblBorders>
        <w:tblLook w:val="00A0"/>
      </w:tblPr>
      <w:tblGrid>
        <w:gridCol w:w="960"/>
        <w:gridCol w:w="960"/>
        <w:gridCol w:w="960"/>
        <w:gridCol w:w="960"/>
        <w:gridCol w:w="960"/>
        <w:gridCol w:w="960"/>
        <w:gridCol w:w="960"/>
        <w:gridCol w:w="960"/>
        <w:gridCol w:w="960"/>
        <w:gridCol w:w="960"/>
      </w:tblGrid>
      <w:tr w:rsidR="00652F81" w:rsidRPr="00E676C6" w:rsidTr="00652F81">
        <w:trPr>
          <w:trHeight w:val="255"/>
        </w:trPr>
        <w:tc>
          <w:tcPr>
            <w:tcW w:w="960" w:type="dxa"/>
            <w:tcBorders>
              <w:top w:val="single" w:sz="12" w:space="0" w:color="auto"/>
              <w:bottom w:val="single" w:sz="8" w:space="0" w:color="auto"/>
            </w:tcBorders>
            <w:noWrap/>
          </w:tcPr>
          <w:p w:rsidR="00652F81" w:rsidRPr="00CA39FC" w:rsidRDefault="00652F81" w:rsidP="00652F81">
            <w:pPr>
              <w:jc w:val="center"/>
              <w:rPr>
                <w:rFonts w:ascii="Tahoma" w:hAnsi="Tahoma" w:cs="Tahoma"/>
                <w:bCs/>
              </w:rPr>
            </w:pP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2002</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2003</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2004</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2005</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2006</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lang w:val="en-US"/>
              </w:rPr>
            </w:pPr>
            <w:r w:rsidRPr="00CA39FC">
              <w:rPr>
                <w:rFonts w:ascii="Tahoma" w:hAnsi="Tahoma" w:cs="Tahoma"/>
                <w:b/>
                <w:bCs/>
              </w:rPr>
              <w:t>200</w:t>
            </w:r>
            <w:r w:rsidRPr="00CA39FC">
              <w:rPr>
                <w:rFonts w:ascii="Tahoma" w:hAnsi="Tahoma" w:cs="Tahoma"/>
                <w:b/>
                <w:bCs/>
                <w:lang w:val="en-US"/>
              </w:rPr>
              <w:t>7</w:t>
            </w:r>
          </w:p>
        </w:tc>
        <w:tc>
          <w:tcPr>
            <w:tcW w:w="960" w:type="dxa"/>
            <w:tcBorders>
              <w:top w:val="single" w:sz="12" w:space="0" w:color="auto"/>
              <w:bottom w:val="single" w:sz="8" w:space="0" w:color="auto"/>
            </w:tcBorders>
            <w:noWrap/>
            <w:vAlign w:val="bottom"/>
          </w:tcPr>
          <w:p w:rsidR="00652F81" w:rsidRPr="006A6C0E" w:rsidRDefault="00652F81" w:rsidP="00652F81">
            <w:pPr>
              <w:jc w:val="center"/>
              <w:rPr>
                <w:rFonts w:ascii="Tahoma" w:hAnsi="Tahoma" w:cs="Tahoma"/>
                <w:b/>
                <w:bCs/>
              </w:rPr>
            </w:pPr>
            <w:r w:rsidRPr="00CA39FC">
              <w:rPr>
                <w:rFonts w:ascii="Tahoma" w:hAnsi="Tahoma" w:cs="Tahoma"/>
                <w:b/>
                <w:bCs/>
              </w:rPr>
              <w:t>200</w:t>
            </w:r>
            <w:r>
              <w:rPr>
                <w:rFonts w:ascii="Tahoma" w:hAnsi="Tahoma" w:cs="Tahoma"/>
                <w:b/>
                <w:bCs/>
              </w:rPr>
              <w:t>8</w:t>
            </w:r>
          </w:p>
        </w:tc>
        <w:tc>
          <w:tcPr>
            <w:tcW w:w="960" w:type="dxa"/>
            <w:tcBorders>
              <w:top w:val="single" w:sz="12" w:space="0" w:color="auto"/>
              <w:bottom w:val="single" w:sz="8" w:space="0" w:color="auto"/>
            </w:tcBorders>
            <w:noWrap/>
            <w:vAlign w:val="bottom"/>
          </w:tcPr>
          <w:p w:rsidR="00652F81" w:rsidRPr="005D227C" w:rsidRDefault="00652F81" w:rsidP="00652F81">
            <w:pPr>
              <w:jc w:val="center"/>
              <w:rPr>
                <w:rFonts w:ascii="Tahoma" w:hAnsi="Tahoma" w:cs="Tahoma"/>
                <w:b/>
                <w:bCs/>
                <w:lang w:val="en-US"/>
              </w:rPr>
            </w:pPr>
            <w:r>
              <w:rPr>
                <w:rFonts w:ascii="Tahoma" w:hAnsi="Tahoma" w:cs="Tahoma"/>
                <w:b/>
                <w:bCs/>
                <w:lang w:val="en-US"/>
              </w:rPr>
              <w:t>2009</w:t>
            </w:r>
          </w:p>
        </w:tc>
        <w:tc>
          <w:tcPr>
            <w:tcW w:w="960" w:type="dxa"/>
            <w:tcBorders>
              <w:top w:val="single" w:sz="12" w:space="0" w:color="auto"/>
              <w:bottom w:val="single" w:sz="8" w:space="0" w:color="auto"/>
            </w:tcBorders>
            <w:noWrap/>
            <w:vAlign w:val="bottom"/>
          </w:tcPr>
          <w:p w:rsidR="00652F81" w:rsidRPr="00CD3AB4" w:rsidRDefault="00652F81" w:rsidP="00652F81">
            <w:pPr>
              <w:jc w:val="center"/>
              <w:rPr>
                <w:rFonts w:ascii="Tahoma" w:hAnsi="Tahoma" w:cs="Tahoma"/>
                <w:b/>
                <w:bCs/>
              </w:rPr>
            </w:pPr>
            <w:r>
              <w:rPr>
                <w:rFonts w:ascii="Tahoma" w:hAnsi="Tahoma" w:cs="Tahoma"/>
                <w:b/>
                <w:bCs/>
              </w:rPr>
              <w:t>2010</w:t>
            </w:r>
          </w:p>
        </w:tc>
      </w:tr>
      <w:tr w:rsidR="00652F81" w:rsidRPr="00E676C6" w:rsidTr="00652F81">
        <w:trPr>
          <w:trHeight w:val="255"/>
        </w:trPr>
        <w:tc>
          <w:tcPr>
            <w:tcW w:w="960" w:type="dxa"/>
            <w:tcBorders>
              <w:top w:val="single" w:sz="8" w:space="0" w:color="auto"/>
            </w:tcBorders>
            <w:noWrap/>
            <w:vAlign w:val="bottom"/>
          </w:tcPr>
          <w:p w:rsidR="00652F81" w:rsidRPr="00CA39FC" w:rsidRDefault="00652F81" w:rsidP="00652F81">
            <w:pPr>
              <w:rPr>
                <w:rFonts w:ascii="Tahoma" w:hAnsi="Tahoma" w:cs="Tahoma"/>
                <w:b/>
                <w:bCs/>
              </w:rPr>
            </w:pPr>
            <w:r w:rsidRPr="00CA39FC">
              <w:rPr>
                <w:rFonts w:ascii="Tahoma" w:hAnsi="Tahoma" w:cs="Tahoma"/>
                <w:b/>
                <w:bCs/>
              </w:rPr>
              <w:t>EU27</w:t>
            </w:r>
          </w:p>
        </w:tc>
        <w:tc>
          <w:tcPr>
            <w:tcW w:w="960" w:type="dxa"/>
            <w:tcBorders>
              <w:top w:val="single" w:sz="8" w:space="0" w:color="auto"/>
            </w:tcBorders>
            <w:noWrap/>
            <w:vAlign w:val="bottom"/>
          </w:tcPr>
          <w:p w:rsidR="00652F81" w:rsidRPr="00CD3AB4" w:rsidRDefault="00652F81" w:rsidP="00652F81">
            <w:pPr>
              <w:jc w:val="right"/>
              <w:rPr>
                <w:rFonts w:ascii="Tahoma" w:hAnsi="Tahoma" w:cs="Tahoma"/>
              </w:rPr>
            </w:pPr>
            <w:r w:rsidRPr="00CD3AB4">
              <w:rPr>
                <w:rFonts w:ascii="Tahoma" w:hAnsi="Tahoma" w:cs="Tahoma"/>
              </w:rPr>
              <w:t>7,2</w:t>
            </w:r>
          </w:p>
        </w:tc>
        <w:tc>
          <w:tcPr>
            <w:tcW w:w="960" w:type="dxa"/>
            <w:tcBorders>
              <w:top w:val="single" w:sz="8" w:space="0" w:color="auto"/>
            </w:tcBorders>
            <w:noWrap/>
            <w:vAlign w:val="bottom"/>
          </w:tcPr>
          <w:p w:rsidR="00652F81" w:rsidRPr="00CD3AB4" w:rsidRDefault="00652F81" w:rsidP="00652F81">
            <w:pPr>
              <w:jc w:val="right"/>
              <w:rPr>
                <w:rFonts w:ascii="Tahoma" w:hAnsi="Tahoma" w:cs="Tahoma"/>
              </w:rPr>
            </w:pPr>
            <w:r w:rsidRPr="00CD3AB4">
              <w:rPr>
                <w:rFonts w:ascii="Tahoma" w:hAnsi="Tahoma" w:cs="Tahoma"/>
              </w:rPr>
              <w:t>8,5</w:t>
            </w:r>
          </w:p>
        </w:tc>
        <w:tc>
          <w:tcPr>
            <w:tcW w:w="960" w:type="dxa"/>
            <w:tcBorders>
              <w:top w:val="single" w:sz="8" w:space="0" w:color="auto"/>
            </w:tcBorders>
            <w:noWrap/>
            <w:vAlign w:val="bottom"/>
          </w:tcPr>
          <w:p w:rsidR="00652F81" w:rsidRPr="00CD3AB4" w:rsidRDefault="00652F81" w:rsidP="00652F81">
            <w:pPr>
              <w:jc w:val="right"/>
              <w:rPr>
                <w:rFonts w:ascii="Tahoma" w:hAnsi="Tahoma" w:cs="Tahoma"/>
              </w:rPr>
            </w:pPr>
            <w:r w:rsidRPr="00CD3AB4">
              <w:rPr>
                <w:rFonts w:ascii="Tahoma" w:hAnsi="Tahoma" w:cs="Tahoma"/>
              </w:rPr>
              <w:t>9,3</w:t>
            </w:r>
          </w:p>
        </w:tc>
        <w:tc>
          <w:tcPr>
            <w:tcW w:w="960" w:type="dxa"/>
            <w:tcBorders>
              <w:top w:val="single" w:sz="8" w:space="0" w:color="auto"/>
            </w:tcBorders>
            <w:noWrap/>
            <w:vAlign w:val="bottom"/>
          </w:tcPr>
          <w:p w:rsidR="00652F81" w:rsidRPr="00CD3AB4" w:rsidRDefault="00652F81" w:rsidP="00652F81">
            <w:pPr>
              <w:jc w:val="right"/>
              <w:rPr>
                <w:rFonts w:ascii="Tahoma" w:hAnsi="Tahoma" w:cs="Tahoma"/>
              </w:rPr>
            </w:pPr>
            <w:r w:rsidRPr="00CD3AB4">
              <w:rPr>
                <w:rFonts w:ascii="Tahoma" w:hAnsi="Tahoma" w:cs="Tahoma"/>
              </w:rPr>
              <w:t>9,8</w:t>
            </w:r>
          </w:p>
        </w:tc>
        <w:tc>
          <w:tcPr>
            <w:tcW w:w="960" w:type="dxa"/>
            <w:tcBorders>
              <w:top w:val="single" w:sz="8" w:space="0" w:color="auto"/>
            </w:tcBorders>
            <w:noWrap/>
            <w:vAlign w:val="bottom"/>
          </w:tcPr>
          <w:p w:rsidR="00652F81" w:rsidRPr="00CD3AB4" w:rsidRDefault="00652F81" w:rsidP="00652F81">
            <w:pPr>
              <w:jc w:val="right"/>
              <w:rPr>
                <w:rFonts w:ascii="Tahoma" w:hAnsi="Tahoma" w:cs="Tahoma"/>
              </w:rPr>
            </w:pPr>
            <w:r w:rsidRPr="00CD3AB4">
              <w:rPr>
                <w:rFonts w:ascii="Tahoma" w:hAnsi="Tahoma" w:cs="Tahoma"/>
              </w:rPr>
              <w:t>9,6</w:t>
            </w:r>
          </w:p>
        </w:tc>
        <w:tc>
          <w:tcPr>
            <w:tcW w:w="960" w:type="dxa"/>
            <w:tcBorders>
              <w:top w:val="single" w:sz="8" w:space="0" w:color="auto"/>
            </w:tcBorders>
            <w:noWrap/>
            <w:vAlign w:val="bottom"/>
          </w:tcPr>
          <w:p w:rsidR="00652F81" w:rsidRPr="00CD3AB4" w:rsidRDefault="00652F81" w:rsidP="00652F81">
            <w:pPr>
              <w:jc w:val="right"/>
              <w:rPr>
                <w:rFonts w:ascii="Tahoma" w:hAnsi="Tahoma" w:cs="Tahoma"/>
              </w:rPr>
            </w:pPr>
            <w:r w:rsidRPr="00CD3AB4">
              <w:rPr>
                <w:rFonts w:ascii="Tahoma" w:hAnsi="Tahoma" w:cs="Tahoma"/>
              </w:rPr>
              <w:t>9,4</w:t>
            </w:r>
          </w:p>
        </w:tc>
        <w:tc>
          <w:tcPr>
            <w:tcW w:w="960" w:type="dxa"/>
            <w:tcBorders>
              <w:top w:val="single" w:sz="8" w:space="0" w:color="auto"/>
            </w:tcBorders>
            <w:noWrap/>
            <w:vAlign w:val="bottom"/>
          </w:tcPr>
          <w:p w:rsidR="00652F81" w:rsidRPr="00CD3AB4" w:rsidRDefault="00652F81" w:rsidP="00652F81">
            <w:pPr>
              <w:jc w:val="right"/>
              <w:rPr>
                <w:rFonts w:ascii="Tahoma" w:hAnsi="Tahoma" w:cs="Tahoma"/>
              </w:rPr>
            </w:pPr>
            <w:r w:rsidRPr="00CD3AB4">
              <w:rPr>
                <w:rFonts w:ascii="Tahoma" w:hAnsi="Tahoma" w:cs="Tahoma"/>
              </w:rPr>
              <w:t>9,4</w:t>
            </w:r>
          </w:p>
        </w:tc>
        <w:tc>
          <w:tcPr>
            <w:tcW w:w="960" w:type="dxa"/>
            <w:tcBorders>
              <w:top w:val="single" w:sz="8" w:space="0" w:color="auto"/>
            </w:tcBorders>
            <w:noWrap/>
            <w:vAlign w:val="bottom"/>
          </w:tcPr>
          <w:p w:rsidR="00652F81" w:rsidRPr="00CD3AB4" w:rsidRDefault="00652F81" w:rsidP="00652F81">
            <w:pPr>
              <w:jc w:val="right"/>
              <w:rPr>
                <w:rFonts w:ascii="Tahoma" w:hAnsi="Tahoma" w:cs="Tahoma"/>
              </w:rPr>
            </w:pPr>
            <w:r w:rsidRPr="00CD3AB4">
              <w:rPr>
                <w:rFonts w:ascii="Tahoma" w:hAnsi="Tahoma" w:cs="Tahoma"/>
              </w:rPr>
              <w:t>9,3</w:t>
            </w:r>
          </w:p>
        </w:tc>
        <w:tc>
          <w:tcPr>
            <w:tcW w:w="960" w:type="dxa"/>
            <w:tcBorders>
              <w:top w:val="single" w:sz="8" w:space="0" w:color="auto"/>
            </w:tcBorders>
            <w:noWrap/>
            <w:vAlign w:val="bottom"/>
          </w:tcPr>
          <w:p w:rsidR="00652F81" w:rsidRPr="00CD3AB4" w:rsidRDefault="00652F81" w:rsidP="00652F81">
            <w:pPr>
              <w:jc w:val="right"/>
              <w:rPr>
                <w:rFonts w:ascii="Tahoma" w:hAnsi="Tahoma" w:cs="Tahoma"/>
              </w:rPr>
            </w:pPr>
            <w:r w:rsidRPr="00CD3AB4">
              <w:rPr>
                <w:rFonts w:ascii="Tahoma" w:hAnsi="Tahoma" w:cs="Tahoma"/>
              </w:rPr>
              <w:t>9,1</w:t>
            </w:r>
          </w:p>
        </w:tc>
      </w:tr>
      <w:tr w:rsidR="00652F81" w:rsidRPr="00E676C6"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EU25</w:t>
            </w:r>
          </w:p>
        </w:tc>
        <w:tc>
          <w:tcPr>
            <w:tcW w:w="960" w:type="dxa"/>
            <w:noWrap/>
            <w:vAlign w:val="bottom"/>
          </w:tcPr>
          <w:p w:rsidR="00652F81" w:rsidRPr="00CD3AB4" w:rsidRDefault="00652F81" w:rsidP="00652F81">
            <w:pPr>
              <w:jc w:val="right"/>
              <w:rPr>
                <w:rFonts w:ascii="Tahoma" w:hAnsi="Tahoma" w:cs="Tahoma"/>
              </w:rPr>
            </w:pPr>
            <w:r w:rsidRPr="00CD3AB4">
              <w:rPr>
                <w:rFonts w:ascii="Tahoma" w:hAnsi="Tahoma" w:cs="Tahoma"/>
              </w:rPr>
              <w:t>7,6</w:t>
            </w:r>
          </w:p>
        </w:tc>
        <w:tc>
          <w:tcPr>
            <w:tcW w:w="960" w:type="dxa"/>
            <w:noWrap/>
            <w:vAlign w:val="bottom"/>
          </w:tcPr>
          <w:p w:rsidR="00652F81" w:rsidRPr="00CD3AB4" w:rsidRDefault="00652F81" w:rsidP="00652F81">
            <w:pPr>
              <w:jc w:val="right"/>
              <w:rPr>
                <w:rFonts w:ascii="Tahoma" w:hAnsi="Tahoma" w:cs="Tahoma"/>
              </w:rPr>
            </w:pPr>
            <w:r w:rsidRPr="00CD3AB4">
              <w:rPr>
                <w:rFonts w:ascii="Tahoma" w:hAnsi="Tahoma" w:cs="Tahoma"/>
              </w:rPr>
              <w:t>9</w:t>
            </w:r>
          </w:p>
        </w:tc>
        <w:tc>
          <w:tcPr>
            <w:tcW w:w="960" w:type="dxa"/>
            <w:noWrap/>
            <w:vAlign w:val="bottom"/>
          </w:tcPr>
          <w:p w:rsidR="00652F81" w:rsidRPr="00CD3AB4" w:rsidRDefault="00652F81" w:rsidP="00652F81">
            <w:pPr>
              <w:jc w:val="right"/>
              <w:rPr>
                <w:rFonts w:ascii="Tahoma" w:hAnsi="Tahoma" w:cs="Tahoma"/>
              </w:rPr>
            </w:pPr>
            <w:r w:rsidRPr="00CD3AB4">
              <w:rPr>
                <w:rFonts w:ascii="Tahoma" w:hAnsi="Tahoma" w:cs="Tahoma"/>
              </w:rPr>
              <w:t>9,8</w:t>
            </w:r>
          </w:p>
        </w:tc>
        <w:tc>
          <w:tcPr>
            <w:tcW w:w="960" w:type="dxa"/>
            <w:noWrap/>
            <w:vAlign w:val="bottom"/>
          </w:tcPr>
          <w:p w:rsidR="00652F81" w:rsidRPr="00CD3AB4" w:rsidRDefault="00652F81" w:rsidP="00652F81">
            <w:pPr>
              <w:jc w:val="right"/>
              <w:rPr>
                <w:rFonts w:ascii="Tahoma" w:hAnsi="Tahoma" w:cs="Tahoma"/>
              </w:rPr>
            </w:pPr>
            <w:r w:rsidRPr="00CD3AB4">
              <w:rPr>
                <w:rFonts w:ascii="Tahoma" w:hAnsi="Tahoma" w:cs="Tahoma"/>
              </w:rPr>
              <w:t>10,3</w:t>
            </w:r>
          </w:p>
        </w:tc>
        <w:tc>
          <w:tcPr>
            <w:tcW w:w="960" w:type="dxa"/>
            <w:noWrap/>
            <w:vAlign w:val="bottom"/>
          </w:tcPr>
          <w:p w:rsidR="00652F81" w:rsidRPr="00CD3AB4" w:rsidRDefault="00652F81" w:rsidP="00652F81">
            <w:pPr>
              <w:jc w:val="right"/>
              <w:rPr>
                <w:rFonts w:ascii="Tahoma" w:hAnsi="Tahoma" w:cs="Tahoma"/>
              </w:rPr>
            </w:pPr>
            <w:r w:rsidRPr="00CD3AB4">
              <w:rPr>
                <w:rFonts w:ascii="Tahoma" w:hAnsi="Tahoma" w:cs="Tahoma"/>
              </w:rPr>
              <w:t>10,1</w:t>
            </w:r>
          </w:p>
        </w:tc>
        <w:tc>
          <w:tcPr>
            <w:tcW w:w="960" w:type="dxa"/>
            <w:noWrap/>
            <w:vAlign w:val="bottom"/>
          </w:tcPr>
          <w:p w:rsidR="00652F81" w:rsidRPr="00CD3AB4" w:rsidRDefault="00652F81" w:rsidP="00652F81">
            <w:pPr>
              <w:jc w:val="right"/>
              <w:rPr>
                <w:rFonts w:ascii="Tahoma" w:hAnsi="Tahoma" w:cs="Tahoma"/>
              </w:rPr>
            </w:pPr>
            <w:r w:rsidRPr="00CD3AB4">
              <w:rPr>
                <w:rFonts w:ascii="Tahoma" w:hAnsi="Tahoma" w:cs="Tahoma"/>
              </w:rPr>
              <w:t>9,9</w:t>
            </w:r>
          </w:p>
        </w:tc>
        <w:tc>
          <w:tcPr>
            <w:tcW w:w="960" w:type="dxa"/>
            <w:noWrap/>
            <w:vAlign w:val="bottom"/>
          </w:tcPr>
          <w:p w:rsidR="00652F81" w:rsidRPr="00CD3AB4" w:rsidRDefault="00652F81" w:rsidP="00652F81">
            <w:pPr>
              <w:jc w:val="right"/>
              <w:rPr>
                <w:rFonts w:ascii="Tahoma" w:hAnsi="Tahoma" w:cs="Tahoma"/>
              </w:rPr>
            </w:pPr>
            <w:r w:rsidRPr="00CD3AB4">
              <w:rPr>
                <w:rFonts w:ascii="Tahoma" w:hAnsi="Tahoma" w:cs="Tahoma"/>
              </w:rPr>
              <w:t>9,9</w:t>
            </w:r>
          </w:p>
        </w:tc>
        <w:tc>
          <w:tcPr>
            <w:tcW w:w="960" w:type="dxa"/>
            <w:noWrap/>
            <w:vAlign w:val="bottom"/>
          </w:tcPr>
          <w:p w:rsidR="00652F81" w:rsidRPr="00CD3AB4" w:rsidRDefault="00652F81" w:rsidP="00652F81">
            <w:pPr>
              <w:jc w:val="right"/>
              <w:rPr>
                <w:rFonts w:ascii="Tahoma" w:hAnsi="Tahoma" w:cs="Tahoma"/>
              </w:rPr>
            </w:pPr>
            <w:r w:rsidRPr="00CD3AB4">
              <w:rPr>
                <w:rFonts w:ascii="Tahoma" w:hAnsi="Tahoma" w:cs="Tahoma"/>
              </w:rPr>
              <w:t>9,8</w:t>
            </w:r>
          </w:p>
        </w:tc>
        <w:tc>
          <w:tcPr>
            <w:tcW w:w="960" w:type="dxa"/>
            <w:noWrap/>
            <w:vAlign w:val="bottom"/>
          </w:tcPr>
          <w:p w:rsidR="00652F81" w:rsidRPr="00CD3AB4" w:rsidRDefault="00652F81" w:rsidP="00652F81">
            <w:pPr>
              <w:jc w:val="right"/>
              <w:rPr>
                <w:rFonts w:ascii="Tahoma" w:hAnsi="Tahoma" w:cs="Tahoma"/>
              </w:rPr>
            </w:pPr>
            <w:r w:rsidRPr="00CD3AB4">
              <w:rPr>
                <w:rFonts w:ascii="Tahoma" w:hAnsi="Tahoma" w:cs="Tahoma"/>
              </w:rPr>
              <w:t>9,6</w:t>
            </w:r>
          </w:p>
        </w:tc>
      </w:tr>
      <w:tr w:rsidR="00652F81" w:rsidRPr="002E7696" w:rsidTr="00652F81">
        <w:trPr>
          <w:trHeight w:val="255"/>
        </w:trPr>
        <w:tc>
          <w:tcPr>
            <w:tcW w:w="960" w:type="dxa"/>
            <w:noWrap/>
            <w:vAlign w:val="bottom"/>
          </w:tcPr>
          <w:p w:rsidR="00652F81" w:rsidRPr="00CA39FC" w:rsidRDefault="00652F81" w:rsidP="00652F81">
            <w:pPr>
              <w:rPr>
                <w:rFonts w:ascii="Tahoma" w:hAnsi="Tahoma" w:cs="Tahoma"/>
                <w:b/>
                <w:bCs/>
              </w:rPr>
            </w:pPr>
            <w:r>
              <w:rPr>
                <w:rFonts w:ascii="Tahoma" w:hAnsi="Tahoma" w:cs="Tahoma"/>
                <w:b/>
                <w:bCs/>
              </w:rPr>
              <w:t>Ε</w:t>
            </w:r>
            <w:r w:rsidRPr="00CA39FC">
              <w:rPr>
                <w:rFonts w:ascii="Tahoma" w:hAnsi="Tahoma" w:cs="Tahoma"/>
                <w:b/>
                <w:bCs/>
              </w:rPr>
              <w:t>U15</w:t>
            </w:r>
          </w:p>
        </w:tc>
        <w:tc>
          <w:tcPr>
            <w:tcW w:w="960" w:type="dxa"/>
            <w:noWrap/>
            <w:vAlign w:val="bottom"/>
          </w:tcPr>
          <w:p w:rsidR="00652F81" w:rsidRPr="00CD3AB4" w:rsidRDefault="00652F81" w:rsidP="00652F81">
            <w:pPr>
              <w:jc w:val="right"/>
              <w:rPr>
                <w:rFonts w:ascii="Tahoma" w:hAnsi="Tahoma" w:cs="Tahoma"/>
              </w:rPr>
            </w:pPr>
            <w:r w:rsidRPr="00CD3AB4">
              <w:rPr>
                <w:rFonts w:ascii="Tahoma" w:hAnsi="Tahoma" w:cs="Tahoma"/>
              </w:rPr>
              <w:t>8,1</w:t>
            </w:r>
          </w:p>
        </w:tc>
        <w:tc>
          <w:tcPr>
            <w:tcW w:w="960" w:type="dxa"/>
            <w:noWrap/>
            <w:vAlign w:val="bottom"/>
          </w:tcPr>
          <w:p w:rsidR="00652F81" w:rsidRPr="00CD3AB4" w:rsidRDefault="00652F81" w:rsidP="00652F81">
            <w:pPr>
              <w:jc w:val="right"/>
              <w:rPr>
                <w:rFonts w:ascii="Tahoma" w:hAnsi="Tahoma" w:cs="Tahoma"/>
              </w:rPr>
            </w:pPr>
            <w:r w:rsidRPr="00CD3AB4">
              <w:rPr>
                <w:rFonts w:ascii="Tahoma" w:hAnsi="Tahoma" w:cs="Tahoma"/>
              </w:rPr>
              <w:t>9,8</w:t>
            </w:r>
          </w:p>
        </w:tc>
        <w:tc>
          <w:tcPr>
            <w:tcW w:w="960" w:type="dxa"/>
            <w:noWrap/>
            <w:vAlign w:val="bottom"/>
          </w:tcPr>
          <w:p w:rsidR="00652F81" w:rsidRPr="00CD3AB4" w:rsidRDefault="00652F81" w:rsidP="00652F81">
            <w:pPr>
              <w:jc w:val="right"/>
              <w:rPr>
                <w:rFonts w:ascii="Tahoma" w:hAnsi="Tahoma" w:cs="Tahoma"/>
              </w:rPr>
            </w:pPr>
            <w:r w:rsidRPr="00CD3AB4">
              <w:rPr>
                <w:rFonts w:ascii="Tahoma" w:hAnsi="Tahoma" w:cs="Tahoma"/>
              </w:rPr>
              <w:t>10,7</w:t>
            </w:r>
          </w:p>
        </w:tc>
        <w:tc>
          <w:tcPr>
            <w:tcW w:w="960" w:type="dxa"/>
            <w:noWrap/>
            <w:vAlign w:val="bottom"/>
          </w:tcPr>
          <w:p w:rsidR="00652F81" w:rsidRPr="00CD3AB4" w:rsidRDefault="00652F81" w:rsidP="00652F81">
            <w:pPr>
              <w:jc w:val="right"/>
              <w:rPr>
                <w:rFonts w:ascii="Tahoma" w:hAnsi="Tahoma" w:cs="Tahoma"/>
              </w:rPr>
            </w:pPr>
            <w:r w:rsidRPr="00CD3AB4">
              <w:rPr>
                <w:rFonts w:ascii="Tahoma" w:hAnsi="Tahoma" w:cs="Tahoma"/>
              </w:rPr>
              <w:t>11,3</w:t>
            </w:r>
          </w:p>
        </w:tc>
        <w:tc>
          <w:tcPr>
            <w:tcW w:w="960" w:type="dxa"/>
            <w:noWrap/>
            <w:vAlign w:val="bottom"/>
          </w:tcPr>
          <w:p w:rsidR="00652F81" w:rsidRPr="00CD3AB4" w:rsidRDefault="00652F81" w:rsidP="00652F81">
            <w:pPr>
              <w:jc w:val="right"/>
              <w:rPr>
                <w:rFonts w:ascii="Tahoma" w:hAnsi="Tahoma" w:cs="Tahoma"/>
              </w:rPr>
            </w:pPr>
            <w:r w:rsidRPr="00CD3AB4">
              <w:rPr>
                <w:rFonts w:ascii="Tahoma" w:hAnsi="Tahoma" w:cs="Tahoma"/>
              </w:rPr>
              <w:t>11,1</w:t>
            </w:r>
          </w:p>
        </w:tc>
        <w:tc>
          <w:tcPr>
            <w:tcW w:w="960" w:type="dxa"/>
            <w:noWrap/>
            <w:vAlign w:val="bottom"/>
          </w:tcPr>
          <w:p w:rsidR="00652F81" w:rsidRPr="00CD3AB4" w:rsidRDefault="00652F81" w:rsidP="00652F81">
            <w:pPr>
              <w:jc w:val="right"/>
              <w:rPr>
                <w:rFonts w:ascii="Tahoma" w:hAnsi="Tahoma" w:cs="Tahoma"/>
              </w:rPr>
            </w:pPr>
            <w:r w:rsidRPr="00CD3AB4">
              <w:rPr>
                <w:rFonts w:ascii="Tahoma" w:hAnsi="Tahoma" w:cs="Tahoma"/>
              </w:rPr>
              <w:t>10,7</w:t>
            </w:r>
          </w:p>
        </w:tc>
        <w:tc>
          <w:tcPr>
            <w:tcW w:w="960" w:type="dxa"/>
            <w:noWrap/>
            <w:vAlign w:val="bottom"/>
          </w:tcPr>
          <w:p w:rsidR="00652F81" w:rsidRPr="00CD3AB4" w:rsidRDefault="00652F81" w:rsidP="00652F81">
            <w:pPr>
              <w:jc w:val="right"/>
              <w:rPr>
                <w:rFonts w:ascii="Tahoma" w:hAnsi="Tahoma" w:cs="Tahoma"/>
              </w:rPr>
            </w:pPr>
            <w:r w:rsidRPr="00CD3AB4">
              <w:rPr>
                <w:rFonts w:ascii="Tahoma" w:hAnsi="Tahoma" w:cs="Tahoma"/>
              </w:rPr>
              <w:t>10,8</w:t>
            </w:r>
          </w:p>
        </w:tc>
        <w:tc>
          <w:tcPr>
            <w:tcW w:w="960" w:type="dxa"/>
            <w:noWrap/>
            <w:vAlign w:val="bottom"/>
          </w:tcPr>
          <w:p w:rsidR="00652F81" w:rsidRPr="00CD3AB4" w:rsidRDefault="00652F81" w:rsidP="00652F81">
            <w:pPr>
              <w:jc w:val="right"/>
              <w:rPr>
                <w:rFonts w:ascii="Tahoma" w:hAnsi="Tahoma" w:cs="Tahoma"/>
              </w:rPr>
            </w:pPr>
            <w:r w:rsidRPr="00CD3AB4">
              <w:rPr>
                <w:rFonts w:ascii="Tahoma" w:hAnsi="Tahoma" w:cs="Tahoma"/>
              </w:rPr>
              <w:t>10,7</w:t>
            </w:r>
          </w:p>
        </w:tc>
        <w:tc>
          <w:tcPr>
            <w:tcW w:w="960" w:type="dxa"/>
            <w:noWrap/>
            <w:vAlign w:val="bottom"/>
          </w:tcPr>
          <w:p w:rsidR="00652F81" w:rsidRPr="00CD3AB4" w:rsidRDefault="00652F81" w:rsidP="00652F81">
            <w:pPr>
              <w:jc w:val="right"/>
              <w:rPr>
                <w:rFonts w:ascii="Tahoma" w:hAnsi="Tahoma" w:cs="Tahoma"/>
              </w:rPr>
            </w:pPr>
            <w:r w:rsidRPr="00CD3AB4">
              <w:rPr>
                <w:rFonts w:ascii="Tahoma" w:hAnsi="Tahoma" w:cs="Tahoma"/>
              </w:rPr>
              <w:t>10,4</w:t>
            </w:r>
          </w:p>
        </w:tc>
      </w:tr>
      <w:tr w:rsidR="00652F81" w:rsidRPr="002E7696" w:rsidTr="00652F81">
        <w:trPr>
          <w:trHeight w:val="255"/>
        </w:trPr>
        <w:tc>
          <w:tcPr>
            <w:tcW w:w="960" w:type="dxa"/>
            <w:noWrap/>
            <w:vAlign w:val="bottom"/>
          </w:tcPr>
          <w:p w:rsidR="00652F81" w:rsidRPr="00DC0AD3" w:rsidRDefault="00652F81" w:rsidP="00652F81">
            <w:pPr>
              <w:rPr>
                <w:rFonts w:ascii="Tahoma" w:hAnsi="Tahoma" w:cs="Tahoma"/>
                <w:b/>
                <w:bCs/>
              </w:rPr>
            </w:pPr>
            <w:r>
              <w:rPr>
                <w:rFonts w:ascii="Tahoma" w:hAnsi="Tahoma" w:cs="Tahoma"/>
                <w:b/>
                <w:bCs/>
                <w:lang w:val="en-US"/>
              </w:rPr>
              <w:t>EA1</w:t>
            </w:r>
            <w:r>
              <w:rPr>
                <w:rFonts w:ascii="Tahoma" w:hAnsi="Tahoma" w:cs="Tahoma"/>
                <w:b/>
                <w:bCs/>
              </w:rPr>
              <w:t>7</w:t>
            </w:r>
          </w:p>
        </w:tc>
        <w:tc>
          <w:tcPr>
            <w:tcW w:w="960" w:type="dxa"/>
            <w:noWrap/>
            <w:vAlign w:val="bottom"/>
          </w:tcPr>
          <w:p w:rsidR="00652F81" w:rsidRPr="00CD3AB4" w:rsidRDefault="00652F81" w:rsidP="00652F81">
            <w:pPr>
              <w:jc w:val="right"/>
              <w:rPr>
                <w:rFonts w:ascii="Tahoma" w:hAnsi="Tahoma" w:cs="Tahoma"/>
              </w:rPr>
            </w:pPr>
            <w:r w:rsidRPr="00CD3AB4">
              <w:rPr>
                <w:rFonts w:ascii="Tahoma" w:hAnsi="Tahoma" w:cs="Tahoma"/>
              </w:rPr>
              <w:t>:</w:t>
            </w:r>
          </w:p>
        </w:tc>
        <w:tc>
          <w:tcPr>
            <w:tcW w:w="960" w:type="dxa"/>
            <w:noWrap/>
            <w:vAlign w:val="bottom"/>
          </w:tcPr>
          <w:p w:rsidR="00652F81" w:rsidRPr="00CD3AB4" w:rsidRDefault="00652F81" w:rsidP="00652F81">
            <w:pPr>
              <w:jc w:val="right"/>
              <w:rPr>
                <w:rFonts w:ascii="Tahoma" w:hAnsi="Tahoma" w:cs="Tahoma"/>
              </w:rPr>
            </w:pPr>
            <w:r w:rsidRPr="00CD3AB4">
              <w:rPr>
                <w:rFonts w:ascii="Tahoma" w:hAnsi="Tahoma" w:cs="Tahoma"/>
              </w:rPr>
              <w:t>:</w:t>
            </w:r>
          </w:p>
        </w:tc>
        <w:tc>
          <w:tcPr>
            <w:tcW w:w="960" w:type="dxa"/>
            <w:noWrap/>
            <w:vAlign w:val="bottom"/>
          </w:tcPr>
          <w:p w:rsidR="00652F81" w:rsidRPr="00CD3AB4" w:rsidRDefault="00652F81" w:rsidP="00652F81">
            <w:pPr>
              <w:jc w:val="right"/>
              <w:rPr>
                <w:rFonts w:ascii="Tahoma" w:hAnsi="Tahoma" w:cs="Tahoma"/>
              </w:rPr>
            </w:pPr>
            <w:r w:rsidRPr="00CD3AB4">
              <w:rPr>
                <w:rFonts w:ascii="Tahoma" w:hAnsi="Tahoma" w:cs="Tahoma"/>
              </w:rPr>
              <w:t>:</w:t>
            </w:r>
          </w:p>
        </w:tc>
        <w:tc>
          <w:tcPr>
            <w:tcW w:w="960" w:type="dxa"/>
            <w:noWrap/>
            <w:vAlign w:val="bottom"/>
          </w:tcPr>
          <w:p w:rsidR="00652F81" w:rsidRPr="00CD3AB4" w:rsidRDefault="00652F81" w:rsidP="00652F81">
            <w:pPr>
              <w:jc w:val="right"/>
              <w:rPr>
                <w:rFonts w:ascii="Tahoma" w:hAnsi="Tahoma" w:cs="Tahoma"/>
              </w:rPr>
            </w:pPr>
            <w:r w:rsidRPr="00CD3AB4">
              <w:rPr>
                <w:rFonts w:ascii="Tahoma" w:hAnsi="Tahoma" w:cs="Tahoma"/>
              </w:rPr>
              <w:t>:</w:t>
            </w:r>
          </w:p>
        </w:tc>
        <w:tc>
          <w:tcPr>
            <w:tcW w:w="960" w:type="dxa"/>
            <w:noWrap/>
            <w:vAlign w:val="bottom"/>
          </w:tcPr>
          <w:p w:rsidR="00652F81" w:rsidRPr="00CD3AB4" w:rsidRDefault="00652F81" w:rsidP="00652F81">
            <w:pPr>
              <w:jc w:val="right"/>
              <w:rPr>
                <w:rFonts w:ascii="Tahoma" w:hAnsi="Tahoma" w:cs="Tahoma"/>
              </w:rPr>
            </w:pPr>
            <w:r w:rsidRPr="00CD3AB4">
              <w:rPr>
                <w:rFonts w:ascii="Tahoma" w:hAnsi="Tahoma" w:cs="Tahoma"/>
              </w:rPr>
              <w:t>:</w:t>
            </w:r>
          </w:p>
        </w:tc>
        <w:tc>
          <w:tcPr>
            <w:tcW w:w="960" w:type="dxa"/>
            <w:noWrap/>
            <w:vAlign w:val="bottom"/>
          </w:tcPr>
          <w:p w:rsidR="00652F81" w:rsidRPr="00CD3AB4" w:rsidRDefault="00652F81" w:rsidP="00652F81">
            <w:pPr>
              <w:jc w:val="right"/>
              <w:rPr>
                <w:rFonts w:ascii="Tahoma" w:hAnsi="Tahoma" w:cs="Tahoma"/>
              </w:rPr>
            </w:pPr>
            <w:r w:rsidRPr="00CD3AB4">
              <w:rPr>
                <w:rFonts w:ascii="Tahoma" w:hAnsi="Tahoma" w:cs="Tahoma"/>
              </w:rPr>
              <w:t>:</w:t>
            </w:r>
          </w:p>
        </w:tc>
        <w:tc>
          <w:tcPr>
            <w:tcW w:w="960" w:type="dxa"/>
            <w:noWrap/>
            <w:vAlign w:val="bottom"/>
          </w:tcPr>
          <w:p w:rsidR="00652F81" w:rsidRPr="00CD3AB4" w:rsidRDefault="00652F81" w:rsidP="00652F81">
            <w:pPr>
              <w:jc w:val="right"/>
              <w:rPr>
                <w:rFonts w:ascii="Tahoma" w:hAnsi="Tahoma" w:cs="Tahoma"/>
              </w:rPr>
            </w:pPr>
            <w:r w:rsidRPr="00CD3AB4">
              <w:rPr>
                <w:rFonts w:ascii="Tahoma" w:hAnsi="Tahoma" w:cs="Tahoma"/>
              </w:rPr>
              <w:t>:</w:t>
            </w:r>
          </w:p>
        </w:tc>
        <w:tc>
          <w:tcPr>
            <w:tcW w:w="960" w:type="dxa"/>
            <w:noWrap/>
            <w:vAlign w:val="bottom"/>
          </w:tcPr>
          <w:p w:rsidR="00652F81" w:rsidRPr="00CD3AB4" w:rsidRDefault="00652F81" w:rsidP="00652F81">
            <w:pPr>
              <w:jc w:val="right"/>
              <w:rPr>
                <w:rFonts w:ascii="Tahoma" w:hAnsi="Tahoma" w:cs="Tahoma"/>
              </w:rPr>
            </w:pPr>
            <w:r w:rsidRPr="00CD3AB4">
              <w:rPr>
                <w:rFonts w:ascii="Tahoma" w:hAnsi="Tahoma" w:cs="Tahoma"/>
              </w:rPr>
              <w:t>:</w:t>
            </w:r>
          </w:p>
        </w:tc>
        <w:tc>
          <w:tcPr>
            <w:tcW w:w="960" w:type="dxa"/>
            <w:noWrap/>
            <w:vAlign w:val="bottom"/>
          </w:tcPr>
          <w:p w:rsidR="00652F81" w:rsidRPr="00CD3AB4" w:rsidRDefault="00652F81" w:rsidP="00652F81">
            <w:pPr>
              <w:jc w:val="right"/>
              <w:rPr>
                <w:rFonts w:ascii="Tahoma" w:hAnsi="Tahoma" w:cs="Tahoma"/>
              </w:rPr>
            </w:pPr>
            <w:r w:rsidRPr="00CD3AB4">
              <w:rPr>
                <w:rFonts w:ascii="Tahoma" w:hAnsi="Tahoma" w:cs="Tahoma"/>
              </w:rPr>
              <w:t>:</w:t>
            </w:r>
          </w:p>
        </w:tc>
      </w:tr>
      <w:tr w:rsidR="00652F81" w:rsidRPr="002E7696" w:rsidTr="00652F81">
        <w:trPr>
          <w:trHeight w:val="255"/>
        </w:trPr>
        <w:tc>
          <w:tcPr>
            <w:tcW w:w="960" w:type="dxa"/>
            <w:tcBorders>
              <w:bottom w:val="single" w:sz="12" w:space="0" w:color="auto"/>
            </w:tcBorders>
            <w:noWrap/>
            <w:vAlign w:val="bottom"/>
          </w:tcPr>
          <w:p w:rsidR="00652F81" w:rsidRPr="00CA39FC" w:rsidRDefault="00652F81" w:rsidP="00652F81">
            <w:pPr>
              <w:rPr>
                <w:rFonts w:ascii="Tahoma" w:hAnsi="Tahoma" w:cs="Tahoma"/>
                <w:b/>
                <w:bCs/>
                <w:lang w:val="en-US"/>
              </w:rPr>
            </w:pPr>
            <w:r w:rsidRPr="00CA39FC">
              <w:rPr>
                <w:rFonts w:ascii="Tahoma" w:hAnsi="Tahoma" w:cs="Tahoma"/>
                <w:b/>
                <w:bCs/>
                <w:lang w:val="en-US"/>
              </w:rPr>
              <w:t>EL</w:t>
            </w:r>
          </w:p>
        </w:tc>
        <w:tc>
          <w:tcPr>
            <w:tcW w:w="960" w:type="dxa"/>
            <w:tcBorders>
              <w:bottom w:val="single" w:sz="12" w:space="0" w:color="auto"/>
            </w:tcBorders>
            <w:noWrap/>
            <w:vAlign w:val="bottom"/>
          </w:tcPr>
          <w:p w:rsidR="00652F81" w:rsidRPr="00CD3AB4" w:rsidRDefault="00652F81" w:rsidP="00652F81">
            <w:pPr>
              <w:jc w:val="right"/>
              <w:rPr>
                <w:rFonts w:ascii="Tahoma" w:hAnsi="Tahoma" w:cs="Tahoma"/>
              </w:rPr>
            </w:pPr>
            <w:r w:rsidRPr="00CD3AB4">
              <w:rPr>
                <w:rFonts w:ascii="Tahoma" w:hAnsi="Tahoma" w:cs="Tahoma"/>
              </w:rPr>
              <w:t>1,1</w:t>
            </w:r>
          </w:p>
        </w:tc>
        <w:tc>
          <w:tcPr>
            <w:tcW w:w="960" w:type="dxa"/>
            <w:tcBorders>
              <w:bottom w:val="single" w:sz="12" w:space="0" w:color="auto"/>
            </w:tcBorders>
            <w:noWrap/>
            <w:vAlign w:val="bottom"/>
          </w:tcPr>
          <w:p w:rsidR="00652F81" w:rsidRPr="00CD3AB4" w:rsidRDefault="00652F81" w:rsidP="00652F81">
            <w:pPr>
              <w:jc w:val="right"/>
              <w:rPr>
                <w:rFonts w:ascii="Tahoma" w:hAnsi="Tahoma" w:cs="Tahoma"/>
              </w:rPr>
            </w:pPr>
            <w:r w:rsidRPr="00CD3AB4">
              <w:rPr>
                <w:rFonts w:ascii="Tahoma" w:hAnsi="Tahoma" w:cs="Tahoma"/>
              </w:rPr>
              <w:t>2,6</w:t>
            </w:r>
          </w:p>
        </w:tc>
        <w:tc>
          <w:tcPr>
            <w:tcW w:w="960" w:type="dxa"/>
            <w:tcBorders>
              <w:bottom w:val="single" w:sz="12" w:space="0" w:color="auto"/>
            </w:tcBorders>
            <w:noWrap/>
            <w:vAlign w:val="bottom"/>
          </w:tcPr>
          <w:p w:rsidR="00652F81" w:rsidRPr="00CD3AB4" w:rsidRDefault="00652F81" w:rsidP="00652F81">
            <w:pPr>
              <w:jc w:val="right"/>
              <w:rPr>
                <w:rFonts w:ascii="Tahoma" w:hAnsi="Tahoma" w:cs="Tahoma"/>
              </w:rPr>
            </w:pPr>
            <w:r w:rsidRPr="00CD3AB4">
              <w:rPr>
                <w:rFonts w:ascii="Tahoma" w:hAnsi="Tahoma" w:cs="Tahoma"/>
              </w:rPr>
              <w:t>1,8</w:t>
            </w:r>
          </w:p>
        </w:tc>
        <w:tc>
          <w:tcPr>
            <w:tcW w:w="960" w:type="dxa"/>
            <w:tcBorders>
              <w:bottom w:val="single" w:sz="12" w:space="0" w:color="auto"/>
            </w:tcBorders>
            <w:noWrap/>
            <w:vAlign w:val="bottom"/>
          </w:tcPr>
          <w:p w:rsidR="00652F81" w:rsidRPr="00CD3AB4" w:rsidRDefault="00652F81" w:rsidP="00652F81">
            <w:pPr>
              <w:jc w:val="right"/>
              <w:rPr>
                <w:rFonts w:ascii="Tahoma" w:hAnsi="Tahoma" w:cs="Tahoma"/>
              </w:rPr>
            </w:pPr>
            <w:r w:rsidRPr="00CD3AB4">
              <w:rPr>
                <w:rFonts w:ascii="Tahoma" w:hAnsi="Tahoma" w:cs="Tahoma"/>
              </w:rPr>
              <w:t>1,9</w:t>
            </w:r>
          </w:p>
        </w:tc>
        <w:tc>
          <w:tcPr>
            <w:tcW w:w="960" w:type="dxa"/>
            <w:tcBorders>
              <w:bottom w:val="single" w:sz="12" w:space="0" w:color="auto"/>
            </w:tcBorders>
            <w:noWrap/>
            <w:vAlign w:val="bottom"/>
          </w:tcPr>
          <w:p w:rsidR="00652F81" w:rsidRPr="00CD3AB4" w:rsidRDefault="00652F81" w:rsidP="00652F81">
            <w:pPr>
              <w:jc w:val="right"/>
              <w:rPr>
                <w:rFonts w:ascii="Tahoma" w:hAnsi="Tahoma" w:cs="Tahoma"/>
              </w:rPr>
            </w:pPr>
            <w:r w:rsidRPr="00CD3AB4">
              <w:rPr>
                <w:rFonts w:ascii="Tahoma" w:hAnsi="Tahoma" w:cs="Tahoma"/>
              </w:rPr>
              <w:t>1,9</w:t>
            </w:r>
          </w:p>
        </w:tc>
        <w:tc>
          <w:tcPr>
            <w:tcW w:w="960" w:type="dxa"/>
            <w:tcBorders>
              <w:bottom w:val="single" w:sz="12" w:space="0" w:color="auto"/>
            </w:tcBorders>
            <w:noWrap/>
            <w:vAlign w:val="bottom"/>
          </w:tcPr>
          <w:p w:rsidR="00652F81" w:rsidRPr="00CD3AB4" w:rsidRDefault="00652F81" w:rsidP="00652F81">
            <w:pPr>
              <w:jc w:val="right"/>
              <w:rPr>
                <w:rFonts w:ascii="Tahoma" w:hAnsi="Tahoma" w:cs="Tahoma"/>
              </w:rPr>
            </w:pPr>
            <w:r w:rsidRPr="00CD3AB4">
              <w:rPr>
                <w:rFonts w:ascii="Tahoma" w:hAnsi="Tahoma" w:cs="Tahoma"/>
              </w:rPr>
              <w:t>2,1</w:t>
            </w:r>
          </w:p>
        </w:tc>
        <w:tc>
          <w:tcPr>
            <w:tcW w:w="960" w:type="dxa"/>
            <w:tcBorders>
              <w:bottom w:val="single" w:sz="12" w:space="0" w:color="auto"/>
            </w:tcBorders>
            <w:noWrap/>
            <w:vAlign w:val="bottom"/>
          </w:tcPr>
          <w:p w:rsidR="00652F81" w:rsidRPr="00CD3AB4" w:rsidRDefault="00652F81" w:rsidP="00652F81">
            <w:pPr>
              <w:jc w:val="right"/>
              <w:rPr>
                <w:rFonts w:ascii="Tahoma" w:hAnsi="Tahoma" w:cs="Tahoma"/>
              </w:rPr>
            </w:pPr>
            <w:r w:rsidRPr="00CD3AB4">
              <w:rPr>
                <w:rFonts w:ascii="Tahoma" w:hAnsi="Tahoma" w:cs="Tahoma"/>
              </w:rPr>
              <w:t>2,9</w:t>
            </w:r>
          </w:p>
        </w:tc>
        <w:tc>
          <w:tcPr>
            <w:tcW w:w="960" w:type="dxa"/>
            <w:tcBorders>
              <w:bottom w:val="single" w:sz="12" w:space="0" w:color="auto"/>
            </w:tcBorders>
            <w:noWrap/>
            <w:vAlign w:val="bottom"/>
          </w:tcPr>
          <w:p w:rsidR="00652F81" w:rsidRPr="00CD3AB4" w:rsidRDefault="00652F81" w:rsidP="00652F81">
            <w:pPr>
              <w:jc w:val="right"/>
              <w:rPr>
                <w:rFonts w:ascii="Tahoma" w:hAnsi="Tahoma" w:cs="Tahoma"/>
              </w:rPr>
            </w:pPr>
            <w:r w:rsidRPr="00CD3AB4">
              <w:rPr>
                <w:rFonts w:ascii="Tahoma" w:hAnsi="Tahoma" w:cs="Tahoma"/>
              </w:rPr>
              <w:t>3,3</w:t>
            </w:r>
          </w:p>
        </w:tc>
        <w:tc>
          <w:tcPr>
            <w:tcW w:w="960" w:type="dxa"/>
            <w:tcBorders>
              <w:bottom w:val="single" w:sz="12" w:space="0" w:color="auto"/>
            </w:tcBorders>
            <w:noWrap/>
            <w:vAlign w:val="bottom"/>
          </w:tcPr>
          <w:p w:rsidR="00652F81" w:rsidRPr="00CD3AB4" w:rsidRDefault="00652F81" w:rsidP="00652F81">
            <w:pPr>
              <w:jc w:val="right"/>
              <w:rPr>
                <w:rFonts w:ascii="Tahoma" w:hAnsi="Tahoma" w:cs="Tahoma"/>
              </w:rPr>
            </w:pPr>
            <w:r w:rsidRPr="00CD3AB4">
              <w:rPr>
                <w:rFonts w:ascii="Tahoma" w:hAnsi="Tahoma" w:cs="Tahoma"/>
              </w:rPr>
              <w:t>3</w:t>
            </w:r>
            <w:r>
              <w:rPr>
                <w:rFonts w:ascii="Tahoma" w:hAnsi="Tahoma" w:cs="Tahoma"/>
              </w:rPr>
              <w:t>,0</w:t>
            </w:r>
          </w:p>
        </w:tc>
      </w:tr>
      <w:tr w:rsidR="00652F81" w:rsidRPr="00E676C6" w:rsidTr="00652F81">
        <w:trPr>
          <w:trHeight w:val="255"/>
        </w:trPr>
        <w:tc>
          <w:tcPr>
            <w:tcW w:w="9600" w:type="dxa"/>
            <w:gridSpan w:val="10"/>
            <w:tcBorders>
              <w:top w:val="single" w:sz="12" w:space="0" w:color="auto"/>
              <w:bottom w:val="single" w:sz="8" w:space="0" w:color="auto"/>
            </w:tcBorders>
            <w:noWrap/>
          </w:tcPr>
          <w:p w:rsidR="00652F81" w:rsidRPr="00545F7F" w:rsidRDefault="00652F81" w:rsidP="00652F81">
            <w:pPr>
              <w:rPr>
                <w:rFonts w:ascii="Tahoma" w:hAnsi="Tahoma" w:cs="Tahoma"/>
                <w:b/>
                <w:bCs/>
                <w:sz w:val="18"/>
                <w:szCs w:val="18"/>
              </w:rPr>
            </w:pPr>
            <w:r w:rsidRPr="00545F7F">
              <w:rPr>
                <w:rFonts w:ascii="Tahoma" w:hAnsi="Tahoma" w:cs="Tahoma"/>
                <w:b/>
                <w:bCs/>
                <w:sz w:val="18"/>
                <w:szCs w:val="18"/>
              </w:rPr>
              <w:t>Άντρες</w:t>
            </w:r>
          </w:p>
        </w:tc>
      </w:tr>
      <w:tr w:rsidR="00652F81" w:rsidRPr="00E676C6" w:rsidTr="00652F81">
        <w:trPr>
          <w:trHeight w:val="255"/>
        </w:trPr>
        <w:tc>
          <w:tcPr>
            <w:tcW w:w="960" w:type="dxa"/>
            <w:tcBorders>
              <w:top w:val="single" w:sz="8" w:space="0" w:color="auto"/>
            </w:tcBorders>
            <w:noWrap/>
            <w:vAlign w:val="bottom"/>
          </w:tcPr>
          <w:p w:rsidR="00652F81" w:rsidRPr="00CA39FC" w:rsidRDefault="00652F81" w:rsidP="00652F81">
            <w:pPr>
              <w:rPr>
                <w:rFonts w:ascii="Tahoma" w:hAnsi="Tahoma" w:cs="Tahoma"/>
                <w:b/>
                <w:bCs/>
              </w:rPr>
            </w:pPr>
            <w:r w:rsidRPr="00CA39FC">
              <w:rPr>
                <w:rFonts w:ascii="Tahoma" w:hAnsi="Tahoma" w:cs="Tahoma"/>
                <w:b/>
                <w:bCs/>
              </w:rPr>
              <w:t>EU27</w:t>
            </w:r>
          </w:p>
        </w:tc>
        <w:tc>
          <w:tcPr>
            <w:tcW w:w="960" w:type="dxa"/>
            <w:tcBorders>
              <w:top w:val="single" w:sz="8" w:space="0" w:color="auto"/>
            </w:tcBorders>
            <w:noWrap/>
            <w:vAlign w:val="bottom"/>
          </w:tcPr>
          <w:p w:rsidR="00652F81" w:rsidRPr="00632B8E" w:rsidRDefault="00652F81" w:rsidP="00652F81">
            <w:pPr>
              <w:jc w:val="right"/>
              <w:rPr>
                <w:rFonts w:ascii="Tahoma" w:hAnsi="Tahoma" w:cs="Tahoma"/>
              </w:rPr>
            </w:pPr>
            <w:r>
              <w:rPr>
                <w:rFonts w:ascii="Tahoma" w:hAnsi="Tahoma" w:cs="Tahoma"/>
              </w:rPr>
              <w:t>6,6</w:t>
            </w:r>
          </w:p>
        </w:tc>
        <w:tc>
          <w:tcPr>
            <w:tcW w:w="960" w:type="dxa"/>
            <w:tcBorders>
              <w:top w:val="single" w:sz="8" w:space="0" w:color="auto"/>
            </w:tcBorders>
            <w:noWrap/>
            <w:vAlign w:val="bottom"/>
          </w:tcPr>
          <w:p w:rsidR="00652F81" w:rsidRPr="00632B8E" w:rsidRDefault="00652F81" w:rsidP="00652F81">
            <w:pPr>
              <w:jc w:val="right"/>
              <w:rPr>
                <w:rFonts w:ascii="Tahoma" w:hAnsi="Tahoma" w:cs="Tahoma"/>
              </w:rPr>
            </w:pPr>
            <w:r>
              <w:rPr>
                <w:rFonts w:ascii="Tahoma" w:hAnsi="Tahoma" w:cs="Tahoma"/>
              </w:rPr>
              <w:t>7,9</w:t>
            </w:r>
          </w:p>
        </w:tc>
        <w:tc>
          <w:tcPr>
            <w:tcW w:w="960" w:type="dxa"/>
            <w:tcBorders>
              <w:top w:val="single" w:sz="8" w:space="0" w:color="auto"/>
            </w:tcBorders>
            <w:noWrap/>
            <w:vAlign w:val="bottom"/>
          </w:tcPr>
          <w:p w:rsidR="00652F81" w:rsidRPr="00632B8E" w:rsidRDefault="00652F81" w:rsidP="00652F81">
            <w:pPr>
              <w:jc w:val="right"/>
              <w:rPr>
                <w:rFonts w:ascii="Tahoma" w:hAnsi="Tahoma" w:cs="Tahoma"/>
              </w:rPr>
            </w:pPr>
            <w:r>
              <w:rPr>
                <w:rFonts w:ascii="Tahoma" w:hAnsi="Tahoma" w:cs="Tahoma"/>
              </w:rPr>
              <w:t>8,7</w:t>
            </w:r>
          </w:p>
        </w:tc>
        <w:tc>
          <w:tcPr>
            <w:tcW w:w="960" w:type="dxa"/>
            <w:tcBorders>
              <w:top w:val="single" w:sz="8" w:space="0" w:color="auto"/>
            </w:tcBorders>
            <w:noWrap/>
            <w:vAlign w:val="bottom"/>
          </w:tcPr>
          <w:p w:rsidR="00652F81" w:rsidRPr="00632B8E" w:rsidRDefault="00652F81" w:rsidP="00652F81">
            <w:pPr>
              <w:jc w:val="right"/>
              <w:rPr>
                <w:rFonts w:ascii="Tahoma" w:hAnsi="Tahoma" w:cs="Tahoma"/>
              </w:rPr>
            </w:pPr>
            <w:r>
              <w:rPr>
                <w:rFonts w:ascii="Tahoma" w:hAnsi="Tahoma" w:cs="Tahoma"/>
              </w:rPr>
              <w:t>9,0</w:t>
            </w:r>
          </w:p>
        </w:tc>
        <w:tc>
          <w:tcPr>
            <w:tcW w:w="960" w:type="dxa"/>
            <w:tcBorders>
              <w:top w:val="single" w:sz="8" w:space="0" w:color="auto"/>
            </w:tcBorders>
            <w:noWrap/>
            <w:vAlign w:val="bottom"/>
          </w:tcPr>
          <w:p w:rsidR="00652F81" w:rsidRPr="00632B8E" w:rsidRDefault="00652F81" w:rsidP="00652F81">
            <w:pPr>
              <w:jc w:val="right"/>
              <w:rPr>
                <w:rFonts w:ascii="Tahoma" w:hAnsi="Tahoma" w:cs="Tahoma"/>
              </w:rPr>
            </w:pPr>
            <w:r>
              <w:rPr>
                <w:rFonts w:ascii="Tahoma" w:hAnsi="Tahoma" w:cs="Tahoma"/>
              </w:rPr>
              <w:t>8,7</w:t>
            </w:r>
          </w:p>
        </w:tc>
        <w:tc>
          <w:tcPr>
            <w:tcW w:w="960" w:type="dxa"/>
            <w:tcBorders>
              <w:top w:val="single" w:sz="8" w:space="0" w:color="auto"/>
            </w:tcBorders>
            <w:noWrap/>
            <w:vAlign w:val="bottom"/>
          </w:tcPr>
          <w:p w:rsidR="00652F81" w:rsidRPr="00632B8E" w:rsidRDefault="00652F81" w:rsidP="00652F81">
            <w:pPr>
              <w:jc w:val="right"/>
              <w:rPr>
                <w:rFonts w:ascii="Tahoma" w:hAnsi="Tahoma" w:cs="Tahoma"/>
              </w:rPr>
            </w:pPr>
            <w:r>
              <w:rPr>
                <w:rFonts w:ascii="Tahoma" w:hAnsi="Tahoma" w:cs="Tahoma"/>
              </w:rPr>
              <w:t>8,5</w:t>
            </w:r>
          </w:p>
        </w:tc>
        <w:tc>
          <w:tcPr>
            <w:tcW w:w="960" w:type="dxa"/>
            <w:tcBorders>
              <w:top w:val="single" w:sz="8" w:space="0" w:color="auto"/>
            </w:tcBorders>
            <w:noWrap/>
            <w:vAlign w:val="bottom"/>
          </w:tcPr>
          <w:p w:rsidR="00652F81" w:rsidRPr="00632B8E" w:rsidRDefault="00652F81" w:rsidP="00652F81">
            <w:pPr>
              <w:jc w:val="right"/>
              <w:rPr>
                <w:rFonts w:ascii="Tahoma" w:hAnsi="Tahoma" w:cs="Tahoma"/>
              </w:rPr>
            </w:pPr>
            <w:r>
              <w:rPr>
                <w:rFonts w:ascii="Tahoma" w:hAnsi="Tahoma" w:cs="Tahoma"/>
              </w:rPr>
              <w:t>8,5</w:t>
            </w:r>
          </w:p>
        </w:tc>
        <w:tc>
          <w:tcPr>
            <w:tcW w:w="960" w:type="dxa"/>
            <w:tcBorders>
              <w:top w:val="single" w:sz="8" w:space="0" w:color="auto"/>
            </w:tcBorders>
            <w:noWrap/>
            <w:vAlign w:val="bottom"/>
          </w:tcPr>
          <w:p w:rsidR="00652F81" w:rsidRPr="00632B8E" w:rsidRDefault="00652F81" w:rsidP="00652F81">
            <w:pPr>
              <w:jc w:val="right"/>
              <w:rPr>
                <w:rFonts w:ascii="Tahoma" w:hAnsi="Tahoma" w:cs="Tahoma"/>
              </w:rPr>
            </w:pPr>
            <w:r>
              <w:rPr>
                <w:rFonts w:ascii="Tahoma" w:hAnsi="Tahoma" w:cs="Tahoma"/>
              </w:rPr>
              <w:t>8,4</w:t>
            </w:r>
          </w:p>
        </w:tc>
        <w:tc>
          <w:tcPr>
            <w:tcW w:w="960" w:type="dxa"/>
            <w:tcBorders>
              <w:top w:val="single" w:sz="8" w:space="0" w:color="auto"/>
            </w:tcBorders>
            <w:noWrap/>
            <w:vAlign w:val="bottom"/>
          </w:tcPr>
          <w:p w:rsidR="00652F81" w:rsidRPr="00632B8E" w:rsidRDefault="00652F81" w:rsidP="00652F81">
            <w:pPr>
              <w:jc w:val="right"/>
              <w:rPr>
                <w:rFonts w:ascii="Tahoma" w:hAnsi="Tahoma" w:cs="Tahoma"/>
              </w:rPr>
            </w:pPr>
            <w:r>
              <w:rPr>
                <w:rFonts w:ascii="Tahoma" w:hAnsi="Tahoma" w:cs="Tahoma"/>
              </w:rPr>
              <w:t>8,3</w:t>
            </w:r>
          </w:p>
        </w:tc>
      </w:tr>
      <w:tr w:rsidR="00652F81" w:rsidRPr="00E676C6"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EU25</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7,0</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8,4</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9,1</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9,5</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9,2</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8,9</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8,9</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8,8</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8,7</w:t>
            </w:r>
          </w:p>
        </w:tc>
      </w:tr>
      <w:tr w:rsidR="00652F81" w:rsidRPr="00E676C6"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EU15</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7,5</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9,1</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10,0</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10,4</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10,1</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9,7</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9,7</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9,7</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9,4</w:t>
            </w:r>
          </w:p>
        </w:tc>
      </w:tr>
      <w:tr w:rsidR="00652F81" w:rsidRPr="00E676C6" w:rsidTr="00652F81">
        <w:trPr>
          <w:trHeight w:val="255"/>
        </w:trPr>
        <w:tc>
          <w:tcPr>
            <w:tcW w:w="960" w:type="dxa"/>
            <w:noWrap/>
            <w:vAlign w:val="bottom"/>
          </w:tcPr>
          <w:p w:rsidR="00652F81" w:rsidRPr="00DC0AD3" w:rsidRDefault="00652F81" w:rsidP="00652F81">
            <w:pPr>
              <w:rPr>
                <w:rFonts w:ascii="Tahoma" w:hAnsi="Tahoma" w:cs="Tahoma"/>
                <w:b/>
                <w:bCs/>
              </w:rPr>
            </w:pPr>
            <w:r>
              <w:rPr>
                <w:rFonts w:ascii="Tahoma" w:hAnsi="Tahoma" w:cs="Tahoma"/>
                <w:b/>
                <w:bCs/>
              </w:rPr>
              <w:t>EA17</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w:t>
            </w:r>
          </w:p>
        </w:tc>
      </w:tr>
      <w:tr w:rsidR="00652F81" w:rsidRPr="00E676C6" w:rsidTr="00652F81">
        <w:trPr>
          <w:trHeight w:val="255"/>
        </w:trPr>
        <w:tc>
          <w:tcPr>
            <w:tcW w:w="960" w:type="dxa"/>
            <w:tcBorders>
              <w:bottom w:val="single" w:sz="12" w:space="0" w:color="auto"/>
            </w:tcBorders>
            <w:noWrap/>
            <w:vAlign w:val="bottom"/>
          </w:tcPr>
          <w:p w:rsidR="00652F81" w:rsidRPr="00CA39FC" w:rsidRDefault="00652F81" w:rsidP="00652F81">
            <w:pPr>
              <w:rPr>
                <w:rFonts w:ascii="Tahoma" w:hAnsi="Tahoma" w:cs="Tahoma"/>
                <w:b/>
                <w:bCs/>
              </w:rPr>
            </w:pPr>
            <w:r w:rsidRPr="00CA39FC">
              <w:rPr>
                <w:rFonts w:ascii="Tahoma" w:hAnsi="Tahoma" w:cs="Tahoma"/>
                <w:b/>
                <w:bCs/>
              </w:rPr>
              <w:t>EL</w:t>
            </w:r>
          </w:p>
        </w:tc>
        <w:tc>
          <w:tcPr>
            <w:tcW w:w="960" w:type="dxa"/>
            <w:tcBorders>
              <w:bottom w:val="single" w:sz="12" w:space="0" w:color="auto"/>
            </w:tcBorders>
            <w:noWrap/>
            <w:vAlign w:val="bottom"/>
          </w:tcPr>
          <w:p w:rsidR="00652F81" w:rsidRPr="00632B8E" w:rsidRDefault="00652F81" w:rsidP="00652F81">
            <w:pPr>
              <w:jc w:val="right"/>
              <w:rPr>
                <w:rFonts w:ascii="Tahoma" w:hAnsi="Tahoma" w:cs="Tahoma"/>
              </w:rPr>
            </w:pPr>
            <w:r>
              <w:rPr>
                <w:rFonts w:ascii="Tahoma" w:hAnsi="Tahoma" w:cs="Tahoma"/>
              </w:rPr>
              <w:t>1,1</w:t>
            </w:r>
          </w:p>
        </w:tc>
        <w:tc>
          <w:tcPr>
            <w:tcW w:w="960" w:type="dxa"/>
            <w:tcBorders>
              <w:bottom w:val="single" w:sz="12" w:space="0" w:color="auto"/>
            </w:tcBorders>
            <w:noWrap/>
            <w:vAlign w:val="bottom"/>
          </w:tcPr>
          <w:p w:rsidR="00652F81" w:rsidRPr="00632B8E" w:rsidRDefault="00652F81" w:rsidP="00652F81">
            <w:pPr>
              <w:jc w:val="right"/>
              <w:rPr>
                <w:rFonts w:ascii="Tahoma" w:hAnsi="Tahoma" w:cs="Tahoma"/>
              </w:rPr>
            </w:pPr>
            <w:r>
              <w:rPr>
                <w:rFonts w:ascii="Tahoma" w:hAnsi="Tahoma" w:cs="Tahoma"/>
              </w:rPr>
              <w:t>2,6</w:t>
            </w:r>
          </w:p>
        </w:tc>
        <w:tc>
          <w:tcPr>
            <w:tcW w:w="960" w:type="dxa"/>
            <w:tcBorders>
              <w:bottom w:val="single" w:sz="12" w:space="0" w:color="auto"/>
            </w:tcBorders>
            <w:noWrap/>
            <w:vAlign w:val="bottom"/>
          </w:tcPr>
          <w:p w:rsidR="00652F81" w:rsidRPr="00632B8E" w:rsidRDefault="00652F81" w:rsidP="00652F81">
            <w:pPr>
              <w:jc w:val="right"/>
              <w:rPr>
                <w:rFonts w:ascii="Tahoma" w:hAnsi="Tahoma" w:cs="Tahoma"/>
              </w:rPr>
            </w:pPr>
            <w:r>
              <w:rPr>
                <w:rFonts w:ascii="Tahoma" w:hAnsi="Tahoma" w:cs="Tahoma"/>
              </w:rPr>
              <w:t>1,8</w:t>
            </w:r>
          </w:p>
        </w:tc>
        <w:tc>
          <w:tcPr>
            <w:tcW w:w="960" w:type="dxa"/>
            <w:tcBorders>
              <w:bottom w:val="single" w:sz="12" w:space="0" w:color="auto"/>
            </w:tcBorders>
            <w:noWrap/>
            <w:vAlign w:val="bottom"/>
          </w:tcPr>
          <w:p w:rsidR="00652F81" w:rsidRPr="00632B8E" w:rsidRDefault="00652F81" w:rsidP="00652F81">
            <w:pPr>
              <w:jc w:val="right"/>
              <w:rPr>
                <w:rFonts w:ascii="Tahoma" w:hAnsi="Tahoma" w:cs="Tahoma"/>
              </w:rPr>
            </w:pPr>
            <w:r>
              <w:rPr>
                <w:rFonts w:ascii="Tahoma" w:hAnsi="Tahoma" w:cs="Tahoma"/>
              </w:rPr>
              <w:t>1,9</w:t>
            </w:r>
          </w:p>
        </w:tc>
        <w:tc>
          <w:tcPr>
            <w:tcW w:w="960" w:type="dxa"/>
            <w:tcBorders>
              <w:bottom w:val="single" w:sz="12" w:space="0" w:color="auto"/>
            </w:tcBorders>
            <w:noWrap/>
            <w:vAlign w:val="bottom"/>
          </w:tcPr>
          <w:p w:rsidR="00652F81" w:rsidRPr="00632B8E" w:rsidRDefault="00652F81" w:rsidP="00652F81">
            <w:pPr>
              <w:jc w:val="right"/>
              <w:rPr>
                <w:rFonts w:ascii="Tahoma" w:hAnsi="Tahoma" w:cs="Tahoma"/>
              </w:rPr>
            </w:pPr>
            <w:r>
              <w:rPr>
                <w:rFonts w:ascii="Tahoma" w:hAnsi="Tahoma" w:cs="Tahoma"/>
              </w:rPr>
              <w:t>2,0</w:t>
            </w:r>
          </w:p>
        </w:tc>
        <w:tc>
          <w:tcPr>
            <w:tcW w:w="960" w:type="dxa"/>
            <w:tcBorders>
              <w:bottom w:val="single" w:sz="12" w:space="0" w:color="auto"/>
            </w:tcBorders>
            <w:noWrap/>
            <w:vAlign w:val="bottom"/>
          </w:tcPr>
          <w:p w:rsidR="00652F81" w:rsidRPr="00632B8E" w:rsidRDefault="00652F81" w:rsidP="00652F81">
            <w:pPr>
              <w:jc w:val="right"/>
              <w:rPr>
                <w:rFonts w:ascii="Tahoma" w:hAnsi="Tahoma" w:cs="Tahoma"/>
              </w:rPr>
            </w:pPr>
            <w:r>
              <w:rPr>
                <w:rFonts w:ascii="Tahoma" w:hAnsi="Tahoma" w:cs="Tahoma"/>
              </w:rPr>
              <w:t>2,2</w:t>
            </w:r>
          </w:p>
        </w:tc>
        <w:tc>
          <w:tcPr>
            <w:tcW w:w="960" w:type="dxa"/>
            <w:tcBorders>
              <w:bottom w:val="single" w:sz="12" w:space="0" w:color="auto"/>
            </w:tcBorders>
            <w:noWrap/>
            <w:vAlign w:val="bottom"/>
          </w:tcPr>
          <w:p w:rsidR="00652F81" w:rsidRPr="00632B8E" w:rsidRDefault="00652F81" w:rsidP="00652F81">
            <w:pPr>
              <w:jc w:val="right"/>
              <w:rPr>
                <w:rFonts w:ascii="Tahoma" w:hAnsi="Tahoma" w:cs="Tahoma"/>
              </w:rPr>
            </w:pPr>
            <w:r>
              <w:rPr>
                <w:rFonts w:ascii="Tahoma" w:hAnsi="Tahoma" w:cs="Tahoma"/>
              </w:rPr>
              <w:t>2,8</w:t>
            </w:r>
          </w:p>
        </w:tc>
        <w:tc>
          <w:tcPr>
            <w:tcW w:w="960" w:type="dxa"/>
            <w:tcBorders>
              <w:bottom w:val="single" w:sz="12" w:space="0" w:color="auto"/>
            </w:tcBorders>
            <w:noWrap/>
            <w:vAlign w:val="bottom"/>
          </w:tcPr>
          <w:p w:rsidR="00652F81" w:rsidRPr="00632B8E" w:rsidRDefault="00652F81" w:rsidP="00652F81">
            <w:pPr>
              <w:jc w:val="right"/>
              <w:rPr>
                <w:rFonts w:ascii="Tahoma" w:hAnsi="Tahoma" w:cs="Tahoma"/>
              </w:rPr>
            </w:pPr>
            <w:r>
              <w:rPr>
                <w:rFonts w:ascii="Tahoma" w:hAnsi="Tahoma" w:cs="Tahoma"/>
              </w:rPr>
              <w:t>3,2</w:t>
            </w:r>
          </w:p>
        </w:tc>
        <w:tc>
          <w:tcPr>
            <w:tcW w:w="960" w:type="dxa"/>
            <w:tcBorders>
              <w:bottom w:val="single" w:sz="12" w:space="0" w:color="auto"/>
            </w:tcBorders>
            <w:noWrap/>
            <w:vAlign w:val="bottom"/>
          </w:tcPr>
          <w:p w:rsidR="00652F81" w:rsidRPr="00632B8E" w:rsidRDefault="00652F81" w:rsidP="00652F81">
            <w:pPr>
              <w:jc w:val="right"/>
              <w:rPr>
                <w:rFonts w:ascii="Tahoma" w:hAnsi="Tahoma" w:cs="Tahoma"/>
              </w:rPr>
            </w:pPr>
            <w:r>
              <w:rPr>
                <w:rFonts w:ascii="Tahoma" w:hAnsi="Tahoma" w:cs="Tahoma"/>
              </w:rPr>
              <w:t>3,1</w:t>
            </w:r>
          </w:p>
        </w:tc>
      </w:tr>
      <w:tr w:rsidR="00652F81" w:rsidRPr="00E676C6" w:rsidTr="00652F81">
        <w:trPr>
          <w:trHeight w:val="255"/>
        </w:trPr>
        <w:tc>
          <w:tcPr>
            <w:tcW w:w="9600" w:type="dxa"/>
            <w:gridSpan w:val="10"/>
            <w:tcBorders>
              <w:top w:val="single" w:sz="12" w:space="0" w:color="auto"/>
              <w:bottom w:val="single" w:sz="8" w:space="0" w:color="auto"/>
            </w:tcBorders>
            <w:noWrap/>
          </w:tcPr>
          <w:p w:rsidR="00652F81" w:rsidRPr="00545F7F" w:rsidRDefault="00652F81" w:rsidP="00652F81">
            <w:pPr>
              <w:rPr>
                <w:rFonts w:ascii="Tahoma" w:hAnsi="Tahoma" w:cs="Tahoma"/>
                <w:b/>
                <w:bCs/>
                <w:sz w:val="18"/>
                <w:szCs w:val="18"/>
              </w:rPr>
            </w:pPr>
            <w:r w:rsidRPr="00545F7F">
              <w:rPr>
                <w:rFonts w:ascii="Tahoma" w:hAnsi="Tahoma" w:cs="Tahoma"/>
                <w:b/>
                <w:bCs/>
                <w:sz w:val="18"/>
                <w:szCs w:val="18"/>
              </w:rPr>
              <w:t>Γυναίκες</w:t>
            </w:r>
          </w:p>
        </w:tc>
      </w:tr>
      <w:tr w:rsidR="00652F81" w:rsidRPr="00E676C6" w:rsidTr="00652F81">
        <w:trPr>
          <w:trHeight w:val="255"/>
        </w:trPr>
        <w:tc>
          <w:tcPr>
            <w:tcW w:w="960" w:type="dxa"/>
            <w:tcBorders>
              <w:top w:val="single" w:sz="8" w:space="0" w:color="auto"/>
            </w:tcBorders>
            <w:noWrap/>
            <w:vAlign w:val="bottom"/>
          </w:tcPr>
          <w:p w:rsidR="00652F81" w:rsidRPr="00CA39FC" w:rsidRDefault="00652F81" w:rsidP="00652F81">
            <w:pPr>
              <w:rPr>
                <w:rFonts w:ascii="Tahoma" w:hAnsi="Tahoma" w:cs="Tahoma"/>
                <w:b/>
                <w:bCs/>
              </w:rPr>
            </w:pPr>
            <w:r w:rsidRPr="00CA39FC">
              <w:rPr>
                <w:rFonts w:ascii="Tahoma" w:hAnsi="Tahoma" w:cs="Tahoma"/>
                <w:b/>
                <w:bCs/>
              </w:rPr>
              <w:t>EU27</w:t>
            </w:r>
          </w:p>
        </w:tc>
        <w:tc>
          <w:tcPr>
            <w:tcW w:w="960" w:type="dxa"/>
            <w:tcBorders>
              <w:top w:val="single" w:sz="8" w:space="0" w:color="auto"/>
            </w:tcBorders>
            <w:noWrap/>
            <w:vAlign w:val="bottom"/>
          </w:tcPr>
          <w:p w:rsidR="00652F81" w:rsidRPr="00632B8E" w:rsidRDefault="00652F81" w:rsidP="00652F81">
            <w:pPr>
              <w:jc w:val="right"/>
              <w:rPr>
                <w:rFonts w:ascii="Tahoma" w:hAnsi="Tahoma" w:cs="Tahoma"/>
              </w:rPr>
            </w:pPr>
            <w:r>
              <w:rPr>
                <w:rFonts w:ascii="Tahoma" w:hAnsi="Tahoma" w:cs="Tahoma"/>
              </w:rPr>
              <w:t>7,8</w:t>
            </w:r>
          </w:p>
        </w:tc>
        <w:tc>
          <w:tcPr>
            <w:tcW w:w="960" w:type="dxa"/>
            <w:tcBorders>
              <w:top w:val="single" w:sz="8" w:space="0" w:color="auto"/>
            </w:tcBorders>
            <w:noWrap/>
            <w:vAlign w:val="bottom"/>
          </w:tcPr>
          <w:p w:rsidR="00652F81" w:rsidRPr="00632B8E" w:rsidRDefault="00652F81" w:rsidP="00652F81">
            <w:pPr>
              <w:jc w:val="right"/>
              <w:rPr>
                <w:rFonts w:ascii="Tahoma" w:hAnsi="Tahoma" w:cs="Tahoma"/>
              </w:rPr>
            </w:pPr>
            <w:r>
              <w:rPr>
                <w:rFonts w:ascii="Tahoma" w:hAnsi="Tahoma" w:cs="Tahoma"/>
              </w:rPr>
              <w:t>9,1</w:t>
            </w:r>
          </w:p>
        </w:tc>
        <w:tc>
          <w:tcPr>
            <w:tcW w:w="960" w:type="dxa"/>
            <w:tcBorders>
              <w:top w:val="single" w:sz="8" w:space="0" w:color="auto"/>
            </w:tcBorders>
            <w:noWrap/>
            <w:vAlign w:val="bottom"/>
          </w:tcPr>
          <w:p w:rsidR="00652F81" w:rsidRPr="00632B8E" w:rsidRDefault="00652F81" w:rsidP="00652F81">
            <w:pPr>
              <w:jc w:val="right"/>
              <w:rPr>
                <w:rFonts w:ascii="Tahoma" w:hAnsi="Tahoma" w:cs="Tahoma"/>
              </w:rPr>
            </w:pPr>
            <w:r>
              <w:rPr>
                <w:rFonts w:ascii="Tahoma" w:hAnsi="Tahoma" w:cs="Tahoma"/>
              </w:rPr>
              <w:t>10,0</w:t>
            </w:r>
          </w:p>
        </w:tc>
        <w:tc>
          <w:tcPr>
            <w:tcW w:w="960" w:type="dxa"/>
            <w:tcBorders>
              <w:top w:val="single" w:sz="8" w:space="0" w:color="auto"/>
            </w:tcBorders>
            <w:noWrap/>
            <w:vAlign w:val="bottom"/>
          </w:tcPr>
          <w:p w:rsidR="00652F81" w:rsidRPr="00632B8E" w:rsidRDefault="00652F81" w:rsidP="00652F81">
            <w:pPr>
              <w:jc w:val="right"/>
              <w:rPr>
                <w:rFonts w:ascii="Tahoma" w:hAnsi="Tahoma" w:cs="Tahoma"/>
              </w:rPr>
            </w:pPr>
            <w:r>
              <w:rPr>
                <w:rFonts w:ascii="Tahoma" w:hAnsi="Tahoma" w:cs="Tahoma"/>
              </w:rPr>
              <w:t>10,5</w:t>
            </w:r>
          </w:p>
        </w:tc>
        <w:tc>
          <w:tcPr>
            <w:tcW w:w="960" w:type="dxa"/>
            <w:tcBorders>
              <w:top w:val="single" w:sz="8" w:space="0" w:color="auto"/>
            </w:tcBorders>
            <w:noWrap/>
            <w:vAlign w:val="bottom"/>
          </w:tcPr>
          <w:p w:rsidR="00652F81" w:rsidRPr="00632B8E" w:rsidRDefault="00652F81" w:rsidP="00652F81">
            <w:pPr>
              <w:jc w:val="right"/>
              <w:rPr>
                <w:rFonts w:ascii="Tahoma" w:hAnsi="Tahoma" w:cs="Tahoma"/>
              </w:rPr>
            </w:pPr>
            <w:r>
              <w:rPr>
                <w:rFonts w:ascii="Tahoma" w:hAnsi="Tahoma" w:cs="Tahoma"/>
              </w:rPr>
              <w:t>10,4</w:t>
            </w:r>
          </w:p>
        </w:tc>
        <w:tc>
          <w:tcPr>
            <w:tcW w:w="960" w:type="dxa"/>
            <w:tcBorders>
              <w:top w:val="single" w:sz="8" w:space="0" w:color="auto"/>
            </w:tcBorders>
            <w:noWrap/>
            <w:vAlign w:val="bottom"/>
          </w:tcPr>
          <w:p w:rsidR="00652F81" w:rsidRPr="00632B8E" w:rsidRDefault="00652F81" w:rsidP="00652F81">
            <w:pPr>
              <w:jc w:val="right"/>
              <w:rPr>
                <w:rFonts w:ascii="Tahoma" w:hAnsi="Tahoma" w:cs="Tahoma"/>
              </w:rPr>
            </w:pPr>
            <w:r>
              <w:rPr>
                <w:rFonts w:ascii="Tahoma" w:hAnsi="Tahoma" w:cs="Tahoma"/>
              </w:rPr>
              <w:t>10,2</w:t>
            </w:r>
          </w:p>
        </w:tc>
        <w:tc>
          <w:tcPr>
            <w:tcW w:w="960" w:type="dxa"/>
            <w:tcBorders>
              <w:top w:val="single" w:sz="8" w:space="0" w:color="auto"/>
            </w:tcBorders>
            <w:noWrap/>
            <w:vAlign w:val="bottom"/>
          </w:tcPr>
          <w:p w:rsidR="00652F81" w:rsidRPr="00632B8E" w:rsidRDefault="00652F81" w:rsidP="00652F81">
            <w:pPr>
              <w:jc w:val="right"/>
              <w:rPr>
                <w:rFonts w:ascii="Tahoma" w:hAnsi="Tahoma" w:cs="Tahoma"/>
              </w:rPr>
            </w:pPr>
            <w:r>
              <w:rPr>
                <w:rFonts w:ascii="Tahoma" w:hAnsi="Tahoma" w:cs="Tahoma"/>
              </w:rPr>
              <w:t>10,2</w:t>
            </w:r>
          </w:p>
        </w:tc>
        <w:tc>
          <w:tcPr>
            <w:tcW w:w="960" w:type="dxa"/>
            <w:tcBorders>
              <w:top w:val="single" w:sz="8" w:space="0" w:color="auto"/>
            </w:tcBorders>
            <w:noWrap/>
            <w:vAlign w:val="bottom"/>
          </w:tcPr>
          <w:p w:rsidR="00652F81" w:rsidRPr="00632B8E" w:rsidRDefault="00652F81" w:rsidP="00652F81">
            <w:pPr>
              <w:jc w:val="right"/>
              <w:rPr>
                <w:rFonts w:ascii="Tahoma" w:hAnsi="Tahoma" w:cs="Tahoma"/>
              </w:rPr>
            </w:pPr>
            <w:r>
              <w:rPr>
                <w:rFonts w:ascii="Tahoma" w:hAnsi="Tahoma" w:cs="Tahoma"/>
              </w:rPr>
              <w:t>10,2</w:t>
            </w:r>
          </w:p>
        </w:tc>
        <w:tc>
          <w:tcPr>
            <w:tcW w:w="960" w:type="dxa"/>
            <w:tcBorders>
              <w:top w:val="single" w:sz="8" w:space="0" w:color="auto"/>
            </w:tcBorders>
            <w:noWrap/>
            <w:vAlign w:val="bottom"/>
          </w:tcPr>
          <w:p w:rsidR="00652F81" w:rsidRPr="00632B8E" w:rsidRDefault="00652F81" w:rsidP="00652F81">
            <w:pPr>
              <w:jc w:val="right"/>
              <w:rPr>
                <w:rFonts w:ascii="Tahoma" w:hAnsi="Tahoma" w:cs="Tahoma"/>
              </w:rPr>
            </w:pPr>
            <w:r>
              <w:rPr>
                <w:rFonts w:ascii="Tahoma" w:hAnsi="Tahoma" w:cs="Tahoma"/>
              </w:rPr>
              <w:t>10,0</w:t>
            </w:r>
          </w:p>
        </w:tc>
      </w:tr>
      <w:tr w:rsidR="00652F81" w:rsidRPr="00E676C6"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EU25</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8,2</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9,6</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10,6</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11,1</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10,8</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10,8</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10,8</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10,7</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10,5</w:t>
            </w:r>
          </w:p>
        </w:tc>
      </w:tr>
      <w:tr w:rsidR="00652F81" w:rsidRPr="00E676C6"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EU15</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8,8</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10,4</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11,4</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12,1</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12,1</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11,8</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11,7</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11,7</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11,4</w:t>
            </w:r>
          </w:p>
        </w:tc>
      </w:tr>
      <w:tr w:rsidR="00652F81" w:rsidRPr="00E676C6" w:rsidTr="00652F81">
        <w:trPr>
          <w:trHeight w:val="255"/>
        </w:trPr>
        <w:tc>
          <w:tcPr>
            <w:tcW w:w="960" w:type="dxa"/>
            <w:noWrap/>
            <w:vAlign w:val="bottom"/>
          </w:tcPr>
          <w:p w:rsidR="00652F81" w:rsidRPr="00632B8E" w:rsidRDefault="00652F81" w:rsidP="00652F81">
            <w:pPr>
              <w:rPr>
                <w:rFonts w:ascii="Tahoma" w:hAnsi="Tahoma" w:cs="Tahoma"/>
                <w:b/>
                <w:bCs/>
              </w:rPr>
            </w:pPr>
            <w:r>
              <w:rPr>
                <w:rFonts w:ascii="Tahoma" w:hAnsi="Tahoma" w:cs="Tahoma"/>
                <w:b/>
                <w:bCs/>
              </w:rPr>
              <w:t>EA17</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w:t>
            </w:r>
          </w:p>
        </w:tc>
      </w:tr>
      <w:tr w:rsidR="00652F81" w:rsidRPr="00E676C6"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EL</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1,1</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2,7</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1,8</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1,8</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1,8</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2,1</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3,1</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3,3</w:t>
            </w:r>
          </w:p>
        </w:tc>
        <w:tc>
          <w:tcPr>
            <w:tcW w:w="960" w:type="dxa"/>
            <w:noWrap/>
            <w:vAlign w:val="bottom"/>
          </w:tcPr>
          <w:p w:rsidR="00652F81" w:rsidRPr="00632B8E" w:rsidRDefault="00652F81" w:rsidP="00652F81">
            <w:pPr>
              <w:jc w:val="right"/>
              <w:rPr>
                <w:rFonts w:ascii="Tahoma" w:hAnsi="Tahoma" w:cs="Tahoma"/>
              </w:rPr>
            </w:pPr>
            <w:r>
              <w:rPr>
                <w:rFonts w:ascii="Tahoma" w:hAnsi="Tahoma" w:cs="Tahoma"/>
              </w:rPr>
              <w:t>2,9</w:t>
            </w:r>
          </w:p>
        </w:tc>
      </w:tr>
    </w:tbl>
    <w:p w:rsidR="00652F81" w:rsidRPr="00195016" w:rsidRDefault="00652F81" w:rsidP="00652F81">
      <w:pPr>
        <w:rPr>
          <w:rFonts w:ascii="Tahoma" w:hAnsi="Tahoma" w:cs="Tahoma"/>
          <w:sz w:val="18"/>
          <w:szCs w:val="18"/>
        </w:rPr>
      </w:pPr>
      <w:r w:rsidRPr="005D227C">
        <w:rPr>
          <w:rFonts w:ascii="Tahoma" w:hAnsi="Tahoma" w:cs="Tahoma"/>
          <w:b/>
          <w:sz w:val="18"/>
          <w:szCs w:val="18"/>
        </w:rPr>
        <w:t>Πηγή:</w:t>
      </w:r>
      <w:r w:rsidRPr="00195016">
        <w:rPr>
          <w:rFonts w:ascii="Tahoma" w:hAnsi="Tahoma" w:cs="Tahoma"/>
          <w:sz w:val="18"/>
          <w:szCs w:val="18"/>
        </w:rPr>
        <w:t xml:space="preserve"> </w:t>
      </w:r>
      <w:r w:rsidRPr="00195016">
        <w:rPr>
          <w:rFonts w:ascii="Tahoma" w:hAnsi="Tahoma" w:cs="Tahoma"/>
          <w:sz w:val="18"/>
          <w:szCs w:val="18"/>
          <w:lang w:val="en-US"/>
        </w:rPr>
        <w:t>Eurostat</w:t>
      </w:r>
    </w:p>
    <w:p w:rsidR="00652F81" w:rsidRPr="005D227C" w:rsidRDefault="00652F81" w:rsidP="00652F81">
      <w:pPr>
        <w:spacing w:line="288" w:lineRule="auto"/>
        <w:rPr>
          <w:rFonts w:ascii="Tahoma" w:hAnsi="Tahoma" w:cs="Tahoma"/>
          <w:b/>
          <w:sz w:val="18"/>
          <w:szCs w:val="18"/>
        </w:rPr>
        <w:sectPr w:rsidR="00652F81" w:rsidRPr="005D227C" w:rsidSect="00652F81">
          <w:footerReference w:type="default" r:id="rId117"/>
          <w:pgSz w:w="11906" w:h="16838"/>
          <w:pgMar w:top="1618" w:right="1418" w:bottom="1418" w:left="1418" w:header="720" w:footer="720" w:gutter="0"/>
          <w:cols w:space="720"/>
        </w:sectPr>
      </w:pPr>
    </w:p>
    <w:p w:rsidR="00652F81" w:rsidRPr="00B425B4" w:rsidRDefault="00652F81" w:rsidP="00652F81">
      <w:pPr>
        <w:pStyle w:val="new6"/>
      </w:pPr>
      <w:bookmarkStart w:id="540" w:name="_Toc150308648"/>
      <w:bookmarkStart w:id="541" w:name="_Toc169881564"/>
      <w:bookmarkStart w:id="542" w:name="_Toc170201921"/>
      <w:r w:rsidRPr="00B425B4">
        <w:lastRenderedPageBreak/>
        <w:t>ΙΙΙ-Β</w:t>
      </w:r>
      <w:r>
        <w:t>,</w:t>
      </w:r>
      <w:r w:rsidRPr="00B425B4">
        <w:tab/>
        <w:t>Kαινοτομία και Έρευνα</w:t>
      </w:r>
      <w:bookmarkEnd w:id="540"/>
      <w:bookmarkEnd w:id="541"/>
      <w:bookmarkEnd w:id="542"/>
      <w:r w:rsidRPr="00B425B4">
        <w:t xml:space="preserve">  </w:t>
      </w:r>
    </w:p>
    <w:p w:rsidR="00652F81" w:rsidRPr="00294913" w:rsidRDefault="00652F81" w:rsidP="00652F81"/>
    <w:p w:rsidR="00652F81" w:rsidRPr="00294913" w:rsidRDefault="00652F81" w:rsidP="00652F81"/>
    <w:p w:rsidR="00652F81" w:rsidRPr="00B425B4" w:rsidRDefault="00652F81" w:rsidP="00652F81">
      <w:pPr>
        <w:pStyle w:val="new12"/>
        <w:rPr>
          <w:sz w:val="6"/>
          <w:szCs w:val="6"/>
        </w:rPr>
      </w:pPr>
      <w:bookmarkStart w:id="543" w:name="_Toc150308649"/>
    </w:p>
    <w:p w:rsidR="00652F81" w:rsidRPr="00294913" w:rsidRDefault="00652F81" w:rsidP="00652F81">
      <w:pPr>
        <w:pStyle w:val="new12"/>
      </w:pPr>
      <w:bookmarkStart w:id="544" w:name="_Toc169881565"/>
      <w:bookmarkStart w:id="545" w:name="_Toc170201922"/>
      <w:r w:rsidRPr="00294913">
        <w:t>ΙΙΙ-1β</w:t>
      </w:r>
      <w:r>
        <w:t>,</w:t>
      </w:r>
      <w:r w:rsidRPr="00294913">
        <w:tab/>
        <w:t xml:space="preserve">Δημόσιες </w:t>
      </w:r>
      <w:r>
        <w:t>Δαπάνες για Ε</w:t>
      </w:r>
      <w:r w:rsidRPr="00294913">
        <w:t>κπαίδευση</w:t>
      </w:r>
      <w:bookmarkEnd w:id="543"/>
      <w:bookmarkEnd w:id="544"/>
      <w:bookmarkEnd w:id="545"/>
    </w:p>
    <w:p w:rsidR="00652F81" w:rsidRDefault="00652F81" w:rsidP="00652F81">
      <w:pPr>
        <w:pStyle w:val="new1210pt"/>
        <w:rPr>
          <w:lang w:val="en-US"/>
        </w:rPr>
      </w:pPr>
      <w:bookmarkStart w:id="546" w:name="_Toc150308650"/>
      <w:bookmarkStart w:id="547" w:name="_Toc170201923"/>
      <w:r w:rsidRPr="00294913">
        <w:t>(% του ΑΕΠ)</w:t>
      </w:r>
      <w:bookmarkEnd w:id="546"/>
      <w:bookmarkEnd w:id="547"/>
    </w:p>
    <w:p w:rsidR="00652F81" w:rsidRDefault="00652F81" w:rsidP="00652F81">
      <w:pPr>
        <w:rPr>
          <w:lang w:val="en-US"/>
        </w:rPr>
      </w:pPr>
    </w:p>
    <w:p w:rsidR="00652F81" w:rsidRPr="00093C52" w:rsidRDefault="00652F81" w:rsidP="00652F81">
      <w:bookmarkStart w:id="548" w:name="_Toc150308652"/>
      <w:r>
        <w:rPr>
          <w:noProof/>
          <w:lang w:val="en-US" w:eastAsia="en-US"/>
        </w:rPr>
        <w:drawing>
          <wp:inline distT="0" distB="0" distL="0" distR="0">
            <wp:extent cx="5581650" cy="2952750"/>
            <wp:effectExtent l="0" t="0" r="0" b="0"/>
            <wp:docPr id="37" name="Εικόνα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8" cstate="print"/>
                    <a:srcRect/>
                    <a:stretch>
                      <a:fillRect/>
                    </a:stretch>
                  </pic:blipFill>
                  <pic:spPr bwMode="auto">
                    <a:xfrm>
                      <a:off x="0" y="0"/>
                      <a:ext cx="5581650" cy="2952750"/>
                    </a:xfrm>
                    <a:prstGeom prst="rect">
                      <a:avLst/>
                    </a:prstGeom>
                    <a:noFill/>
                    <a:ln w="9525">
                      <a:noFill/>
                      <a:miter lim="800000"/>
                      <a:headEnd/>
                      <a:tailEnd/>
                    </a:ln>
                  </pic:spPr>
                </pic:pic>
              </a:graphicData>
            </a:graphic>
          </wp:inline>
        </w:drawing>
      </w:r>
    </w:p>
    <w:p w:rsidR="00652F81" w:rsidRDefault="00652F81" w:rsidP="00652F81"/>
    <w:p w:rsidR="00652F81" w:rsidRPr="000718C1" w:rsidRDefault="00652F81" w:rsidP="00652F81"/>
    <w:tbl>
      <w:tblPr>
        <w:tblW w:w="9600" w:type="dxa"/>
        <w:tblBorders>
          <w:top w:val="single" w:sz="12" w:space="0" w:color="auto"/>
          <w:bottom w:val="single" w:sz="12" w:space="0" w:color="auto"/>
          <w:insideH w:val="dotted" w:sz="4" w:space="0" w:color="auto"/>
        </w:tblBorders>
        <w:tblLook w:val="00A0"/>
      </w:tblPr>
      <w:tblGrid>
        <w:gridCol w:w="960"/>
        <w:gridCol w:w="960"/>
        <w:gridCol w:w="960"/>
        <w:gridCol w:w="960"/>
        <w:gridCol w:w="960"/>
        <w:gridCol w:w="960"/>
        <w:gridCol w:w="960"/>
        <w:gridCol w:w="960"/>
        <w:gridCol w:w="960"/>
        <w:gridCol w:w="960"/>
      </w:tblGrid>
      <w:tr w:rsidR="00652F81" w:rsidRPr="00E676C6" w:rsidTr="00652F81">
        <w:trPr>
          <w:trHeight w:val="255"/>
        </w:trPr>
        <w:tc>
          <w:tcPr>
            <w:tcW w:w="960" w:type="dxa"/>
            <w:tcBorders>
              <w:top w:val="single" w:sz="12" w:space="0" w:color="auto"/>
              <w:bottom w:val="single" w:sz="8" w:space="0" w:color="auto"/>
            </w:tcBorders>
            <w:noWrap/>
          </w:tcPr>
          <w:p w:rsidR="00652F81" w:rsidRPr="00CA39FC" w:rsidRDefault="00652F81" w:rsidP="00652F81">
            <w:pPr>
              <w:jc w:val="center"/>
              <w:rPr>
                <w:rFonts w:ascii="Tahoma" w:hAnsi="Tahoma" w:cs="Tahoma"/>
                <w:bCs/>
              </w:rPr>
            </w:pPr>
          </w:p>
        </w:tc>
        <w:tc>
          <w:tcPr>
            <w:tcW w:w="960" w:type="dxa"/>
            <w:tcBorders>
              <w:top w:val="single" w:sz="12" w:space="0" w:color="auto"/>
              <w:bottom w:val="single" w:sz="8" w:space="0" w:color="auto"/>
            </w:tcBorders>
            <w:noWrap/>
            <w:vAlign w:val="bottom"/>
          </w:tcPr>
          <w:p w:rsidR="00652F81" w:rsidRPr="008D3EE6" w:rsidRDefault="00652F81" w:rsidP="00652F81">
            <w:pPr>
              <w:jc w:val="center"/>
              <w:rPr>
                <w:rFonts w:ascii="Tahoma" w:hAnsi="Tahoma" w:cs="Tahoma"/>
                <w:b/>
                <w:bCs/>
                <w:lang w:val="en-US"/>
              </w:rPr>
            </w:pPr>
            <w:r>
              <w:rPr>
                <w:rFonts w:ascii="Tahoma" w:hAnsi="Tahoma" w:cs="Tahoma"/>
                <w:b/>
                <w:bCs/>
                <w:lang w:val="en-US"/>
              </w:rPr>
              <w:t>2000</w:t>
            </w:r>
          </w:p>
        </w:tc>
        <w:tc>
          <w:tcPr>
            <w:tcW w:w="960" w:type="dxa"/>
            <w:tcBorders>
              <w:top w:val="single" w:sz="12" w:space="0" w:color="auto"/>
              <w:bottom w:val="single" w:sz="8" w:space="0" w:color="auto"/>
            </w:tcBorders>
            <w:noWrap/>
            <w:vAlign w:val="bottom"/>
          </w:tcPr>
          <w:p w:rsidR="00652F81" w:rsidRPr="008D3EE6"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1</w:t>
            </w:r>
          </w:p>
        </w:tc>
        <w:tc>
          <w:tcPr>
            <w:tcW w:w="960" w:type="dxa"/>
            <w:tcBorders>
              <w:top w:val="single" w:sz="12" w:space="0" w:color="auto"/>
              <w:bottom w:val="single" w:sz="8" w:space="0" w:color="auto"/>
            </w:tcBorders>
            <w:noWrap/>
            <w:vAlign w:val="bottom"/>
          </w:tcPr>
          <w:p w:rsidR="00652F81" w:rsidRPr="008D3EE6"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2</w:t>
            </w:r>
          </w:p>
        </w:tc>
        <w:tc>
          <w:tcPr>
            <w:tcW w:w="960" w:type="dxa"/>
            <w:tcBorders>
              <w:top w:val="single" w:sz="12" w:space="0" w:color="auto"/>
              <w:bottom w:val="single" w:sz="8" w:space="0" w:color="auto"/>
            </w:tcBorders>
            <w:noWrap/>
            <w:vAlign w:val="bottom"/>
          </w:tcPr>
          <w:p w:rsidR="00652F81" w:rsidRPr="008D3EE6"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3</w:t>
            </w:r>
          </w:p>
        </w:tc>
        <w:tc>
          <w:tcPr>
            <w:tcW w:w="960" w:type="dxa"/>
            <w:tcBorders>
              <w:top w:val="single" w:sz="12" w:space="0" w:color="auto"/>
              <w:bottom w:val="single" w:sz="8" w:space="0" w:color="auto"/>
            </w:tcBorders>
            <w:noWrap/>
            <w:vAlign w:val="bottom"/>
          </w:tcPr>
          <w:p w:rsidR="00652F81" w:rsidRPr="008D3EE6"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4</w:t>
            </w:r>
          </w:p>
        </w:tc>
        <w:tc>
          <w:tcPr>
            <w:tcW w:w="960" w:type="dxa"/>
            <w:tcBorders>
              <w:top w:val="single" w:sz="12" w:space="0" w:color="auto"/>
              <w:bottom w:val="single" w:sz="8" w:space="0" w:color="auto"/>
            </w:tcBorders>
            <w:noWrap/>
            <w:vAlign w:val="bottom"/>
          </w:tcPr>
          <w:p w:rsidR="00652F81" w:rsidRPr="008D3EE6"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5</w:t>
            </w:r>
          </w:p>
        </w:tc>
        <w:tc>
          <w:tcPr>
            <w:tcW w:w="960" w:type="dxa"/>
            <w:tcBorders>
              <w:top w:val="single" w:sz="12" w:space="0" w:color="auto"/>
              <w:bottom w:val="single" w:sz="8" w:space="0" w:color="auto"/>
            </w:tcBorders>
            <w:noWrap/>
            <w:vAlign w:val="bottom"/>
          </w:tcPr>
          <w:p w:rsidR="00652F81" w:rsidRPr="008D3EE6" w:rsidRDefault="00652F81" w:rsidP="00652F81">
            <w:pPr>
              <w:jc w:val="center"/>
              <w:rPr>
                <w:rFonts w:ascii="Tahoma" w:hAnsi="Tahoma" w:cs="Tahoma"/>
                <w:b/>
                <w:bCs/>
                <w:lang w:val="en-US"/>
              </w:rPr>
            </w:pPr>
            <w:r>
              <w:rPr>
                <w:rFonts w:ascii="Tahoma" w:hAnsi="Tahoma" w:cs="Tahoma"/>
                <w:b/>
                <w:bCs/>
              </w:rPr>
              <w:t>200</w:t>
            </w:r>
            <w:r>
              <w:rPr>
                <w:rFonts w:ascii="Tahoma" w:hAnsi="Tahoma" w:cs="Tahoma"/>
                <w:b/>
                <w:bCs/>
                <w:lang w:val="en-US"/>
              </w:rPr>
              <w:t>6</w:t>
            </w:r>
          </w:p>
        </w:tc>
        <w:tc>
          <w:tcPr>
            <w:tcW w:w="960" w:type="dxa"/>
            <w:tcBorders>
              <w:top w:val="single" w:sz="12" w:space="0" w:color="auto"/>
              <w:bottom w:val="single" w:sz="8" w:space="0" w:color="auto"/>
            </w:tcBorders>
            <w:noWrap/>
            <w:vAlign w:val="bottom"/>
          </w:tcPr>
          <w:p w:rsidR="00652F81" w:rsidRPr="008D3EE6" w:rsidRDefault="00652F81" w:rsidP="00652F81">
            <w:pPr>
              <w:jc w:val="center"/>
              <w:rPr>
                <w:rFonts w:ascii="Tahoma" w:hAnsi="Tahoma" w:cs="Tahoma"/>
                <w:b/>
                <w:bCs/>
                <w:lang w:val="en-US"/>
              </w:rPr>
            </w:pPr>
            <w:r>
              <w:rPr>
                <w:rFonts w:ascii="Tahoma" w:hAnsi="Tahoma" w:cs="Tahoma"/>
                <w:b/>
                <w:bCs/>
                <w:lang w:val="en-US"/>
              </w:rPr>
              <w:t>2007</w:t>
            </w:r>
          </w:p>
        </w:tc>
        <w:tc>
          <w:tcPr>
            <w:tcW w:w="960" w:type="dxa"/>
            <w:tcBorders>
              <w:top w:val="single" w:sz="12" w:space="0" w:color="auto"/>
              <w:bottom w:val="single" w:sz="8" w:space="0" w:color="auto"/>
            </w:tcBorders>
            <w:noWrap/>
            <w:vAlign w:val="bottom"/>
          </w:tcPr>
          <w:p w:rsidR="00652F81" w:rsidRPr="00606405" w:rsidRDefault="00652F81" w:rsidP="00652F81">
            <w:pPr>
              <w:jc w:val="center"/>
              <w:rPr>
                <w:rFonts w:ascii="Tahoma" w:hAnsi="Tahoma" w:cs="Tahoma"/>
                <w:b/>
                <w:bCs/>
              </w:rPr>
            </w:pPr>
            <w:r>
              <w:rPr>
                <w:rFonts w:ascii="Tahoma" w:hAnsi="Tahoma" w:cs="Tahoma"/>
                <w:b/>
                <w:bCs/>
              </w:rPr>
              <w:t>2008</w:t>
            </w:r>
          </w:p>
        </w:tc>
      </w:tr>
      <w:tr w:rsidR="00652F81" w:rsidRPr="00E676C6" w:rsidTr="00652F81">
        <w:trPr>
          <w:trHeight w:val="255"/>
        </w:trPr>
        <w:tc>
          <w:tcPr>
            <w:tcW w:w="960" w:type="dxa"/>
            <w:tcBorders>
              <w:top w:val="single" w:sz="8" w:space="0" w:color="auto"/>
            </w:tcBorders>
            <w:noWrap/>
            <w:vAlign w:val="bottom"/>
          </w:tcPr>
          <w:p w:rsidR="00652F81" w:rsidRPr="00CA39FC" w:rsidRDefault="00652F81" w:rsidP="00652F81">
            <w:pPr>
              <w:rPr>
                <w:rFonts w:ascii="Tahoma" w:hAnsi="Tahoma" w:cs="Tahoma"/>
                <w:b/>
                <w:bCs/>
              </w:rPr>
            </w:pPr>
            <w:r w:rsidRPr="00CA39FC">
              <w:rPr>
                <w:rFonts w:ascii="Tahoma" w:hAnsi="Tahoma" w:cs="Tahoma"/>
                <w:b/>
                <w:bCs/>
              </w:rPr>
              <w:t>EU27</w:t>
            </w:r>
          </w:p>
        </w:tc>
        <w:tc>
          <w:tcPr>
            <w:tcW w:w="960" w:type="dxa"/>
            <w:tcBorders>
              <w:top w:val="single" w:sz="8" w:space="0" w:color="auto"/>
            </w:tcBorders>
            <w:noWrap/>
            <w:vAlign w:val="bottom"/>
          </w:tcPr>
          <w:p w:rsidR="00652F81" w:rsidRPr="00606405" w:rsidRDefault="00652F81" w:rsidP="00652F81">
            <w:pPr>
              <w:jc w:val="right"/>
              <w:rPr>
                <w:rFonts w:ascii="Tahoma" w:hAnsi="Tahoma" w:cs="Tahoma"/>
              </w:rPr>
            </w:pPr>
            <w:r w:rsidRPr="00606405">
              <w:rPr>
                <w:rFonts w:ascii="Tahoma" w:hAnsi="Tahoma" w:cs="Tahoma"/>
              </w:rPr>
              <w:t>4,</w:t>
            </w:r>
            <w:r>
              <w:rPr>
                <w:rFonts w:ascii="Tahoma" w:hAnsi="Tahoma" w:cs="Tahoma"/>
              </w:rPr>
              <w:t>9</w:t>
            </w:r>
          </w:p>
        </w:tc>
        <w:tc>
          <w:tcPr>
            <w:tcW w:w="960" w:type="dxa"/>
            <w:tcBorders>
              <w:top w:val="single" w:sz="8" w:space="0" w:color="auto"/>
            </w:tcBorders>
            <w:noWrap/>
            <w:vAlign w:val="bottom"/>
          </w:tcPr>
          <w:p w:rsidR="00652F81" w:rsidRPr="00606405" w:rsidRDefault="00652F81" w:rsidP="00652F81">
            <w:pPr>
              <w:jc w:val="right"/>
              <w:rPr>
                <w:rFonts w:ascii="Tahoma" w:hAnsi="Tahoma" w:cs="Tahoma"/>
              </w:rPr>
            </w:pPr>
            <w:r>
              <w:rPr>
                <w:rFonts w:ascii="Tahoma" w:hAnsi="Tahoma" w:cs="Tahoma"/>
              </w:rPr>
              <w:t>5</w:t>
            </w:r>
            <w:r w:rsidRPr="00606405">
              <w:rPr>
                <w:rFonts w:ascii="Tahoma" w:hAnsi="Tahoma" w:cs="Tahoma"/>
              </w:rPr>
              <w:t>,</w:t>
            </w:r>
            <w:r>
              <w:rPr>
                <w:rFonts w:ascii="Tahoma" w:hAnsi="Tahoma" w:cs="Tahoma"/>
              </w:rPr>
              <w:t>0</w:t>
            </w:r>
          </w:p>
        </w:tc>
        <w:tc>
          <w:tcPr>
            <w:tcW w:w="960" w:type="dxa"/>
            <w:tcBorders>
              <w:top w:val="single" w:sz="8" w:space="0" w:color="auto"/>
            </w:tcBorders>
            <w:noWrap/>
            <w:vAlign w:val="bottom"/>
          </w:tcPr>
          <w:p w:rsidR="00652F81" w:rsidRPr="00606405" w:rsidRDefault="00652F81" w:rsidP="00652F81">
            <w:pPr>
              <w:jc w:val="right"/>
              <w:rPr>
                <w:rFonts w:ascii="Tahoma" w:hAnsi="Tahoma" w:cs="Tahoma"/>
              </w:rPr>
            </w:pPr>
            <w:r w:rsidRPr="00606405">
              <w:rPr>
                <w:rFonts w:ascii="Tahoma" w:hAnsi="Tahoma" w:cs="Tahoma"/>
              </w:rPr>
              <w:t>5,1</w:t>
            </w:r>
          </w:p>
        </w:tc>
        <w:tc>
          <w:tcPr>
            <w:tcW w:w="960" w:type="dxa"/>
            <w:tcBorders>
              <w:top w:val="single" w:sz="8" w:space="0" w:color="auto"/>
            </w:tcBorders>
            <w:noWrap/>
            <w:vAlign w:val="bottom"/>
          </w:tcPr>
          <w:p w:rsidR="00652F81" w:rsidRPr="00606405" w:rsidRDefault="00652F81" w:rsidP="00652F81">
            <w:pPr>
              <w:jc w:val="right"/>
              <w:rPr>
                <w:rFonts w:ascii="Tahoma" w:hAnsi="Tahoma" w:cs="Tahoma"/>
              </w:rPr>
            </w:pPr>
            <w:r w:rsidRPr="00606405">
              <w:rPr>
                <w:rFonts w:ascii="Tahoma" w:hAnsi="Tahoma" w:cs="Tahoma"/>
              </w:rPr>
              <w:t>5,1</w:t>
            </w:r>
          </w:p>
        </w:tc>
        <w:tc>
          <w:tcPr>
            <w:tcW w:w="960" w:type="dxa"/>
            <w:tcBorders>
              <w:top w:val="single" w:sz="8" w:space="0" w:color="auto"/>
            </w:tcBorders>
            <w:noWrap/>
            <w:vAlign w:val="bottom"/>
          </w:tcPr>
          <w:p w:rsidR="00652F81" w:rsidRPr="00606405" w:rsidRDefault="00652F81" w:rsidP="00652F81">
            <w:pPr>
              <w:jc w:val="right"/>
              <w:rPr>
                <w:rFonts w:ascii="Tahoma" w:hAnsi="Tahoma" w:cs="Tahoma"/>
              </w:rPr>
            </w:pPr>
            <w:r w:rsidRPr="00606405">
              <w:rPr>
                <w:rFonts w:ascii="Tahoma" w:hAnsi="Tahoma" w:cs="Tahoma"/>
              </w:rPr>
              <w:t>5,</w:t>
            </w:r>
            <w:r>
              <w:rPr>
                <w:rFonts w:ascii="Tahoma" w:hAnsi="Tahoma" w:cs="Tahoma"/>
              </w:rPr>
              <w:t>1</w:t>
            </w:r>
          </w:p>
        </w:tc>
        <w:tc>
          <w:tcPr>
            <w:tcW w:w="960" w:type="dxa"/>
            <w:tcBorders>
              <w:top w:val="single" w:sz="8" w:space="0" w:color="auto"/>
            </w:tcBorders>
            <w:noWrap/>
            <w:vAlign w:val="bottom"/>
          </w:tcPr>
          <w:p w:rsidR="00652F81" w:rsidRPr="00606405" w:rsidRDefault="00652F81" w:rsidP="00652F81">
            <w:pPr>
              <w:jc w:val="right"/>
              <w:rPr>
                <w:rFonts w:ascii="Tahoma" w:hAnsi="Tahoma" w:cs="Tahoma"/>
              </w:rPr>
            </w:pPr>
            <w:r w:rsidRPr="00606405">
              <w:rPr>
                <w:rFonts w:ascii="Tahoma" w:hAnsi="Tahoma" w:cs="Tahoma"/>
              </w:rPr>
              <w:t>5,0</w:t>
            </w:r>
          </w:p>
        </w:tc>
        <w:tc>
          <w:tcPr>
            <w:tcW w:w="960" w:type="dxa"/>
            <w:tcBorders>
              <w:top w:val="single" w:sz="8" w:space="0" w:color="auto"/>
            </w:tcBorders>
            <w:noWrap/>
            <w:vAlign w:val="bottom"/>
          </w:tcPr>
          <w:p w:rsidR="00652F81" w:rsidRPr="00606405" w:rsidRDefault="00652F81" w:rsidP="00652F81">
            <w:pPr>
              <w:jc w:val="right"/>
              <w:rPr>
                <w:rFonts w:ascii="Tahoma" w:hAnsi="Tahoma" w:cs="Tahoma"/>
              </w:rPr>
            </w:pPr>
            <w:r w:rsidRPr="00606405">
              <w:rPr>
                <w:rFonts w:ascii="Tahoma" w:hAnsi="Tahoma" w:cs="Tahoma"/>
              </w:rPr>
              <w:t>5,0</w:t>
            </w:r>
          </w:p>
        </w:tc>
        <w:tc>
          <w:tcPr>
            <w:tcW w:w="960" w:type="dxa"/>
            <w:tcBorders>
              <w:top w:val="single" w:sz="8" w:space="0" w:color="auto"/>
            </w:tcBorders>
            <w:noWrap/>
            <w:vAlign w:val="bottom"/>
          </w:tcPr>
          <w:p w:rsidR="00652F81" w:rsidRPr="00606405" w:rsidRDefault="00652F81" w:rsidP="00652F81">
            <w:pPr>
              <w:jc w:val="right"/>
              <w:rPr>
                <w:rFonts w:ascii="Tahoma" w:hAnsi="Tahoma" w:cs="Tahoma"/>
              </w:rPr>
            </w:pPr>
            <w:r>
              <w:rPr>
                <w:rFonts w:ascii="Tahoma" w:hAnsi="Tahoma" w:cs="Tahoma"/>
              </w:rPr>
              <w:t>5</w:t>
            </w:r>
            <w:r w:rsidRPr="00606405">
              <w:rPr>
                <w:rFonts w:ascii="Tahoma" w:hAnsi="Tahoma" w:cs="Tahoma"/>
              </w:rPr>
              <w:t>,</w:t>
            </w:r>
            <w:r>
              <w:rPr>
                <w:rFonts w:ascii="Tahoma" w:hAnsi="Tahoma" w:cs="Tahoma"/>
              </w:rPr>
              <w:t>0</w:t>
            </w:r>
          </w:p>
        </w:tc>
        <w:tc>
          <w:tcPr>
            <w:tcW w:w="960" w:type="dxa"/>
            <w:tcBorders>
              <w:top w:val="single" w:sz="8" w:space="0" w:color="auto"/>
            </w:tcBorders>
            <w:noWrap/>
            <w:vAlign w:val="bottom"/>
          </w:tcPr>
          <w:p w:rsidR="00652F81" w:rsidRPr="00606405" w:rsidRDefault="00652F81" w:rsidP="00652F81">
            <w:pPr>
              <w:jc w:val="right"/>
              <w:rPr>
                <w:rFonts w:ascii="Tahoma" w:hAnsi="Tahoma" w:cs="Tahoma"/>
              </w:rPr>
            </w:pPr>
            <w:r w:rsidRPr="00606405">
              <w:rPr>
                <w:rFonts w:ascii="Tahoma" w:hAnsi="Tahoma" w:cs="Tahoma"/>
              </w:rPr>
              <w:t>5,</w:t>
            </w:r>
            <w:r>
              <w:rPr>
                <w:rFonts w:ascii="Tahoma" w:hAnsi="Tahoma" w:cs="Tahoma"/>
              </w:rPr>
              <w:t>1</w:t>
            </w:r>
          </w:p>
        </w:tc>
      </w:tr>
      <w:tr w:rsidR="00652F81" w:rsidRPr="00E676C6"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EU25</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5,</w:t>
            </w:r>
            <w:r>
              <w:rPr>
                <w:rFonts w:ascii="Tahoma" w:hAnsi="Tahoma" w:cs="Tahoma"/>
              </w:rPr>
              <w:t>1</w:t>
            </w:r>
          </w:p>
        </w:tc>
        <w:tc>
          <w:tcPr>
            <w:tcW w:w="960" w:type="dxa"/>
            <w:noWrap/>
            <w:vAlign w:val="bottom"/>
          </w:tcPr>
          <w:p w:rsidR="00652F81" w:rsidRPr="00606405" w:rsidRDefault="00652F81" w:rsidP="00652F81">
            <w:pPr>
              <w:jc w:val="right"/>
              <w:rPr>
                <w:rFonts w:ascii="Tahoma" w:hAnsi="Tahoma" w:cs="Tahoma"/>
              </w:rPr>
            </w:pPr>
            <w:r>
              <w:rPr>
                <w:rFonts w:ascii="Tahoma" w:hAnsi="Tahoma" w:cs="Tahoma"/>
              </w:rPr>
              <w:t>5</w:t>
            </w:r>
            <w:r w:rsidRPr="00606405">
              <w:rPr>
                <w:rFonts w:ascii="Tahoma" w:hAnsi="Tahoma" w:cs="Tahoma"/>
              </w:rPr>
              <w:t>,</w:t>
            </w:r>
            <w:r>
              <w:rPr>
                <w:rFonts w:ascii="Tahoma" w:hAnsi="Tahoma" w:cs="Tahoma"/>
              </w:rPr>
              <w:t>0</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5,</w:t>
            </w:r>
            <w:r>
              <w:rPr>
                <w:rFonts w:ascii="Tahoma" w:hAnsi="Tahoma" w:cs="Tahoma"/>
              </w:rPr>
              <w:t>1</w:t>
            </w:r>
          </w:p>
        </w:tc>
      </w:tr>
      <w:tr w:rsidR="00652F81" w:rsidRPr="00E676C6"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EU15</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w:t>
            </w:r>
          </w:p>
        </w:tc>
      </w:tr>
      <w:tr w:rsidR="00652F81" w:rsidRPr="008D3EE6" w:rsidTr="00652F81">
        <w:trPr>
          <w:trHeight w:val="255"/>
        </w:trPr>
        <w:tc>
          <w:tcPr>
            <w:tcW w:w="960" w:type="dxa"/>
            <w:noWrap/>
            <w:vAlign w:val="bottom"/>
          </w:tcPr>
          <w:p w:rsidR="00652F81" w:rsidRPr="00606405" w:rsidRDefault="00652F81" w:rsidP="00652F81">
            <w:pPr>
              <w:rPr>
                <w:rFonts w:ascii="Tahoma" w:hAnsi="Tahoma" w:cs="Tahoma"/>
                <w:b/>
                <w:bCs/>
                <w:vertAlign w:val="superscript"/>
              </w:rPr>
            </w:pPr>
            <w:r>
              <w:rPr>
                <w:rFonts w:ascii="Tahoma" w:hAnsi="Tahoma" w:cs="Tahoma"/>
                <w:b/>
                <w:bCs/>
              </w:rPr>
              <w:t>EA17</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w:t>
            </w:r>
          </w:p>
        </w:tc>
      </w:tr>
      <w:tr w:rsidR="00652F81" w:rsidRPr="008D3EE6" w:rsidTr="00652F81">
        <w:trPr>
          <w:trHeight w:val="255"/>
        </w:trPr>
        <w:tc>
          <w:tcPr>
            <w:tcW w:w="960" w:type="dxa"/>
            <w:noWrap/>
            <w:vAlign w:val="bottom"/>
          </w:tcPr>
          <w:p w:rsidR="00652F81" w:rsidRPr="008D3EE6" w:rsidRDefault="00652F81" w:rsidP="00652F81">
            <w:pPr>
              <w:rPr>
                <w:rFonts w:ascii="Tahoma" w:hAnsi="Tahoma" w:cs="Tahoma"/>
                <w:b/>
                <w:bCs/>
                <w:lang w:val="en-GB"/>
              </w:rPr>
            </w:pPr>
            <w:r w:rsidRPr="008D3EE6">
              <w:rPr>
                <w:rFonts w:ascii="Tahoma" w:hAnsi="Tahoma" w:cs="Tahoma"/>
                <w:b/>
                <w:bCs/>
                <w:lang w:val="en-GB"/>
              </w:rPr>
              <w:t>EL</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3,</w:t>
            </w:r>
            <w:r>
              <w:rPr>
                <w:rFonts w:ascii="Tahoma" w:hAnsi="Tahoma" w:cs="Tahoma"/>
              </w:rPr>
              <w:t>4</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3,5</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3,</w:t>
            </w:r>
            <w:r>
              <w:rPr>
                <w:rFonts w:ascii="Tahoma" w:hAnsi="Tahoma" w:cs="Tahoma"/>
              </w:rPr>
              <w:t>6</w:t>
            </w:r>
          </w:p>
        </w:tc>
        <w:tc>
          <w:tcPr>
            <w:tcW w:w="960" w:type="dxa"/>
            <w:noWrap/>
            <w:vAlign w:val="bottom"/>
          </w:tcPr>
          <w:p w:rsidR="00652F81" w:rsidRPr="00606405" w:rsidRDefault="00652F81" w:rsidP="00652F81">
            <w:pPr>
              <w:jc w:val="right"/>
              <w:rPr>
                <w:rFonts w:ascii="Tahoma" w:hAnsi="Tahoma" w:cs="Tahoma"/>
              </w:rPr>
            </w:pPr>
            <w:r>
              <w:rPr>
                <w:rFonts w:ascii="Tahoma" w:hAnsi="Tahoma" w:cs="Tahoma"/>
              </w:rPr>
              <w:t>3,</w:t>
            </w:r>
            <w:r w:rsidRPr="00606405">
              <w:rPr>
                <w:rFonts w:ascii="Tahoma" w:hAnsi="Tahoma" w:cs="Tahoma"/>
              </w:rPr>
              <w:t>6</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3,8</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4,0</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w:t>
            </w:r>
          </w:p>
        </w:tc>
        <w:tc>
          <w:tcPr>
            <w:tcW w:w="960" w:type="dxa"/>
            <w:noWrap/>
            <w:vAlign w:val="bottom"/>
          </w:tcPr>
          <w:p w:rsidR="00652F81" w:rsidRPr="00606405" w:rsidRDefault="00652F81" w:rsidP="00652F81">
            <w:pPr>
              <w:jc w:val="right"/>
              <w:rPr>
                <w:rFonts w:ascii="Tahoma" w:hAnsi="Tahoma" w:cs="Tahoma"/>
              </w:rPr>
            </w:pPr>
            <w:r w:rsidRPr="00606405">
              <w:rPr>
                <w:rFonts w:ascii="Tahoma" w:hAnsi="Tahoma" w:cs="Tahoma"/>
              </w:rPr>
              <w:t>:</w:t>
            </w:r>
          </w:p>
        </w:tc>
      </w:tr>
    </w:tbl>
    <w:p w:rsidR="00652F81" w:rsidRPr="00C52F9D" w:rsidRDefault="00652F81" w:rsidP="00652F81">
      <w:pPr>
        <w:rPr>
          <w:rFonts w:ascii="Tahoma" w:hAnsi="Tahoma" w:cs="Tahoma"/>
        </w:rPr>
      </w:pPr>
      <w:r w:rsidRPr="00C52F9D">
        <w:rPr>
          <w:rFonts w:ascii="Tahoma" w:hAnsi="Tahoma" w:cs="Tahoma"/>
        </w:rPr>
        <w:t>*</w:t>
      </w:r>
      <w:r w:rsidRPr="00C52F9D">
        <w:rPr>
          <w:rFonts w:ascii="Tahoma" w:hAnsi="Tahoma" w:cs="Tahoma"/>
          <w:sz w:val="18"/>
          <w:szCs w:val="18"/>
        </w:rPr>
        <w:t>Δεν υπάρχουν διαθέσιμα στοιχεία για την ευρωζώνη των</w:t>
      </w:r>
      <w:r>
        <w:rPr>
          <w:rFonts w:ascii="Tahoma" w:hAnsi="Tahoma" w:cs="Tahoma"/>
          <w:sz w:val="18"/>
          <w:szCs w:val="18"/>
        </w:rPr>
        <w:t xml:space="preserve"> 16 αλλά και</w:t>
      </w:r>
      <w:r w:rsidRPr="00C52F9D">
        <w:rPr>
          <w:rFonts w:ascii="Tahoma" w:hAnsi="Tahoma" w:cs="Tahoma"/>
          <w:sz w:val="18"/>
          <w:szCs w:val="18"/>
        </w:rPr>
        <w:t xml:space="preserve"> 1</w:t>
      </w:r>
      <w:r>
        <w:rPr>
          <w:rFonts w:ascii="Tahoma" w:hAnsi="Tahoma" w:cs="Tahoma"/>
          <w:sz w:val="18"/>
          <w:szCs w:val="18"/>
        </w:rPr>
        <w:t>7</w:t>
      </w:r>
    </w:p>
    <w:p w:rsidR="00652F81" w:rsidRPr="009947D5" w:rsidRDefault="00652F81" w:rsidP="00652F81">
      <w:pPr>
        <w:pStyle w:val="1"/>
        <w:rPr>
          <w:rFonts w:ascii="Tahoma" w:hAnsi="Tahoma" w:cs="Tahoma"/>
          <w:sz w:val="18"/>
          <w:szCs w:val="18"/>
        </w:rPr>
      </w:pPr>
      <w:r w:rsidRPr="0036580C">
        <w:rPr>
          <w:rFonts w:ascii="Tahoma" w:hAnsi="Tahoma" w:cs="Tahoma"/>
          <w:sz w:val="18"/>
          <w:szCs w:val="18"/>
        </w:rPr>
        <w:t>Πηγή:</w:t>
      </w:r>
      <w:r w:rsidRPr="009947D5">
        <w:rPr>
          <w:rFonts w:ascii="Tahoma" w:hAnsi="Tahoma" w:cs="Tahoma"/>
          <w:b w:val="0"/>
          <w:sz w:val="18"/>
          <w:szCs w:val="18"/>
        </w:rPr>
        <w:t xml:space="preserve"> </w:t>
      </w:r>
      <w:r w:rsidRPr="00C52F9D">
        <w:rPr>
          <w:rFonts w:ascii="Tahoma" w:hAnsi="Tahoma" w:cs="Tahoma"/>
          <w:b w:val="0"/>
          <w:sz w:val="18"/>
          <w:szCs w:val="18"/>
          <w:lang w:val="en-US"/>
        </w:rPr>
        <w:t>Eurostat</w:t>
      </w:r>
    </w:p>
    <w:p w:rsidR="00652F81" w:rsidRPr="009947D5" w:rsidRDefault="00652F81" w:rsidP="00652F81">
      <w:pPr>
        <w:pStyle w:val="new12"/>
        <w:sectPr w:rsidR="00652F81" w:rsidRPr="009947D5" w:rsidSect="00652F81">
          <w:footerReference w:type="default" r:id="rId119"/>
          <w:pgSz w:w="11906" w:h="16838"/>
          <w:pgMar w:top="1701" w:right="1418" w:bottom="1701" w:left="1418" w:header="720" w:footer="720" w:gutter="0"/>
          <w:cols w:space="720"/>
        </w:sectPr>
      </w:pPr>
    </w:p>
    <w:p w:rsidR="00652F81" w:rsidRPr="00294913" w:rsidRDefault="00652F81" w:rsidP="00652F81">
      <w:pPr>
        <w:pStyle w:val="new12"/>
      </w:pPr>
      <w:bookmarkStart w:id="549" w:name="_Toc169881566"/>
      <w:bookmarkStart w:id="550" w:name="_Toc170201924"/>
      <w:r w:rsidRPr="00294913">
        <w:lastRenderedPageBreak/>
        <w:t>ΙΙΙ</w:t>
      </w:r>
      <w:r w:rsidRPr="009947D5">
        <w:t>-2</w:t>
      </w:r>
      <w:r w:rsidRPr="00294913">
        <w:t>β</w:t>
      </w:r>
      <w:r w:rsidRPr="009947D5">
        <w:t>,</w:t>
      </w:r>
      <w:r w:rsidRPr="009947D5">
        <w:tab/>
      </w:r>
      <w:r>
        <w:t>Πρόσβαση</w:t>
      </w:r>
      <w:r w:rsidRPr="009947D5">
        <w:t xml:space="preserve"> </w:t>
      </w:r>
      <w:r w:rsidRPr="00294913">
        <w:t>στο</w:t>
      </w:r>
      <w:r w:rsidRPr="009947D5">
        <w:t xml:space="preserve"> </w:t>
      </w:r>
      <w:r w:rsidRPr="00294913">
        <w:t>Διαδίκτυο (Νοικοκυριά)</w:t>
      </w:r>
      <w:bookmarkEnd w:id="548"/>
      <w:bookmarkEnd w:id="549"/>
      <w:bookmarkEnd w:id="550"/>
      <w:r w:rsidRPr="00294913">
        <w:t xml:space="preserve"> </w:t>
      </w:r>
    </w:p>
    <w:p w:rsidR="00652F81" w:rsidRPr="00B425B4" w:rsidRDefault="00652F81" w:rsidP="00652F81">
      <w:pPr>
        <w:pStyle w:val="new1210pt"/>
      </w:pPr>
      <w:bookmarkStart w:id="551" w:name="_Toc150308653"/>
      <w:bookmarkStart w:id="552" w:name="_Toc170201925"/>
      <w:r w:rsidRPr="00B425B4">
        <w:t>(% των νοικοκυριών που έχουν την δυνατότητα πρόσβασης στο διαδίκτυο )</w:t>
      </w:r>
      <w:bookmarkEnd w:id="551"/>
      <w:bookmarkEnd w:id="552"/>
    </w:p>
    <w:p w:rsidR="00652F81" w:rsidRPr="00C27EEB" w:rsidRDefault="00652F81" w:rsidP="00652F81">
      <w:bookmarkStart w:id="553" w:name="_Toc150308655"/>
    </w:p>
    <w:p w:rsidR="00652F81" w:rsidRPr="002C4AC6" w:rsidRDefault="00652F81" w:rsidP="00652F81">
      <w:r>
        <w:rPr>
          <w:noProof/>
          <w:lang w:val="en-US" w:eastAsia="en-US"/>
        </w:rPr>
        <w:drawing>
          <wp:inline distT="0" distB="0" distL="0" distR="0">
            <wp:extent cx="5572125" cy="3590925"/>
            <wp:effectExtent l="0" t="0" r="0" b="0"/>
            <wp:docPr id="38" name="Εικόνα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0" cstate="print"/>
                    <a:srcRect/>
                    <a:stretch>
                      <a:fillRect/>
                    </a:stretch>
                  </pic:blipFill>
                  <pic:spPr bwMode="auto">
                    <a:xfrm>
                      <a:off x="0" y="0"/>
                      <a:ext cx="5572125" cy="3590925"/>
                    </a:xfrm>
                    <a:prstGeom prst="rect">
                      <a:avLst/>
                    </a:prstGeom>
                    <a:noFill/>
                    <a:ln w="9525">
                      <a:noFill/>
                      <a:miter lim="800000"/>
                      <a:headEnd/>
                      <a:tailEnd/>
                    </a:ln>
                  </pic:spPr>
                </pic:pic>
              </a:graphicData>
            </a:graphic>
          </wp:inline>
        </w:drawing>
      </w:r>
    </w:p>
    <w:p w:rsidR="00652F81" w:rsidRPr="007B29C9" w:rsidRDefault="00652F81" w:rsidP="00652F81">
      <w:pPr>
        <w:rPr>
          <w:lang w:val="en-US"/>
        </w:rPr>
      </w:pPr>
    </w:p>
    <w:p w:rsidR="00652F81" w:rsidRDefault="00652F81" w:rsidP="00652F81">
      <w:pPr>
        <w:rPr>
          <w:lang w:val="en-US"/>
        </w:rPr>
      </w:pPr>
    </w:p>
    <w:tbl>
      <w:tblPr>
        <w:tblW w:w="9600" w:type="dxa"/>
        <w:tblBorders>
          <w:top w:val="single" w:sz="12" w:space="0" w:color="auto"/>
          <w:bottom w:val="single" w:sz="12" w:space="0" w:color="auto"/>
          <w:insideH w:val="dotted" w:sz="4" w:space="0" w:color="auto"/>
        </w:tblBorders>
        <w:tblLook w:val="00A0"/>
      </w:tblPr>
      <w:tblGrid>
        <w:gridCol w:w="960"/>
        <w:gridCol w:w="960"/>
        <w:gridCol w:w="960"/>
        <w:gridCol w:w="960"/>
        <w:gridCol w:w="960"/>
        <w:gridCol w:w="960"/>
        <w:gridCol w:w="960"/>
        <w:gridCol w:w="960"/>
        <w:gridCol w:w="960"/>
        <w:gridCol w:w="960"/>
      </w:tblGrid>
      <w:tr w:rsidR="00652F81" w:rsidRPr="00CA39FC" w:rsidTr="00652F81">
        <w:trPr>
          <w:trHeight w:val="255"/>
        </w:trPr>
        <w:tc>
          <w:tcPr>
            <w:tcW w:w="960" w:type="dxa"/>
            <w:tcBorders>
              <w:top w:val="single" w:sz="12" w:space="0" w:color="auto"/>
              <w:bottom w:val="single" w:sz="8" w:space="0" w:color="auto"/>
            </w:tcBorders>
            <w:noWrap/>
          </w:tcPr>
          <w:p w:rsidR="00652F81" w:rsidRPr="00CA39FC" w:rsidRDefault="00652F81" w:rsidP="00652F81">
            <w:pPr>
              <w:jc w:val="center"/>
              <w:rPr>
                <w:rFonts w:ascii="Tahoma" w:hAnsi="Tahoma" w:cs="Tahoma"/>
                <w:bCs/>
              </w:rPr>
            </w:pP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2002</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2003</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2004</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2005</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2006</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2007</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lang w:val="en-US"/>
              </w:rPr>
            </w:pPr>
            <w:r w:rsidRPr="00CA39FC">
              <w:rPr>
                <w:rFonts w:ascii="Tahoma" w:hAnsi="Tahoma" w:cs="Tahoma"/>
                <w:b/>
                <w:bCs/>
                <w:lang w:val="en-US"/>
              </w:rPr>
              <w:t>2008</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lang w:val="en-US"/>
              </w:rPr>
            </w:pPr>
            <w:r>
              <w:rPr>
                <w:rFonts w:ascii="Tahoma" w:hAnsi="Tahoma" w:cs="Tahoma"/>
                <w:b/>
                <w:bCs/>
                <w:lang w:val="en-US"/>
              </w:rPr>
              <w:t>2009</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lang w:val="en-US"/>
              </w:rPr>
            </w:pPr>
            <w:r>
              <w:rPr>
                <w:rFonts w:ascii="Tahoma" w:hAnsi="Tahoma" w:cs="Tahoma"/>
                <w:b/>
                <w:bCs/>
                <w:lang w:val="en-US"/>
              </w:rPr>
              <w:t>2010</w:t>
            </w:r>
          </w:p>
        </w:tc>
      </w:tr>
      <w:tr w:rsidR="00652F81" w:rsidRPr="00CA39FC" w:rsidTr="00652F81">
        <w:trPr>
          <w:trHeight w:val="255"/>
        </w:trPr>
        <w:tc>
          <w:tcPr>
            <w:tcW w:w="960" w:type="dxa"/>
            <w:tcBorders>
              <w:top w:val="single" w:sz="8" w:space="0" w:color="auto"/>
            </w:tcBorders>
            <w:noWrap/>
            <w:vAlign w:val="bottom"/>
          </w:tcPr>
          <w:p w:rsidR="00652F81" w:rsidRPr="00CA39FC" w:rsidRDefault="00652F81" w:rsidP="00652F81">
            <w:pPr>
              <w:rPr>
                <w:rFonts w:ascii="Tahoma" w:hAnsi="Tahoma" w:cs="Tahoma"/>
                <w:b/>
                <w:bCs/>
              </w:rPr>
            </w:pPr>
            <w:r w:rsidRPr="00CA39FC">
              <w:rPr>
                <w:rFonts w:ascii="Tahoma" w:hAnsi="Tahoma" w:cs="Tahoma"/>
                <w:b/>
                <w:bCs/>
              </w:rPr>
              <w:t>EU27</w:t>
            </w:r>
          </w:p>
        </w:tc>
        <w:tc>
          <w:tcPr>
            <w:tcW w:w="960" w:type="dxa"/>
            <w:tcBorders>
              <w:top w:val="single" w:sz="8" w:space="0" w:color="auto"/>
            </w:tcBorders>
            <w:noWrap/>
            <w:vAlign w:val="bottom"/>
          </w:tcPr>
          <w:p w:rsidR="00652F81" w:rsidRPr="00CC5648" w:rsidRDefault="00652F81" w:rsidP="00652F81">
            <w:pPr>
              <w:jc w:val="right"/>
              <w:rPr>
                <w:rFonts w:ascii="Tahoma" w:hAnsi="Tahoma" w:cs="Tahoma"/>
              </w:rPr>
            </w:pPr>
            <w:r w:rsidRPr="00CC5648">
              <w:rPr>
                <w:rFonts w:ascii="Tahoma" w:hAnsi="Tahoma" w:cs="Tahoma"/>
              </w:rPr>
              <w:t>:</w:t>
            </w:r>
          </w:p>
        </w:tc>
        <w:tc>
          <w:tcPr>
            <w:tcW w:w="960" w:type="dxa"/>
            <w:tcBorders>
              <w:top w:val="single" w:sz="8" w:space="0" w:color="auto"/>
            </w:tcBorders>
            <w:noWrap/>
            <w:vAlign w:val="bottom"/>
          </w:tcPr>
          <w:p w:rsidR="00652F81" w:rsidRPr="00CC5648" w:rsidRDefault="00652F81" w:rsidP="00652F81">
            <w:pPr>
              <w:jc w:val="right"/>
              <w:rPr>
                <w:rFonts w:ascii="Tahoma" w:hAnsi="Tahoma" w:cs="Tahoma"/>
              </w:rPr>
            </w:pPr>
            <w:r w:rsidRPr="00CC5648">
              <w:rPr>
                <w:rFonts w:ascii="Tahoma" w:hAnsi="Tahoma" w:cs="Tahoma"/>
              </w:rPr>
              <w:t>:</w:t>
            </w:r>
          </w:p>
        </w:tc>
        <w:tc>
          <w:tcPr>
            <w:tcW w:w="960" w:type="dxa"/>
            <w:tcBorders>
              <w:top w:val="single" w:sz="8" w:space="0" w:color="auto"/>
            </w:tcBorders>
            <w:noWrap/>
            <w:vAlign w:val="bottom"/>
          </w:tcPr>
          <w:p w:rsidR="00652F81" w:rsidRPr="00CC5648" w:rsidRDefault="00652F81" w:rsidP="00652F81">
            <w:pPr>
              <w:jc w:val="right"/>
              <w:rPr>
                <w:rFonts w:ascii="Tahoma" w:hAnsi="Tahoma" w:cs="Tahoma"/>
              </w:rPr>
            </w:pPr>
            <w:r w:rsidRPr="00CC5648">
              <w:rPr>
                <w:rFonts w:ascii="Tahoma" w:hAnsi="Tahoma" w:cs="Tahoma"/>
              </w:rPr>
              <w:t>41</w:t>
            </w:r>
          </w:p>
        </w:tc>
        <w:tc>
          <w:tcPr>
            <w:tcW w:w="960" w:type="dxa"/>
            <w:tcBorders>
              <w:top w:val="single" w:sz="8" w:space="0" w:color="auto"/>
            </w:tcBorders>
            <w:noWrap/>
            <w:vAlign w:val="bottom"/>
          </w:tcPr>
          <w:p w:rsidR="00652F81" w:rsidRPr="00CC5648" w:rsidRDefault="00652F81" w:rsidP="00652F81">
            <w:pPr>
              <w:jc w:val="right"/>
              <w:rPr>
                <w:rFonts w:ascii="Tahoma" w:hAnsi="Tahoma" w:cs="Tahoma"/>
              </w:rPr>
            </w:pPr>
            <w:r w:rsidRPr="00CC5648">
              <w:rPr>
                <w:rFonts w:ascii="Tahoma" w:hAnsi="Tahoma" w:cs="Tahoma"/>
              </w:rPr>
              <w:t>48</w:t>
            </w:r>
          </w:p>
        </w:tc>
        <w:tc>
          <w:tcPr>
            <w:tcW w:w="960" w:type="dxa"/>
            <w:tcBorders>
              <w:top w:val="single" w:sz="8" w:space="0" w:color="auto"/>
            </w:tcBorders>
            <w:noWrap/>
            <w:vAlign w:val="bottom"/>
          </w:tcPr>
          <w:p w:rsidR="00652F81" w:rsidRPr="00CC5648" w:rsidRDefault="00652F81" w:rsidP="00652F81">
            <w:pPr>
              <w:jc w:val="right"/>
              <w:rPr>
                <w:rFonts w:ascii="Tahoma" w:hAnsi="Tahoma" w:cs="Tahoma"/>
              </w:rPr>
            </w:pPr>
            <w:r w:rsidRPr="00CC5648">
              <w:rPr>
                <w:rFonts w:ascii="Tahoma" w:hAnsi="Tahoma" w:cs="Tahoma"/>
              </w:rPr>
              <w:t>49</w:t>
            </w:r>
          </w:p>
        </w:tc>
        <w:tc>
          <w:tcPr>
            <w:tcW w:w="960" w:type="dxa"/>
            <w:tcBorders>
              <w:top w:val="single" w:sz="8" w:space="0" w:color="auto"/>
            </w:tcBorders>
            <w:noWrap/>
            <w:vAlign w:val="bottom"/>
          </w:tcPr>
          <w:p w:rsidR="00652F81" w:rsidRPr="00CC5648" w:rsidRDefault="00652F81" w:rsidP="00652F81">
            <w:pPr>
              <w:jc w:val="right"/>
              <w:rPr>
                <w:rFonts w:ascii="Tahoma" w:hAnsi="Tahoma" w:cs="Tahoma"/>
              </w:rPr>
            </w:pPr>
            <w:r w:rsidRPr="00CC5648">
              <w:rPr>
                <w:rFonts w:ascii="Tahoma" w:hAnsi="Tahoma" w:cs="Tahoma"/>
              </w:rPr>
              <w:t>54</w:t>
            </w:r>
          </w:p>
        </w:tc>
        <w:tc>
          <w:tcPr>
            <w:tcW w:w="960" w:type="dxa"/>
            <w:tcBorders>
              <w:top w:val="single" w:sz="8" w:space="0" w:color="auto"/>
            </w:tcBorders>
            <w:noWrap/>
            <w:vAlign w:val="bottom"/>
          </w:tcPr>
          <w:p w:rsidR="00652F81" w:rsidRPr="00CC5648" w:rsidRDefault="00652F81" w:rsidP="00652F81">
            <w:pPr>
              <w:jc w:val="right"/>
              <w:rPr>
                <w:rFonts w:ascii="Tahoma" w:hAnsi="Tahoma" w:cs="Tahoma"/>
              </w:rPr>
            </w:pPr>
            <w:r w:rsidRPr="00CC5648">
              <w:rPr>
                <w:rFonts w:ascii="Tahoma" w:hAnsi="Tahoma" w:cs="Tahoma"/>
              </w:rPr>
              <w:t>60</w:t>
            </w:r>
          </w:p>
        </w:tc>
        <w:tc>
          <w:tcPr>
            <w:tcW w:w="960" w:type="dxa"/>
            <w:tcBorders>
              <w:top w:val="single" w:sz="8" w:space="0" w:color="auto"/>
            </w:tcBorders>
            <w:noWrap/>
            <w:vAlign w:val="bottom"/>
          </w:tcPr>
          <w:p w:rsidR="00652F81" w:rsidRPr="00CC5648" w:rsidRDefault="00652F81" w:rsidP="00652F81">
            <w:pPr>
              <w:jc w:val="right"/>
              <w:rPr>
                <w:rFonts w:ascii="Tahoma" w:hAnsi="Tahoma" w:cs="Tahoma"/>
              </w:rPr>
            </w:pPr>
            <w:r w:rsidRPr="00CC5648">
              <w:rPr>
                <w:rFonts w:ascii="Tahoma" w:hAnsi="Tahoma" w:cs="Tahoma"/>
              </w:rPr>
              <w:t>65</w:t>
            </w:r>
          </w:p>
        </w:tc>
        <w:tc>
          <w:tcPr>
            <w:tcW w:w="960" w:type="dxa"/>
            <w:tcBorders>
              <w:top w:val="single" w:sz="8" w:space="0" w:color="auto"/>
            </w:tcBorders>
            <w:noWrap/>
            <w:vAlign w:val="bottom"/>
          </w:tcPr>
          <w:p w:rsidR="00652F81" w:rsidRPr="00CC5648" w:rsidRDefault="00652F81" w:rsidP="00652F81">
            <w:pPr>
              <w:jc w:val="right"/>
              <w:rPr>
                <w:rFonts w:ascii="Tahoma" w:hAnsi="Tahoma" w:cs="Tahoma"/>
              </w:rPr>
            </w:pPr>
            <w:r w:rsidRPr="00CC5648">
              <w:rPr>
                <w:rFonts w:ascii="Tahoma" w:hAnsi="Tahoma" w:cs="Tahoma"/>
              </w:rPr>
              <w:t>70</w:t>
            </w:r>
          </w:p>
        </w:tc>
      </w:tr>
      <w:tr w:rsidR="00652F81" w:rsidRPr="00CA39FC"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EU25</w:t>
            </w:r>
          </w:p>
        </w:tc>
        <w:tc>
          <w:tcPr>
            <w:tcW w:w="960" w:type="dxa"/>
            <w:noWrap/>
            <w:vAlign w:val="bottom"/>
          </w:tcPr>
          <w:p w:rsidR="00652F81" w:rsidRPr="00CC5648" w:rsidRDefault="00652F81" w:rsidP="00652F81">
            <w:pPr>
              <w:jc w:val="right"/>
              <w:rPr>
                <w:rFonts w:ascii="Tahoma" w:hAnsi="Tahoma" w:cs="Tahoma"/>
              </w:rPr>
            </w:pPr>
            <w:r w:rsidRPr="00CC5648">
              <w:rPr>
                <w:rFonts w:ascii="Tahoma" w:hAnsi="Tahoma" w:cs="Tahoma"/>
              </w:rPr>
              <w:t>:</w:t>
            </w:r>
          </w:p>
        </w:tc>
        <w:tc>
          <w:tcPr>
            <w:tcW w:w="960" w:type="dxa"/>
            <w:noWrap/>
            <w:vAlign w:val="bottom"/>
          </w:tcPr>
          <w:p w:rsidR="00652F81" w:rsidRPr="00CC5648" w:rsidRDefault="00652F81" w:rsidP="00652F81">
            <w:pPr>
              <w:jc w:val="right"/>
              <w:rPr>
                <w:rFonts w:ascii="Tahoma" w:hAnsi="Tahoma" w:cs="Tahoma"/>
              </w:rPr>
            </w:pPr>
            <w:r w:rsidRPr="00CC5648">
              <w:rPr>
                <w:rFonts w:ascii="Tahoma" w:hAnsi="Tahoma" w:cs="Tahoma"/>
              </w:rPr>
              <w:t>:</w:t>
            </w:r>
          </w:p>
        </w:tc>
        <w:tc>
          <w:tcPr>
            <w:tcW w:w="960" w:type="dxa"/>
            <w:noWrap/>
            <w:vAlign w:val="bottom"/>
          </w:tcPr>
          <w:p w:rsidR="00652F81" w:rsidRPr="00CC5648" w:rsidRDefault="00652F81" w:rsidP="00652F81">
            <w:pPr>
              <w:jc w:val="right"/>
              <w:rPr>
                <w:rFonts w:ascii="Tahoma" w:hAnsi="Tahoma" w:cs="Tahoma"/>
              </w:rPr>
            </w:pPr>
            <w:r w:rsidRPr="00CC5648">
              <w:rPr>
                <w:rFonts w:ascii="Tahoma" w:hAnsi="Tahoma" w:cs="Tahoma"/>
              </w:rPr>
              <w:t>43</w:t>
            </w:r>
          </w:p>
        </w:tc>
        <w:tc>
          <w:tcPr>
            <w:tcW w:w="960" w:type="dxa"/>
            <w:noWrap/>
            <w:vAlign w:val="bottom"/>
          </w:tcPr>
          <w:p w:rsidR="00652F81" w:rsidRPr="00CC5648" w:rsidRDefault="00652F81" w:rsidP="00652F81">
            <w:pPr>
              <w:jc w:val="right"/>
              <w:rPr>
                <w:rFonts w:ascii="Tahoma" w:hAnsi="Tahoma" w:cs="Tahoma"/>
              </w:rPr>
            </w:pPr>
            <w:r w:rsidRPr="00CC5648">
              <w:rPr>
                <w:rFonts w:ascii="Tahoma" w:hAnsi="Tahoma" w:cs="Tahoma"/>
              </w:rPr>
              <w:t>48</w:t>
            </w:r>
          </w:p>
        </w:tc>
        <w:tc>
          <w:tcPr>
            <w:tcW w:w="960" w:type="dxa"/>
            <w:noWrap/>
            <w:vAlign w:val="bottom"/>
          </w:tcPr>
          <w:p w:rsidR="00652F81" w:rsidRPr="00CC5648" w:rsidRDefault="00652F81" w:rsidP="00652F81">
            <w:pPr>
              <w:jc w:val="right"/>
              <w:rPr>
                <w:rFonts w:ascii="Tahoma" w:hAnsi="Tahoma" w:cs="Tahoma"/>
              </w:rPr>
            </w:pPr>
            <w:r w:rsidRPr="00CC5648">
              <w:rPr>
                <w:rFonts w:ascii="Tahoma" w:hAnsi="Tahoma" w:cs="Tahoma"/>
              </w:rPr>
              <w:t>51</w:t>
            </w:r>
          </w:p>
        </w:tc>
        <w:tc>
          <w:tcPr>
            <w:tcW w:w="960" w:type="dxa"/>
            <w:noWrap/>
            <w:vAlign w:val="bottom"/>
          </w:tcPr>
          <w:p w:rsidR="00652F81" w:rsidRPr="00CC5648" w:rsidRDefault="00652F81" w:rsidP="00652F81">
            <w:pPr>
              <w:jc w:val="right"/>
              <w:rPr>
                <w:rFonts w:ascii="Tahoma" w:hAnsi="Tahoma" w:cs="Tahoma"/>
              </w:rPr>
            </w:pPr>
            <w:r w:rsidRPr="00CC5648">
              <w:rPr>
                <w:rFonts w:ascii="Tahoma" w:hAnsi="Tahoma" w:cs="Tahoma"/>
              </w:rPr>
              <w:t>56</w:t>
            </w:r>
          </w:p>
        </w:tc>
        <w:tc>
          <w:tcPr>
            <w:tcW w:w="960" w:type="dxa"/>
            <w:noWrap/>
            <w:vAlign w:val="bottom"/>
          </w:tcPr>
          <w:p w:rsidR="00652F81" w:rsidRPr="00CC5648" w:rsidRDefault="00652F81" w:rsidP="00652F81">
            <w:pPr>
              <w:jc w:val="right"/>
              <w:rPr>
                <w:rFonts w:ascii="Tahoma" w:hAnsi="Tahoma" w:cs="Tahoma"/>
              </w:rPr>
            </w:pPr>
            <w:r w:rsidRPr="00CC5648">
              <w:rPr>
                <w:rFonts w:ascii="Tahoma" w:hAnsi="Tahoma" w:cs="Tahoma"/>
              </w:rPr>
              <w:t>62</w:t>
            </w:r>
          </w:p>
        </w:tc>
        <w:tc>
          <w:tcPr>
            <w:tcW w:w="960" w:type="dxa"/>
            <w:noWrap/>
            <w:vAlign w:val="bottom"/>
          </w:tcPr>
          <w:p w:rsidR="00652F81" w:rsidRPr="00CC5648" w:rsidRDefault="00652F81" w:rsidP="00652F81">
            <w:pPr>
              <w:jc w:val="right"/>
              <w:rPr>
                <w:rFonts w:ascii="Tahoma" w:hAnsi="Tahoma" w:cs="Tahoma"/>
              </w:rPr>
            </w:pPr>
            <w:r w:rsidRPr="00CC5648">
              <w:rPr>
                <w:rFonts w:ascii="Tahoma" w:hAnsi="Tahoma" w:cs="Tahoma"/>
              </w:rPr>
              <w:t>67</w:t>
            </w:r>
          </w:p>
        </w:tc>
        <w:tc>
          <w:tcPr>
            <w:tcW w:w="960" w:type="dxa"/>
            <w:noWrap/>
            <w:vAlign w:val="bottom"/>
          </w:tcPr>
          <w:p w:rsidR="00652F81" w:rsidRPr="00CC5648" w:rsidRDefault="00652F81" w:rsidP="00652F81">
            <w:pPr>
              <w:jc w:val="right"/>
              <w:rPr>
                <w:rFonts w:ascii="Tahoma" w:hAnsi="Tahoma" w:cs="Tahoma"/>
              </w:rPr>
            </w:pPr>
            <w:r w:rsidRPr="00CC5648">
              <w:rPr>
                <w:rFonts w:ascii="Tahoma" w:hAnsi="Tahoma" w:cs="Tahoma"/>
              </w:rPr>
              <w:t>72</w:t>
            </w:r>
          </w:p>
        </w:tc>
      </w:tr>
      <w:tr w:rsidR="00652F81" w:rsidRPr="00CA39FC"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EU15</w:t>
            </w:r>
          </w:p>
        </w:tc>
        <w:tc>
          <w:tcPr>
            <w:tcW w:w="960" w:type="dxa"/>
            <w:noWrap/>
            <w:vAlign w:val="bottom"/>
          </w:tcPr>
          <w:p w:rsidR="00652F81" w:rsidRPr="00CC5648" w:rsidRDefault="00652F81" w:rsidP="00652F81">
            <w:pPr>
              <w:jc w:val="right"/>
              <w:rPr>
                <w:rFonts w:ascii="Tahoma" w:hAnsi="Tahoma" w:cs="Tahoma"/>
              </w:rPr>
            </w:pPr>
            <w:r w:rsidRPr="00CC5648">
              <w:rPr>
                <w:rFonts w:ascii="Tahoma" w:hAnsi="Tahoma" w:cs="Tahoma"/>
              </w:rPr>
              <w:t>39</w:t>
            </w:r>
          </w:p>
        </w:tc>
        <w:tc>
          <w:tcPr>
            <w:tcW w:w="960" w:type="dxa"/>
            <w:noWrap/>
            <w:vAlign w:val="bottom"/>
          </w:tcPr>
          <w:p w:rsidR="00652F81" w:rsidRPr="00CC5648" w:rsidRDefault="00652F81" w:rsidP="00652F81">
            <w:pPr>
              <w:jc w:val="right"/>
              <w:rPr>
                <w:rFonts w:ascii="Tahoma" w:hAnsi="Tahoma" w:cs="Tahoma"/>
              </w:rPr>
            </w:pPr>
            <w:r w:rsidRPr="00CC5648">
              <w:rPr>
                <w:rFonts w:ascii="Tahoma" w:hAnsi="Tahoma" w:cs="Tahoma"/>
              </w:rPr>
              <w:t>43</w:t>
            </w:r>
          </w:p>
        </w:tc>
        <w:tc>
          <w:tcPr>
            <w:tcW w:w="960" w:type="dxa"/>
            <w:noWrap/>
            <w:vAlign w:val="bottom"/>
          </w:tcPr>
          <w:p w:rsidR="00652F81" w:rsidRPr="00CC5648" w:rsidRDefault="00652F81" w:rsidP="00652F81">
            <w:pPr>
              <w:jc w:val="right"/>
              <w:rPr>
                <w:rFonts w:ascii="Tahoma" w:hAnsi="Tahoma" w:cs="Tahoma"/>
              </w:rPr>
            </w:pPr>
            <w:r w:rsidRPr="00CC5648">
              <w:rPr>
                <w:rFonts w:ascii="Tahoma" w:hAnsi="Tahoma" w:cs="Tahoma"/>
              </w:rPr>
              <w:t>46</w:t>
            </w:r>
          </w:p>
        </w:tc>
        <w:tc>
          <w:tcPr>
            <w:tcW w:w="960" w:type="dxa"/>
            <w:noWrap/>
            <w:vAlign w:val="bottom"/>
          </w:tcPr>
          <w:p w:rsidR="00652F81" w:rsidRPr="00CC5648" w:rsidRDefault="00652F81" w:rsidP="00652F81">
            <w:pPr>
              <w:jc w:val="right"/>
              <w:rPr>
                <w:rFonts w:ascii="Tahoma" w:hAnsi="Tahoma" w:cs="Tahoma"/>
              </w:rPr>
            </w:pPr>
            <w:r w:rsidRPr="00CC5648">
              <w:rPr>
                <w:rFonts w:ascii="Tahoma" w:hAnsi="Tahoma" w:cs="Tahoma"/>
              </w:rPr>
              <w:t>53</w:t>
            </w:r>
          </w:p>
        </w:tc>
        <w:tc>
          <w:tcPr>
            <w:tcW w:w="960" w:type="dxa"/>
            <w:noWrap/>
            <w:vAlign w:val="bottom"/>
          </w:tcPr>
          <w:p w:rsidR="00652F81" w:rsidRPr="00CC5648" w:rsidRDefault="00652F81" w:rsidP="00652F81">
            <w:pPr>
              <w:jc w:val="right"/>
              <w:rPr>
                <w:rFonts w:ascii="Tahoma" w:hAnsi="Tahoma" w:cs="Tahoma"/>
              </w:rPr>
            </w:pPr>
            <w:r w:rsidRPr="00CC5648">
              <w:rPr>
                <w:rFonts w:ascii="Tahoma" w:hAnsi="Tahoma" w:cs="Tahoma"/>
              </w:rPr>
              <w:t>54</w:t>
            </w:r>
          </w:p>
        </w:tc>
        <w:tc>
          <w:tcPr>
            <w:tcW w:w="960" w:type="dxa"/>
            <w:noWrap/>
            <w:vAlign w:val="bottom"/>
          </w:tcPr>
          <w:p w:rsidR="00652F81" w:rsidRPr="00CC5648" w:rsidRDefault="00652F81" w:rsidP="00652F81">
            <w:pPr>
              <w:jc w:val="right"/>
              <w:rPr>
                <w:rFonts w:ascii="Tahoma" w:hAnsi="Tahoma" w:cs="Tahoma"/>
              </w:rPr>
            </w:pPr>
            <w:r w:rsidRPr="00CC5648">
              <w:rPr>
                <w:rFonts w:ascii="Tahoma" w:hAnsi="Tahoma" w:cs="Tahoma"/>
              </w:rPr>
              <w:t>59</w:t>
            </w:r>
          </w:p>
        </w:tc>
        <w:tc>
          <w:tcPr>
            <w:tcW w:w="960" w:type="dxa"/>
            <w:noWrap/>
            <w:vAlign w:val="bottom"/>
          </w:tcPr>
          <w:p w:rsidR="00652F81" w:rsidRPr="00CC5648" w:rsidRDefault="00652F81" w:rsidP="00652F81">
            <w:pPr>
              <w:jc w:val="right"/>
              <w:rPr>
                <w:rFonts w:ascii="Tahoma" w:hAnsi="Tahoma" w:cs="Tahoma"/>
              </w:rPr>
            </w:pPr>
            <w:r w:rsidRPr="00CC5648">
              <w:rPr>
                <w:rFonts w:ascii="Tahoma" w:hAnsi="Tahoma" w:cs="Tahoma"/>
              </w:rPr>
              <w:t>64</w:t>
            </w:r>
          </w:p>
        </w:tc>
        <w:tc>
          <w:tcPr>
            <w:tcW w:w="960" w:type="dxa"/>
            <w:noWrap/>
            <w:vAlign w:val="bottom"/>
          </w:tcPr>
          <w:p w:rsidR="00652F81" w:rsidRPr="00CC5648" w:rsidRDefault="00652F81" w:rsidP="00652F81">
            <w:pPr>
              <w:jc w:val="right"/>
              <w:rPr>
                <w:rFonts w:ascii="Tahoma" w:hAnsi="Tahoma" w:cs="Tahoma"/>
              </w:rPr>
            </w:pPr>
            <w:r w:rsidRPr="00CC5648">
              <w:rPr>
                <w:rFonts w:ascii="Tahoma" w:hAnsi="Tahoma" w:cs="Tahoma"/>
              </w:rPr>
              <w:t>68</w:t>
            </w:r>
          </w:p>
        </w:tc>
        <w:tc>
          <w:tcPr>
            <w:tcW w:w="960" w:type="dxa"/>
            <w:noWrap/>
            <w:vAlign w:val="bottom"/>
          </w:tcPr>
          <w:p w:rsidR="00652F81" w:rsidRPr="00CC5648" w:rsidRDefault="00652F81" w:rsidP="00652F81">
            <w:pPr>
              <w:jc w:val="right"/>
              <w:rPr>
                <w:rFonts w:ascii="Tahoma" w:hAnsi="Tahoma" w:cs="Tahoma"/>
              </w:rPr>
            </w:pPr>
            <w:r w:rsidRPr="00CC5648">
              <w:rPr>
                <w:rFonts w:ascii="Tahoma" w:hAnsi="Tahoma" w:cs="Tahoma"/>
              </w:rPr>
              <w:t>73</w:t>
            </w:r>
          </w:p>
        </w:tc>
      </w:tr>
      <w:tr w:rsidR="00652F81" w:rsidRPr="00CA39FC" w:rsidTr="00652F81">
        <w:trPr>
          <w:trHeight w:val="255"/>
        </w:trPr>
        <w:tc>
          <w:tcPr>
            <w:tcW w:w="960" w:type="dxa"/>
            <w:noWrap/>
            <w:vAlign w:val="bottom"/>
          </w:tcPr>
          <w:p w:rsidR="00652F81" w:rsidRPr="002C4AC6" w:rsidRDefault="00652F81" w:rsidP="00652F81">
            <w:pPr>
              <w:rPr>
                <w:rFonts w:ascii="Tahoma" w:hAnsi="Tahoma" w:cs="Tahoma"/>
                <w:b/>
                <w:bCs/>
              </w:rPr>
            </w:pPr>
            <w:r>
              <w:rPr>
                <w:rFonts w:ascii="Tahoma" w:hAnsi="Tahoma" w:cs="Tahoma"/>
                <w:b/>
                <w:bCs/>
              </w:rPr>
              <w:t>EA17</w:t>
            </w:r>
          </w:p>
        </w:tc>
        <w:tc>
          <w:tcPr>
            <w:tcW w:w="960" w:type="dxa"/>
            <w:noWrap/>
            <w:vAlign w:val="bottom"/>
          </w:tcPr>
          <w:p w:rsidR="00652F81" w:rsidRPr="00CC5648" w:rsidRDefault="00652F81" w:rsidP="00652F81">
            <w:pPr>
              <w:jc w:val="right"/>
              <w:rPr>
                <w:rFonts w:ascii="Tahoma" w:hAnsi="Tahoma" w:cs="Tahoma"/>
                <w:lang w:val="en-US"/>
              </w:rPr>
            </w:pPr>
            <w:r>
              <w:rPr>
                <w:rFonts w:ascii="Tahoma" w:hAnsi="Tahoma" w:cs="Tahoma"/>
                <w:lang w:val="en-US"/>
              </w:rPr>
              <w:t>:</w:t>
            </w:r>
          </w:p>
        </w:tc>
        <w:tc>
          <w:tcPr>
            <w:tcW w:w="960" w:type="dxa"/>
            <w:noWrap/>
          </w:tcPr>
          <w:p w:rsidR="00652F81" w:rsidRPr="00CC5648" w:rsidRDefault="00652F81" w:rsidP="00652F81">
            <w:pPr>
              <w:jc w:val="right"/>
              <w:rPr>
                <w:lang w:val="en-US"/>
              </w:rPr>
            </w:pPr>
            <w:r>
              <w:rPr>
                <w:lang w:val="en-US"/>
              </w:rPr>
              <w:t>:</w:t>
            </w:r>
          </w:p>
        </w:tc>
        <w:tc>
          <w:tcPr>
            <w:tcW w:w="960" w:type="dxa"/>
            <w:noWrap/>
          </w:tcPr>
          <w:p w:rsidR="00652F81" w:rsidRPr="00CC5648" w:rsidRDefault="00652F81" w:rsidP="00652F81">
            <w:pPr>
              <w:jc w:val="right"/>
              <w:rPr>
                <w:lang w:val="en-US"/>
              </w:rPr>
            </w:pPr>
            <w:r>
              <w:rPr>
                <w:lang w:val="en-US"/>
              </w:rPr>
              <w:t>:</w:t>
            </w:r>
          </w:p>
        </w:tc>
        <w:tc>
          <w:tcPr>
            <w:tcW w:w="960" w:type="dxa"/>
            <w:noWrap/>
          </w:tcPr>
          <w:p w:rsidR="00652F81" w:rsidRPr="00CC5648" w:rsidRDefault="00652F81" w:rsidP="00652F81">
            <w:pPr>
              <w:jc w:val="right"/>
              <w:rPr>
                <w:lang w:val="en-US"/>
              </w:rPr>
            </w:pPr>
            <w:r>
              <w:rPr>
                <w:lang w:val="en-US"/>
              </w:rPr>
              <w:t>:</w:t>
            </w:r>
          </w:p>
        </w:tc>
        <w:tc>
          <w:tcPr>
            <w:tcW w:w="960" w:type="dxa"/>
            <w:noWrap/>
          </w:tcPr>
          <w:p w:rsidR="00652F81" w:rsidRPr="00CC5648" w:rsidRDefault="00652F81" w:rsidP="00652F81">
            <w:pPr>
              <w:jc w:val="right"/>
              <w:rPr>
                <w:lang w:val="en-US"/>
              </w:rPr>
            </w:pPr>
            <w:r>
              <w:rPr>
                <w:lang w:val="en-US"/>
              </w:rPr>
              <w:t>:</w:t>
            </w:r>
          </w:p>
        </w:tc>
        <w:tc>
          <w:tcPr>
            <w:tcW w:w="960" w:type="dxa"/>
            <w:noWrap/>
          </w:tcPr>
          <w:p w:rsidR="00652F81" w:rsidRPr="00CC5648" w:rsidRDefault="00652F81" w:rsidP="00652F81">
            <w:pPr>
              <w:jc w:val="right"/>
              <w:rPr>
                <w:lang w:val="en-US"/>
              </w:rPr>
            </w:pPr>
            <w:r>
              <w:rPr>
                <w:lang w:val="en-US"/>
              </w:rPr>
              <w:t>:</w:t>
            </w:r>
          </w:p>
        </w:tc>
        <w:tc>
          <w:tcPr>
            <w:tcW w:w="960" w:type="dxa"/>
            <w:noWrap/>
          </w:tcPr>
          <w:p w:rsidR="00652F81" w:rsidRPr="00CC5648" w:rsidRDefault="00652F81" w:rsidP="00652F81">
            <w:pPr>
              <w:jc w:val="right"/>
              <w:rPr>
                <w:lang w:val="en-US"/>
              </w:rPr>
            </w:pPr>
            <w:r>
              <w:rPr>
                <w:lang w:val="en-US"/>
              </w:rPr>
              <w:t>:</w:t>
            </w:r>
          </w:p>
        </w:tc>
        <w:tc>
          <w:tcPr>
            <w:tcW w:w="960" w:type="dxa"/>
            <w:noWrap/>
          </w:tcPr>
          <w:p w:rsidR="00652F81" w:rsidRPr="00CC5648" w:rsidRDefault="00652F81" w:rsidP="00652F81">
            <w:pPr>
              <w:jc w:val="right"/>
              <w:rPr>
                <w:lang w:val="en-US"/>
              </w:rPr>
            </w:pPr>
            <w:r>
              <w:rPr>
                <w:lang w:val="en-US"/>
              </w:rPr>
              <w:t>:</w:t>
            </w:r>
          </w:p>
        </w:tc>
        <w:tc>
          <w:tcPr>
            <w:tcW w:w="960" w:type="dxa"/>
            <w:noWrap/>
          </w:tcPr>
          <w:p w:rsidR="00652F81" w:rsidRPr="00CC5648" w:rsidRDefault="00652F81" w:rsidP="00652F81">
            <w:pPr>
              <w:jc w:val="right"/>
              <w:rPr>
                <w:lang w:val="en-US"/>
              </w:rPr>
            </w:pPr>
            <w:r>
              <w:rPr>
                <w:lang w:val="en-US"/>
              </w:rPr>
              <w:t>:</w:t>
            </w:r>
          </w:p>
        </w:tc>
      </w:tr>
      <w:tr w:rsidR="00652F81" w:rsidRPr="00CA39FC"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EL</w:t>
            </w:r>
          </w:p>
        </w:tc>
        <w:tc>
          <w:tcPr>
            <w:tcW w:w="960" w:type="dxa"/>
            <w:noWrap/>
            <w:vAlign w:val="bottom"/>
          </w:tcPr>
          <w:p w:rsidR="00652F81" w:rsidRPr="00CC5648" w:rsidRDefault="00652F81" w:rsidP="00652F81">
            <w:pPr>
              <w:jc w:val="right"/>
              <w:rPr>
                <w:rFonts w:ascii="Tahoma" w:hAnsi="Tahoma" w:cs="Tahoma"/>
              </w:rPr>
            </w:pPr>
            <w:r w:rsidRPr="00CC5648">
              <w:rPr>
                <w:rFonts w:ascii="Tahoma" w:hAnsi="Tahoma" w:cs="Tahoma"/>
              </w:rPr>
              <w:t>12</w:t>
            </w:r>
          </w:p>
        </w:tc>
        <w:tc>
          <w:tcPr>
            <w:tcW w:w="960" w:type="dxa"/>
            <w:noWrap/>
            <w:vAlign w:val="bottom"/>
          </w:tcPr>
          <w:p w:rsidR="00652F81" w:rsidRPr="00CC5648" w:rsidRDefault="00652F81" w:rsidP="00652F81">
            <w:pPr>
              <w:jc w:val="right"/>
              <w:rPr>
                <w:rFonts w:ascii="Tahoma" w:hAnsi="Tahoma" w:cs="Tahoma"/>
              </w:rPr>
            </w:pPr>
            <w:r w:rsidRPr="00CC5648">
              <w:rPr>
                <w:rFonts w:ascii="Tahoma" w:hAnsi="Tahoma" w:cs="Tahoma"/>
              </w:rPr>
              <w:t>16</w:t>
            </w:r>
          </w:p>
        </w:tc>
        <w:tc>
          <w:tcPr>
            <w:tcW w:w="960" w:type="dxa"/>
            <w:noWrap/>
            <w:vAlign w:val="bottom"/>
          </w:tcPr>
          <w:p w:rsidR="00652F81" w:rsidRPr="00CC5648" w:rsidRDefault="00652F81" w:rsidP="00652F81">
            <w:pPr>
              <w:jc w:val="right"/>
              <w:rPr>
                <w:rFonts w:ascii="Tahoma" w:hAnsi="Tahoma" w:cs="Tahoma"/>
              </w:rPr>
            </w:pPr>
            <w:r w:rsidRPr="00CC5648">
              <w:rPr>
                <w:rFonts w:ascii="Tahoma" w:hAnsi="Tahoma" w:cs="Tahoma"/>
              </w:rPr>
              <w:t>17</w:t>
            </w:r>
          </w:p>
        </w:tc>
        <w:tc>
          <w:tcPr>
            <w:tcW w:w="960" w:type="dxa"/>
            <w:noWrap/>
            <w:vAlign w:val="bottom"/>
          </w:tcPr>
          <w:p w:rsidR="00652F81" w:rsidRPr="00CC5648" w:rsidRDefault="00652F81" w:rsidP="00652F81">
            <w:pPr>
              <w:jc w:val="right"/>
              <w:rPr>
                <w:rFonts w:ascii="Tahoma" w:hAnsi="Tahoma" w:cs="Tahoma"/>
              </w:rPr>
            </w:pPr>
            <w:r w:rsidRPr="00CC5648">
              <w:rPr>
                <w:rFonts w:ascii="Tahoma" w:hAnsi="Tahoma" w:cs="Tahoma"/>
              </w:rPr>
              <w:t>22</w:t>
            </w:r>
          </w:p>
        </w:tc>
        <w:tc>
          <w:tcPr>
            <w:tcW w:w="960" w:type="dxa"/>
            <w:noWrap/>
            <w:vAlign w:val="bottom"/>
          </w:tcPr>
          <w:p w:rsidR="00652F81" w:rsidRPr="00CC5648" w:rsidRDefault="00652F81" w:rsidP="00652F81">
            <w:pPr>
              <w:jc w:val="right"/>
              <w:rPr>
                <w:rFonts w:ascii="Tahoma" w:hAnsi="Tahoma" w:cs="Tahoma"/>
              </w:rPr>
            </w:pPr>
            <w:r w:rsidRPr="00CC5648">
              <w:rPr>
                <w:rFonts w:ascii="Tahoma" w:hAnsi="Tahoma" w:cs="Tahoma"/>
              </w:rPr>
              <w:t>23</w:t>
            </w:r>
          </w:p>
        </w:tc>
        <w:tc>
          <w:tcPr>
            <w:tcW w:w="960" w:type="dxa"/>
            <w:noWrap/>
            <w:vAlign w:val="bottom"/>
          </w:tcPr>
          <w:p w:rsidR="00652F81" w:rsidRPr="00CC5648" w:rsidRDefault="00652F81" w:rsidP="00652F81">
            <w:pPr>
              <w:jc w:val="right"/>
              <w:rPr>
                <w:rFonts w:ascii="Tahoma" w:hAnsi="Tahoma" w:cs="Tahoma"/>
              </w:rPr>
            </w:pPr>
            <w:r w:rsidRPr="00CC5648">
              <w:rPr>
                <w:rFonts w:ascii="Tahoma" w:hAnsi="Tahoma" w:cs="Tahoma"/>
              </w:rPr>
              <w:t>25</w:t>
            </w:r>
          </w:p>
        </w:tc>
        <w:tc>
          <w:tcPr>
            <w:tcW w:w="960" w:type="dxa"/>
            <w:noWrap/>
            <w:vAlign w:val="bottom"/>
          </w:tcPr>
          <w:p w:rsidR="00652F81" w:rsidRPr="00CC5648" w:rsidRDefault="00652F81" w:rsidP="00652F81">
            <w:pPr>
              <w:jc w:val="right"/>
              <w:rPr>
                <w:rFonts w:ascii="Tahoma" w:hAnsi="Tahoma" w:cs="Tahoma"/>
              </w:rPr>
            </w:pPr>
            <w:r w:rsidRPr="00CC5648">
              <w:rPr>
                <w:rFonts w:ascii="Tahoma" w:hAnsi="Tahoma" w:cs="Tahoma"/>
              </w:rPr>
              <w:t>31</w:t>
            </w:r>
          </w:p>
        </w:tc>
        <w:tc>
          <w:tcPr>
            <w:tcW w:w="960" w:type="dxa"/>
            <w:noWrap/>
            <w:vAlign w:val="bottom"/>
          </w:tcPr>
          <w:p w:rsidR="00652F81" w:rsidRPr="00CC5648" w:rsidRDefault="00652F81" w:rsidP="00652F81">
            <w:pPr>
              <w:jc w:val="right"/>
              <w:rPr>
                <w:rFonts w:ascii="Tahoma" w:hAnsi="Tahoma" w:cs="Tahoma"/>
              </w:rPr>
            </w:pPr>
            <w:r w:rsidRPr="00CC5648">
              <w:rPr>
                <w:rFonts w:ascii="Tahoma" w:hAnsi="Tahoma" w:cs="Tahoma"/>
              </w:rPr>
              <w:t>38</w:t>
            </w:r>
          </w:p>
        </w:tc>
        <w:tc>
          <w:tcPr>
            <w:tcW w:w="960" w:type="dxa"/>
            <w:noWrap/>
            <w:vAlign w:val="bottom"/>
          </w:tcPr>
          <w:p w:rsidR="00652F81" w:rsidRPr="00CC5648" w:rsidRDefault="00652F81" w:rsidP="00652F81">
            <w:pPr>
              <w:jc w:val="right"/>
              <w:rPr>
                <w:rFonts w:ascii="Tahoma" w:hAnsi="Tahoma" w:cs="Tahoma"/>
              </w:rPr>
            </w:pPr>
            <w:r w:rsidRPr="00CC5648">
              <w:rPr>
                <w:rFonts w:ascii="Tahoma" w:hAnsi="Tahoma" w:cs="Tahoma"/>
              </w:rPr>
              <w:t>46</w:t>
            </w:r>
          </w:p>
        </w:tc>
      </w:tr>
    </w:tbl>
    <w:p w:rsidR="00652F81" w:rsidRPr="009D0FF4" w:rsidRDefault="00652F81" w:rsidP="00652F81">
      <w:pPr>
        <w:pStyle w:val="1"/>
        <w:rPr>
          <w:rFonts w:ascii="Tahoma" w:hAnsi="Tahoma" w:cs="Tahoma"/>
          <w:sz w:val="18"/>
          <w:szCs w:val="18"/>
        </w:rPr>
      </w:pPr>
      <w:r w:rsidRPr="00186E8B">
        <w:rPr>
          <w:rFonts w:ascii="Tahoma" w:hAnsi="Tahoma" w:cs="Tahoma"/>
          <w:sz w:val="18"/>
          <w:szCs w:val="18"/>
        </w:rPr>
        <w:t>Πηγή:</w:t>
      </w:r>
      <w:r w:rsidRPr="009D0FF4">
        <w:rPr>
          <w:rFonts w:ascii="Tahoma" w:hAnsi="Tahoma" w:cs="Tahoma"/>
          <w:b w:val="0"/>
          <w:sz w:val="18"/>
          <w:szCs w:val="18"/>
        </w:rPr>
        <w:t xml:space="preserve"> </w:t>
      </w:r>
      <w:r w:rsidRPr="009D0FF4">
        <w:rPr>
          <w:rFonts w:ascii="Tahoma" w:hAnsi="Tahoma" w:cs="Tahoma"/>
          <w:b w:val="0"/>
          <w:sz w:val="18"/>
          <w:szCs w:val="18"/>
          <w:lang w:val="en-US"/>
        </w:rPr>
        <w:t>Eurostat</w:t>
      </w:r>
    </w:p>
    <w:p w:rsidR="00652F81" w:rsidRPr="005735CD" w:rsidRDefault="00652F81" w:rsidP="00652F81"/>
    <w:p w:rsidR="00652F81" w:rsidRPr="005735CD" w:rsidRDefault="00652F81" w:rsidP="00652F81"/>
    <w:p w:rsidR="00652F81" w:rsidRPr="005735CD" w:rsidRDefault="00652F81" w:rsidP="00652F81"/>
    <w:p w:rsidR="00652F81" w:rsidRPr="005735CD" w:rsidRDefault="00652F81" w:rsidP="00652F81"/>
    <w:p w:rsidR="00652F81" w:rsidRPr="005735CD" w:rsidRDefault="00652F81" w:rsidP="00652F81"/>
    <w:p w:rsidR="00652F81" w:rsidRPr="005735CD" w:rsidRDefault="00652F81" w:rsidP="00652F81">
      <w:pPr>
        <w:pStyle w:val="new12"/>
        <w:ind w:left="1440" w:hanging="1440"/>
        <w:sectPr w:rsidR="00652F81" w:rsidRPr="005735CD" w:rsidSect="004C5DF9">
          <w:footerReference w:type="default" r:id="rId121"/>
          <w:pgSz w:w="11906" w:h="16838"/>
          <w:pgMar w:top="1701" w:right="1418" w:bottom="1701" w:left="1418" w:header="720" w:footer="720" w:gutter="0"/>
          <w:cols w:space="720"/>
          <w:docGrid w:linePitch="272"/>
        </w:sectPr>
      </w:pPr>
    </w:p>
    <w:p w:rsidR="00652F81" w:rsidRPr="00B425B4" w:rsidRDefault="00652F81" w:rsidP="00652F81">
      <w:pPr>
        <w:pStyle w:val="new6"/>
        <w:tabs>
          <w:tab w:val="left" w:pos="900"/>
        </w:tabs>
      </w:pPr>
      <w:bookmarkStart w:id="554" w:name="_Toc150308658"/>
      <w:bookmarkStart w:id="555" w:name="_Toc169881568"/>
      <w:bookmarkStart w:id="556" w:name="_Toc170201928"/>
      <w:bookmarkEnd w:id="553"/>
      <w:r>
        <w:rPr>
          <w:lang w:val="en-US"/>
        </w:rPr>
        <w:lastRenderedPageBreak/>
        <w:t>IV</w:t>
      </w:r>
      <w:r w:rsidRPr="00470E96">
        <w:t>-</w:t>
      </w:r>
      <w:r>
        <w:t>Β,</w:t>
      </w:r>
      <w:r>
        <w:tab/>
        <w:t>Οικονομική Αναδ</w:t>
      </w:r>
      <w:r w:rsidRPr="00B425B4">
        <w:t>ιάρθρωση</w:t>
      </w:r>
      <w:bookmarkEnd w:id="554"/>
      <w:bookmarkEnd w:id="555"/>
      <w:bookmarkEnd w:id="556"/>
      <w:r w:rsidRPr="00B425B4">
        <w:t xml:space="preserve"> </w:t>
      </w:r>
    </w:p>
    <w:p w:rsidR="00652F81" w:rsidRPr="00470E96" w:rsidRDefault="00652F81" w:rsidP="00652F81">
      <w:pPr>
        <w:rPr>
          <w:sz w:val="10"/>
          <w:szCs w:val="10"/>
        </w:rPr>
      </w:pPr>
    </w:p>
    <w:p w:rsidR="00652F81" w:rsidRPr="00294913" w:rsidRDefault="00652F81" w:rsidP="00652F81"/>
    <w:p w:rsidR="00652F81" w:rsidRPr="00E84D3E" w:rsidRDefault="00652F81" w:rsidP="00652F81">
      <w:pPr>
        <w:pStyle w:val="new12"/>
      </w:pPr>
      <w:bookmarkStart w:id="557" w:name="_Toc150308659"/>
      <w:bookmarkStart w:id="558" w:name="_Toc169881569"/>
      <w:bookmarkStart w:id="559" w:name="_Toc170201929"/>
      <w:r w:rsidRPr="00E84D3E">
        <w:rPr>
          <w:lang w:val="en-US"/>
        </w:rPr>
        <w:t>IV</w:t>
      </w:r>
      <w:r w:rsidRPr="00E84D3E">
        <w:t>-1β,</w:t>
      </w:r>
      <w:r w:rsidRPr="00E84D3E">
        <w:tab/>
        <w:t>Τιμές Τηλεπικοινωνιών, 200</w:t>
      </w:r>
      <w:bookmarkEnd w:id="557"/>
      <w:bookmarkEnd w:id="558"/>
      <w:bookmarkEnd w:id="559"/>
      <w:r>
        <w:t>8</w:t>
      </w:r>
    </w:p>
    <w:p w:rsidR="00652F81" w:rsidRPr="00294913" w:rsidRDefault="00652F81" w:rsidP="00652F81">
      <w:pPr>
        <w:pStyle w:val="new1210pt"/>
      </w:pPr>
      <w:bookmarkStart w:id="560" w:name="_Toc150308660"/>
      <w:bookmarkStart w:id="561" w:name="_Toc170201930"/>
      <w:r w:rsidRPr="00E84D3E">
        <w:t>(ευρώ/10 λεπτά συνομιλίας)</w:t>
      </w:r>
      <w:bookmarkEnd w:id="560"/>
      <w:bookmarkEnd w:id="561"/>
    </w:p>
    <w:p w:rsidR="00652F81" w:rsidRPr="003A709D" w:rsidRDefault="00652F81" w:rsidP="00652F81">
      <w:pPr>
        <w:rPr>
          <w:sz w:val="10"/>
          <w:szCs w:val="10"/>
        </w:rPr>
      </w:pPr>
      <w:bookmarkStart w:id="562" w:name="_Toc150308662"/>
    </w:p>
    <w:p w:rsidR="00652F81" w:rsidRPr="00240E15" w:rsidRDefault="00652F81" w:rsidP="00652F81">
      <w:r>
        <w:rPr>
          <w:noProof/>
          <w:lang w:val="en-US" w:eastAsia="en-US"/>
        </w:rPr>
        <w:drawing>
          <wp:inline distT="0" distB="0" distL="0" distR="0">
            <wp:extent cx="5467350" cy="3486150"/>
            <wp:effectExtent l="0" t="0" r="0" b="0"/>
            <wp:docPr id="39" name="Εικόνα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2" cstate="print"/>
                    <a:srcRect/>
                    <a:stretch>
                      <a:fillRect/>
                    </a:stretch>
                  </pic:blipFill>
                  <pic:spPr bwMode="auto">
                    <a:xfrm>
                      <a:off x="0" y="0"/>
                      <a:ext cx="5467350" cy="3486150"/>
                    </a:xfrm>
                    <a:prstGeom prst="rect">
                      <a:avLst/>
                    </a:prstGeom>
                    <a:noFill/>
                    <a:ln w="9525">
                      <a:noFill/>
                      <a:miter lim="800000"/>
                      <a:headEnd/>
                      <a:tailEnd/>
                    </a:ln>
                  </pic:spPr>
                </pic:pic>
              </a:graphicData>
            </a:graphic>
          </wp:inline>
        </w:drawing>
      </w:r>
    </w:p>
    <w:p w:rsidR="00652F81" w:rsidRPr="000718C1" w:rsidRDefault="00652F81" w:rsidP="00652F81">
      <w:pPr>
        <w:rPr>
          <w:lang w:val="en-US"/>
        </w:rPr>
      </w:pPr>
    </w:p>
    <w:tbl>
      <w:tblPr>
        <w:tblW w:w="9286" w:type="dxa"/>
        <w:tblBorders>
          <w:top w:val="single" w:sz="12" w:space="0" w:color="auto"/>
          <w:bottom w:val="single" w:sz="12" w:space="0" w:color="auto"/>
          <w:insideH w:val="dotted" w:sz="4" w:space="0" w:color="auto"/>
        </w:tblBorders>
        <w:tblLook w:val="00A0"/>
      </w:tblPr>
      <w:tblGrid>
        <w:gridCol w:w="960"/>
        <w:gridCol w:w="960"/>
        <w:gridCol w:w="960"/>
        <w:gridCol w:w="960"/>
        <w:gridCol w:w="960"/>
        <w:gridCol w:w="960"/>
        <w:gridCol w:w="960"/>
        <w:gridCol w:w="960"/>
        <w:gridCol w:w="803"/>
        <w:gridCol w:w="803"/>
      </w:tblGrid>
      <w:tr w:rsidR="00652F81" w:rsidRPr="00E676C6" w:rsidTr="00652F81">
        <w:trPr>
          <w:trHeight w:val="255"/>
        </w:trPr>
        <w:tc>
          <w:tcPr>
            <w:tcW w:w="960" w:type="dxa"/>
            <w:tcBorders>
              <w:top w:val="single" w:sz="12" w:space="0" w:color="auto"/>
              <w:bottom w:val="single" w:sz="8" w:space="0" w:color="auto"/>
            </w:tcBorders>
            <w:noWrap/>
          </w:tcPr>
          <w:p w:rsidR="00652F81" w:rsidRPr="00CA39FC" w:rsidRDefault="00652F81" w:rsidP="00652F81">
            <w:pPr>
              <w:spacing w:before="20" w:after="20"/>
              <w:rPr>
                <w:rFonts w:ascii="Tahoma" w:hAnsi="Tahoma" w:cs="Tahoma"/>
                <w:bCs/>
              </w:rPr>
            </w:pP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2000</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2001</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2002</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2003</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2004</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2005</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2006</w:t>
            </w:r>
          </w:p>
        </w:tc>
        <w:tc>
          <w:tcPr>
            <w:tcW w:w="803" w:type="dxa"/>
            <w:tcBorders>
              <w:top w:val="single" w:sz="12" w:space="0" w:color="auto"/>
              <w:bottom w:val="single" w:sz="8" w:space="0" w:color="auto"/>
            </w:tcBorders>
          </w:tcPr>
          <w:p w:rsidR="00652F81" w:rsidRPr="00CA39FC" w:rsidRDefault="00652F81" w:rsidP="00652F81">
            <w:pPr>
              <w:jc w:val="center"/>
              <w:rPr>
                <w:rFonts w:ascii="Tahoma" w:hAnsi="Tahoma" w:cs="Tahoma"/>
                <w:b/>
                <w:bCs/>
              </w:rPr>
            </w:pPr>
            <w:r>
              <w:rPr>
                <w:rFonts w:ascii="Tahoma" w:hAnsi="Tahoma" w:cs="Tahoma"/>
                <w:b/>
                <w:bCs/>
              </w:rPr>
              <w:t>2007</w:t>
            </w:r>
          </w:p>
        </w:tc>
        <w:tc>
          <w:tcPr>
            <w:tcW w:w="803" w:type="dxa"/>
            <w:tcBorders>
              <w:top w:val="single" w:sz="12" w:space="0" w:color="auto"/>
              <w:bottom w:val="single" w:sz="8" w:space="0" w:color="auto"/>
            </w:tcBorders>
          </w:tcPr>
          <w:p w:rsidR="00652F81" w:rsidRPr="00CA39FC" w:rsidRDefault="00652F81" w:rsidP="00652F81">
            <w:pPr>
              <w:jc w:val="center"/>
              <w:rPr>
                <w:rFonts w:ascii="Tahoma" w:hAnsi="Tahoma" w:cs="Tahoma"/>
                <w:b/>
                <w:bCs/>
              </w:rPr>
            </w:pPr>
            <w:r>
              <w:rPr>
                <w:rFonts w:ascii="Tahoma" w:hAnsi="Tahoma" w:cs="Tahoma"/>
                <w:b/>
                <w:bCs/>
              </w:rPr>
              <w:t>2008</w:t>
            </w:r>
          </w:p>
        </w:tc>
      </w:tr>
      <w:tr w:rsidR="00652F81" w:rsidRPr="00E676C6" w:rsidTr="00652F81">
        <w:trPr>
          <w:trHeight w:val="255"/>
        </w:trPr>
        <w:tc>
          <w:tcPr>
            <w:tcW w:w="9286" w:type="dxa"/>
            <w:gridSpan w:val="10"/>
            <w:tcBorders>
              <w:top w:val="single" w:sz="12" w:space="0" w:color="auto"/>
              <w:bottom w:val="single" w:sz="8" w:space="0" w:color="auto"/>
            </w:tcBorders>
            <w:noWrap/>
            <w:vAlign w:val="bottom"/>
          </w:tcPr>
          <w:p w:rsidR="00652F81" w:rsidRPr="00126904" w:rsidRDefault="00652F81" w:rsidP="00652F81">
            <w:pPr>
              <w:rPr>
                <w:rFonts w:ascii="Tahoma" w:hAnsi="Tahoma" w:cs="Tahoma"/>
                <w:b/>
                <w:bCs/>
                <w:sz w:val="16"/>
                <w:szCs w:val="16"/>
              </w:rPr>
            </w:pPr>
            <w:r w:rsidRPr="00126904">
              <w:rPr>
                <w:rFonts w:ascii="Tahoma" w:hAnsi="Tahoma" w:cs="Tahoma"/>
                <w:b/>
                <w:bCs/>
                <w:sz w:val="16"/>
                <w:szCs w:val="16"/>
              </w:rPr>
              <w:t>Αστικές κλήσεις</w:t>
            </w:r>
          </w:p>
        </w:tc>
      </w:tr>
      <w:tr w:rsidR="00652F81" w:rsidRPr="00E676C6"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EU27</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0,38</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0,37</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0,35</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0,35</w:t>
            </w:r>
          </w:p>
        </w:tc>
        <w:tc>
          <w:tcPr>
            <w:tcW w:w="803" w:type="dxa"/>
          </w:tcPr>
          <w:p w:rsidR="00652F81" w:rsidRPr="00CA39FC" w:rsidRDefault="00652F81" w:rsidP="00652F81">
            <w:pPr>
              <w:jc w:val="right"/>
              <w:rPr>
                <w:rFonts w:ascii="Tahoma" w:hAnsi="Tahoma" w:cs="Tahoma"/>
              </w:rPr>
            </w:pPr>
            <w:r>
              <w:rPr>
                <w:rFonts w:ascii="Tahoma" w:hAnsi="Tahoma" w:cs="Tahoma"/>
              </w:rPr>
              <w:t>0,36</w:t>
            </w:r>
          </w:p>
        </w:tc>
        <w:tc>
          <w:tcPr>
            <w:tcW w:w="803" w:type="dxa"/>
          </w:tcPr>
          <w:p w:rsidR="00652F81" w:rsidRPr="00CA39FC" w:rsidRDefault="00652F81" w:rsidP="00652F81">
            <w:pPr>
              <w:jc w:val="right"/>
              <w:rPr>
                <w:rFonts w:ascii="Tahoma" w:hAnsi="Tahoma" w:cs="Tahoma"/>
              </w:rPr>
            </w:pPr>
            <w:r>
              <w:rPr>
                <w:rFonts w:ascii="Tahoma" w:hAnsi="Tahoma" w:cs="Tahoma"/>
              </w:rPr>
              <w:t>0,38</w:t>
            </w:r>
          </w:p>
        </w:tc>
      </w:tr>
      <w:tr w:rsidR="00652F81" w:rsidRPr="00E676C6"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EU25</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0,39</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0,39</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0,39</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0,39</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0,37</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0,35</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0,35</w:t>
            </w:r>
          </w:p>
        </w:tc>
        <w:tc>
          <w:tcPr>
            <w:tcW w:w="803" w:type="dxa"/>
          </w:tcPr>
          <w:p w:rsidR="00652F81" w:rsidRPr="00CA39FC" w:rsidRDefault="00652F81" w:rsidP="00652F81">
            <w:pPr>
              <w:jc w:val="right"/>
              <w:rPr>
                <w:rFonts w:ascii="Tahoma" w:hAnsi="Tahoma" w:cs="Tahoma"/>
              </w:rPr>
            </w:pPr>
            <w:r>
              <w:rPr>
                <w:rFonts w:ascii="Tahoma" w:hAnsi="Tahoma" w:cs="Tahoma"/>
              </w:rPr>
              <w:t>0,36</w:t>
            </w:r>
          </w:p>
        </w:tc>
        <w:tc>
          <w:tcPr>
            <w:tcW w:w="803" w:type="dxa"/>
          </w:tcPr>
          <w:p w:rsidR="00652F81" w:rsidRPr="00CA39FC" w:rsidRDefault="00652F81" w:rsidP="00652F81">
            <w:pPr>
              <w:jc w:val="right"/>
              <w:rPr>
                <w:rFonts w:ascii="Tahoma" w:hAnsi="Tahoma" w:cs="Tahoma"/>
              </w:rPr>
            </w:pPr>
            <w:r>
              <w:rPr>
                <w:rFonts w:ascii="Tahoma" w:hAnsi="Tahoma" w:cs="Tahoma"/>
              </w:rPr>
              <w:t>0,39</w:t>
            </w:r>
          </w:p>
        </w:tc>
      </w:tr>
      <w:tr w:rsidR="00652F81" w:rsidRPr="00E676C6"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EU15</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0,4</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0,4</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0,39</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0,39</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0,37</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0,35</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0,33</w:t>
            </w:r>
          </w:p>
        </w:tc>
        <w:tc>
          <w:tcPr>
            <w:tcW w:w="803" w:type="dxa"/>
          </w:tcPr>
          <w:p w:rsidR="00652F81" w:rsidRPr="00CA39FC" w:rsidRDefault="00652F81" w:rsidP="00652F81">
            <w:pPr>
              <w:jc w:val="right"/>
              <w:rPr>
                <w:rFonts w:ascii="Tahoma" w:hAnsi="Tahoma" w:cs="Tahoma"/>
              </w:rPr>
            </w:pPr>
            <w:r>
              <w:rPr>
                <w:rFonts w:ascii="Tahoma" w:hAnsi="Tahoma" w:cs="Tahoma"/>
              </w:rPr>
              <w:t>0,35</w:t>
            </w:r>
          </w:p>
        </w:tc>
        <w:tc>
          <w:tcPr>
            <w:tcW w:w="803" w:type="dxa"/>
          </w:tcPr>
          <w:p w:rsidR="00652F81" w:rsidRPr="00CA39FC" w:rsidRDefault="00652F81" w:rsidP="00652F81">
            <w:pPr>
              <w:jc w:val="right"/>
              <w:rPr>
                <w:rFonts w:ascii="Tahoma" w:hAnsi="Tahoma" w:cs="Tahoma"/>
              </w:rPr>
            </w:pPr>
            <w:r>
              <w:rPr>
                <w:rFonts w:ascii="Tahoma" w:hAnsi="Tahoma" w:cs="Tahoma"/>
              </w:rPr>
              <w:t>0,37</w:t>
            </w:r>
          </w:p>
        </w:tc>
      </w:tr>
      <w:tr w:rsidR="00652F81" w:rsidRPr="00E676C6" w:rsidTr="00652F81">
        <w:trPr>
          <w:trHeight w:val="255"/>
        </w:trPr>
        <w:tc>
          <w:tcPr>
            <w:tcW w:w="960" w:type="dxa"/>
            <w:noWrap/>
            <w:vAlign w:val="bottom"/>
          </w:tcPr>
          <w:p w:rsidR="00652F81" w:rsidRPr="00E16944" w:rsidRDefault="00652F81" w:rsidP="00652F81">
            <w:pPr>
              <w:rPr>
                <w:rFonts w:ascii="Tahoma" w:hAnsi="Tahoma" w:cs="Tahoma"/>
                <w:b/>
                <w:bCs/>
              </w:rPr>
            </w:pPr>
            <w:r w:rsidRPr="00CA39FC">
              <w:rPr>
                <w:rFonts w:ascii="Tahoma" w:hAnsi="Tahoma" w:cs="Tahoma"/>
                <w:b/>
                <w:bCs/>
              </w:rPr>
              <w:t>EA1</w:t>
            </w:r>
            <w:r>
              <w:rPr>
                <w:rFonts w:ascii="Tahoma" w:hAnsi="Tahoma" w:cs="Tahoma"/>
                <w:b/>
                <w:bCs/>
              </w:rPr>
              <w:t>7</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803" w:type="dxa"/>
          </w:tcPr>
          <w:p w:rsidR="00652F81" w:rsidRPr="00CA39FC" w:rsidRDefault="00652F81" w:rsidP="00652F81">
            <w:pPr>
              <w:jc w:val="right"/>
              <w:rPr>
                <w:rFonts w:ascii="Tahoma" w:hAnsi="Tahoma" w:cs="Tahoma"/>
              </w:rPr>
            </w:pPr>
            <w:r>
              <w:rPr>
                <w:rFonts w:ascii="Tahoma" w:hAnsi="Tahoma" w:cs="Tahoma"/>
              </w:rPr>
              <w:t>:</w:t>
            </w:r>
          </w:p>
        </w:tc>
        <w:tc>
          <w:tcPr>
            <w:tcW w:w="803" w:type="dxa"/>
          </w:tcPr>
          <w:p w:rsidR="00652F81" w:rsidRPr="00CA39FC" w:rsidRDefault="00652F81" w:rsidP="00652F81">
            <w:pPr>
              <w:jc w:val="right"/>
              <w:rPr>
                <w:rFonts w:ascii="Tahoma" w:hAnsi="Tahoma" w:cs="Tahoma"/>
              </w:rPr>
            </w:pPr>
            <w:r>
              <w:rPr>
                <w:rFonts w:ascii="Tahoma" w:hAnsi="Tahoma" w:cs="Tahoma"/>
              </w:rPr>
              <w:t>:</w:t>
            </w:r>
          </w:p>
        </w:tc>
      </w:tr>
      <w:tr w:rsidR="00652F81" w:rsidRPr="00E676C6"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EL</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0,31</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0,36</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0,31</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0,31</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0,31</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0,31</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0,31</w:t>
            </w:r>
          </w:p>
        </w:tc>
        <w:tc>
          <w:tcPr>
            <w:tcW w:w="803" w:type="dxa"/>
          </w:tcPr>
          <w:p w:rsidR="00652F81" w:rsidRPr="00CA39FC" w:rsidRDefault="00652F81" w:rsidP="00652F81">
            <w:pPr>
              <w:jc w:val="right"/>
              <w:rPr>
                <w:rFonts w:ascii="Tahoma" w:hAnsi="Tahoma" w:cs="Tahoma"/>
              </w:rPr>
            </w:pPr>
            <w:r>
              <w:rPr>
                <w:rFonts w:ascii="Tahoma" w:hAnsi="Tahoma" w:cs="Tahoma"/>
              </w:rPr>
              <w:t>0,31</w:t>
            </w:r>
          </w:p>
        </w:tc>
        <w:tc>
          <w:tcPr>
            <w:tcW w:w="803" w:type="dxa"/>
          </w:tcPr>
          <w:p w:rsidR="00652F81" w:rsidRPr="00CA39FC" w:rsidRDefault="00652F81" w:rsidP="00652F81">
            <w:pPr>
              <w:jc w:val="right"/>
              <w:rPr>
                <w:rFonts w:ascii="Tahoma" w:hAnsi="Tahoma" w:cs="Tahoma"/>
              </w:rPr>
            </w:pPr>
            <w:r>
              <w:rPr>
                <w:rFonts w:ascii="Tahoma" w:hAnsi="Tahoma" w:cs="Tahoma"/>
              </w:rPr>
              <w:t>0,31</w:t>
            </w:r>
          </w:p>
        </w:tc>
      </w:tr>
      <w:tr w:rsidR="00652F81" w:rsidRPr="00E676C6" w:rsidTr="00652F81">
        <w:trPr>
          <w:trHeight w:val="255"/>
        </w:trPr>
        <w:tc>
          <w:tcPr>
            <w:tcW w:w="9286" w:type="dxa"/>
            <w:gridSpan w:val="10"/>
            <w:noWrap/>
            <w:vAlign w:val="bottom"/>
          </w:tcPr>
          <w:p w:rsidR="00652F81" w:rsidRPr="00126904" w:rsidRDefault="00652F81" w:rsidP="00652F81">
            <w:pPr>
              <w:rPr>
                <w:rFonts w:ascii="Tahoma" w:hAnsi="Tahoma" w:cs="Tahoma"/>
                <w:b/>
                <w:bCs/>
                <w:sz w:val="16"/>
                <w:szCs w:val="16"/>
              </w:rPr>
            </w:pPr>
            <w:r>
              <w:rPr>
                <w:rFonts w:ascii="Tahoma" w:hAnsi="Tahoma" w:cs="Tahoma"/>
                <w:b/>
                <w:bCs/>
                <w:sz w:val="16"/>
                <w:szCs w:val="16"/>
              </w:rPr>
              <w:t>Υπεραστικές κλήσεις</w:t>
            </w:r>
          </w:p>
        </w:tc>
      </w:tr>
      <w:tr w:rsidR="00652F81" w:rsidRPr="00E676C6"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EU27</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1,33</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1,18</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1,08</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1,06</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0,92</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0,77</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0,76</w:t>
            </w:r>
          </w:p>
        </w:tc>
        <w:tc>
          <w:tcPr>
            <w:tcW w:w="803" w:type="dxa"/>
          </w:tcPr>
          <w:p w:rsidR="00652F81" w:rsidRPr="00CA39FC" w:rsidRDefault="00652F81" w:rsidP="00652F81">
            <w:pPr>
              <w:jc w:val="right"/>
              <w:rPr>
                <w:rFonts w:ascii="Tahoma" w:hAnsi="Tahoma" w:cs="Tahoma"/>
              </w:rPr>
            </w:pPr>
            <w:r>
              <w:rPr>
                <w:rFonts w:ascii="Tahoma" w:hAnsi="Tahoma" w:cs="Tahoma"/>
              </w:rPr>
              <w:t>0,76</w:t>
            </w:r>
          </w:p>
        </w:tc>
        <w:tc>
          <w:tcPr>
            <w:tcW w:w="803" w:type="dxa"/>
          </w:tcPr>
          <w:p w:rsidR="00652F81" w:rsidRPr="00CA39FC" w:rsidRDefault="00652F81" w:rsidP="00652F81">
            <w:pPr>
              <w:jc w:val="right"/>
              <w:rPr>
                <w:rFonts w:ascii="Tahoma" w:hAnsi="Tahoma" w:cs="Tahoma"/>
              </w:rPr>
            </w:pPr>
            <w:r>
              <w:rPr>
                <w:rFonts w:ascii="Tahoma" w:hAnsi="Tahoma" w:cs="Tahoma"/>
              </w:rPr>
              <w:t>0,67</w:t>
            </w:r>
          </w:p>
        </w:tc>
      </w:tr>
      <w:tr w:rsidR="00652F81" w:rsidRPr="00E676C6"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EU25</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1,33</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1,17</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1,07</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1,05</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0,92</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0,76</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0,77</w:t>
            </w:r>
          </w:p>
        </w:tc>
        <w:tc>
          <w:tcPr>
            <w:tcW w:w="803" w:type="dxa"/>
          </w:tcPr>
          <w:p w:rsidR="00652F81" w:rsidRPr="00CA39FC" w:rsidRDefault="00652F81" w:rsidP="00652F81">
            <w:pPr>
              <w:jc w:val="right"/>
              <w:rPr>
                <w:rFonts w:ascii="Tahoma" w:hAnsi="Tahoma" w:cs="Tahoma"/>
              </w:rPr>
            </w:pPr>
            <w:r>
              <w:rPr>
                <w:rFonts w:ascii="Tahoma" w:hAnsi="Tahoma" w:cs="Tahoma"/>
              </w:rPr>
              <w:t>0,77</w:t>
            </w:r>
          </w:p>
        </w:tc>
        <w:tc>
          <w:tcPr>
            <w:tcW w:w="803" w:type="dxa"/>
          </w:tcPr>
          <w:p w:rsidR="00652F81" w:rsidRPr="00CA39FC" w:rsidRDefault="00652F81" w:rsidP="00652F81">
            <w:pPr>
              <w:jc w:val="right"/>
              <w:rPr>
                <w:rFonts w:ascii="Tahoma" w:hAnsi="Tahoma" w:cs="Tahoma"/>
              </w:rPr>
            </w:pPr>
            <w:r>
              <w:rPr>
                <w:rFonts w:ascii="Tahoma" w:hAnsi="Tahoma" w:cs="Tahoma"/>
              </w:rPr>
              <w:t>0,70</w:t>
            </w:r>
          </w:p>
        </w:tc>
      </w:tr>
      <w:tr w:rsidR="00652F81" w:rsidRPr="00E676C6"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EU15</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1,33</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1,14</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1,03</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1,01</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0,87</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0,69</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0,70</w:t>
            </w:r>
          </w:p>
        </w:tc>
        <w:tc>
          <w:tcPr>
            <w:tcW w:w="803" w:type="dxa"/>
          </w:tcPr>
          <w:p w:rsidR="00652F81" w:rsidRPr="00CA39FC" w:rsidRDefault="00652F81" w:rsidP="00652F81">
            <w:pPr>
              <w:jc w:val="right"/>
              <w:rPr>
                <w:rFonts w:ascii="Tahoma" w:hAnsi="Tahoma" w:cs="Tahoma"/>
              </w:rPr>
            </w:pPr>
            <w:r>
              <w:rPr>
                <w:rFonts w:ascii="Tahoma" w:hAnsi="Tahoma" w:cs="Tahoma"/>
              </w:rPr>
              <w:t>0,70</w:t>
            </w:r>
          </w:p>
        </w:tc>
        <w:tc>
          <w:tcPr>
            <w:tcW w:w="803" w:type="dxa"/>
          </w:tcPr>
          <w:p w:rsidR="00652F81" w:rsidRPr="00CA39FC" w:rsidRDefault="00652F81" w:rsidP="00652F81">
            <w:pPr>
              <w:jc w:val="right"/>
              <w:rPr>
                <w:rFonts w:ascii="Tahoma" w:hAnsi="Tahoma" w:cs="Tahoma"/>
              </w:rPr>
            </w:pPr>
            <w:r>
              <w:rPr>
                <w:rFonts w:ascii="Tahoma" w:hAnsi="Tahoma" w:cs="Tahoma"/>
              </w:rPr>
              <w:t>0,71</w:t>
            </w:r>
          </w:p>
        </w:tc>
      </w:tr>
      <w:tr w:rsidR="00652F81" w:rsidRPr="00E676C6" w:rsidTr="00652F81">
        <w:trPr>
          <w:trHeight w:val="255"/>
        </w:trPr>
        <w:tc>
          <w:tcPr>
            <w:tcW w:w="960" w:type="dxa"/>
            <w:noWrap/>
            <w:vAlign w:val="bottom"/>
          </w:tcPr>
          <w:p w:rsidR="00652F81" w:rsidRPr="00E16944" w:rsidRDefault="00652F81" w:rsidP="00652F81">
            <w:pPr>
              <w:rPr>
                <w:rFonts w:ascii="Tahoma" w:hAnsi="Tahoma" w:cs="Tahoma"/>
                <w:b/>
                <w:bCs/>
              </w:rPr>
            </w:pPr>
            <w:r>
              <w:rPr>
                <w:rFonts w:ascii="Tahoma" w:hAnsi="Tahoma" w:cs="Tahoma"/>
                <w:b/>
                <w:bCs/>
              </w:rPr>
              <w:t>EA17</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803" w:type="dxa"/>
          </w:tcPr>
          <w:p w:rsidR="00652F81" w:rsidRPr="00CA39FC" w:rsidRDefault="00652F81" w:rsidP="00652F81">
            <w:pPr>
              <w:jc w:val="right"/>
              <w:rPr>
                <w:rFonts w:ascii="Tahoma" w:hAnsi="Tahoma" w:cs="Tahoma"/>
              </w:rPr>
            </w:pPr>
            <w:r>
              <w:rPr>
                <w:rFonts w:ascii="Tahoma" w:hAnsi="Tahoma" w:cs="Tahoma"/>
              </w:rPr>
              <w:t>:</w:t>
            </w:r>
          </w:p>
        </w:tc>
        <w:tc>
          <w:tcPr>
            <w:tcW w:w="803" w:type="dxa"/>
          </w:tcPr>
          <w:p w:rsidR="00652F81" w:rsidRPr="00CA39FC" w:rsidRDefault="00652F81" w:rsidP="00652F81">
            <w:pPr>
              <w:jc w:val="right"/>
              <w:rPr>
                <w:rFonts w:ascii="Tahoma" w:hAnsi="Tahoma" w:cs="Tahoma"/>
              </w:rPr>
            </w:pPr>
            <w:r>
              <w:rPr>
                <w:rFonts w:ascii="Tahoma" w:hAnsi="Tahoma" w:cs="Tahoma"/>
              </w:rPr>
              <w:t>:</w:t>
            </w:r>
          </w:p>
        </w:tc>
      </w:tr>
      <w:tr w:rsidR="00652F81" w:rsidRPr="00E676C6"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EL</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1,4</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0,98</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0,77</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0,77</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0,73</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0,74</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0,74</w:t>
            </w:r>
          </w:p>
        </w:tc>
        <w:tc>
          <w:tcPr>
            <w:tcW w:w="803" w:type="dxa"/>
          </w:tcPr>
          <w:p w:rsidR="00652F81" w:rsidRPr="00CA39FC" w:rsidRDefault="00652F81" w:rsidP="00652F81">
            <w:pPr>
              <w:jc w:val="right"/>
              <w:rPr>
                <w:rFonts w:ascii="Tahoma" w:hAnsi="Tahoma" w:cs="Tahoma"/>
              </w:rPr>
            </w:pPr>
            <w:r>
              <w:rPr>
                <w:rFonts w:ascii="Tahoma" w:hAnsi="Tahoma" w:cs="Tahoma"/>
              </w:rPr>
              <w:t>0,74</w:t>
            </w:r>
          </w:p>
        </w:tc>
        <w:tc>
          <w:tcPr>
            <w:tcW w:w="803" w:type="dxa"/>
          </w:tcPr>
          <w:p w:rsidR="00652F81" w:rsidRPr="00CA39FC" w:rsidRDefault="00652F81" w:rsidP="00652F81">
            <w:pPr>
              <w:jc w:val="right"/>
              <w:rPr>
                <w:rFonts w:ascii="Tahoma" w:hAnsi="Tahoma" w:cs="Tahoma"/>
              </w:rPr>
            </w:pPr>
            <w:r>
              <w:rPr>
                <w:rFonts w:ascii="Tahoma" w:hAnsi="Tahoma" w:cs="Tahoma"/>
              </w:rPr>
              <w:t>0,74</w:t>
            </w:r>
          </w:p>
        </w:tc>
      </w:tr>
      <w:tr w:rsidR="00652F81" w:rsidRPr="00E676C6" w:rsidTr="00652F81">
        <w:trPr>
          <w:trHeight w:val="255"/>
        </w:trPr>
        <w:tc>
          <w:tcPr>
            <w:tcW w:w="9286" w:type="dxa"/>
            <w:gridSpan w:val="10"/>
            <w:noWrap/>
            <w:vAlign w:val="bottom"/>
          </w:tcPr>
          <w:p w:rsidR="00652F81" w:rsidRPr="00126904" w:rsidRDefault="00652F81" w:rsidP="00652F81">
            <w:pPr>
              <w:rPr>
                <w:rFonts w:ascii="Tahoma" w:hAnsi="Tahoma" w:cs="Tahoma"/>
                <w:b/>
                <w:bCs/>
                <w:sz w:val="16"/>
                <w:szCs w:val="16"/>
              </w:rPr>
            </w:pPr>
            <w:r>
              <w:rPr>
                <w:rFonts w:ascii="Tahoma" w:hAnsi="Tahoma" w:cs="Tahoma"/>
                <w:b/>
                <w:bCs/>
                <w:sz w:val="16"/>
                <w:szCs w:val="16"/>
              </w:rPr>
              <w:t>Διεθνείς κλήσεις προς ΗΠΑ</w:t>
            </w:r>
          </w:p>
        </w:tc>
      </w:tr>
      <w:tr w:rsidR="00652F81" w:rsidRPr="00E676C6"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EU27</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3,16</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2,21</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2,14</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2,13</w:t>
            </w:r>
          </w:p>
        </w:tc>
        <w:tc>
          <w:tcPr>
            <w:tcW w:w="803" w:type="dxa"/>
          </w:tcPr>
          <w:p w:rsidR="00652F81" w:rsidRPr="00CA39FC" w:rsidRDefault="00652F81" w:rsidP="00652F81">
            <w:pPr>
              <w:jc w:val="right"/>
              <w:rPr>
                <w:rFonts w:ascii="Tahoma" w:hAnsi="Tahoma" w:cs="Tahoma"/>
              </w:rPr>
            </w:pPr>
            <w:r>
              <w:rPr>
                <w:rFonts w:ascii="Tahoma" w:hAnsi="Tahoma" w:cs="Tahoma"/>
              </w:rPr>
              <w:t>2,07</w:t>
            </w:r>
          </w:p>
        </w:tc>
        <w:tc>
          <w:tcPr>
            <w:tcW w:w="803" w:type="dxa"/>
          </w:tcPr>
          <w:p w:rsidR="00652F81" w:rsidRPr="00CA39FC" w:rsidRDefault="00652F81" w:rsidP="00652F81">
            <w:pPr>
              <w:jc w:val="right"/>
              <w:rPr>
                <w:rFonts w:ascii="Tahoma" w:hAnsi="Tahoma" w:cs="Tahoma"/>
              </w:rPr>
            </w:pPr>
            <w:r>
              <w:rPr>
                <w:rFonts w:ascii="Tahoma" w:hAnsi="Tahoma" w:cs="Tahoma"/>
              </w:rPr>
              <w:t>1,88</w:t>
            </w:r>
          </w:p>
        </w:tc>
      </w:tr>
      <w:tr w:rsidR="00652F81" w:rsidRPr="00E676C6"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EU25</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3,08</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2,98</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2,13</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2,11</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2,11</w:t>
            </w:r>
          </w:p>
        </w:tc>
        <w:tc>
          <w:tcPr>
            <w:tcW w:w="803" w:type="dxa"/>
          </w:tcPr>
          <w:p w:rsidR="00652F81" w:rsidRPr="00CA39FC" w:rsidRDefault="00652F81" w:rsidP="00652F81">
            <w:pPr>
              <w:jc w:val="right"/>
              <w:rPr>
                <w:rFonts w:ascii="Tahoma" w:hAnsi="Tahoma" w:cs="Tahoma"/>
              </w:rPr>
            </w:pPr>
            <w:r>
              <w:rPr>
                <w:rFonts w:ascii="Tahoma" w:hAnsi="Tahoma" w:cs="Tahoma"/>
              </w:rPr>
              <w:t>2,12</w:t>
            </w:r>
          </w:p>
        </w:tc>
        <w:tc>
          <w:tcPr>
            <w:tcW w:w="803" w:type="dxa"/>
          </w:tcPr>
          <w:p w:rsidR="00652F81" w:rsidRPr="00CA39FC" w:rsidRDefault="00652F81" w:rsidP="00652F81">
            <w:pPr>
              <w:jc w:val="right"/>
              <w:rPr>
                <w:rFonts w:ascii="Tahoma" w:hAnsi="Tahoma" w:cs="Tahoma"/>
              </w:rPr>
            </w:pPr>
            <w:r>
              <w:rPr>
                <w:rFonts w:ascii="Tahoma" w:hAnsi="Tahoma" w:cs="Tahoma"/>
              </w:rPr>
              <w:t>1,92</w:t>
            </w:r>
          </w:p>
        </w:tc>
      </w:tr>
      <w:tr w:rsidR="00652F81" w:rsidRPr="00E676C6"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EU15</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3,03</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2,57</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2,16</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2,07</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1,83</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1,84</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1,86</w:t>
            </w:r>
          </w:p>
        </w:tc>
        <w:tc>
          <w:tcPr>
            <w:tcW w:w="803" w:type="dxa"/>
          </w:tcPr>
          <w:p w:rsidR="00652F81" w:rsidRPr="00CA39FC" w:rsidRDefault="00652F81" w:rsidP="00652F81">
            <w:pPr>
              <w:jc w:val="right"/>
              <w:rPr>
                <w:rFonts w:ascii="Tahoma" w:hAnsi="Tahoma" w:cs="Tahoma"/>
              </w:rPr>
            </w:pPr>
            <w:r>
              <w:rPr>
                <w:rFonts w:ascii="Tahoma" w:hAnsi="Tahoma" w:cs="Tahoma"/>
              </w:rPr>
              <w:t>1,89</w:t>
            </w:r>
          </w:p>
        </w:tc>
        <w:tc>
          <w:tcPr>
            <w:tcW w:w="803" w:type="dxa"/>
          </w:tcPr>
          <w:p w:rsidR="00652F81" w:rsidRPr="00CA39FC" w:rsidRDefault="00652F81" w:rsidP="00652F81">
            <w:pPr>
              <w:jc w:val="right"/>
              <w:rPr>
                <w:rFonts w:ascii="Tahoma" w:hAnsi="Tahoma" w:cs="Tahoma"/>
              </w:rPr>
            </w:pPr>
            <w:r>
              <w:rPr>
                <w:rFonts w:ascii="Tahoma" w:hAnsi="Tahoma" w:cs="Tahoma"/>
              </w:rPr>
              <w:t>1,73</w:t>
            </w:r>
          </w:p>
        </w:tc>
      </w:tr>
      <w:tr w:rsidR="00652F81" w:rsidRPr="00E676C6" w:rsidTr="00652F81">
        <w:trPr>
          <w:trHeight w:val="255"/>
        </w:trPr>
        <w:tc>
          <w:tcPr>
            <w:tcW w:w="960" w:type="dxa"/>
            <w:noWrap/>
            <w:vAlign w:val="bottom"/>
          </w:tcPr>
          <w:p w:rsidR="00652F81" w:rsidRPr="00E16944" w:rsidRDefault="00652F81" w:rsidP="00652F81">
            <w:pPr>
              <w:rPr>
                <w:rFonts w:ascii="Tahoma" w:hAnsi="Tahoma" w:cs="Tahoma"/>
                <w:b/>
                <w:bCs/>
              </w:rPr>
            </w:pPr>
            <w:r>
              <w:rPr>
                <w:rFonts w:ascii="Tahoma" w:hAnsi="Tahoma" w:cs="Tahoma"/>
                <w:b/>
                <w:bCs/>
              </w:rPr>
              <w:t>EA17</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960" w:type="dxa"/>
            <w:noWrap/>
            <w:vAlign w:val="bottom"/>
          </w:tcPr>
          <w:p w:rsidR="00652F81" w:rsidRPr="00CA39FC" w:rsidRDefault="00652F81" w:rsidP="00652F81">
            <w:pPr>
              <w:jc w:val="right"/>
              <w:rPr>
                <w:rFonts w:ascii="Tahoma" w:hAnsi="Tahoma" w:cs="Tahoma"/>
              </w:rPr>
            </w:pPr>
            <w:r w:rsidRPr="00CA39FC">
              <w:rPr>
                <w:rFonts w:ascii="Tahoma" w:hAnsi="Tahoma" w:cs="Tahoma"/>
              </w:rPr>
              <w:t>:</w:t>
            </w:r>
          </w:p>
        </w:tc>
        <w:tc>
          <w:tcPr>
            <w:tcW w:w="803" w:type="dxa"/>
          </w:tcPr>
          <w:p w:rsidR="00652F81" w:rsidRPr="00CA39FC" w:rsidRDefault="00652F81" w:rsidP="00652F81">
            <w:pPr>
              <w:jc w:val="right"/>
              <w:rPr>
                <w:rFonts w:ascii="Tahoma" w:hAnsi="Tahoma" w:cs="Tahoma"/>
              </w:rPr>
            </w:pPr>
            <w:r>
              <w:rPr>
                <w:rFonts w:ascii="Tahoma" w:hAnsi="Tahoma" w:cs="Tahoma"/>
              </w:rPr>
              <w:t>:</w:t>
            </w:r>
          </w:p>
        </w:tc>
        <w:tc>
          <w:tcPr>
            <w:tcW w:w="803" w:type="dxa"/>
          </w:tcPr>
          <w:p w:rsidR="00652F81" w:rsidRPr="00CA39FC" w:rsidRDefault="00652F81" w:rsidP="00652F81">
            <w:pPr>
              <w:jc w:val="right"/>
              <w:rPr>
                <w:rFonts w:ascii="Tahoma" w:hAnsi="Tahoma" w:cs="Tahoma"/>
              </w:rPr>
            </w:pPr>
            <w:r>
              <w:rPr>
                <w:rFonts w:ascii="Tahoma" w:hAnsi="Tahoma" w:cs="Tahoma"/>
              </w:rPr>
              <w:t>:</w:t>
            </w:r>
          </w:p>
        </w:tc>
      </w:tr>
      <w:tr w:rsidR="00652F81" w:rsidRPr="00E676C6"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EL</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3,26</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2,91</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2,95</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2,95</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2,91</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2,93</w:t>
            </w:r>
          </w:p>
        </w:tc>
        <w:tc>
          <w:tcPr>
            <w:tcW w:w="960" w:type="dxa"/>
            <w:noWrap/>
            <w:vAlign w:val="bottom"/>
          </w:tcPr>
          <w:p w:rsidR="00652F81" w:rsidRPr="00CA39FC" w:rsidRDefault="00652F81" w:rsidP="00652F81">
            <w:pPr>
              <w:jc w:val="right"/>
              <w:rPr>
                <w:rFonts w:ascii="Tahoma" w:hAnsi="Tahoma" w:cs="Tahoma"/>
              </w:rPr>
            </w:pPr>
            <w:r>
              <w:rPr>
                <w:rFonts w:ascii="Tahoma" w:hAnsi="Tahoma" w:cs="Tahoma"/>
              </w:rPr>
              <w:t>2,93</w:t>
            </w:r>
          </w:p>
        </w:tc>
        <w:tc>
          <w:tcPr>
            <w:tcW w:w="803" w:type="dxa"/>
          </w:tcPr>
          <w:p w:rsidR="00652F81" w:rsidRPr="00CA39FC" w:rsidRDefault="00652F81" w:rsidP="00652F81">
            <w:pPr>
              <w:jc w:val="right"/>
              <w:rPr>
                <w:rFonts w:ascii="Tahoma" w:hAnsi="Tahoma" w:cs="Tahoma"/>
              </w:rPr>
            </w:pPr>
            <w:r>
              <w:rPr>
                <w:rFonts w:ascii="Tahoma" w:hAnsi="Tahoma" w:cs="Tahoma"/>
              </w:rPr>
              <w:t>2,93</w:t>
            </w:r>
          </w:p>
        </w:tc>
        <w:tc>
          <w:tcPr>
            <w:tcW w:w="803" w:type="dxa"/>
          </w:tcPr>
          <w:p w:rsidR="00652F81" w:rsidRPr="00CA39FC" w:rsidRDefault="00652F81" w:rsidP="00652F81">
            <w:pPr>
              <w:jc w:val="right"/>
              <w:rPr>
                <w:rFonts w:ascii="Tahoma" w:hAnsi="Tahoma" w:cs="Tahoma"/>
              </w:rPr>
            </w:pPr>
            <w:r>
              <w:rPr>
                <w:rFonts w:ascii="Tahoma" w:hAnsi="Tahoma" w:cs="Tahoma"/>
              </w:rPr>
              <w:t>2,93</w:t>
            </w:r>
          </w:p>
        </w:tc>
      </w:tr>
    </w:tbl>
    <w:p w:rsidR="00652F81" w:rsidRPr="00CF269F" w:rsidRDefault="00652F81" w:rsidP="00652F81">
      <w:pPr>
        <w:pStyle w:val="1"/>
        <w:rPr>
          <w:rFonts w:ascii="Tahoma" w:hAnsi="Tahoma" w:cs="Tahoma"/>
          <w:sz w:val="18"/>
          <w:szCs w:val="18"/>
        </w:rPr>
      </w:pPr>
      <w:r w:rsidRPr="00186E8B">
        <w:rPr>
          <w:rFonts w:ascii="Tahoma" w:hAnsi="Tahoma" w:cs="Tahoma"/>
          <w:sz w:val="18"/>
          <w:szCs w:val="18"/>
        </w:rPr>
        <w:t>Πηγή:</w:t>
      </w:r>
      <w:r w:rsidRPr="00CF269F">
        <w:rPr>
          <w:rFonts w:ascii="Tahoma" w:hAnsi="Tahoma" w:cs="Tahoma"/>
          <w:b w:val="0"/>
          <w:sz w:val="18"/>
          <w:szCs w:val="18"/>
        </w:rPr>
        <w:t xml:space="preserve"> </w:t>
      </w:r>
      <w:r w:rsidRPr="00CF269F">
        <w:rPr>
          <w:rFonts w:ascii="Tahoma" w:hAnsi="Tahoma" w:cs="Tahoma"/>
          <w:b w:val="0"/>
          <w:sz w:val="18"/>
          <w:szCs w:val="18"/>
          <w:lang w:val="en-US"/>
        </w:rPr>
        <w:t>Eurostat</w:t>
      </w:r>
    </w:p>
    <w:p w:rsidR="00652F81" w:rsidRDefault="00652F81" w:rsidP="00652F81">
      <w:pPr>
        <w:pStyle w:val="new12"/>
        <w:sectPr w:rsidR="00652F81" w:rsidSect="00652F81">
          <w:footerReference w:type="default" r:id="rId123"/>
          <w:pgSz w:w="11906" w:h="16838"/>
          <w:pgMar w:top="1701" w:right="1418" w:bottom="1418" w:left="1418" w:header="720" w:footer="720" w:gutter="0"/>
          <w:cols w:space="720"/>
        </w:sectPr>
      </w:pPr>
    </w:p>
    <w:p w:rsidR="00652F81" w:rsidRPr="00294913" w:rsidRDefault="00652F81" w:rsidP="00652F81">
      <w:pPr>
        <w:pStyle w:val="new12"/>
      </w:pPr>
      <w:bookmarkStart w:id="563" w:name="_Toc169881570"/>
      <w:bookmarkStart w:id="564" w:name="_Toc170201931"/>
      <w:r>
        <w:lastRenderedPageBreak/>
        <w:t>ΙV-2β,</w:t>
      </w:r>
      <w:r>
        <w:tab/>
        <w:t>Τιμές Ηλεκτρικού Ρ</w:t>
      </w:r>
      <w:r w:rsidRPr="00294913">
        <w:t>εύματος (Βιομηχανική χρήση)</w:t>
      </w:r>
      <w:bookmarkEnd w:id="562"/>
      <w:bookmarkEnd w:id="563"/>
      <w:bookmarkEnd w:id="564"/>
    </w:p>
    <w:p w:rsidR="00652F81" w:rsidRPr="00294913" w:rsidRDefault="00652F81" w:rsidP="00652F81">
      <w:pPr>
        <w:pStyle w:val="new1210pt"/>
      </w:pPr>
      <w:bookmarkStart w:id="565" w:name="_Toc150308663"/>
      <w:bookmarkStart w:id="566" w:name="_Toc170201932"/>
      <w:r w:rsidRPr="00294913">
        <w:t>(σε ευρώ ανά kWh)</w:t>
      </w:r>
      <w:bookmarkEnd w:id="565"/>
      <w:bookmarkEnd w:id="566"/>
    </w:p>
    <w:p w:rsidR="00652F81" w:rsidRDefault="00652F81" w:rsidP="00652F81">
      <w:pPr>
        <w:rPr>
          <w:lang w:val="en-US"/>
        </w:rPr>
      </w:pPr>
    </w:p>
    <w:p w:rsidR="00652F81" w:rsidRPr="009671AA" w:rsidRDefault="00652F81" w:rsidP="00652F81">
      <w:pPr>
        <w:rPr>
          <w:lang w:val="en-US"/>
        </w:rPr>
      </w:pPr>
      <w:r>
        <w:rPr>
          <w:noProof/>
          <w:lang w:val="en-US" w:eastAsia="en-US"/>
        </w:rPr>
        <w:drawing>
          <wp:inline distT="0" distB="0" distL="0" distR="0">
            <wp:extent cx="5514975" cy="3276600"/>
            <wp:effectExtent l="0" t="0" r="0" b="0"/>
            <wp:docPr id="40" name="Εικόνα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4" cstate="print"/>
                    <a:srcRect/>
                    <a:stretch>
                      <a:fillRect/>
                    </a:stretch>
                  </pic:blipFill>
                  <pic:spPr bwMode="auto">
                    <a:xfrm>
                      <a:off x="0" y="0"/>
                      <a:ext cx="5514975" cy="3276600"/>
                    </a:xfrm>
                    <a:prstGeom prst="rect">
                      <a:avLst/>
                    </a:prstGeom>
                    <a:noFill/>
                    <a:ln w="9525">
                      <a:noFill/>
                      <a:miter lim="800000"/>
                      <a:headEnd/>
                      <a:tailEnd/>
                    </a:ln>
                  </pic:spPr>
                </pic:pic>
              </a:graphicData>
            </a:graphic>
          </wp:inline>
        </w:drawing>
      </w:r>
    </w:p>
    <w:p w:rsidR="00652F81" w:rsidRPr="007B29C9" w:rsidRDefault="00652F81" w:rsidP="00652F81">
      <w:pPr>
        <w:rPr>
          <w:lang w:val="en-US"/>
        </w:rPr>
      </w:pPr>
    </w:p>
    <w:tbl>
      <w:tblPr>
        <w:tblW w:w="9650" w:type="dxa"/>
        <w:tblBorders>
          <w:top w:val="single" w:sz="12" w:space="0" w:color="auto"/>
          <w:bottom w:val="single" w:sz="12" w:space="0" w:color="auto"/>
          <w:insideH w:val="dotted" w:sz="4" w:space="0" w:color="auto"/>
        </w:tblBorders>
        <w:tblLook w:val="00A0"/>
      </w:tblPr>
      <w:tblGrid>
        <w:gridCol w:w="1010"/>
        <w:gridCol w:w="960"/>
        <w:gridCol w:w="960"/>
        <w:gridCol w:w="960"/>
        <w:gridCol w:w="960"/>
        <w:gridCol w:w="960"/>
        <w:gridCol w:w="960"/>
        <w:gridCol w:w="960"/>
        <w:gridCol w:w="960"/>
        <w:gridCol w:w="960"/>
      </w:tblGrid>
      <w:tr w:rsidR="00652F81" w:rsidRPr="00E676C6" w:rsidTr="00652F81">
        <w:trPr>
          <w:trHeight w:val="255"/>
        </w:trPr>
        <w:tc>
          <w:tcPr>
            <w:tcW w:w="1010" w:type="dxa"/>
            <w:tcBorders>
              <w:top w:val="single" w:sz="12" w:space="0" w:color="auto"/>
              <w:bottom w:val="single" w:sz="8" w:space="0" w:color="auto"/>
            </w:tcBorders>
            <w:noWrap/>
          </w:tcPr>
          <w:p w:rsidR="00652F81" w:rsidRPr="002D0234" w:rsidRDefault="00652F81" w:rsidP="00652F81">
            <w:pPr>
              <w:jc w:val="center"/>
              <w:rPr>
                <w:rFonts w:ascii="Tahoma" w:hAnsi="Tahoma" w:cs="Tahoma"/>
                <w:bCs/>
              </w:rPr>
            </w:pPr>
          </w:p>
        </w:tc>
        <w:tc>
          <w:tcPr>
            <w:tcW w:w="960" w:type="dxa"/>
            <w:tcBorders>
              <w:top w:val="single" w:sz="12" w:space="0" w:color="auto"/>
              <w:bottom w:val="single" w:sz="8" w:space="0" w:color="auto"/>
            </w:tcBorders>
            <w:noWrap/>
            <w:vAlign w:val="bottom"/>
          </w:tcPr>
          <w:p w:rsidR="00652F81" w:rsidRPr="002D0234" w:rsidRDefault="00652F81" w:rsidP="00652F81">
            <w:pPr>
              <w:jc w:val="center"/>
              <w:rPr>
                <w:rFonts w:ascii="Tahoma" w:hAnsi="Tahoma" w:cs="Tahoma"/>
                <w:b/>
                <w:bCs/>
                <w:lang w:val="en-US"/>
              </w:rPr>
            </w:pPr>
            <w:r w:rsidRPr="002D0234">
              <w:rPr>
                <w:rFonts w:ascii="Tahoma" w:hAnsi="Tahoma" w:cs="Tahoma"/>
                <w:b/>
                <w:bCs/>
                <w:lang w:val="en-US"/>
              </w:rPr>
              <w:t>2002</w:t>
            </w:r>
          </w:p>
        </w:tc>
        <w:tc>
          <w:tcPr>
            <w:tcW w:w="960" w:type="dxa"/>
            <w:tcBorders>
              <w:top w:val="single" w:sz="12" w:space="0" w:color="auto"/>
              <w:bottom w:val="single" w:sz="8" w:space="0" w:color="auto"/>
            </w:tcBorders>
            <w:noWrap/>
            <w:vAlign w:val="bottom"/>
          </w:tcPr>
          <w:p w:rsidR="00652F81" w:rsidRPr="002D0234" w:rsidRDefault="00652F81" w:rsidP="00652F81">
            <w:pPr>
              <w:jc w:val="center"/>
              <w:rPr>
                <w:rFonts w:ascii="Tahoma" w:hAnsi="Tahoma" w:cs="Tahoma"/>
                <w:b/>
                <w:bCs/>
                <w:lang w:val="en-US"/>
              </w:rPr>
            </w:pPr>
            <w:r w:rsidRPr="002D0234">
              <w:rPr>
                <w:rFonts w:ascii="Tahoma" w:hAnsi="Tahoma" w:cs="Tahoma"/>
                <w:b/>
                <w:bCs/>
                <w:lang w:val="en-US"/>
              </w:rPr>
              <w:t>2003</w:t>
            </w:r>
          </w:p>
        </w:tc>
        <w:tc>
          <w:tcPr>
            <w:tcW w:w="960" w:type="dxa"/>
            <w:tcBorders>
              <w:top w:val="single" w:sz="12" w:space="0" w:color="auto"/>
              <w:bottom w:val="single" w:sz="8" w:space="0" w:color="auto"/>
            </w:tcBorders>
            <w:noWrap/>
            <w:vAlign w:val="bottom"/>
          </w:tcPr>
          <w:p w:rsidR="00652F81" w:rsidRPr="002D0234" w:rsidRDefault="00652F81" w:rsidP="00652F81">
            <w:pPr>
              <w:jc w:val="center"/>
              <w:rPr>
                <w:rFonts w:ascii="Tahoma" w:hAnsi="Tahoma" w:cs="Tahoma"/>
                <w:b/>
                <w:bCs/>
                <w:lang w:val="en-US"/>
              </w:rPr>
            </w:pPr>
            <w:r w:rsidRPr="002D0234">
              <w:rPr>
                <w:rFonts w:ascii="Tahoma" w:hAnsi="Tahoma" w:cs="Tahoma"/>
                <w:b/>
                <w:bCs/>
                <w:lang w:val="en-US"/>
              </w:rPr>
              <w:t>2004</w:t>
            </w:r>
          </w:p>
        </w:tc>
        <w:tc>
          <w:tcPr>
            <w:tcW w:w="960" w:type="dxa"/>
            <w:tcBorders>
              <w:top w:val="single" w:sz="12" w:space="0" w:color="auto"/>
              <w:bottom w:val="single" w:sz="8" w:space="0" w:color="auto"/>
            </w:tcBorders>
            <w:noWrap/>
            <w:vAlign w:val="bottom"/>
          </w:tcPr>
          <w:p w:rsidR="00652F81" w:rsidRPr="002D0234" w:rsidRDefault="00652F81" w:rsidP="00652F81">
            <w:pPr>
              <w:jc w:val="center"/>
              <w:rPr>
                <w:rFonts w:ascii="Tahoma" w:hAnsi="Tahoma" w:cs="Tahoma"/>
                <w:b/>
                <w:bCs/>
                <w:lang w:val="en-US"/>
              </w:rPr>
            </w:pPr>
            <w:r w:rsidRPr="002D0234">
              <w:rPr>
                <w:rFonts w:ascii="Tahoma" w:hAnsi="Tahoma" w:cs="Tahoma"/>
                <w:b/>
                <w:bCs/>
                <w:lang w:val="en-US"/>
              </w:rPr>
              <w:t>2005</w:t>
            </w:r>
          </w:p>
        </w:tc>
        <w:tc>
          <w:tcPr>
            <w:tcW w:w="960" w:type="dxa"/>
            <w:tcBorders>
              <w:top w:val="single" w:sz="12" w:space="0" w:color="auto"/>
              <w:bottom w:val="single" w:sz="8" w:space="0" w:color="auto"/>
            </w:tcBorders>
            <w:noWrap/>
            <w:vAlign w:val="bottom"/>
          </w:tcPr>
          <w:p w:rsidR="00652F81" w:rsidRPr="002D0234" w:rsidRDefault="00652F81" w:rsidP="00652F81">
            <w:pPr>
              <w:jc w:val="center"/>
              <w:rPr>
                <w:rFonts w:ascii="Tahoma" w:hAnsi="Tahoma" w:cs="Tahoma"/>
                <w:b/>
                <w:bCs/>
                <w:lang w:val="en-US"/>
              </w:rPr>
            </w:pPr>
            <w:r w:rsidRPr="002D0234">
              <w:rPr>
                <w:rFonts w:ascii="Tahoma" w:hAnsi="Tahoma" w:cs="Tahoma"/>
                <w:b/>
                <w:bCs/>
                <w:lang w:val="en-US"/>
              </w:rPr>
              <w:t>2006</w:t>
            </w:r>
          </w:p>
        </w:tc>
        <w:tc>
          <w:tcPr>
            <w:tcW w:w="960" w:type="dxa"/>
            <w:tcBorders>
              <w:top w:val="single" w:sz="12" w:space="0" w:color="auto"/>
              <w:bottom w:val="single" w:sz="8" w:space="0" w:color="auto"/>
            </w:tcBorders>
            <w:noWrap/>
            <w:vAlign w:val="bottom"/>
          </w:tcPr>
          <w:p w:rsidR="00652F81" w:rsidRPr="002D0234" w:rsidRDefault="00652F81" w:rsidP="00652F81">
            <w:pPr>
              <w:jc w:val="center"/>
              <w:rPr>
                <w:rFonts w:ascii="Tahoma" w:hAnsi="Tahoma" w:cs="Tahoma"/>
                <w:b/>
                <w:bCs/>
                <w:lang w:val="en-US"/>
              </w:rPr>
            </w:pPr>
            <w:r w:rsidRPr="002D0234">
              <w:rPr>
                <w:rFonts w:ascii="Tahoma" w:hAnsi="Tahoma" w:cs="Tahoma"/>
                <w:b/>
                <w:bCs/>
                <w:lang w:val="en-US"/>
              </w:rPr>
              <w:t>2007</w:t>
            </w:r>
          </w:p>
        </w:tc>
        <w:tc>
          <w:tcPr>
            <w:tcW w:w="960" w:type="dxa"/>
            <w:tcBorders>
              <w:top w:val="single" w:sz="12" w:space="0" w:color="auto"/>
              <w:bottom w:val="single" w:sz="8" w:space="0" w:color="auto"/>
            </w:tcBorders>
            <w:noWrap/>
            <w:vAlign w:val="bottom"/>
          </w:tcPr>
          <w:p w:rsidR="00652F81" w:rsidRPr="002D0234" w:rsidRDefault="00652F81" w:rsidP="00652F81">
            <w:pPr>
              <w:jc w:val="center"/>
              <w:rPr>
                <w:rFonts w:ascii="Tahoma" w:hAnsi="Tahoma" w:cs="Tahoma"/>
                <w:b/>
                <w:bCs/>
                <w:lang w:val="en-US"/>
              </w:rPr>
            </w:pPr>
            <w:r w:rsidRPr="002D0234">
              <w:rPr>
                <w:rFonts w:ascii="Tahoma" w:hAnsi="Tahoma" w:cs="Tahoma"/>
                <w:b/>
                <w:bCs/>
                <w:lang w:val="en-US"/>
              </w:rPr>
              <w:t>2008</w:t>
            </w:r>
          </w:p>
        </w:tc>
        <w:tc>
          <w:tcPr>
            <w:tcW w:w="960" w:type="dxa"/>
            <w:tcBorders>
              <w:top w:val="single" w:sz="12" w:space="0" w:color="auto"/>
              <w:bottom w:val="single" w:sz="8" w:space="0" w:color="auto"/>
            </w:tcBorders>
            <w:noWrap/>
            <w:vAlign w:val="bottom"/>
          </w:tcPr>
          <w:p w:rsidR="00652F81" w:rsidRPr="002D0234" w:rsidRDefault="00652F81" w:rsidP="00652F81">
            <w:pPr>
              <w:jc w:val="center"/>
              <w:rPr>
                <w:rFonts w:ascii="Tahoma" w:hAnsi="Tahoma" w:cs="Tahoma"/>
                <w:b/>
                <w:bCs/>
                <w:lang w:val="en-US"/>
              </w:rPr>
            </w:pPr>
            <w:r>
              <w:rPr>
                <w:rFonts w:ascii="Tahoma" w:hAnsi="Tahoma" w:cs="Tahoma"/>
                <w:b/>
                <w:bCs/>
                <w:lang w:val="en-US"/>
              </w:rPr>
              <w:t>2009</w:t>
            </w:r>
          </w:p>
        </w:tc>
        <w:tc>
          <w:tcPr>
            <w:tcW w:w="960" w:type="dxa"/>
            <w:tcBorders>
              <w:top w:val="single" w:sz="12" w:space="0" w:color="auto"/>
              <w:bottom w:val="single" w:sz="8" w:space="0" w:color="auto"/>
            </w:tcBorders>
            <w:noWrap/>
            <w:vAlign w:val="bottom"/>
          </w:tcPr>
          <w:p w:rsidR="00652F81" w:rsidRPr="002D0234" w:rsidRDefault="00652F81" w:rsidP="00652F81">
            <w:pPr>
              <w:jc w:val="center"/>
              <w:rPr>
                <w:rFonts w:ascii="Tahoma" w:hAnsi="Tahoma" w:cs="Tahoma"/>
                <w:b/>
                <w:bCs/>
                <w:lang w:val="en-US"/>
              </w:rPr>
            </w:pPr>
            <w:r>
              <w:rPr>
                <w:rFonts w:ascii="Tahoma" w:hAnsi="Tahoma" w:cs="Tahoma"/>
                <w:b/>
                <w:bCs/>
                <w:lang w:val="en-US"/>
              </w:rPr>
              <w:t>2010</w:t>
            </w:r>
          </w:p>
        </w:tc>
      </w:tr>
      <w:tr w:rsidR="00652F81" w:rsidRPr="00E676C6" w:rsidTr="00652F81">
        <w:trPr>
          <w:trHeight w:val="255"/>
        </w:trPr>
        <w:tc>
          <w:tcPr>
            <w:tcW w:w="1010" w:type="dxa"/>
            <w:tcBorders>
              <w:top w:val="single" w:sz="8" w:space="0" w:color="auto"/>
            </w:tcBorders>
            <w:noWrap/>
            <w:vAlign w:val="bottom"/>
          </w:tcPr>
          <w:p w:rsidR="00652F81" w:rsidRPr="002D0234" w:rsidRDefault="00652F81" w:rsidP="00652F81">
            <w:pPr>
              <w:rPr>
                <w:rFonts w:ascii="Tahoma" w:hAnsi="Tahoma" w:cs="Tahoma"/>
                <w:b/>
                <w:bCs/>
              </w:rPr>
            </w:pPr>
            <w:r w:rsidRPr="002D0234">
              <w:rPr>
                <w:rFonts w:ascii="Tahoma" w:hAnsi="Tahoma" w:cs="Tahoma"/>
                <w:b/>
                <w:bCs/>
              </w:rPr>
              <w:t>EU27</w:t>
            </w:r>
          </w:p>
        </w:tc>
        <w:tc>
          <w:tcPr>
            <w:tcW w:w="960" w:type="dxa"/>
            <w:tcBorders>
              <w:top w:val="single" w:sz="8" w:space="0" w:color="auto"/>
            </w:tcBorders>
            <w:noWrap/>
            <w:vAlign w:val="bottom"/>
          </w:tcPr>
          <w:p w:rsidR="00652F81" w:rsidRPr="000A1F75" w:rsidRDefault="00652F81" w:rsidP="00652F81">
            <w:pPr>
              <w:jc w:val="right"/>
              <w:rPr>
                <w:rFonts w:ascii="Tahoma" w:hAnsi="Tahoma" w:cs="Tahoma"/>
              </w:rPr>
            </w:pPr>
            <w:r w:rsidRPr="000A1F75">
              <w:rPr>
                <w:rFonts w:ascii="Tahoma" w:hAnsi="Tahoma" w:cs="Tahoma"/>
              </w:rPr>
              <w:t>:</w:t>
            </w:r>
          </w:p>
        </w:tc>
        <w:tc>
          <w:tcPr>
            <w:tcW w:w="960" w:type="dxa"/>
            <w:tcBorders>
              <w:top w:val="single" w:sz="8" w:space="0" w:color="auto"/>
            </w:tcBorders>
            <w:noWrap/>
            <w:vAlign w:val="bottom"/>
          </w:tcPr>
          <w:p w:rsidR="00652F81" w:rsidRPr="000A1F75" w:rsidRDefault="00652F81" w:rsidP="00652F81">
            <w:pPr>
              <w:jc w:val="right"/>
              <w:rPr>
                <w:rFonts w:ascii="Tahoma" w:hAnsi="Tahoma" w:cs="Tahoma"/>
              </w:rPr>
            </w:pPr>
            <w:r w:rsidRPr="000A1F75">
              <w:rPr>
                <w:rFonts w:ascii="Tahoma" w:hAnsi="Tahoma" w:cs="Tahoma"/>
              </w:rPr>
              <w:t>:</w:t>
            </w:r>
          </w:p>
        </w:tc>
        <w:tc>
          <w:tcPr>
            <w:tcW w:w="960" w:type="dxa"/>
            <w:tcBorders>
              <w:top w:val="single" w:sz="8" w:space="0" w:color="auto"/>
            </w:tcBorders>
            <w:noWrap/>
            <w:vAlign w:val="bottom"/>
          </w:tcPr>
          <w:p w:rsidR="00652F81" w:rsidRPr="000A1F75" w:rsidRDefault="00652F81" w:rsidP="00652F81">
            <w:pPr>
              <w:jc w:val="right"/>
              <w:rPr>
                <w:rFonts w:ascii="Tahoma" w:hAnsi="Tahoma" w:cs="Tahoma"/>
              </w:rPr>
            </w:pPr>
            <w:r w:rsidRPr="000A1F75">
              <w:rPr>
                <w:rFonts w:ascii="Tahoma" w:hAnsi="Tahoma" w:cs="Tahoma"/>
              </w:rPr>
              <w:t>:</w:t>
            </w:r>
          </w:p>
        </w:tc>
        <w:tc>
          <w:tcPr>
            <w:tcW w:w="960" w:type="dxa"/>
            <w:tcBorders>
              <w:top w:val="single" w:sz="8" w:space="0" w:color="auto"/>
            </w:tcBorders>
            <w:noWrap/>
            <w:vAlign w:val="bottom"/>
          </w:tcPr>
          <w:p w:rsidR="00652F81" w:rsidRPr="000A1F75" w:rsidRDefault="00652F81" w:rsidP="00652F81">
            <w:pPr>
              <w:jc w:val="right"/>
              <w:rPr>
                <w:rFonts w:ascii="Tahoma" w:hAnsi="Tahoma" w:cs="Tahoma"/>
              </w:rPr>
            </w:pPr>
            <w:r w:rsidRPr="000A1F75">
              <w:rPr>
                <w:rFonts w:ascii="Tahoma" w:hAnsi="Tahoma" w:cs="Tahoma"/>
              </w:rPr>
              <w:t>0,0672</w:t>
            </w:r>
          </w:p>
        </w:tc>
        <w:tc>
          <w:tcPr>
            <w:tcW w:w="960" w:type="dxa"/>
            <w:tcBorders>
              <w:top w:val="single" w:sz="8" w:space="0" w:color="auto"/>
            </w:tcBorders>
            <w:noWrap/>
            <w:vAlign w:val="bottom"/>
          </w:tcPr>
          <w:p w:rsidR="00652F81" w:rsidRPr="000A1F75" w:rsidRDefault="00652F81" w:rsidP="00652F81">
            <w:pPr>
              <w:jc w:val="right"/>
              <w:rPr>
                <w:rFonts w:ascii="Tahoma" w:hAnsi="Tahoma" w:cs="Tahoma"/>
              </w:rPr>
            </w:pPr>
            <w:r w:rsidRPr="000A1F75">
              <w:rPr>
                <w:rFonts w:ascii="Tahoma" w:hAnsi="Tahoma" w:cs="Tahoma"/>
              </w:rPr>
              <w:t>0,0752</w:t>
            </w:r>
          </w:p>
        </w:tc>
        <w:tc>
          <w:tcPr>
            <w:tcW w:w="960" w:type="dxa"/>
            <w:tcBorders>
              <w:top w:val="single" w:sz="8" w:space="0" w:color="auto"/>
            </w:tcBorders>
            <w:noWrap/>
            <w:vAlign w:val="bottom"/>
          </w:tcPr>
          <w:p w:rsidR="00652F81" w:rsidRPr="009671AA" w:rsidRDefault="00652F81" w:rsidP="00652F81">
            <w:pPr>
              <w:jc w:val="right"/>
              <w:rPr>
                <w:rFonts w:ascii="Tahoma" w:hAnsi="Tahoma" w:cs="Tahoma"/>
              </w:rPr>
            </w:pPr>
            <w:r w:rsidRPr="009671AA">
              <w:rPr>
                <w:rFonts w:ascii="Tahoma" w:hAnsi="Tahoma" w:cs="Tahoma"/>
              </w:rPr>
              <w:t>0,0845</w:t>
            </w:r>
          </w:p>
        </w:tc>
        <w:tc>
          <w:tcPr>
            <w:tcW w:w="960" w:type="dxa"/>
            <w:tcBorders>
              <w:top w:val="single" w:sz="8" w:space="0" w:color="auto"/>
            </w:tcBorders>
            <w:noWrap/>
            <w:vAlign w:val="bottom"/>
          </w:tcPr>
          <w:p w:rsidR="00652F81" w:rsidRPr="009671AA" w:rsidRDefault="00652F81" w:rsidP="00652F81">
            <w:pPr>
              <w:jc w:val="right"/>
              <w:rPr>
                <w:rFonts w:ascii="Tahoma" w:hAnsi="Tahoma" w:cs="Tahoma"/>
              </w:rPr>
            </w:pPr>
            <w:r w:rsidRPr="009671AA">
              <w:rPr>
                <w:rFonts w:ascii="Tahoma" w:hAnsi="Tahoma" w:cs="Tahoma"/>
              </w:rPr>
              <w:t>0,0901</w:t>
            </w:r>
          </w:p>
        </w:tc>
        <w:tc>
          <w:tcPr>
            <w:tcW w:w="960" w:type="dxa"/>
            <w:tcBorders>
              <w:top w:val="single" w:sz="8" w:space="0" w:color="auto"/>
            </w:tcBorders>
            <w:noWrap/>
            <w:vAlign w:val="bottom"/>
          </w:tcPr>
          <w:p w:rsidR="00652F81" w:rsidRPr="009671AA" w:rsidRDefault="00652F81" w:rsidP="00652F81">
            <w:pPr>
              <w:jc w:val="right"/>
              <w:rPr>
                <w:rFonts w:ascii="Tahoma" w:hAnsi="Tahoma" w:cs="Tahoma"/>
              </w:rPr>
            </w:pPr>
            <w:r w:rsidRPr="009671AA">
              <w:rPr>
                <w:rFonts w:ascii="Tahoma" w:hAnsi="Tahoma" w:cs="Tahoma"/>
              </w:rPr>
              <w:t>0,0932</w:t>
            </w:r>
          </w:p>
        </w:tc>
        <w:tc>
          <w:tcPr>
            <w:tcW w:w="960" w:type="dxa"/>
            <w:tcBorders>
              <w:top w:val="single" w:sz="8" w:space="0" w:color="auto"/>
            </w:tcBorders>
            <w:noWrap/>
            <w:vAlign w:val="bottom"/>
          </w:tcPr>
          <w:p w:rsidR="00652F81" w:rsidRPr="009671AA" w:rsidRDefault="00652F81" w:rsidP="00652F81">
            <w:pPr>
              <w:jc w:val="right"/>
              <w:rPr>
                <w:rFonts w:ascii="Tahoma" w:hAnsi="Tahoma" w:cs="Tahoma"/>
              </w:rPr>
            </w:pPr>
            <w:r w:rsidRPr="009671AA">
              <w:rPr>
                <w:rFonts w:ascii="Tahoma" w:hAnsi="Tahoma" w:cs="Tahoma"/>
              </w:rPr>
              <w:t>0,0918</w:t>
            </w:r>
          </w:p>
        </w:tc>
      </w:tr>
      <w:tr w:rsidR="00652F81" w:rsidRPr="00E676C6" w:rsidTr="00652F81">
        <w:trPr>
          <w:trHeight w:val="255"/>
        </w:trPr>
        <w:tc>
          <w:tcPr>
            <w:tcW w:w="1010" w:type="dxa"/>
            <w:noWrap/>
            <w:vAlign w:val="bottom"/>
          </w:tcPr>
          <w:p w:rsidR="00652F81" w:rsidRPr="002D0234" w:rsidRDefault="00652F81" w:rsidP="00652F81">
            <w:pPr>
              <w:rPr>
                <w:rFonts w:ascii="Tahoma" w:hAnsi="Tahoma" w:cs="Tahoma"/>
                <w:b/>
                <w:bCs/>
              </w:rPr>
            </w:pPr>
            <w:r w:rsidRPr="002D0234">
              <w:rPr>
                <w:rFonts w:ascii="Tahoma" w:hAnsi="Tahoma" w:cs="Tahoma"/>
                <w:b/>
                <w:bCs/>
              </w:rPr>
              <w:t>EU25</w:t>
            </w:r>
          </w:p>
        </w:tc>
        <w:tc>
          <w:tcPr>
            <w:tcW w:w="960" w:type="dxa"/>
            <w:noWrap/>
            <w:vAlign w:val="bottom"/>
          </w:tcPr>
          <w:p w:rsidR="00652F81" w:rsidRPr="000A1F75" w:rsidRDefault="00652F81" w:rsidP="00652F81">
            <w:pPr>
              <w:jc w:val="right"/>
              <w:rPr>
                <w:rFonts w:ascii="Tahoma" w:hAnsi="Tahoma" w:cs="Tahoma"/>
              </w:rPr>
            </w:pPr>
            <w:r w:rsidRPr="000A1F75">
              <w:rPr>
                <w:rFonts w:ascii="Tahoma" w:hAnsi="Tahoma" w:cs="Tahoma"/>
              </w:rPr>
              <w:t>:</w:t>
            </w:r>
          </w:p>
        </w:tc>
        <w:tc>
          <w:tcPr>
            <w:tcW w:w="960" w:type="dxa"/>
            <w:noWrap/>
            <w:vAlign w:val="bottom"/>
          </w:tcPr>
          <w:p w:rsidR="00652F81" w:rsidRPr="000A1F75" w:rsidRDefault="00652F81" w:rsidP="00652F81">
            <w:pPr>
              <w:jc w:val="right"/>
              <w:rPr>
                <w:rFonts w:ascii="Tahoma" w:hAnsi="Tahoma" w:cs="Tahoma"/>
              </w:rPr>
            </w:pPr>
            <w:r w:rsidRPr="000A1F75">
              <w:rPr>
                <w:rFonts w:ascii="Tahoma" w:hAnsi="Tahoma" w:cs="Tahoma"/>
              </w:rPr>
              <w:t>:</w:t>
            </w:r>
          </w:p>
        </w:tc>
        <w:tc>
          <w:tcPr>
            <w:tcW w:w="960" w:type="dxa"/>
            <w:noWrap/>
            <w:vAlign w:val="bottom"/>
          </w:tcPr>
          <w:p w:rsidR="00652F81" w:rsidRPr="000A1F75" w:rsidRDefault="00652F81" w:rsidP="00652F81">
            <w:pPr>
              <w:jc w:val="right"/>
              <w:rPr>
                <w:rFonts w:ascii="Tahoma" w:hAnsi="Tahoma" w:cs="Tahoma"/>
              </w:rPr>
            </w:pPr>
            <w:r w:rsidRPr="000A1F75">
              <w:rPr>
                <w:rFonts w:ascii="Tahoma" w:hAnsi="Tahoma" w:cs="Tahoma"/>
              </w:rPr>
              <w:t>0,0623</w:t>
            </w:r>
          </w:p>
        </w:tc>
        <w:tc>
          <w:tcPr>
            <w:tcW w:w="960" w:type="dxa"/>
            <w:noWrap/>
            <w:vAlign w:val="bottom"/>
          </w:tcPr>
          <w:p w:rsidR="00652F81" w:rsidRPr="000A1F75" w:rsidRDefault="00652F81" w:rsidP="00652F81">
            <w:pPr>
              <w:jc w:val="right"/>
              <w:rPr>
                <w:rFonts w:ascii="Tahoma" w:hAnsi="Tahoma" w:cs="Tahoma"/>
              </w:rPr>
            </w:pPr>
            <w:r w:rsidRPr="000A1F75">
              <w:rPr>
                <w:rFonts w:ascii="Tahoma" w:hAnsi="Tahoma" w:cs="Tahoma"/>
              </w:rPr>
              <w:t>0,0672</w:t>
            </w:r>
          </w:p>
        </w:tc>
        <w:tc>
          <w:tcPr>
            <w:tcW w:w="960" w:type="dxa"/>
            <w:noWrap/>
            <w:vAlign w:val="bottom"/>
          </w:tcPr>
          <w:p w:rsidR="00652F81" w:rsidRPr="000A1F75" w:rsidRDefault="00652F81" w:rsidP="00652F81">
            <w:pPr>
              <w:jc w:val="right"/>
              <w:rPr>
                <w:rFonts w:ascii="Tahoma" w:hAnsi="Tahoma" w:cs="Tahoma"/>
              </w:rPr>
            </w:pPr>
            <w:r w:rsidRPr="000A1F75">
              <w:rPr>
                <w:rFonts w:ascii="Tahoma" w:hAnsi="Tahoma" w:cs="Tahoma"/>
              </w:rPr>
              <w:t>0,0755</w:t>
            </w:r>
          </w:p>
        </w:tc>
        <w:tc>
          <w:tcPr>
            <w:tcW w:w="960" w:type="dxa"/>
            <w:noWrap/>
            <w:vAlign w:val="bottom"/>
          </w:tcPr>
          <w:p w:rsidR="00652F81" w:rsidRPr="000A1F75" w:rsidRDefault="00652F81" w:rsidP="00652F81">
            <w:pPr>
              <w:jc w:val="right"/>
              <w:rPr>
                <w:rFonts w:ascii="Tahoma" w:hAnsi="Tahoma" w:cs="Tahoma"/>
              </w:rPr>
            </w:pPr>
            <w:r>
              <w:rPr>
                <w:rFonts w:ascii="Tahoma" w:hAnsi="Tahoma" w:cs="Tahoma"/>
              </w:rPr>
              <w:t>:</w:t>
            </w:r>
          </w:p>
        </w:tc>
        <w:tc>
          <w:tcPr>
            <w:tcW w:w="960" w:type="dxa"/>
            <w:noWrap/>
            <w:vAlign w:val="bottom"/>
          </w:tcPr>
          <w:p w:rsidR="00652F81" w:rsidRPr="000A1F75" w:rsidRDefault="00652F81" w:rsidP="00652F81">
            <w:pPr>
              <w:jc w:val="right"/>
              <w:rPr>
                <w:rFonts w:ascii="Tahoma" w:hAnsi="Tahoma" w:cs="Tahoma"/>
              </w:rPr>
            </w:pPr>
            <w:r w:rsidRPr="000A1F75">
              <w:rPr>
                <w:rFonts w:ascii="Tahoma" w:hAnsi="Tahoma" w:cs="Tahoma"/>
              </w:rPr>
              <w:t>:</w:t>
            </w:r>
          </w:p>
        </w:tc>
        <w:tc>
          <w:tcPr>
            <w:tcW w:w="960" w:type="dxa"/>
            <w:noWrap/>
            <w:vAlign w:val="bottom"/>
          </w:tcPr>
          <w:p w:rsidR="00652F81" w:rsidRPr="000A1F75" w:rsidRDefault="00652F81" w:rsidP="00652F81">
            <w:pPr>
              <w:jc w:val="right"/>
              <w:rPr>
                <w:rFonts w:ascii="Tahoma" w:hAnsi="Tahoma" w:cs="Tahoma"/>
              </w:rPr>
            </w:pPr>
            <w:r w:rsidRPr="000A1F75">
              <w:rPr>
                <w:rFonts w:ascii="Tahoma" w:hAnsi="Tahoma" w:cs="Tahoma"/>
              </w:rPr>
              <w:t>:</w:t>
            </w:r>
          </w:p>
        </w:tc>
        <w:tc>
          <w:tcPr>
            <w:tcW w:w="960" w:type="dxa"/>
            <w:noWrap/>
            <w:vAlign w:val="bottom"/>
          </w:tcPr>
          <w:p w:rsidR="00652F81" w:rsidRPr="000A1F75" w:rsidRDefault="00652F81" w:rsidP="00652F81">
            <w:pPr>
              <w:jc w:val="right"/>
              <w:rPr>
                <w:rFonts w:ascii="Tahoma" w:hAnsi="Tahoma" w:cs="Tahoma"/>
              </w:rPr>
            </w:pPr>
            <w:r w:rsidRPr="000A1F75">
              <w:rPr>
                <w:rFonts w:ascii="Tahoma" w:hAnsi="Tahoma" w:cs="Tahoma"/>
              </w:rPr>
              <w:t>:</w:t>
            </w:r>
          </w:p>
        </w:tc>
      </w:tr>
      <w:tr w:rsidR="00652F81" w:rsidRPr="00E676C6" w:rsidTr="00652F81">
        <w:trPr>
          <w:trHeight w:val="255"/>
        </w:trPr>
        <w:tc>
          <w:tcPr>
            <w:tcW w:w="1010" w:type="dxa"/>
            <w:noWrap/>
            <w:vAlign w:val="bottom"/>
          </w:tcPr>
          <w:p w:rsidR="00652F81" w:rsidRPr="002D0234" w:rsidRDefault="00652F81" w:rsidP="00652F81">
            <w:pPr>
              <w:rPr>
                <w:rFonts w:ascii="Tahoma" w:hAnsi="Tahoma" w:cs="Tahoma"/>
                <w:b/>
                <w:bCs/>
              </w:rPr>
            </w:pPr>
            <w:r w:rsidRPr="002D0234">
              <w:rPr>
                <w:rFonts w:ascii="Tahoma" w:hAnsi="Tahoma" w:cs="Tahoma"/>
                <w:b/>
                <w:bCs/>
              </w:rPr>
              <w:t>EU15</w:t>
            </w:r>
          </w:p>
        </w:tc>
        <w:tc>
          <w:tcPr>
            <w:tcW w:w="960" w:type="dxa"/>
            <w:noWrap/>
            <w:vAlign w:val="bottom"/>
          </w:tcPr>
          <w:p w:rsidR="00652F81" w:rsidRPr="000A1F75" w:rsidRDefault="00652F81" w:rsidP="00652F81">
            <w:pPr>
              <w:jc w:val="right"/>
              <w:rPr>
                <w:rFonts w:ascii="Tahoma" w:hAnsi="Tahoma" w:cs="Tahoma"/>
              </w:rPr>
            </w:pPr>
            <w:r w:rsidRPr="000A1F75">
              <w:rPr>
                <w:rFonts w:ascii="Tahoma" w:hAnsi="Tahoma" w:cs="Tahoma"/>
              </w:rPr>
              <w:t>0,062</w:t>
            </w:r>
          </w:p>
        </w:tc>
        <w:tc>
          <w:tcPr>
            <w:tcW w:w="960" w:type="dxa"/>
            <w:noWrap/>
            <w:vAlign w:val="bottom"/>
          </w:tcPr>
          <w:p w:rsidR="00652F81" w:rsidRPr="000A1F75" w:rsidRDefault="00652F81" w:rsidP="00652F81">
            <w:pPr>
              <w:jc w:val="right"/>
              <w:rPr>
                <w:rFonts w:ascii="Tahoma" w:hAnsi="Tahoma" w:cs="Tahoma"/>
              </w:rPr>
            </w:pPr>
            <w:r w:rsidRPr="000A1F75">
              <w:rPr>
                <w:rFonts w:ascii="Tahoma" w:hAnsi="Tahoma" w:cs="Tahoma"/>
              </w:rPr>
              <w:t>0,0648</w:t>
            </w:r>
          </w:p>
        </w:tc>
        <w:tc>
          <w:tcPr>
            <w:tcW w:w="960" w:type="dxa"/>
            <w:noWrap/>
            <w:vAlign w:val="bottom"/>
          </w:tcPr>
          <w:p w:rsidR="00652F81" w:rsidRPr="000A1F75" w:rsidRDefault="00652F81" w:rsidP="00652F81">
            <w:pPr>
              <w:jc w:val="right"/>
              <w:rPr>
                <w:rFonts w:ascii="Tahoma" w:hAnsi="Tahoma" w:cs="Tahoma"/>
              </w:rPr>
            </w:pPr>
            <w:r w:rsidRPr="000A1F75">
              <w:rPr>
                <w:rFonts w:ascii="Tahoma" w:hAnsi="Tahoma" w:cs="Tahoma"/>
              </w:rPr>
              <w:t>0,0634</w:t>
            </w:r>
          </w:p>
        </w:tc>
        <w:tc>
          <w:tcPr>
            <w:tcW w:w="960" w:type="dxa"/>
            <w:noWrap/>
            <w:vAlign w:val="bottom"/>
          </w:tcPr>
          <w:p w:rsidR="00652F81" w:rsidRPr="000A1F75" w:rsidRDefault="00652F81" w:rsidP="00652F81">
            <w:pPr>
              <w:jc w:val="right"/>
              <w:rPr>
                <w:rFonts w:ascii="Tahoma" w:hAnsi="Tahoma" w:cs="Tahoma"/>
              </w:rPr>
            </w:pPr>
            <w:r w:rsidRPr="000A1F75">
              <w:rPr>
                <w:rFonts w:ascii="Tahoma" w:hAnsi="Tahoma" w:cs="Tahoma"/>
              </w:rPr>
              <w:t>0,0682</w:t>
            </w:r>
          </w:p>
        </w:tc>
        <w:tc>
          <w:tcPr>
            <w:tcW w:w="960" w:type="dxa"/>
            <w:noWrap/>
            <w:vAlign w:val="bottom"/>
          </w:tcPr>
          <w:p w:rsidR="00652F81" w:rsidRPr="000A1F75" w:rsidRDefault="00652F81" w:rsidP="00652F81">
            <w:pPr>
              <w:jc w:val="right"/>
              <w:rPr>
                <w:rFonts w:ascii="Tahoma" w:hAnsi="Tahoma" w:cs="Tahoma"/>
              </w:rPr>
            </w:pPr>
            <w:r w:rsidRPr="000A1F75">
              <w:rPr>
                <w:rFonts w:ascii="Tahoma" w:hAnsi="Tahoma" w:cs="Tahoma"/>
              </w:rPr>
              <w:t>0,0766</w:t>
            </w:r>
          </w:p>
        </w:tc>
        <w:tc>
          <w:tcPr>
            <w:tcW w:w="960" w:type="dxa"/>
            <w:noWrap/>
            <w:vAlign w:val="bottom"/>
          </w:tcPr>
          <w:p w:rsidR="00652F81" w:rsidRPr="000A1F75" w:rsidRDefault="00652F81" w:rsidP="00652F81">
            <w:pPr>
              <w:jc w:val="right"/>
              <w:rPr>
                <w:rFonts w:ascii="Tahoma" w:hAnsi="Tahoma" w:cs="Tahoma"/>
              </w:rPr>
            </w:pPr>
            <w:r>
              <w:rPr>
                <w:rFonts w:ascii="Tahoma" w:hAnsi="Tahoma" w:cs="Tahoma"/>
              </w:rPr>
              <w:t>:</w:t>
            </w:r>
          </w:p>
        </w:tc>
        <w:tc>
          <w:tcPr>
            <w:tcW w:w="960" w:type="dxa"/>
            <w:noWrap/>
            <w:vAlign w:val="bottom"/>
          </w:tcPr>
          <w:p w:rsidR="00652F81" w:rsidRPr="000A1F75" w:rsidRDefault="00652F81" w:rsidP="00652F81">
            <w:pPr>
              <w:jc w:val="right"/>
              <w:rPr>
                <w:rFonts w:ascii="Tahoma" w:hAnsi="Tahoma" w:cs="Tahoma"/>
              </w:rPr>
            </w:pPr>
            <w:r w:rsidRPr="000A1F75">
              <w:rPr>
                <w:rFonts w:ascii="Tahoma" w:hAnsi="Tahoma" w:cs="Tahoma"/>
              </w:rPr>
              <w:t>:</w:t>
            </w:r>
          </w:p>
        </w:tc>
        <w:tc>
          <w:tcPr>
            <w:tcW w:w="960" w:type="dxa"/>
            <w:noWrap/>
            <w:vAlign w:val="bottom"/>
          </w:tcPr>
          <w:p w:rsidR="00652F81" w:rsidRPr="000A1F75" w:rsidRDefault="00652F81" w:rsidP="00652F81">
            <w:pPr>
              <w:jc w:val="right"/>
              <w:rPr>
                <w:rFonts w:ascii="Tahoma" w:hAnsi="Tahoma" w:cs="Tahoma"/>
              </w:rPr>
            </w:pPr>
            <w:r w:rsidRPr="000A1F75">
              <w:rPr>
                <w:rFonts w:ascii="Tahoma" w:hAnsi="Tahoma" w:cs="Tahoma"/>
              </w:rPr>
              <w:t>:</w:t>
            </w:r>
          </w:p>
        </w:tc>
        <w:tc>
          <w:tcPr>
            <w:tcW w:w="960" w:type="dxa"/>
            <w:noWrap/>
            <w:vAlign w:val="bottom"/>
          </w:tcPr>
          <w:p w:rsidR="00652F81" w:rsidRPr="000A1F75" w:rsidRDefault="00652F81" w:rsidP="00652F81">
            <w:pPr>
              <w:jc w:val="right"/>
              <w:rPr>
                <w:rFonts w:ascii="Tahoma" w:hAnsi="Tahoma" w:cs="Tahoma"/>
              </w:rPr>
            </w:pPr>
            <w:r w:rsidRPr="000A1F75">
              <w:rPr>
                <w:rFonts w:ascii="Tahoma" w:hAnsi="Tahoma" w:cs="Tahoma"/>
              </w:rPr>
              <w:t>:</w:t>
            </w:r>
          </w:p>
        </w:tc>
      </w:tr>
      <w:tr w:rsidR="00652F81" w:rsidRPr="00E676C6" w:rsidTr="00652F81">
        <w:trPr>
          <w:trHeight w:val="255"/>
        </w:trPr>
        <w:tc>
          <w:tcPr>
            <w:tcW w:w="1010" w:type="dxa"/>
            <w:noWrap/>
            <w:vAlign w:val="bottom"/>
          </w:tcPr>
          <w:p w:rsidR="00652F81" w:rsidRPr="00824F72" w:rsidRDefault="00652F81" w:rsidP="00652F81">
            <w:pPr>
              <w:rPr>
                <w:rFonts w:ascii="Tahoma" w:hAnsi="Tahoma" w:cs="Tahoma"/>
                <w:bCs/>
                <w:sz w:val="14"/>
                <w:szCs w:val="14"/>
                <w:vertAlign w:val="superscript"/>
              </w:rPr>
            </w:pPr>
            <w:r w:rsidRPr="00824F72">
              <w:rPr>
                <w:rFonts w:ascii="Tahoma" w:hAnsi="Tahoma" w:cs="Tahoma"/>
                <w:b/>
                <w:bCs/>
                <w:sz w:val="14"/>
                <w:szCs w:val="14"/>
              </w:rPr>
              <w:t>Eυρωζώνη</w:t>
            </w:r>
            <w:r w:rsidRPr="00824F72">
              <w:rPr>
                <w:rFonts w:ascii="Tahoma" w:hAnsi="Tahoma" w:cs="Tahoma"/>
                <w:bCs/>
                <w:sz w:val="18"/>
                <w:szCs w:val="18"/>
                <w:vertAlign w:val="superscript"/>
              </w:rPr>
              <w:t>*</w:t>
            </w:r>
          </w:p>
        </w:tc>
        <w:tc>
          <w:tcPr>
            <w:tcW w:w="960" w:type="dxa"/>
            <w:noWrap/>
            <w:vAlign w:val="bottom"/>
          </w:tcPr>
          <w:p w:rsidR="00652F81" w:rsidRPr="000A1F75" w:rsidRDefault="00652F81" w:rsidP="00652F81">
            <w:pPr>
              <w:jc w:val="right"/>
              <w:rPr>
                <w:rFonts w:ascii="Tahoma" w:hAnsi="Tahoma" w:cs="Tahoma"/>
                <w:lang w:val="en-US"/>
              </w:rPr>
            </w:pPr>
            <w:r w:rsidRPr="000A1F75">
              <w:rPr>
                <w:rFonts w:ascii="Tahoma" w:hAnsi="Tahoma" w:cs="Tahoma"/>
                <w:lang w:val="en-US"/>
              </w:rPr>
              <w:t>:</w:t>
            </w:r>
          </w:p>
        </w:tc>
        <w:tc>
          <w:tcPr>
            <w:tcW w:w="960" w:type="dxa"/>
            <w:noWrap/>
            <w:vAlign w:val="bottom"/>
          </w:tcPr>
          <w:p w:rsidR="00652F81" w:rsidRPr="000A1F75" w:rsidRDefault="00652F81" w:rsidP="00652F81">
            <w:pPr>
              <w:jc w:val="right"/>
              <w:rPr>
                <w:rFonts w:ascii="Tahoma" w:hAnsi="Tahoma" w:cs="Tahoma"/>
                <w:lang w:val="en-US"/>
              </w:rPr>
            </w:pPr>
            <w:r w:rsidRPr="000A1F75">
              <w:rPr>
                <w:rFonts w:ascii="Tahoma" w:hAnsi="Tahoma" w:cs="Tahoma"/>
                <w:lang w:val="en-US"/>
              </w:rPr>
              <w:t>:</w:t>
            </w:r>
          </w:p>
        </w:tc>
        <w:tc>
          <w:tcPr>
            <w:tcW w:w="960" w:type="dxa"/>
            <w:noWrap/>
            <w:vAlign w:val="bottom"/>
          </w:tcPr>
          <w:p w:rsidR="00652F81" w:rsidRPr="00824F72" w:rsidRDefault="00652F81" w:rsidP="00652F81">
            <w:pPr>
              <w:jc w:val="right"/>
              <w:rPr>
                <w:rFonts w:ascii="Tahoma" w:hAnsi="Tahoma" w:cs="Tahoma"/>
              </w:rPr>
            </w:pPr>
            <w:r>
              <w:rPr>
                <w:rFonts w:ascii="Tahoma" w:hAnsi="Tahoma" w:cs="Tahoma"/>
              </w:rPr>
              <w:t>0,0667</w:t>
            </w:r>
          </w:p>
        </w:tc>
        <w:tc>
          <w:tcPr>
            <w:tcW w:w="960" w:type="dxa"/>
            <w:noWrap/>
            <w:vAlign w:val="bottom"/>
          </w:tcPr>
          <w:p w:rsidR="00652F81" w:rsidRPr="00824F72" w:rsidRDefault="00652F81" w:rsidP="00652F81">
            <w:pPr>
              <w:jc w:val="right"/>
              <w:rPr>
                <w:rFonts w:ascii="Tahoma" w:hAnsi="Tahoma" w:cs="Tahoma"/>
              </w:rPr>
            </w:pPr>
            <w:r>
              <w:rPr>
                <w:rFonts w:ascii="Tahoma" w:hAnsi="Tahoma" w:cs="Tahoma"/>
              </w:rPr>
              <w:t>0,0713</w:t>
            </w:r>
          </w:p>
        </w:tc>
        <w:tc>
          <w:tcPr>
            <w:tcW w:w="960" w:type="dxa"/>
            <w:noWrap/>
            <w:vAlign w:val="bottom"/>
          </w:tcPr>
          <w:p w:rsidR="00652F81" w:rsidRPr="00824F72" w:rsidRDefault="00652F81" w:rsidP="00652F81">
            <w:pPr>
              <w:jc w:val="right"/>
              <w:rPr>
                <w:rFonts w:ascii="Tahoma" w:hAnsi="Tahoma" w:cs="Tahoma"/>
              </w:rPr>
            </w:pPr>
            <w:r>
              <w:rPr>
                <w:rFonts w:ascii="Tahoma" w:hAnsi="Tahoma" w:cs="Tahoma"/>
              </w:rPr>
              <w:t>0,0774</w:t>
            </w:r>
          </w:p>
        </w:tc>
        <w:tc>
          <w:tcPr>
            <w:tcW w:w="960" w:type="dxa"/>
            <w:noWrap/>
            <w:vAlign w:val="bottom"/>
          </w:tcPr>
          <w:p w:rsidR="00652F81" w:rsidRPr="009671AA" w:rsidRDefault="00652F81" w:rsidP="00652F81">
            <w:pPr>
              <w:jc w:val="right"/>
              <w:rPr>
                <w:rFonts w:ascii="Tahoma" w:hAnsi="Tahoma" w:cs="Tahoma"/>
              </w:rPr>
            </w:pPr>
            <w:r w:rsidRPr="009671AA">
              <w:rPr>
                <w:rFonts w:ascii="Tahoma" w:hAnsi="Tahoma" w:cs="Tahoma"/>
              </w:rPr>
              <w:t>0,0828</w:t>
            </w:r>
          </w:p>
        </w:tc>
        <w:tc>
          <w:tcPr>
            <w:tcW w:w="960" w:type="dxa"/>
            <w:noWrap/>
            <w:vAlign w:val="bottom"/>
          </w:tcPr>
          <w:p w:rsidR="00652F81" w:rsidRPr="009671AA" w:rsidRDefault="00652F81" w:rsidP="00652F81">
            <w:pPr>
              <w:jc w:val="right"/>
              <w:rPr>
                <w:rFonts w:ascii="Tahoma" w:hAnsi="Tahoma" w:cs="Tahoma"/>
              </w:rPr>
            </w:pPr>
            <w:r w:rsidRPr="009671AA">
              <w:rPr>
                <w:rFonts w:ascii="Tahoma" w:hAnsi="Tahoma" w:cs="Tahoma"/>
              </w:rPr>
              <w:t>0,0896</w:t>
            </w:r>
          </w:p>
        </w:tc>
        <w:tc>
          <w:tcPr>
            <w:tcW w:w="960" w:type="dxa"/>
            <w:noWrap/>
            <w:vAlign w:val="bottom"/>
          </w:tcPr>
          <w:p w:rsidR="00652F81" w:rsidRPr="009671AA" w:rsidRDefault="00652F81" w:rsidP="00652F81">
            <w:pPr>
              <w:jc w:val="right"/>
              <w:rPr>
                <w:rFonts w:ascii="Tahoma" w:hAnsi="Tahoma" w:cs="Tahoma"/>
              </w:rPr>
            </w:pPr>
            <w:r w:rsidRPr="009671AA">
              <w:rPr>
                <w:rFonts w:ascii="Tahoma" w:hAnsi="Tahoma" w:cs="Tahoma"/>
              </w:rPr>
              <w:t>0,0943</w:t>
            </w:r>
          </w:p>
        </w:tc>
        <w:tc>
          <w:tcPr>
            <w:tcW w:w="960" w:type="dxa"/>
            <w:noWrap/>
            <w:vAlign w:val="bottom"/>
          </w:tcPr>
          <w:p w:rsidR="00652F81" w:rsidRPr="009671AA" w:rsidRDefault="00652F81" w:rsidP="00652F81">
            <w:pPr>
              <w:jc w:val="right"/>
              <w:rPr>
                <w:rFonts w:ascii="Tahoma" w:hAnsi="Tahoma" w:cs="Tahoma"/>
              </w:rPr>
            </w:pPr>
            <w:r w:rsidRPr="009671AA">
              <w:rPr>
                <w:rFonts w:ascii="Tahoma" w:hAnsi="Tahoma" w:cs="Tahoma"/>
              </w:rPr>
              <w:t>0,0920</w:t>
            </w:r>
          </w:p>
        </w:tc>
      </w:tr>
      <w:tr w:rsidR="00652F81" w:rsidRPr="00E676C6" w:rsidTr="00652F81">
        <w:trPr>
          <w:trHeight w:val="255"/>
        </w:trPr>
        <w:tc>
          <w:tcPr>
            <w:tcW w:w="1010" w:type="dxa"/>
            <w:noWrap/>
            <w:vAlign w:val="bottom"/>
          </w:tcPr>
          <w:p w:rsidR="00652F81" w:rsidRPr="002D0234" w:rsidRDefault="00652F81" w:rsidP="00652F81">
            <w:pPr>
              <w:rPr>
                <w:rFonts w:ascii="Tahoma" w:hAnsi="Tahoma" w:cs="Tahoma"/>
                <w:b/>
                <w:bCs/>
              </w:rPr>
            </w:pPr>
            <w:r w:rsidRPr="002D0234">
              <w:rPr>
                <w:rFonts w:ascii="Tahoma" w:hAnsi="Tahoma" w:cs="Tahoma"/>
                <w:b/>
                <w:bCs/>
              </w:rPr>
              <w:t>EL</w:t>
            </w:r>
          </w:p>
        </w:tc>
        <w:tc>
          <w:tcPr>
            <w:tcW w:w="960" w:type="dxa"/>
            <w:noWrap/>
            <w:vAlign w:val="bottom"/>
          </w:tcPr>
          <w:p w:rsidR="00652F81" w:rsidRPr="000A1F75" w:rsidRDefault="00652F81" w:rsidP="00652F81">
            <w:pPr>
              <w:jc w:val="right"/>
              <w:rPr>
                <w:rFonts w:ascii="Tahoma" w:hAnsi="Tahoma" w:cs="Tahoma"/>
              </w:rPr>
            </w:pPr>
            <w:r w:rsidRPr="000A1F75">
              <w:rPr>
                <w:rFonts w:ascii="Tahoma" w:hAnsi="Tahoma" w:cs="Tahoma"/>
              </w:rPr>
              <w:t>0,059</w:t>
            </w:r>
          </w:p>
        </w:tc>
        <w:tc>
          <w:tcPr>
            <w:tcW w:w="960" w:type="dxa"/>
            <w:noWrap/>
            <w:vAlign w:val="bottom"/>
          </w:tcPr>
          <w:p w:rsidR="00652F81" w:rsidRPr="000A1F75" w:rsidRDefault="00652F81" w:rsidP="00652F81">
            <w:pPr>
              <w:jc w:val="right"/>
              <w:rPr>
                <w:rFonts w:ascii="Tahoma" w:hAnsi="Tahoma" w:cs="Tahoma"/>
              </w:rPr>
            </w:pPr>
            <w:r w:rsidRPr="000A1F75">
              <w:rPr>
                <w:rFonts w:ascii="Tahoma" w:hAnsi="Tahoma" w:cs="Tahoma"/>
              </w:rPr>
              <w:t>0,0614</w:t>
            </w:r>
          </w:p>
        </w:tc>
        <w:tc>
          <w:tcPr>
            <w:tcW w:w="960" w:type="dxa"/>
            <w:noWrap/>
            <w:vAlign w:val="bottom"/>
          </w:tcPr>
          <w:p w:rsidR="00652F81" w:rsidRPr="000A1F75" w:rsidRDefault="00652F81" w:rsidP="00652F81">
            <w:pPr>
              <w:jc w:val="right"/>
              <w:rPr>
                <w:rFonts w:ascii="Tahoma" w:hAnsi="Tahoma" w:cs="Tahoma"/>
              </w:rPr>
            </w:pPr>
            <w:r w:rsidRPr="000A1F75">
              <w:rPr>
                <w:rFonts w:ascii="Tahoma" w:hAnsi="Tahoma" w:cs="Tahoma"/>
              </w:rPr>
              <w:t>0,063</w:t>
            </w:r>
          </w:p>
        </w:tc>
        <w:tc>
          <w:tcPr>
            <w:tcW w:w="960" w:type="dxa"/>
            <w:noWrap/>
            <w:vAlign w:val="bottom"/>
          </w:tcPr>
          <w:p w:rsidR="00652F81" w:rsidRPr="000A1F75" w:rsidRDefault="00652F81" w:rsidP="00652F81">
            <w:pPr>
              <w:jc w:val="right"/>
              <w:rPr>
                <w:rFonts w:ascii="Tahoma" w:hAnsi="Tahoma" w:cs="Tahoma"/>
              </w:rPr>
            </w:pPr>
            <w:r w:rsidRPr="000A1F75">
              <w:rPr>
                <w:rFonts w:ascii="Tahoma" w:hAnsi="Tahoma" w:cs="Tahoma"/>
              </w:rPr>
              <w:t>0,0645</w:t>
            </w:r>
          </w:p>
        </w:tc>
        <w:tc>
          <w:tcPr>
            <w:tcW w:w="960" w:type="dxa"/>
            <w:noWrap/>
            <w:vAlign w:val="bottom"/>
          </w:tcPr>
          <w:p w:rsidR="00652F81" w:rsidRPr="000A1F75" w:rsidRDefault="00652F81" w:rsidP="00652F81">
            <w:pPr>
              <w:jc w:val="right"/>
              <w:rPr>
                <w:rFonts w:ascii="Tahoma" w:hAnsi="Tahoma" w:cs="Tahoma"/>
              </w:rPr>
            </w:pPr>
            <w:r w:rsidRPr="000A1F75">
              <w:rPr>
                <w:rFonts w:ascii="Tahoma" w:hAnsi="Tahoma" w:cs="Tahoma"/>
              </w:rPr>
              <w:t>0,0668</w:t>
            </w:r>
          </w:p>
        </w:tc>
        <w:tc>
          <w:tcPr>
            <w:tcW w:w="960" w:type="dxa"/>
            <w:noWrap/>
            <w:vAlign w:val="bottom"/>
          </w:tcPr>
          <w:p w:rsidR="00652F81" w:rsidRPr="000A1F75" w:rsidRDefault="00652F81" w:rsidP="00652F81">
            <w:pPr>
              <w:jc w:val="right"/>
              <w:rPr>
                <w:rFonts w:ascii="Tahoma" w:hAnsi="Tahoma" w:cs="Tahoma"/>
              </w:rPr>
            </w:pPr>
            <w:r>
              <w:rPr>
                <w:rFonts w:ascii="Tahoma" w:hAnsi="Tahoma" w:cs="Tahoma"/>
              </w:rPr>
              <w:t>0,0789</w:t>
            </w:r>
          </w:p>
        </w:tc>
        <w:tc>
          <w:tcPr>
            <w:tcW w:w="960" w:type="dxa"/>
            <w:noWrap/>
            <w:vAlign w:val="bottom"/>
          </w:tcPr>
          <w:p w:rsidR="00652F81" w:rsidRPr="000A1F75" w:rsidRDefault="00652F81" w:rsidP="00652F81">
            <w:pPr>
              <w:jc w:val="right"/>
              <w:rPr>
                <w:rFonts w:ascii="Tahoma" w:hAnsi="Tahoma" w:cs="Tahoma"/>
              </w:rPr>
            </w:pPr>
            <w:r>
              <w:rPr>
                <w:rFonts w:ascii="Tahoma" w:hAnsi="Tahoma" w:cs="Tahoma"/>
              </w:rPr>
              <w:t>0,089</w:t>
            </w:r>
            <w:r w:rsidRPr="000A1F75">
              <w:rPr>
                <w:rFonts w:ascii="Tahoma" w:hAnsi="Tahoma" w:cs="Tahoma"/>
              </w:rPr>
              <w:t>1</w:t>
            </w:r>
          </w:p>
        </w:tc>
        <w:tc>
          <w:tcPr>
            <w:tcW w:w="960" w:type="dxa"/>
            <w:noWrap/>
            <w:vAlign w:val="bottom"/>
          </w:tcPr>
          <w:p w:rsidR="00652F81" w:rsidRPr="000A1F75" w:rsidRDefault="00652F81" w:rsidP="00652F81">
            <w:pPr>
              <w:jc w:val="right"/>
              <w:rPr>
                <w:rFonts w:ascii="Tahoma" w:hAnsi="Tahoma" w:cs="Tahoma"/>
              </w:rPr>
            </w:pPr>
            <w:r>
              <w:rPr>
                <w:rFonts w:ascii="Tahoma" w:hAnsi="Tahoma" w:cs="Tahoma"/>
              </w:rPr>
              <w:t>0,0901</w:t>
            </w:r>
          </w:p>
        </w:tc>
        <w:tc>
          <w:tcPr>
            <w:tcW w:w="960" w:type="dxa"/>
            <w:noWrap/>
            <w:vAlign w:val="bottom"/>
          </w:tcPr>
          <w:p w:rsidR="00652F81" w:rsidRPr="000A1F75" w:rsidRDefault="00652F81" w:rsidP="00652F81">
            <w:pPr>
              <w:jc w:val="right"/>
              <w:rPr>
                <w:rFonts w:ascii="Tahoma" w:hAnsi="Tahoma" w:cs="Tahoma"/>
              </w:rPr>
            </w:pPr>
            <w:r w:rsidRPr="000A1F75">
              <w:rPr>
                <w:rFonts w:ascii="Tahoma" w:hAnsi="Tahoma" w:cs="Tahoma"/>
              </w:rPr>
              <w:t>0,0855</w:t>
            </w:r>
          </w:p>
        </w:tc>
      </w:tr>
    </w:tbl>
    <w:p w:rsidR="00652F81" w:rsidRPr="00824F72" w:rsidRDefault="00652F81" w:rsidP="00652F81">
      <w:pPr>
        <w:pStyle w:val="1"/>
        <w:rPr>
          <w:rFonts w:ascii="Tahoma" w:hAnsi="Tahoma" w:cs="Tahoma"/>
          <w:b w:val="0"/>
          <w:sz w:val="16"/>
          <w:szCs w:val="16"/>
          <w:lang w:val="en-GB"/>
        </w:rPr>
      </w:pPr>
      <w:bookmarkStart w:id="567" w:name="_Toc150308665"/>
      <w:r w:rsidRPr="00824F72">
        <w:rPr>
          <w:rFonts w:ascii="Tahoma" w:hAnsi="Tahoma" w:cs="Tahoma"/>
          <w:b w:val="0"/>
          <w:sz w:val="16"/>
          <w:szCs w:val="16"/>
          <w:lang w:val="en-GB"/>
        </w:rPr>
        <w:t>*(EA11-2000, EA12-2006, EA13-2007, EA15-2008, EA16</w:t>
      </w:r>
      <w:r w:rsidRPr="002F2DA2">
        <w:rPr>
          <w:rFonts w:ascii="Tahoma" w:hAnsi="Tahoma" w:cs="Tahoma"/>
          <w:b w:val="0"/>
          <w:sz w:val="16"/>
          <w:szCs w:val="16"/>
          <w:lang w:val="en-GB"/>
        </w:rPr>
        <w:t xml:space="preserve">, </w:t>
      </w:r>
      <w:r>
        <w:rPr>
          <w:rFonts w:ascii="Tahoma" w:hAnsi="Tahoma" w:cs="Tahoma"/>
          <w:b w:val="0"/>
          <w:sz w:val="16"/>
          <w:szCs w:val="16"/>
        </w:rPr>
        <w:t>ΕΑ</w:t>
      </w:r>
      <w:r w:rsidRPr="002F2DA2">
        <w:rPr>
          <w:rFonts w:ascii="Tahoma" w:hAnsi="Tahoma" w:cs="Tahoma"/>
          <w:b w:val="0"/>
          <w:sz w:val="16"/>
          <w:szCs w:val="16"/>
          <w:lang w:val="en-GB"/>
        </w:rPr>
        <w:t>17</w:t>
      </w:r>
      <w:r w:rsidRPr="00824F72">
        <w:rPr>
          <w:rFonts w:ascii="Tahoma" w:hAnsi="Tahoma" w:cs="Tahoma"/>
          <w:b w:val="0"/>
          <w:sz w:val="16"/>
          <w:szCs w:val="16"/>
          <w:lang w:val="en-GB"/>
        </w:rPr>
        <w:t>)</w:t>
      </w:r>
    </w:p>
    <w:p w:rsidR="00652F81" w:rsidRPr="00CF269F" w:rsidRDefault="00652F81" w:rsidP="00652F81">
      <w:pPr>
        <w:pStyle w:val="1"/>
        <w:rPr>
          <w:rFonts w:ascii="Tahoma" w:hAnsi="Tahoma" w:cs="Tahoma"/>
          <w:sz w:val="18"/>
          <w:szCs w:val="18"/>
        </w:rPr>
      </w:pPr>
      <w:r w:rsidRPr="00186E8B">
        <w:rPr>
          <w:rFonts w:ascii="Tahoma" w:hAnsi="Tahoma" w:cs="Tahoma"/>
          <w:sz w:val="18"/>
          <w:szCs w:val="18"/>
        </w:rPr>
        <w:t>Πηγή:</w:t>
      </w:r>
      <w:r w:rsidRPr="00CF269F">
        <w:rPr>
          <w:rFonts w:ascii="Tahoma" w:hAnsi="Tahoma" w:cs="Tahoma"/>
          <w:b w:val="0"/>
          <w:sz w:val="18"/>
          <w:szCs w:val="18"/>
        </w:rPr>
        <w:t xml:space="preserve"> </w:t>
      </w:r>
      <w:r w:rsidRPr="00CF269F">
        <w:rPr>
          <w:rFonts w:ascii="Tahoma" w:hAnsi="Tahoma" w:cs="Tahoma"/>
          <w:b w:val="0"/>
          <w:sz w:val="18"/>
          <w:szCs w:val="18"/>
          <w:lang w:val="en-US"/>
        </w:rPr>
        <w:t>Eurostat</w:t>
      </w:r>
    </w:p>
    <w:p w:rsidR="00652F81" w:rsidRDefault="00652F81" w:rsidP="00652F81">
      <w:pPr>
        <w:pStyle w:val="new12"/>
        <w:sectPr w:rsidR="00652F81" w:rsidSect="00652F81">
          <w:footerReference w:type="default" r:id="rId125"/>
          <w:pgSz w:w="11906" w:h="16838"/>
          <w:pgMar w:top="1701" w:right="1418" w:bottom="1418" w:left="1418" w:header="720" w:footer="720" w:gutter="0"/>
          <w:cols w:space="720"/>
        </w:sectPr>
      </w:pPr>
    </w:p>
    <w:p w:rsidR="00652F81" w:rsidRPr="00294913" w:rsidRDefault="00652F81" w:rsidP="00652F81">
      <w:pPr>
        <w:pStyle w:val="new12"/>
      </w:pPr>
      <w:bookmarkStart w:id="568" w:name="_Toc169881571"/>
      <w:bookmarkStart w:id="569" w:name="_Toc170201933"/>
      <w:r>
        <w:lastRenderedPageBreak/>
        <w:t>ΙV-3β,</w:t>
      </w:r>
      <w:r>
        <w:tab/>
        <w:t>Τιμές Ηλεκτρικού Ρ</w:t>
      </w:r>
      <w:r w:rsidRPr="00294913">
        <w:t>εύματος (Νοικοκυριά)</w:t>
      </w:r>
      <w:bookmarkEnd w:id="567"/>
      <w:bookmarkEnd w:id="568"/>
      <w:bookmarkEnd w:id="569"/>
    </w:p>
    <w:p w:rsidR="00652F81" w:rsidRPr="00294913" w:rsidRDefault="00652F81" w:rsidP="00652F81">
      <w:pPr>
        <w:pStyle w:val="new1210pt"/>
      </w:pPr>
      <w:bookmarkStart w:id="570" w:name="_Toc150308666"/>
      <w:bookmarkStart w:id="571" w:name="_Toc170201934"/>
      <w:r w:rsidRPr="00294913">
        <w:t xml:space="preserve">(σε ευρώ ανά </w:t>
      </w:r>
      <w:r w:rsidRPr="00314003">
        <w:t>kWh</w:t>
      </w:r>
      <w:r w:rsidRPr="00294913">
        <w:t>)</w:t>
      </w:r>
      <w:bookmarkEnd w:id="570"/>
      <w:bookmarkEnd w:id="571"/>
    </w:p>
    <w:p w:rsidR="00652F81" w:rsidRDefault="00652F81" w:rsidP="00652F81">
      <w:pPr>
        <w:rPr>
          <w:lang w:val="en-US"/>
        </w:rPr>
      </w:pPr>
      <w:bookmarkStart w:id="572" w:name="_Toc150308668"/>
    </w:p>
    <w:p w:rsidR="00652F81" w:rsidRPr="002F2DA2" w:rsidRDefault="00652F81" w:rsidP="00652F81">
      <w:pPr>
        <w:rPr>
          <w:lang w:val="en-US"/>
        </w:rPr>
      </w:pPr>
      <w:r>
        <w:rPr>
          <w:noProof/>
          <w:lang w:val="en-US" w:eastAsia="en-US"/>
        </w:rPr>
        <w:drawing>
          <wp:inline distT="0" distB="0" distL="0" distR="0">
            <wp:extent cx="5391150" cy="3533775"/>
            <wp:effectExtent l="0" t="0" r="0" b="0"/>
            <wp:docPr id="41" name="Εικόνα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6" cstate="print"/>
                    <a:srcRect/>
                    <a:stretch>
                      <a:fillRect/>
                    </a:stretch>
                  </pic:blipFill>
                  <pic:spPr bwMode="auto">
                    <a:xfrm>
                      <a:off x="0" y="0"/>
                      <a:ext cx="5391150" cy="3533775"/>
                    </a:xfrm>
                    <a:prstGeom prst="rect">
                      <a:avLst/>
                    </a:prstGeom>
                    <a:noFill/>
                    <a:ln w="9525">
                      <a:noFill/>
                      <a:miter lim="800000"/>
                      <a:headEnd/>
                      <a:tailEnd/>
                    </a:ln>
                  </pic:spPr>
                </pic:pic>
              </a:graphicData>
            </a:graphic>
          </wp:inline>
        </w:drawing>
      </w:r>
    </w:p>
    <w:p w:rsidR="00652F81" w:rsidRPr="007B29C9" w:rsidRDefault="00652F81" w:rsidP="00652F81">
      <w:pPr>
        <w:rPr>
          <w:lang w:val="en-US"/>
        </w:rPr>
      </w:pPr>
    </w:p>
    <w:p w:rsidR="00652F81" w:rsidRDefault="00652F81" w:rsidP="00652F81">
      <w:pPr>
        <w:rPr>
          <w:lang w:val="en-US"/>
        </w:rPr>
      </w:pPr>
    </w:p>
    <w:tbl>
      <w:tblPr>
        <w:tblW w:w="9650" w:type="dxa"/>
        <w:tblBorders>
          <w:top w:val="single" w:sz="12" w:space="0" w:color="auto"/>
          <w:bottom w:val="single" w:sz="12" w:space="0" w:color="auto"/>
          <w:insideH w:val="dotted" w:sz="4" w:space="0" w:color="auto"/>
        </w:tblBorders>
        <w:tblLook w:val="00A0"/>
      </w:tblPr>
      <w:tblGrid>
        <w:gridCol w:w="1010"/>
        <w:gridCol w:w="960"/>
        <w:gridCol w:w="960"/>
        <w:gridCol w:w="960"/>
        <w:gridCol w:w="960"/>
        <w:gridCol w:w="960"/>
        <w:gridCol w:w="960"/>
        <w:gridCol w:w="960"/>
        <w:gridCol w:w="960"/>
        <w:gridCol w:w="960"/>
      </w:tblGrid>
      <w:tr w:rsidR="00652F81" w:rsidRPr="00CA39FC" w:rsidTr="00652F81">
        <w:trPr>
          <w:trHeight w:val="255"/>
        </w:trPr>
        <w:tc>
          <w:tcPr>
            <w:tcW w:w="1010" w:type="dxa"/>
            <w:tcBorders>
              <w:top w:val="single" w:sz="12" w:space="0" w:color="auto"/>
              <w:bottom w:val="single" w:sz="8" w:space="0" w:color="auto"/>
            </w:tcBorders>
            <w:noWrap/>
          </w:tcPr>
          <w:p w:rsidR="00652F81" w:rsidRPr="00CA39FC" w:rsidRDefault="00652F81" w:rsidP="00652F81">
            <w:pPr>
              <w:jc w:val="center"/>
              <w:rPr>
                <w:rFonts w:ascii="Tahoma" w:hAnsi="Tahoma" w:cs="Tahoma"/>
                <w:bCs/>
              </w:rPr>
            </w:pP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lang w:val="en-US"/>
              </w:rPr>
            </w:pPr>
            <w:r w:rsidRPr="00CA39FC">
              <w:rPr>
                <w:rFonts w:ascii="Tahoma" w:hAnsi="Tahoma" w:cs="Tahoma"/>
                <w:b/>
                <w:bCs/>
                <w:lang w:val="en-US"/>
              </w:rPr>
              <w:t>2002</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lang w:val="en-US"/>
              </w:rPr>
            </w:pPr>
            <w:r w:rsidRPr="00CA39FC">
              <w:rPr>
                <w:rFonts w:ascii="Tahoma" w:hAnsi="Tahoma" w:cs="Tahoma"/>
                <w:b/>
                <w:bCs/>
                <w:lang w:val="en-US"/>
              </w:rPr>
              <w:t>2003</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lang w:val="en-US"/>
              </w:rPr>
            </w:pPr>
            <w:r w:rsidRPr="00CA39FC">
              <w:rPr>
                <w:rFonts w:ascii="Tahoma" w:hAnsi="Tahoma" w:cs="Tahoma"/>
                <w:b/>
                <w:bCs/>
                <w:lang w:val="en-US"/>
              </w:rPr>
              <w:t>2004</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lang w:val="en-US"/>
              </w:rPr>
            </w:pPr>
            <w:r w:rsidRPr="00CA39FC">
              <w:rPr>
                <w:rFonts w:ascii="Tahoma" w:hAnsi="Tahoma" w:cs="Tahoma"/>
                <w:b/>
                <w:bCs/>
                <w:lang w:val="en-US"/>
              </w:rPr>
              <w:t>2005</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lang w:val="en-US"/>
              </w:rPr>
            </w:pPr>
            <w:r w:rsidRPr="00CA39FC">
              <w:rPr>
                <w:rFonts w:ascii="Tahoma" w:hAnsi="Tahoma" w:cs="Tahoma"/>
                <w:b/>
                <w:bCs/>
                <w:lang w:val="en-US"/>
              </w:rPr>
              <w:t>2006</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lang w:val="en-US"/>
              </w:rPr>
            </w:pPr>
            <w:r w:rsidRPr="00CA39FC">
              <w:rPr>
                <w:rFonts w:ascii="Tahoma" w:hAnsi="Tahoma" w:cs="Tahoma"/>
                <w:b/>
                <w:bCs/>
                <w:lang w:val="en-US"/>
              </w:rPr>
              <w:t>2007</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lang w:val="en-US"/>
              </w:rPr>
            </w:pPr>
            <w:r w:rsidRPr="00CA39FC">
              <w:rPr>
                <w:rFonts w:ascii="Tahoma" w:hAnsi="Tahoma" w:cs="Tahoma"/>
                <w:b/>
                <w:bCs/>
                <w:lang w:val="en-US"/>
              </w:rPr>
              <w:t>2008</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lang w:val="en-US"/>
              </w:rPr>
            </w:pPr>
            <w:r>
              <w:rPr>
                <w:rFonts w:ascii="Tahoma" w:hAnsi="Tahoma" w:cs="Tahoma"/>
                <w:b/>
                <w:bCs/>
                <w:lang w:val="en-US"/>
              </w:rPr>
              <w:t>2009</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lang w:val="en-US"/>
              </w:rPr>
            </w:pPr>
            <w:r>
              <w:rPr>
                <w:rFonts w:ascii="Tahoma" w:hAnsi="Tahoma" w:cs="Tahoma"/>
                <w:b/>
                <w:bCs/>
                <w:lang w:val="en-US"/>
              </w:rPr>
              <w:t>2010</w:t>
            </w:r>
          </w:p>
        </w:tc>
      </w:tr>
      <w:tr w:rsidR="00652F81" w:rsidRPr="00CA39FC" w:rsidTr="00652F81">
        <w:trPr>
          <w:trHeight w:val="255"/>
        </w:trPr>
        <w:tc>
          <w:tcPr>
            <w:tcW w:w="1010" w:type="dxa"/>
            <w:tcBorders>
              <w:top w:val="single" w:sz="8" w:space="0" w:color="auto"/>
            </w:tcBorders>
            <w:noWrap/>
            <w:vAlign w:val="bottom"/>
          </w:tcPr>
          <w:p w:rsidR="00652F81" w:rsidRPr="00CA39FC" w:rsidRDefault="00652F81" w:rsidP="00652F81">
            <w:pPr>
              <w:rPr>
                <w:rFonts w:ascii="Tahoma" w:hAnsi="Tahoma" w:cs="Tahoma"/>
                <w:b/>
                <w:bCs/>
              </w:rPr>
            </w:pPr>
            <w:r w:rsidRPr="00CA39FC">
              <w:rPr>
                <w:rFonts w:ascii="Tahoma" w:hAnsi="Tahoma" w:cs="Tahoma"/>
                <w:b/>
                <w:bCs/>
              </w:rPr>
              <w:t>EU27</w:t>
            </w:r>
          </w:p>
        </w:tc>
        <w:tc>
          <w:tcPr>
            <w:tcW w:w="960" w:type="dxa"/>
            <w:tcBorders>
              <w:top w:val="single" w:sz="8" w:space="0" w:color="auto"/>
            </w:tcBorders>
            <w:noWrap/>
            <w:vAlign w:val="bottom"/>
          </w:tcPr>
          <w:p w:rsidR="00652F81" w:rsidRPr="00824F72" w:rsidRDefault="00652F81" w:rsidP="00652F81">
            <w:pPr>
              <w:jc w:val="right"/>
              <w:rPr>
                <w:rFonts w:ascii="Tahoma" w:hAnsi="Tahoma" w:cs="Tahoma"/>
              </w:rPr>
            </w:pPr>
            <w:r w:rsidRPr="00824F72">
              <w:rPr>
                <w:rFonts w:ascii="Tahoma" w:hAnsi="Tahoma" w:cs="Tahoma"/>
              </w:rPr>
              <w:t>:</w:t>
            </w:r>
          </w:p>
        </w:tc>
        <w:tc>
          <w:tcPr>
            <w:tcW w:w="960" w:type="dxa"/>
            <w:tcBorders>
              <w:top w:val="single" w:sz="8" w:space="0" w:color="auto"/>
            </w:tcBorders>
            <w:noWrap/>
            <w:vAlign w:val="bottom"/>
          </w:tcPr>
          <w:p w:rsidR="00652F81" w:rsidRPr="00824F72" w:rsidRDefault="00652F81" w:rsidP="00652F81">
            <w:pPr>
              <w:jc w:val="right"/>
              <w:rPr>
                <w:rFonts w:ascii="Tahoma" w:hAnsi="Tahoma" w:cs="Tahoma"/>
              </w:rPr>
            </w:pPr>
            <w:r w:rsidRPr="00824F72">
              <w:rPr>
                <w:rFonts w:ascii="Tahoma" w:hAnsi="Tahoma" w:cs="Tahoma"/>
              </w:rPr>
              <w:t>:</w:t>
            </w:r>
          </w:p>
        </w:tc>
        <w:tc>
          <w:tcPr>
            <w:tcW w:w="960" w:type="dxa"/>
            <w:tcBorders>
              <w:top w:val="single" w:sz="8" w:space="0" w:color="auto"/>
            </w:tcBorders>
            <w:noWrap/>
            <w:vAlign w:val="bottom"/>
          </w:tcPr>
          <w:p w:rsidR="00652F81" w:rsidRPr="00824F72" w:rsidRDefault="00652F81" w:rsidP="00652F81">
            <w:pPr>
              <w:jc w:val="right"/>
              <w:rPr>
                <w:rFonts w:ascii="Tahoma" w:hAnsi="Tahoma" w:cs="Tahoma"/>
              </w:rPr>
            </w:pPr>
            <w:r w:rsidRPr="00824F72">
              <w:rPr>
                <w:rFonts w:ascii="Tahoma" w:hAnsi="Tahoma" w:cs="Tahoma"/>
              </w:rPr>
              <w:t>:</w:t>
            </w:r>
          </w:p>
        </w:tc>
        <w:tc>
          <w:tcPr>
            <w:tcW w:w="960" w:type="dxa"/>
            <w:tcBorders>
              <w:top w:val="single" w:sz="8" w:space="0" w:color="auto"/>
            </w:tcBorders>
            <w:noWrap/>
            <w:vAlign w:val="bottom"/>
          </w:tcPr>
          <w:p w:rsidR="00652F81" w:rsidRPr="00824F72" w:rsidRDefault="00652F81" w:rsidP="00652F81">
            <w:pPr>
              <w:jc w:val="right"/>
              <w:rPr>
                <w:rFonts w:ascii="Tahoma" w:hAnsi="Tahoma" w:cs="Tahoma"/>
              </w:rPr>
            </w:pPr>
            <w:r w:rsidRPr="00824F72">
              <w:rPr>
                <w:rFonts w:ascii="Tahoma" w:hAnsi="Tahoma" w:cs="Tahoma"/>
              </w:rPr>
              <w:t>0,1013</w:t>
            </w:r>
          </w:p>
        </w:tc>
        <w:tc>
          <w:tcPr>
            <w:tcW w:w="960" w:type="dxa"/>
            <w:tcBorders>
              <w:top w:val="single" w:sz="8" w:space="0" w:color="auto"/>
            </w:tcBorders>
            <w:noWrap/>
            <w:vAlign w:val="bottom"/>
          </w:tcPr>
          <w:p w:rsidR="00652F81" w:rsidRPr="00824F72" w:rsidRDefault="00652F81" w:rsidP="00652F81">
            <w:pPr>
              <w:jc w:val="right"/>
              <w:rPr>
                <w:rFonts w:ascii="Tahoma" w:hAnsi="Tahoma" w:cs="Tahoma"/>
              </w:rPr>
            </w:pPr>
            <w:r w:rsidRPr="00824F72">
              <w:rPr>
                <w:rFonts w:ascii="Tahoma" w:hAnsi="Tahoma" w:cs="Tahoma"/>
              </w:rPr>
              <w:t>0,1068</w:t>
            </w:r>
          </w:p>
        </w:tc>
        <w:tc>
          <w:tcPr>
            <w:tcW w:w="960" w:type="dxa"/>
            <w:tcBorders>
              <w:top w:val="single" w:sz="8" w:space="0" w:color="auto"/>
            </w:tcBorders>
            <w:noWrap/>
            <w:vAlign w:val="bottom"/>
          </w:tcPr>
          <w:p w:rsidR="00652F81" w:rsidRPr="00824F72" w:rsidRDefault="00652F81" w:rsidP="00652F81">
            <w:pPr>
              <w:jc w:val="right"/>
              <w:rPr>
                <w:rFonts w:ascii="Tahoma" w:hAnsi="Tahoma" w:cs="Tahoma"/>
              </w:rPr>
            </w:pPr>
            <w:r w:rsidRPr="00824F72">
              <w:rPr>
                <w:rFonts w:ascii="Tahoma" w:hAnsi="Tahoma" w:cs="Tahoma"/>
              </w:rPr>
              <w:t>0,1173</w:t>
            </w:r>
          </w:p>
        </w:tc>
        <w:tc>
          <w:tcPr>
            <w:tcW w:w="960" w:type="dxa"/>
            <w:tcBorders>
              <w:top w:val="single" w:sz="8" w:space="0" w:color="auto"/>
            </w:tcBorders>
            <w:noWrap/>
            <w:vAlign w:val="bottom"/>
          </w:tcPr>
          <w:p w:rsidR="00652F81" w:rsidRPr="00824F72" w:rsidRDefault="00652F81" w:rsidP="00652F81">
            <w:pPr>
              <w:jc w:val="right"/>
              <w:rPr>
                <w:rFonts w:ascii="Tahoma" w:hAnsi="Tahoma" w:cs="Tahoma"/>
              </w:rPr>
            </w:pPr>
            <w:r w:rsidRPr="00824F72">
              <w:rPr>
                <w:rFonts w:ascii="Tahoma" w:hAnsi="Tahoma" w:cs="Tahoma"/>
              </w:rPr>
              <w:t>0,1175</w:t>
            </w:r>
          </w:p>
        </w:tc>
        <w:tc>
          <w:tcPr>
            <w:tcW w:w="960" w:type="dxa"/>
            <w:tcBorders>
              <w:top w:val="single" w:sz="8" w:space="0" w:color="auto"/>
            </w:tcBorders>
            <w:noWrap/>
            <w:vAlign w:val="bottom"/>
          </w:tcPr>
          <w:p w:rsidR="00652F81" w:rsidRPr="00824F72" w:rsidRDefault="00652F81" w:rsidP="00652F81">
            <w:pPr>
              <w:jc w:val="right"/>
              <w:rPr>
                <w:rFonts w:ascii="Tahoma" w:hAnsi="Tahoma" w:cs="Tahoma"/>
              </w:rPr>
            </w:pPr>
            <w:r w:rsidRPr="00824F72">
              <w:rPr>
                <w:rFonts w:ascii="Tahoma" w:hAnsi="Tahoma" w:cs="Tahoma"/>
              </w:rPr>
              <w:t>0,1227</w:t>
            </w:r>
          </w:p>
        </w:tc>
        <w:tc>
          <w:tcPr>
            <w:tcW w:w="960" w:type="dxa"/>
            <w:tcBorders>
              <w:top w:val="single" w:sz="8" w:space="0" w:color="auto"/>
            </w:tcBorders>
            <w:noWrap/>
            <w:vAlign w:val="bottom"/>
          </w:tcPr>
          <w:p w:rsidR="00652F81" w:rsidRPr="00824F72" w:rsidRDefault="00652F81" w:rsidP="00652F81">
            <w:pPr>
              <w:jc w:val="right"/>
              <w:rPr>
                <w:rFonts w:ascii="Tahoma" w:hAnsi="Tahoma" w:cs="Tahoma"/>
              </w:rPr>
            </w:pPr>
            <w:r w:rsidRPr="00824F72">
              <w:rPr>
                <w:rFonts w:ascii="Tahoma" w:hAnsi="Tahoma" w:cs="Tahoma"/>
              </w:rPr>
              <w:t>0,1223</w:t>
            </w:r>
          </w:p>
        </w:tc>
      </w:tr>
      <w:tr w:rsidR="00652F81" w:rsidRPr="00CA39FC" w:rsidTr="00652F81">
        <w:trPr>
          <w:trHeight w:val="255"/>
        </w:trPr>
        <w:tc>
          <w:tcPr>
            <w:tcW w:w="1010" w:type="dxa"/>
            <w:noWrap/>
            <w:vAlign w:val="bottom"/>
          </w:tcPr>
          <w:p w:rsidR="00652F81" w:rsidRPr="00CA39FC" w:rsidRDefault="00652F81" w:rsidP="00652F81">
            <w:pPr>
              <w:rPr>
                <w:rFonts w:ascii="Tahoma" w:hAnsi="Tahoma" w:cs="Tahoma"/>
                <w:b/>
                <w:bCs/>
              </w:rPr>
            </w:pPr>
            <w:r w:rsidRPr="00CA39FC">
              <w:rPr>
                <w:rFonts w:ascii="Tahoma" w:hAnsi="Tahoma" w:cs="Tahoma"/>
                <w:b/>
                <w:bCs/>
              </w:rPr>
              <w:t>EU25</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0,1002</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0,1023</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0,1077</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0,1183</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w:t>
            </w:r>
          </w:p>
        </w:tc>
        <w:tc>
          <w:tcPr>
            <w:tcW w:w="960" w:type="dxa"/>
            <w:noWrap/>
            <w:vAlign w:val="bottom"/>
          </w:tcPr>
          <w:p w:rsidR="00652F81" w:rsidRPr="00824F72" w:rsidRDefault="00652F81" w:rsidP="00652F81">
            <w:pPr>
              <w:jc w:val="right"/>
              <w:rPr>
                <w:rFonts w:ascii="Tahoma" w:hAnsi="Tahoma" w:cs="Tahoma"/>
              </w:rPr>
            </w:pPr>
            <w:r>
              <w:rPr>
                <w:rFonts w:ascii="Tahoma" w:hAnsi="Tahoma" w:cs="Tahoma"/>
              </w:rPr>
              <w:t>:</w:t>
            </w:r>
          </w:p>
        </w:tc>
      </w:tr>
      <w:tr w:rsidR="00652F81" w:rsidRPr="00CA39FC" w:rsidTr="00652F81">
        <w:trPr>
          <w:trHeight w:val="255"/>
        </w:trPr>
        <w:tc>
          <w:tcPr>
            <w:tcW w:w="1010" w:type="dxa"/>
            <w:noWrap/>
            <w:vAlign w:val="bottom"/>
          </w:tcPr>
          <w:p w:rsidR="00652F81" w:rsidRPr="00CA39FC" w:rsidRDefault="00652F81" w:rsidP="00652F81">
            <w:pPr>
              <w:rPr>
                <w:rFonts w:ascii="Tahoma" w:hAnsi="Tahoma" w:cs="Tahoma"/>
                <w:b/>
                <w:bCs/>
              </w:rPr>
            </w:pPr>
            <w:r w:rsidRPr="00CA39FC">
              <w:rPr>
                <w:rFonts w:ascii="Tahoma" w:hAnsi="Tahoma" w:cs="Tahoma"/>
                <w:b/>
                <w:bCs/>
              </w:rPr>
              <w:t>EU15</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0,1032</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0,1036</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0,1027</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0,1042</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0,1094</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0,1205</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w:t>
            </w:r>
          </w:p>
        </w:tc>
        <w:tc>
          <w:tcPr>
            <w:tcW w:w="960" w:type="dxa"/>
            <w:noWrap/>
            <w:vAlign w:val="bottom"/>
          </w:tcPr>
          <w:p w:rsidR="00652F81" w:rsidRPr="00824F72" w:rsidRDefault="00652F81" w:rsidP="00652F81">
            <w:pPr>
              <w:jc w:val="right"/>
              <w:rPr>
                <w:rFonts w:ascii="Tahoma" w:hAnsi="Tahoma" w:cs="Tahoma"/>
              </w:rPr>
            </w:pPr>
            <w:r>
              <w:rPr>
                <w:rFonts w:ascii="Tahoma" w:hAnsi="Tahoma" w:cs="Tahoma"/>
              </w:rPr>
              <w:t>:</w:t>
            </w:r>
          </w:p>
        </w:tc>
      </w:tr>
      <w:tr w:rsidR="00652F81" w:rsidRPr="00CA39FC" w:rsidTr="00652F81">
        <w:trPr>
          <w:trHeight w:val="255"/>
        </w:trPr>
        <w:tc>
          <w:tcPr>
            <w:tcW w:w="1010" w:type="dxa"/>
            <w:noWrap/>
            <w:vAlign w:val="bottom"/>
          </w:tcPr>
          <w:p w:rsidR="00652F81" w:rsidRPr="00824F72" w:rsidRDefault="00652F81" w:rsidP="00652F81">
            <w:pPr>
              <w:rPr>
                <w:rFonts w:ascii="Tahoma" w:hAnsi="Tahoma" w:cs="Tahoma"/>
                <w:b/>
                <w:bCs/>
              </w:rPr>
            </w:pPr>
            <w:r w:rsidRPr="00824F72">
              <w:rPr>
                <w:rFonts w:ascii="Tahoma" w:hAnsi="Tahoma" w:cs="Tahoma"/>
                <w:b/>
                <w:bCs/>
                <w:sz w:val="14"/>
                <w:szCs w:val="14"/>
              </w:rPr>
              <w:t>Eυρωζώνη</w:t>
            </w:r>
            <w:r w:rsidRPr="00824F72">
              <w:rPr>
                <w:rFonts w:ascii="Tahoma" w:hAnsi="Tahoma" w:cs="Tahoma"/>
                <w:bCs/>
                <w:sz w:val="18"/>
                <w:szCs w:val="18"/>
                <w:vertAlign w:val="superscript"/>
              </w:rPr>
              <w:t>*</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0,108</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0,1103</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0,1137</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0,1203</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0,1167</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0,1246</w:t>
            </w:r>
          </w:p>
        </w:tc>
        <w:tc>
          <w:tcPr>
            <w:tcW w:w="960" w:type="dxa"/>
            <w:noWrap/>
            <w:vAlign w:val="bottom"/>
          </w:tcPr>
          <w:p w:rsidR="00652F81" w:rsidRPr="00824F72" w:rsidRDefault="00652F81" w:rsidP="00652F81">
            <w:pPr>
              <w:jc w:val="right"/>
              <w:rPr>
                <w:rFonts w:ascii="Tahoma" w:hAnsi="Tahoma" w:cs="Tahoma"/>
              </w:rPr>
            </w:pPr>
            <w:r>
              <w:rPr>
                <w:rFonts w:ascii="Tahoma" w:hAnsi="Tahoma" w:cs="Tahoma"/>
              </w:rPr>
              <w:t>0,1234</w:t>
            </w:r>
          </w:p>
        </w:tc>
      </w:tr>
      <w:tr w:rsidR="00652F81" w:rsidRPr="00CA39FC" w:rsidTr="00652F81">
        <w:trPr>
          <w:trHeight w:val="255"/>
        </w:trPr>
        <w:tc>
          <w:tcPr>
            <w:tcW w:w="1010" w:type="dxa"/>
            <w:noWrap/>
            <w:vAlign w:val="bottom"/>
          </w:tcPr>
          <w:p w:rsidR="00652F81" w:rsidRPr="00CA39FC" w:rsidRDefault="00652F81" w:rsidP="00652F81">
            <w:pPr>
              <w:rPr>
                <w:rFonts w:ascii="Tahoma" w:hAnsi="Tahoma" w:cs="Tahoma"/>
                <w:b/>
                <w:bCs/>
              </w:rPr>
            </w:pPr>
            <w:r w:rsidRPr="00CA39FC">
              <w:rPr>
                <w:rFonts w:ascii="Tahoma" w:hAnsi="Tahoma" w:cs="Tahoma"/>
                <w:b/>
                <w:bCs/>
              </w:rPr>
              <w:t>EL</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0,058</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0,0606</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0,0621</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0,0637</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0,0643</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0,0661</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0,0957</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0,1055</w:t>
            </w:r>
          </w:p>
        </w:tc>
        <w:tc>
          <w:tcPr>
            <w:tcW w:w="960" w:type="dxa"/>
            <w:noWrap/>
            <w:vAlign w:val="bottom"/>
          </w:tcPr>
          <w:p w:rsidR="00652F81" w:rsidRPr="00824F72" w:rsidRDefault="00652F81" w:rsidP="00652F81">
            <w:pPr>
              <w:jc w:val="right"/>
              <w:rPr>
                <w:rFonts w:ascii="Tahoma" w:hAnsi="Tahoma" w:cs="Tahoma"/>
              </w:rPr>
            </w:pPr>
            <w:r w:rsidRPr="00824F72">
              <w:rPr>
                <w:rFonts w:ascii="Tahoma" w:hAnsi="Tahoma" w:cs="Tahoma"/>
              </w:rPr>
              <w:t>0,0975</w:t>
            </w:r>
          </w:p>
        </w:tc>
      </w:tr>
    </w:tbl>
    <w:p w:rsidR="00652F81" w:rsidRPr="00C37D8C" w:rsidRDefault="00652F81" w:rsidP="00652F81">
      <w:pPr>
        <w:pStyle w:val="1"/>
        <w:spacing w:line="240" w:lineRule="auto"/>
        <w:rPr>
          <w:rFonts w:ascii="Tahoma" w:hAnsi="Tahoma" w:cs="Tahoma"/>
          <w:b w:val="0"/>
          <w:sz w:val="16"/>
          <w:szCs w:val="16"/>
          <w:lang w:val="en-GB"/>
        </w:rPr>
      </w:pPr>
      <w:r w:rsidRPr="00824F72">
        <w:rPr>
          <w:rFonts w:ascii="Tahoma" w:hAnsi="Tahoma" w:cs="Tahoma"/>
          <w:b w:val="0"/>
          <w:sz w:val="16"/>
          <w:szCs w:val="16"/>
          <w:lang w:val="en-GB"/>
        </w:rPr>
        <w:t>*(EA11-2000, EA12-2006, EA13-2007, EA15-2008, EA16</w:t>
      </w:r>
      <w:r w:rsidRPr="002F2DA2">
        <w:rPr>
          <w:rFonts w:ascii="Tahoma" w:hAnsi="Tahoma" w:cs="Tahoma"/>
          <w:b w:val="0"/>
          <w:sz w:val="16"/>
          <w:szCs w:val="16"/>
          <w:lang w:val="en-GB"/>
        </w:rPr>
        <w:t xml:space="preserve">, </w:t>
      </w:r>
      <w:r>
        <w:rPr>
          <w:rFonts w:ascii="Tahoma" w:hAnsi="Tahoma" w:cs="Tahoma"/>
          <w:b w:val="0"/>
          <w:sz w:val="16"/>
          <w:szCs w:val="16"/>
        </w:rPr>
        <w:t>ΕΑ</w:t>
      </w:r>
      <w:r w:rsidRPr="002F2DA2">
        <w:rPr>
          <w:rFonts w:ascii="Tahoma" w:hAnsi="Tahoma" w:cs="Tahoma"/>
          <w:b w:val="0"/>
          <w:sz w:val="16"/>
          <w:szCs w:val="16"/>
          <w:lang w:val="en-GB"/>
        </w:rPr>
        <w:t>17</w:t>
      </w:r>
      <w:r w:rsidRPr="00824F72">
        <w:rPr>
          <w:rFonts w:ascii="Tahoma" w:hAnsi="Tahoma" w:cs="Tahoma"/>
          <w:b w:val="0"/>
          <w:sz w:val="16"/>
          <w:szCs w:val="16"/>
          <w:lang w:val="en-GB"/>
        </w:rPr>
        <w:t>)</w:t>
      </w:r>
    </w:p>
    <w:p w:rsidR="00652F81" w:rsidRPr="00A36FCC" w:rsidRDefault="00652F81" w:rsidP="00652F81">
      <w:pPr>
        <w:pStyle w:val="1"/>
        <w:spacing w:line="240" w:lineRule="auto"/>
        <w:rPr>
          <w:rFonts w:ascii="Tahoma" w:hAnsi="Tahoma" w:cs="Tahoma"/>
          <w:b w:val="0"/>
          <w:sz w:val="16"/>
          <w:szCs w:val="16"/>
        </w:rPr>
      </w:pPr>
      <w:r w:rsidRPr="00186E8B">
        <w:rPr>
          <w:rFonts w:ascii="Tahoma" w:hAnsi="Tahoma" w:cs="Tahoma"/>
          <w:sz w:val="18"/>
          <w:szCs w:val="18"/>
        </w:rPr>
        <w:t>Πηγή:</w:t>
      </w:r>
      <w:r w:rsidRPr="00CF269F">
        <w:rPr>
          <w:rFonts w:ascii="Tahoma" w:hAnsi="Tahoma" w:cs="Tahoma"/>
          <w:b w:val="0"/>
          <w:sz w:val="18"/>
          <w:szCs w:val="18"/>
        </w:rPr>
        <w:t xml:space="preserve"> </w:t>
      </w:r>
      <w:r w:rsidRPr="00CF269F">
        <w:rPr>
          <w:rFonts w:ascii="Tahoma" w:hAnsi="Tahoma" w:cs="Tahoma"/>
          <w:b w:val="0"/>
          <w:sz w:val="18"/>
          <w:szCs w:val="18"/>
          <w:lang w:val="en-US"/>
        </w:rPr>
        <w:t>Eurostat</w:t>
      </w:r>
    </w:p>
    <w:p w:rsidR="00652F81" w:rsidRPr="00F81D21" w:rsidRDefault="00652F81" w:rsidP="00652F81">
      <w:pPr>
        <w:pStyle w:val="new12"/>
        <w:sectPr w:rsidR="00652F81" w:rsidRPr="00F81D21" w:rsidSect="00652F81">
          <w:footerReference w:type="default" r:id="rId127"/>
          <w:pgSz w:w="11906" w:h="16838"/>
          <w:pgMar w:top="1701" w:right="1418" w:bottom="1418" w:left="1418" w:header="720" w:footer="720" w:gutter="0"/>
          <w:cols w:space="720"/>
        </w:sectPr>
      </w:pPr>
    </w:p>
    <w:p w:rsidR="00652F81" w:rsidRPr="00294913" w:rsidRDefault="00652F81" w:rsidP="00652F81">
      <w:pPr>
        <w:pStyle w:val="new12"/>
        <w:ind w:left="964" w:hanging="964"/>
      </w:pPr>
      <w:bookmarkStart w:id="573" w:name="_Toc169881572"/>
      <w:bookmarkStart w:id="574" w:name="_Toc170201935"/>
      <w:r w:rsidRPr="00294913">
        <w:lastRenderedPageBreak/>
        <w:t>ΙV-4β</w:t>
      </w:r>
      <w:r>
        <w:t>,</w:t>
      </w:r>
      <w:r w:rsidRPr="00B425B4">
        <w:tab/>
      </w:r>
      <w:r>
        <w:t>Αξία Κρατικών Π</w:t>
      </w:r>
      <w:r w:rsidRPr="00294913">
        <w:t>ρομηθε</w:t>
      </w:r>
      <w:r>
        <w:t>ιών, για τις οποίες έχει γίνει δ</w:t>
      </w:r>
      <w:r w:rsidRPr="00294913">
        <w:t>ημοσίευση στην Επίσημη Εφημερίδα της Ε</w:t>
      </w:r>
      <w:r>
        <w:t>.</w:t>
      </w:r>
      <w:r w:rsidRPr="00294913">
        <w:t>Ε</w:t>
      </w:r>
      <w:bookmarkEnd w:id="572"/>
      <w:bookmarkEnd w:id="573"/>
      <w:bookmarkEnd w:id="574"/>
      <w:r w:rsidRPr="00294913">
        <w:t xml:space="preserve"> </w:t>
      </w:r>
    </w:p>
    <w:p w:rsidR="00652F81" w:rsidRDefault="00652F81" w:rsidP="00652F81">
      <w:pPr>
        <w:pStyle w:val="new1210pt"/>
        <w:rPr>
          <w:lang w:val="en-US"/>
        </w:rPr>
      </w:pPr>
      <w:r w:rsidRPr="00294913">
        <w:tab/>
      </w:r>
      <w:bookmarkStart w:id="575" w:name="_Toc150308669"/>
      <w:bookmarkStart w:id="576" w:name="_Toc170201936"/>
      <w:r w:rsidRPr="00294913">
        <w:t>(% του ΑΕΠ)</w:t>
      </w:r>
      <w:bookmarkEnd w:id="575"/>
      <w:bookmarkEnd w:id="576"/>
      <w:r w:rsidRPr="00294913">
        <w:t xml:space="preserve"> </w:t>
      </w:r>
    </w:p>
    <w:p w:rsidR="00652F81" w:rsidRDefault="00652F81" w:rsidP="00652F81">
      <w:pPr>
        <w:rPr>
          <w:lang w:val="en-US"/>
        </w:rPr>
      </w:pPr>
    </w:p>
    <w:p w:rsidR="00652F81" w:rsidRPr="004C2192" w:rsidRDefault="00652F81" w:rsidP="00652F81">
      <w:pPr>
        <w:jc w:val="center"/>
        <w:rPr>
          <w:lang w:val="en-US"/>
        </w:rPr>
      </w:pPr>
      <w:r>
        <w:rPr>
          <w:noProof/>
          <w:lang w:val="en-US" w:eastAsia="en-US"/>
        </w:rPr>
        <w:drawing>
          <wp:inline distT="0" distB="0" distL="0" distR="0">
            <wp:extent cx="5562600" cy="3248025"/>
            <wp:effectExtent l="0" t="0" r="0" b="0"/>
            <wp:docPr id="18" name="Εικόνα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8" cstate="print"/>
                    <a:srcRect/>
                    <a:stretch>
                      <a:fillRect/>
                    </a:stretch>
                  </pic:blipFill>
                  <pic:spPr bwMode="auto">
                    <a:xfrm>
                      <a:off x="0" y="0"/>
                      <a:ext cx="5562600" cy="3248025"/>
                    </a:xfrm>
                    <a:prstGeom prst="rect">
                      <a:avLst/>
                    </a:prstGeom>
                    <a:noFill/>
                    <a:ln w="9525">
                      <a:noFill/>
                      <a:miter lim="800000"/>
                      <a:headEnd/>
                      <a:tailEnd/>
                    </a:ln>
                  </pic:spPr>
                </pic:pic>
              </a:graphicData>
            </a:graphic>
          </wp:inline>
        </w:drawing>
      </w:r>
    </w:p>
    <w:p w:rsidR="00652F81" w:rsidRPr="007B29C9" w:rsidRDefault="00652F81" w:rsidP="00652F81">
      <w:pPr>
        <w:rPr>
          <w:lang w:val="en-US"/>
        </w:rPr>
      </w:pPr>
    </w:p>
    <w:tbl>
      <w:tblPr>
        <w:tblW w:w="9600" w:type="dxa"/>
        <w:tblBorders>
          <w:top w:val="single" w:sz="12" w:space="0" w:color="auto"/>
          <w:bottom w:val="single" w:sz="12" w:space="0" w:color="auto"/>
          <w:insideH w:val="dotted" w:sz="4" w:space="0" w:color="auto"/>
        </w:tblBorders>
        <w:tblLook w:val="00A0"/>
      </w:tblPr>
      <w:tblGrid>
        <w:gridCol w:w="960"/>
        <w:gridCol w:w="960"/>
        <w:gridCol w:w="960"/>
        <w:gridCol w:w="960"/>
        <w:gridCol w:w="960"/>
        <w:gridCol w:w="960"/>
        <w:gridCol w:w="960"/>
        <w:gridCol w:w="960"/>
        <w:gridCol w:w="960"/>
        <w:gridCol w:w="960"/>
      </w:tblGrid>
      <w:tr w:rsidR="00652F81" w:rsidRPr="00CA39FC" w:rsidTr="00652F81">
        <w:trPr>
          <w:trHeight w:val="255"/>
        </w:trPr>
        <w:tc>
          <w:tcPr>
            <w:tcW w:w="960" w:type="dxa"/>
            <w:tcBorders>
              <w:top w:val="single" w:sz="12" w:space="0" w:color="auto"/>
              <w:bottom w:val="single" w:sz="8" w:space="0" w:color="auto"/>
            </w:tcBorders>
            <w:noWrap/>
          </w:tcPr>
          <w:p w:rsidR="00652F81" w:rsidRPr="00CA39FC" w:rsidRDefault="00652F81" w:rsidP="00652F81">
            <w:pPr>
              <w:jc w:val="center"/>
              <w:rPr>
                <w:rFonts w:ascii="Tahoma" w:hAnsi="Tahoma" w:cs="Tahoma"/>
                <w:bCs/>
              </w:rPr>
            </w:pP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Pr>
                <w:rFonts w:ascii="Tahoma" w:hAnsi="Tahoma" w:cs="Tahoma"/>
                <w:b/>
                <w:bCs/>
              </w:rPr>
              <w:t>2001</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Pr>
                <w:rFonts w:ascii="Tahoma" w:hAnsi="Tahoma" w:cs="Tahoma"/>
                <w:b/>
                <w:bCs/>
              </w:rPr>
              <w:t>2002</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Pr>
                <w:rFonts w:ascii="Tahoma" w:hAnsi="Tahoma" w:cs="Tahoma"/>
                <w:b/>
                <w:bCs/>
              </w:rPr>
              <w:t>2003</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Pr>
                <w:rFonts w:ascii="Tahoma" w:hAnsi="Tahoma" w:cs="Tahoma"/>
                <w:b/>
                <w:bCs/>
              </w:rPr>
              <w:t>2004</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Pr>
                <w:rFonts w:ascii="Tahoma" w:hAnsi="Tahoma" w:cs="Tahoma"/>
                <w:b/>
                <w:bCs/>
              </w:rPr>
              <w:t>2005</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Pr>
                <w:rFonts w:ascii="Tahoma" w:hAnsi="Tahoma" w:cs="Tahoma"/>
                <w:b/>
                <w:bCs/>
              </w:rPr>
              <w:t>2006</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Pr>
                <w:rFonts w:ascii="Tahoma" w:hAnsi="Tahoma" w:cs="Tahoma"/>
                <w:b/>
                <w:bCs/>
              </w:rPr>
              <w:t>2007</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Pr>
                <w:rFonts w:ascii="Tahoma" w:hAnsi="Tahoma" w:cs="Tahoma"/>
                <w:b/>
                <w:bCs/>
              </w:rPr>
              <w:t>2008</w:t>
            </w:r>
          </w:p>
        </w:tc>
        <w:tc>
          <w:tcPr>
            <w:tcW w:w="960" w:type="dxa"/>
            <w:tcBorders>
              <w:top w:val="single" w:sz="12" w:space="0" w:color="auto"/>
              <w:bottom w:val="single" w:sz="8" w:space="0" w:color="auto"/>
            </w:tcBorders>
            <w:noWrap/>
            <w:vAlign w:val="bottom"/>
          </w:tcPr>
          <w:p w:rsidR="00652F81" w:rsidRPr="004C2192" w:rsidRDefault="00652F81" w:rsidP="00652F81">
            <w:pPr>
              <w:jc w:val="center"/>
              <w:rPr>
                <w:rFonts w:ascii="Tahoma" w:hAnsi="Tahoma" w:cs="Tahoma"/>
                <w:b/>
                <w:bCs/>
              </w:rPr>
            </w:pPr>
            <w:r>
              <w:rPr>
                <w:rFonts w:ascii="Tahoma" w:hAnsi="Tahoma" w:cs="Tahoma"/>
                <w:b/>
                <w:bCs/>
                <w:lang w:val="en-US"/>
              </w:rPr>
              <w:t>200</w:t>
            </w:r>
            <w:r>
              <w:rPr>
                <w:rFonts w:ascii="Tahoma" w:hAnsi="Tahoma" w:cs="Tahoma"/>
                <w:b/>
                <w:bCs/>
              </w:rPr>
              <w:t>9</w:t>
            </w:r>
          </w:p>
        </w:tc>
      </w:tr>
      <w:tr w:rsidR="00652F81" w:rsidRPr="00CA39FC" w:rsidTr="00652F81">
        <w:trPr>
          <w:trHeight w:val="255"/>
        </w:trPr>
        <w:tc>
          <w:tcPr>
            <w:tcW w:w="960" w:type="dxa"/>
            <w:tcBorders>
              <w:top w:val="single" w:sz="8" w:space="0" w:color="auto"/>
            </w:tcBorders>
            <w:noWrap/>
            <w:vAlign w:val="bottom"/>
          </w:tcPr>
          <w:p w:rsidR="00652F81" w:rsidRPr="00CA39FC" w:rsidRDefault="00652F81" w:rsidP="00652F81">
            <w:pPr>
              <w:rPr>
                <w:rFonts w:ascii="Tahoma" w:hAnsi="Tahoma" w:cs="Tahoma"/>
                <w:b/>
                <w:bCs/>
              </w:rPr>
            </w:pPr>
            <w:r w:rsidRPr="00CA39FC">
              <w:rPr>
                <w:rFonts w:ascii="Tahoma" w:hAnsi="Tahoma" w:cs="Tahoma"/>
                <w:b/>
                <w:bCs/>
              </w:rPr>
              <w:t>EU27</w:t>
            </w:r>
          </w:p>
        </w:tc>
        <w:tc>
          <w:tcPr>
            <w:tcW w:w="960" w:type="dxa"/>
            <w:tcBorders>
              <w:top w:val="single" w:sz="8" w:space="0" w:color="auto"/>
            </w:tcBorders>
            <w:noWrap/>
            <w:vAlign w:val="bottom"/>
          </w:tcPr>
          <w:p w:rsidR="00652F81" w:rsidRPr="004C2192" w:rsidRDefault="00652F81" w:rsidP="00652F81">
            <w:pPr>
              <w:jc w:val="right"/>
              <w:rPr>
                <w:rFonts w:ascii="Tahoma" w:hAnsi="Tahoma" w:cs="Tahoma"/>
              </w:rPr>
            </w:pPr>
            <w:r w:rsidRPr="004C2192">
              <w:rPr>
                <w:rFonts w:ascii="Tahoma" w:hAnsi="Tahoma" w:cs="Tahoma"/>
              </w:rPr>
              <w:t>:</w:t>
            </w:r>
          </w:p>
        </w:tc>
        <w:tc>
          <w:tcPr>
            <w:tcW w:w="960" w:type="dxa"/>
            <w:tcBorders>
              <w:top w:val="single" w:sz="8" w:space="0" w:color="auto"/>
            </w:tcBorders>
            <w:noWrap/>
            <w:vAlign w:val="bottom"/>
          </w:tcPr>
          <w:p w:rsidR="00652F81" w:rsidRPr="004C2192" w:rsidRDefault="00652F81" w:rsidP="00652F81">
            <w:pPr>
              <w:jc w:val="right"/>
              <w:rPr>
                <w:rFonts w:ascii="Tahoma" w:hAnsi="Tahoma" w:cs="Tahoma"/>
              </w:rPr>
            </w:pPr>
            <w:r w:rsidRPr="004C2192">
              <w:rPr>
                <w:rFonts w:ascii="Tahoma" w:hAnsi="Tahoma" w:cs="Tahoma"/>
              </w:rPr>
              <w:t>:</w:t>
            </w:r>
          </w:p>
        </w:tc>
        <w:tc>
          <w:tcPr>
            <w:tcW w:w="960" w:type="dxa"/>
            <w:tcBorders>
              <w:top w:val="single" w:sz="8" w:space="0" w:color="auto"/>
            </w:tcBorders>
            <w:noWrap/>
            <w:vAlign w:val="bottom"/>
          </w:tcPr>
          <w:p w:rsidR="00652F81" w:rsidRPr="004C2192" w:rsidRDefault="00652F81" w:rsidP="00652F81">
            <w:pPr>
              <w:jc w:val="right"/>
              <w:rPr>
                <w:rFonts w:ascii="Tahoma" w:hAnsi="Tahoma" w:cs="Tahoma"/>
              </w:rPr>
            </w:pPr>
            <w:r w:rsidRPr="004C2192">
              <w:rPr>
                <w:rFonts w:ascii="Tahoma" w:hAnsi="Tahoma" w:cs="Tahoma"/>
              </w:rPr>
              <w:t>:</w:t>
            </w:r>
          </w:p>
        </w:tc>
        <w:tc>
          <w:tcPr>
            <w:tcW w:w="960" w:type="dxa"/>
            <w:tcBorders>
              <w:top w:val="single" w:sz="8" w:space="0" w:color="auto"/>
            </w:tcBorders>
            <w:noWrap/>
            <w:vAlign w:val="bottom"/>
          </w:tcPr>
          <w:p w:rsidR="00652F81" w:rsidRPr="004C2192" w:rsidRDefault="00652F81" w:rsidP="00652F81">
            <w:pPr>
              <w:jc w:val="right"/>
              <w:rPr>
                <w:rFonts w:ascii="Tahoma" w:hAnsi="Tahoma" w:cs="Tahoma"/>
              </w:rPr>
            </w:pPr>
            <w:r w:rsidRPr="004C2192">
              <w:rPr>
                <w:rFonts w:ascii="Tahoma" w:hAnsi="Tahoma" w:cs="Tahoma"/>
              </w:rPr>
              <w:t>:</w:t>
            </w:r>
          </w:p>
        </w:tc>
        <w:tc>
          <w:tcPr>
            <w:tcW w:w="960" w:type="dxa"/>
            <w:tcBorders>
              <w:top w:val="single" w:sz="8" w:space="0" w:color="auto"/>
            </w:tcBorders>
            <w:noWrap/>
            <w:vAlign w:val="bottom"/>
          </w:tcPr>
          <w:p w:rsidR="00652F81" w:rsidRPr="004C2192" w:rsidRDefault="00652F81" w:rsidP="00652F81">
            <w:pPr>
              <w:jc w:val="right"/>
              <w:rPr>
                <w:rFonts w:ascii="Tahoma" w:hAnsi="Tahoma" w:cs="Tahoma"/>
              </w:rPr>
            </w:pPr>
            <w:r w:rsidRPr="004C2192">
              <w:rPr>
                <w:rFonts w:ascii="Tahoma" w:hAnsi="Tahoma" w:cs="Tahoma"/>
              </w:rPr>
              <w:t>2,9</w:t>
            </w:r>
          </w:p>
        </w:tc>
        <w:tc>
          <w:tcPr>
            <w:tcW w:w="960" w:type="dxa"/>
            <w:tcBorders>
              <w:top w:val="single" w:sz="8" w:space="0" w:color="auto"/>
            </w:tcBorders>
            <w:noWrap/>
            <w:vAlign w:val="bottom"/>
          </w:tcPr>
          <w:p w:rsidR="00652F81" w:rsidRPr="004C2192" w:rsidRDefault="00652F81" w:rsidP="00652F81">
            <w:pPr>
              <w:jc w:val="right"/>
              <w:rPr>
                <w:rFonts w:ascii="Tahoma" w:hAnsi="Tahoma" w:cs="Tahoma"/>
              </w:rPr>
            </w:pPr>
            <w:r w:rsidRPr="004C2192">
              <w:rPr>
                <w:rFonts w:ascii="Tahoma" w:hAnsi="Tahoma" w:cs="Tahoma"/>
              </w:rPr>
              <w:t>3,2</w:t>
            </w:r>
          </w:p>
        </w:tc>
        <w:tc>
          <w:tcPr>
            <w:tcW w:w="960" w:type="dxa"/>
            <w:tcBorders>
              <w:top w:val="single" w:sz="8" w:space="0" w:color="auto"/>
            </w:tcBorders>
            <w:noWrap/>
            <w:vAlign w:val="bottom"/>
          </w:tcPr>
          <w:p w:rsidR="00652F81" w:rsidRPr="004C2192" w:rsidRDefault="00652F81" w:rsidP="00652F81">
            <w:pPr>
              <w:jc w:val="right"/>
              <w:rPr>
                <w:rFonts w:ascii="Tahoma" w:hAnsi="Tahoma" w:cs="Tahoma"/>
              </w:rPr>
            </w:pPr>
            <w:r w:rsidRPr="004C2192">
              <w:rPr>
                <w:rFonts w:ascii="Tahoma" w:hAnsi="Tahoma" w:cs="Tahoma"/>
              </w:rPr>
              <w:t>3,0</w:t>
            </w:r>
          </w:p>
        </w:tc>
        <w:tc>
          <w:tcPr>
            <w:tcW w:w="960" w:type="dxa"/>
            <w:tcBorders>
              <w:top w:val="single" w:sz="8" w:space="0" w:color="auto"/>
            </w:tcBorders>
            <w:noWrap/>
            <w:vAlign w:val="bottom"/>
          </w:tcPr>
          <w:p w:rsidR="00652F81" w:rsidRPr="004C2192" w:rsidRDefault="00652F81" w:rsidP="00652F81">
            <w:pPr>
              <w:jc w:val="right"/>
              <w:rPr>
                <w:rFonts w:ascii="Tahoma" w:hAnsi="Tahoma" w:cs="Tahoma"/>
              </w:rPr>
            </w:pPr>
            <w:r w:rsidRPr="004C2192">
              <w:rPr>
                <w:rFonts w:ascii="Tahoma" w:hAnsi="Tahoma" w:cs="Tahoma"/>
              </w:rPr>
              <w:t>3,1</w:t>
            </w:r>
          </w:p>
        </w:tc>
        <w:tc>
          <w:tcPr>
            <w:tcW w:w="960" w:type="dxa"/>
            <w:tcBorders>
              <w:top w:val="single" w:sz="8" w:space="0" w:color="auto"/>
            </w:tcBorders>
            <w:noWrap/>
            <w:vAlign w:val="bottom"/>
          </w:tcPr>
          <w:p w:rsidR="00652F81" w:rsidRPr="004C2192" w:rsidRDefault="00652F81" w:rsidP="00652F81">
            <w:pPr>
              <w:jc w:val="right"/>
              <w:rPr>
                <w:rFonts w:ascii="Tahoma" w:hAnsi="Tahoma" w:cs="Tahoma"/>
              </w:rPr>
            </w:pPr>
            <w:r w:rsidRPr="004C2192">
              <w:rPr>
                <w:rFonts w:ascii="Tahoma" w:hAnsi="Tahoma" w:cs="Tahoma"/>
              </w:rPr>
              <w:t>3,6</w:t>
            </w:r>
          </w:p>
        </w:tc>
      </w:tr>
      <w:tr w:rsidR="00652F81" w:rsidRPr="00CA39FC"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EU25</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2,7</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2,9</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3,3</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3,0</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3,1</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w:t>
            </w:r>
          </w:p>
        </w:tc>
      </w:tr>
      <w:tr w:rsidR="00652F81" w:rsidRPr="00CA39FC"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EU15</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2,4</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2,6</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3,5</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2,7</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2,8</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3,1</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2,8</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2,9</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w:t>
            </w:r>
          </w:p>
        </w:tc>
      </w:tr>
      <w:tr w:rsidR="00652F81" w:rsidRPr="00CA39FC" w:rsidTr="00652F81">
        <w:trPr>
          <w:trHeight w:val="255"/>
        </w:trPr>
        <w:tc>
          <w:tcPr>
            <w:tcW w:w="960" w:type="dxa"/>
            <w:noWrap/>
            <w:vAlign w:val="bottom"/>
          </w:tcPr>
          <w:p w:rsidR="00652F81" w:rsidRPr="004C2192" w:rsidRDefault="00652F81" w:rsidP="00652F81">
            <w:pPr>
              <w:rPr>
                <w:rFonts w:ascii="Tahoma" w:hAnsi="Tahoma" w:cs="Tahoma"/>
                <w:b/>
                <w:bCs/>
              </w:rPr>
            </w:pPr>
            <w:r>
              <w:rPr>
                <w:rFonts w:ascii="Tahoma" w:hAnsi="Tahoma" w:cs="Tahoma"/>
                <w:b/>
                <w:bCs/>
              </w:rPr>
              <w:t>EA17</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w:t>
            </w:r>
          </w:p>
        </w:tc>
      </w:tr>
      <w:tr w:rsidR="00652F81" w:rsidRPr="00CA39FC"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EL</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4,1</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5,21</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4,41</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3,72</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4,9</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5,6</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3,5</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2,8</w:t>
            </w:r>
          </w:p>
        </w:tc>
        <w:tc>
          <w:tcPr>
            <w:tcW w:w="960" w:type="dxa"/>
            <w:noWrap/>
            <w:vAlign w:val="bottom"/>
          </w:tcPr>
          <w:p w:rsidR="00652F81" w:rsidRPr="004C2192" w:rsidRDefault="00652F81" w:rsidP="00652F81">
            <w:pPr>
              <w:jc w:val="right"/>
              <w:rPr>
                <w:rFonts w:ascii="Tahoma" w:hAnsi="Tahoma" w:cs="Tahoma"/>
              </w:rPr>
            </w:pPr>
            <w:r w:rsidRPr="004C2192">
              <w:rPr>
                <w:rFonts w:ascii="Tahoma" w:hAnsi="Tahoma" w:cs="Tahoma"/>
              </w:rPr>
              <w:t>3,7</w:t>
            </w:r>
          </w:p>
        </w:tc>
      </w:tr>
    </w:tbl>
    <w:p w:rsidR="00652F81" w:rsidRPr="00990CC4" w:rsidRDefault="00652F81" w:rsidP="00652F81">
      <w:pPr>
        <w:pStyle w:val="1"/>
        <w:rPr>
          <w:rFonts w:ascii="Tahoma" w:hAnsi="Tahoma" w:cs="Tahoma"/>
          <w:sz w:val="18"/>
          <w:szCs w:val="18"/>
        </w:rPr>
      </w:pPr>
      <w:r w:rsidRPr="00130640">
        <w:rPr>
          <w:rFonts w:ascii="Tahoma" w:hAnsi="Tahoma" w:cs="Tahoma"/>
          <w:sz w:val="18"/>
          <w:szCs w:val="18"/>
        </w:rPr>
        <w:t>Πηγή:</w:t>
      </w:r>
      <w:r w:rsidRPr="00990CC4">
        <w:rPr>
          <w:rFonts w:ascii="Tahoma" w:hAnsi="Tahoma" w:cs="Tahoma"/>
          <w:b w:val="0"/>
          <w:sz w:val="18"/>
          <w:szCs w:val="18"/>
        </w:rPr>
        <w:t xml:space="preserve"> </w:t>
      </w:r>
      <w:r w:rsidRPr="00990CC4">
        <w:rPr>
          <w:rFonts w:ascii="Tahoma" w:hAnsi="Tahoma" w:cs="Tahoma"/>
          <w:b w:val="0"/>
          <w:sz w:val="18"/>
          <w:szCs w:val="18"/>
          <w:lang w:val="en-US"/>
        </w:rPr>
        <w:t>Eurostat</w:t>
      </w:r>
    </w:p>
    <w:p w:rsidR="00652F81" w:rsidRPr="00990CC4" w:rsidRDefault="00652F81" w:rsidP="00652F81"/>
    <w:p w:rsidR="00652F81" w:rsidRPr="00990CC4" w:rsidRDefault="00652F81" w:rsidP="00652F81"/>
    <w:p w:rsidR="00652F81" w:rsidRDefault="00652F81" w:rsidP="00652F81">
      <w:pPr>
        <w:sectPr w:rsidR="00652F81" w:rsidSect="00652F81">
          <w:footerReference w:type="default" r:id="rId129"/>
          <w:pgSz w:w="11906" w:h="16838"/>
          <w:pgMar w:top="1701" w:right="1418" w:bottom="1418" w:left="1418" w:header="720" w:footer="720" w:gutter="0"/>
          <w:cols w:space="720"/>
        </w:sectPr>
      </w:pPr>
      <w:bookmarkStart w:id="577" w:name="_Toc150308671"/>
    </w:p>
    <w:p w:rsidR="00652F81" w:rsidRPr="00294913" w:rsidRDefault="00652F81" w:rsidP="00652F81">
      <w:pPr>
        <w:pStyle w:val="new12"/>
      </w:pPr>
      <w:bookmarkStart w:id="578" w:name="_Toc169881573"/>
      <w:bookmarkStart w:id="579" w:name="_Toc170201937"/>
      <w:r w:rsidRPr="00294913">
        <w:lastRenderedPageBreak/>
        <w:t>ΙV-5β</w:t>
      </w:r>
      <w:r>
        <w:t>,</w:t>
      </w:r>
      <w:r w:rsidRPr="00294913">
        <w:tab/>
        <w:t>Άμεσες Ξένες Επενδύσεις</w:t>
      </w:r>
      <w:bookmarkEnd w:id="577"/>
      <w:bookmarkEnd w:id="578"/>
      <w:bookmarkEnd w:id="579"/>
      <w:r w:rsidRPr="00294913">
        <w:t xml:space="preserve"> </w:t>
      </w:r>
    </w:p>
    <w:p w:rsidR="00652F81" w:rsidRPr="00C27EEB" w:rsidRDefault="00652F81" w:rsidP="00652F81">
      <w:pPr>
        <w:pStyle w:val="new1210pt"/>
      </w:pPr>
      <w:bookmarkStart w:id="580" w:name="_Toc150308672"/>
      <w:bookmarkStart w:id="581" w:name="_Toc170201938"/>
      <w:r w:rsidRPr="00294913">
        <w:t>(μέση αξία εισροών και εκροών άμεσων ξένων επενδύσεων ως προς το ΑΕΠ επί 100)</w:t>
      </w:r>
      <w:bookmarkEnd w:id="580"/>
      <w:bookmarkEnd w:id="581"/>
    </w:p>
    <w:p w:rsidR="00652F81" w:rsidRPr="00C27EEB" w:rsidRDefault="00652F81" w:rsidP="00652F81"/>
    <w:p w:rsidR="00652F81" w:rsidRPr="00A90A78" w:rsidRDefault="00652F81" w:rsidP="00652F81">
      <w:r>
        <w:rPr>
          <w:noProof/>
          <w:lang w:val="en-US" w:eastAsia="en-US"/>
        </w:rPr>
        <w:drawing>
          <wp:inline distT="0" distB="0" distL="0" distR="0">
            <wp:extent cx="5448300" cy="3276600"/>
            <wp:effectExtent l="0" t="0" r="0" b="0"/>
            <wp:docPr id="17" name="Εικόνα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0" cstate="print"/>
                    <a:srcRect/>
                    <a:stretch>
                      <a:fillRect/>
                    </a:stretch>
                  </pic:blipFill>
                  <pic:spPr bwMode="auto">
                    <a:xfrm>
                      <a:off x="0" y="0"/>
                      <a:ext cx="5448300" cy="3276600"/>
                    </a:xfrm>
                    <a:prstGeom prst="rect">
                      <a:avLst/>
                    </a:prstGeom>
                    <a:noFill/>
                    <a:ln w="9525">
                      <a:noFill/>
                      <a:miter lim="800000"/>
                      <a:headEnd/>
                      <a:tailEnd/>
                    </a:ln>
                  </pic:spPr>
                </pic:pic>
              </a:graphicData>
            </a:graphic>
          </wp:inline>
        </w:drawing>
      </w:r>
    </w:p>
    <w:p w:rsidR="00652F81" w:rsidRPr="00B068F8" w:rsidRDefault="00652F81" w:rsidP="00652F81"/>
    <w:tbl>
      <w:tblPr>
        <w:tblW w:w="9366" w:type="dxa"/>
        <w:tblBorders>
          <w:top w:val="single" w:sz="12" w:space="0" w:color="auto"/>
          <w:bottom w:val="single" w:sz="12" w:space="0" w:color="auto"/>
          <w:insideH w:val="dotted" w:sz="4" w:space="0" w:color="auto"/>
        </w:tblBorders>
        <w:tblLook w:val="00A0"/>
      </w:tblPr>
      <w:tblGrid>
        <w:gridCol w:w="960"/>
        <w:gridCol w:w="960"/>
        <w:gridCol w:w="960"/>
        <w:gridCol w:w="960"/>
        <w:gridCol w:w="960"/>
        <w:gridCol w:w="960"/>
        <w:gridCol w:w="960"/>
        <w:gridCol w:w="960"/>
        <w:gridCol w:w="960"/>
        <w:gridCol w:w="726"/>
      </w:tblGrid>
      <w:tr w:rsidR="00652F81" w:rsidRPr="00CA39FC" w:rsidTr="00652F81">
        <w:trPr>
          <w:trHeight w:val="255"/>
        </w:trPr>
        <w:tc>
          <w:tcPr>
            <w:tcW w:w="960" w:type="dxa"/>
            <w:tcBorders>
              <w:top w:val="single" w:sz="12" w:space="0" w:color="auto"/>
              <w:bottom w:val="single" w:sz="8" w:space="0" w:color="auto"/>
            </w:tcBorders>
            <w:noWrap/>
          </w:tcPr>
          <w:p w:rsidR="00652F81" w:rsidRPr="00CA39FC" w:rsidRDefault="00652F81" w:rsidP="00652F81">
            <w:pPr>
              <w:jc w:val="center"/>
              <w:rPr>
                <w:rFonts w:ascii="Tahoma" w:hAnsi="Tahoma" w:cs="Tahoma"/>
                <w:bCs/>
              </w:rPr>
            </w:pP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Pr>
                <w:rFonts w:ascii="Tahoma" w:hAnsi="Tahoma" w:cs="Tahoma"/>
                <w:b/>
                <w:bCs/>
              </w:rPr>
              <w:t>2001</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Pr>
                <w:rFonts w:ascii="Tahoma" w:hAnsi="Tahoma" w:cs="Tahoma"/>
                <w:b/>
                <w:bCs/>
              </w:rPr>
              <w:t>2002</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Pr>
                <w:rFonts w:ascii="Tahoma" w:hAnsi="Tahoma" w:cs="Tahoma"/>
                <w:b/>
                <w:bCs/>
              </w:rPr>
              <w:t>2003</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Pr>
                <w:rFonts w:ascii="Tahoma" w:hAnsi="Tahoma" w:cs="Tahoma"/>
                <w:b/>
                <w:bCs/>
              </w:rPr>
              <w:t>2004</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Pr>
                <w:rFonts w:ascii="Tahoma" w:hAnsi="Tahoma" w:cs="Tahoma"/>
                <w:b/>
                <w:bCs/>
              </w:rPr>
              <w:t>2005</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Pr>
                <w:rFonts w:ascii="Tahoma" w:hAnsi="Tahoma" w:cs="Tahoma"/>
                <w:b/>
                <w:bCs/>
              </w:rPr>
              <w:t>2006</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Pr>
                <w:rFonts w:ascii="Tahoma" w:hAnsi="Tahoma" w:cs="Tahoma"/>
                <w:b/>
                <w:bCs/>
              </w:rPr>
              <w:t>2007</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Pr>
                <w:rFonts w:ascii="Tahoma" w:hAnsi="Tahoma" w:cs="Tahoma"/>
                <w:b/>
                <w:bCs/>
              </w:rPr>
              <w:t>2008</w:t>
            </w:r>
          </w:p>
        </w:tc>
        <w:tc>
          <w:tcPr>
            <w:tcW w:w="726" w:type="dxa"/>
            <w:tcBorders>
              <w:top w:val="single" w:sz="12" w:space="0" w:color="auto"/>
              <w:bottom w:val="single" w:sz="8" w:space="0" w:color="auto"/>
            </w:tcBorders>
            <w:vAlign w:val="bottom"/>
          </w:tcPr>
          <w:p w:rsidR="00652F81" w:rsidRPr="004C2192" w:rsidRDefault="00652F81" w:rsidP="00652F81">
            <w:pPr>
              <w:jc w:val="center"/>
              <w:rPr>
                <w:rFonts w:ascii="Tahoma" w:hAnsi="Tahoma" w:cs="Tahoma"/>
                <w:b/>
                <w:bCs/>
              </w:rPr>
            </w:pPr>
            <w:r>
              <w:rPr>
                <w:rFonts w:ascii="Tahoma" w:hAnsi="Tahoma" w:cs="Tahoma"/>
                <w:b/>
                <w:bCs/>
                <w:lang w:val="en-US"/>
              </w:rPr>
              <w:t>200</w:t>
            </w:r>
            <w:r>
              <w:rPr>
                <w:rFonts w:ascii="Tahoma" w:hAnsi="Tahoma" w:cs="Tahoma"/>
                <w:b/>
                <w:bCs/>
              </w:rPr>
              <w:t>9</w:t>
            </w:r>
          </w:p>
        </w:tc>
      </w:tr>
      <w:tr w:rsidR="00652F81" w:rsidRPr="00CA39FC" w:rsidTr="00652F81">
        <w:trPr>
          <w:trHeight w:val="255"/>
        </w:trPr>
        <w:tc>
          <w:tcPr>
            <w:tcW w:w="960" w:type="dxa"/>
            <w:tcBorders>
              <w:top w:val="single" w:sz="8" w:space="0" w:color="auto"/>
            </w:tcBorders>
            <w:noWrap/>
            <w:vAlign w:val="bottom"/>
          </w:tcPr>
          <w:p w:rsidR="00652F81" w:rsidRPr="00CA39FC" w:rsidRDefault="00652F81" w:rsidP="00652F81">
            <w:pPr>
              <w:rPr>
                <w:rFonts w:ascii="Tahoma" w:hAnsi="Tahoma" w:cs="Tahoma"/>
                <w:b/>
                <w:bCs/>
              </w:rPr>
            </w:pPr>
            <w:r w:rsidRPr="00CA39FC">
              <w:rPr>
                <w:rFonts w:ascii="Tahoma" w:hAnsi="Tahoma" w:cs="Tahoma"/>
                <w:b/>
                <w:bCs/>
              </w:rPr>
              <w:t>EU27</w:t>
            </w:r>
          </w:p>
        </w:tc>
        <w:tc>
          <w:tcPr>
            <w:tcW w:w="960" w:type="dxa"/>
            <w:tcBorders>
              <w:top w:val="single" w:sz="8" w:space="0" w:color="auto"/>
            </w:tcBorders>
            <w:noWrap/>
            <w:vAlign w:val="bottom"/>
          </w:tcPr>
          <w:p w:rsidR="00652F81" w:rsidRPr="00131E40" w:rsidRDefault="00652F81" w:rsidP="00652F81">
            <w:pPr>
              <w:jc w:val="right"/>
              <w:rPr>
                <w:rFonts w:ascii="Tahoma" w:hAnsi="Tahoma" w:cs="Tahoma"/>
              </w:rPr>
            </w:pPr>
            <w:r w:rsidRPr="00131E40">
              <w:rPr>
                <w:rFonts w:ascii="Tahoma" w:hAnsi="Tahoma" w:cs="Tahoma"/>
              </w:rPr>
              <w:t>:</w:t>
            </w:r>
          </w:p>
        </w:tc>
        <w:tc>
          <w:tcPr>
            <w:tcW w:w="960" w:type="dxa"/>
            <w:tcBorders>
              <w:top w:val="single" w:sz="8" w:space="0" w:color="auto"/>
            </w:tcBorders>
            <w:noWrap/>
            <w:vAlign w:val="bottom"/>
          </w:tcPr>
          <w:p w:rsidR="00652F81" w:rsidRPr="00131E40" w:rsidRDefault="00652F81" w:rsidP="00652F81">
            <w:pPr>
              <w:jc w:val="right"/>
              <w:rPr>
                <w:rFonts w:ascii="Tahoma" w:hAnsi="Tahoma" w:cs="Tahoma"/>
              </w:rPr>
            </w:pPr>
            <w:r w:rsidRPr="00131E40">
              <w:rPr>
                <w:rFonts w:ascii="Tahoma" w:hAnsi="Tahoma" w:cs="Tahoma"/>
              </w:rPr>
              <w:t>:</w:t>
            </w:r>
          </w:p>
        </w:tc>
        <w:tc>
          <w:tcPr>
            <w:tcW w:w="960" w:type="dxa"/>
            <w:tcBorders>
              <w:top w:val="single" w:sz="8" w:space="0" w:color="auto"/>
            </w:tcBorders>
            <w:noWrap/>
            <w:vAlign w:val="bottom"/>
          </w:tcPr>
          <w:p w:rsidR="00652F81" w:rsidRPr="00131E40" w:rsidRDefault="00652F81" w:rsidP="00652F81">
            <w:pPr>
              <w:jc w:val="right"/>
              <w:rPr>
                <w:rFonts w:ascii="Tahoma" w:hAnsi="Tahoma" w:cs="Tahoma"/>
              </w:rPr>
            </w:pPr>
            <w:r w:rsidRPr="00131E40">
              <w:rPr>
                <w:rFonts w:ascii="Tahoma" w:hAnsi="Tahoma" w:cs="Tahoma"/>
              </w:rPr>
              <w:t>:</w:t>
            </w:r>
          </w:p>
        </w:tc>
        <w:tc>
          <w:tcPr>
            <w:tcW w:w="960" w:type="dxa"/>
            <w:tcBorders>
              <w:top w:val="single" w:sz="8" w:space="0" w:color="auto"/>
            </w:tcBorders>
            <w:noWrap/>
            <w:vAlign w:val="bottom"/>
          </w:tcPr>
          <w:p w:rsidR="00652F81" w:rsidRPr="00131E40" w:rsidRDefault="00652F81" w:rsidP="00652F81">
            <w:pPr>
              <w:jc w:val="right"/>
              <w:rPr>
                <w:rFonts w:ascii="Tahoma" w:hAnsi="Tahoma" w:cs="Tahoma"/>
              </w:rPr>
            </w:pPr>
            <w:r w:rsidRPr="00131E40">
              <w:rPr>
                <w:rFonts w:ascii="Tahoma" w:hAnsi="Tahoma" w:cs="Tahoma"/>
              </w:rPr>
              <w:t>0,9</w:t>
            </w:r>
          </w:p>
        </w:tc>
        <w:tc>
          <w:tcPr>
            <w:tcW w:w="960" w:type="dxa"/>
            <w:tcBorders>
              <w:top w:val="single" w:sz="8" w:space="0" w:color="auto"/>
            </w:tcBorders>
            <w:noWrap/>
            <w:vAlign w:val="bottom"/>
          </w:tcPr>
          <w:p w:rsidR="00652F81" w:rsidRPr="00131E40" w:rsidRDefault="00652F81" w:rsidP="00652F81">
            <w:pPr>
              <w:jc w:val="right"/>
              <w:rPr>
                <w:rFonts w:ascii="Tahoma" w:hAnsi="Tahoma" w:cs="Tahoma"/>
              </w:rPr>
            </w:pPr>
            <w:r w:rsidRPr="00131E40">
              <w:rPr>
                <w:rFonts w:ascii="Tahoma" w:hAnsi="Tahoma" w:cs="Tahoma"/>
              </w:rPr>
              <w:t>1,7</w:t>
            </w:r>
          </w:p>
        </w:tc>
        <w:tc>
          <w:tcPr>
            <w:tcW w:w="960" w:type="dxa"/>
            <w:tcBorders>
              <w:top w:val="single" w:sz="8" w:space="0" w:color="auto"/>
            </w:tcBorders>
            <w:noWrap/>
            <w:vAlign w:val="bottom"/>
          </w:tcPr>
          <w:p w:rsidR="00652F81" w:rsidRPr="00131E40" w:rsidRDefault="00652F81" w:rsidP="00652F81">
            <w:pPr>
              <w:jc w:val="right"/>
              <w:rPr>
                <w:rFonts w:ascii="Tahoma" w:hAnsi="Tahoma" w:cs="Tahoma"/>
              </w:rPr>
            </w:pPr>
            <w:r w:rsidRPr="00131E40">
              <w:rPr>
                <w:rFonts w:ascii="Tahoma" w:hAnsi="Tahoma" w:cs="Tahoma"/>
              </w:rPr>
              <w:t>2,3</w:t>
            </w:r>
          </w:p>
        </w:tc>
        <w:tc>
          <w:tcPr>
            <w:tcW w:w="960" w:type="dxa"/>
            <w:tcBorders>
              <w:top w:val="single" w:sz="8" w:space="0" w:color="auto"/>
            </w:tcBorders>
            <w:noWrap/>
            <w:vAlign w:val="bottom"/>
          </w:tcPr>
          <w:p w:rsidR="00652F81" w:rsidRPr="00131E40" w:rsidRDefault="00652F81" w:rsidP="00652F81">
            <w:pPr>
              <w:jc w:val="right"/>
              <w:rPr>
                <w:rFonts w:ascii="Tahoma" w:hAnsi="Tahoma" w:cs="Tahoma"/>
              </w:rPr>
            </w:pPr>
            <w:r w:rsidRPr="00131E40">
              <w:rPr>
                <w:rFonts w:ascii="Tahoma" w:hAnsi="Tahoma" w:cs="Tahoma"/>
              </w:rPr>
              <w:t>3,9</w:t>
            </w:r>
          </w:p>
        </w:tc>
        <w:tc>
          <w:tcPr>
            <w:tcW w:w="960" w:type="dxa"/>
            <w:tcBorders>
              <w:top w:val="single" w:sz="8" w:space="0" w:color="auto"/>
            </w:tcBorders>
            <w:noWrap/>
            <w:vAlign w:val="bottom"/>
          </w:tcPr>
          <w:p w:rsidR="00652F81" w:rsidRPr="00131E40" w:rsidRDefault="00652F81" w:rsidP="00652F81">
            <w:pPr>
              <w:jc w:val="right"/>
              <w:rPr>
                <w:rFonts w:ascii="Tahoma" w:hAnsi="Tahoma" w:cs="Tahoma"/>
              </w:rPr>
            </w:pPr>
            <w:r w:rsidRPr="00131E40">
              <w:rPr>
                <w:rFonts w:ascii="Tahoma" w:hAnsi="Tahoma" w:cs="Tahoma"/>
              </w:rPr>
              <w:t>2,2</w:t>
            </w:r>
          </w:p>
        </w:tc>
        <w:tc>
          <w:tcPr>
            <w:tcW w:w="726" w:type="dxa"/>
            <w:tcBorders>
              <w:top w:val="single" w:sz="8" w:space="0" w:color="auto"/>
            </w:tcBorders>
            <w:vAlign w:val="bottom"/>
          </w:tcPr>
          <w:p w:rsidR="00652F81" w:rsidRPr="00131E40" w:rsidRDefault="00652F81" w:rsidP="00652F81">
            <w:pPr>
              <w:jc w:val="right"/>
              <w:rPr>
                <w:rFonts w:ascii="Tahoma" w:hAnsi="Tahoma" w:cs="Tahoma"/>
              </w:rPr>
            </w:pPr>
            <w:r w:rsidRPr="00131E40">
              <w:rPr>
                <w:rFonts w:ascii="Tahoma" w:hAnsi="Tahoma" w:cs="Tahoma"/>
              </w:rPr>
              <w:t>2,1</w:t>
            </w:r>
          </w:p>
        </w:tc>
      </w:tr>
      <w:tr w:rsidR="00652F81" w:rsidRPr="00CA39FC"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EU25</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2,4</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1,3</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1,3</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1</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1,7</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2,4</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4</w:t>
            </w:r>
            <w:r>
              <w:rPr>
                <w:rFonts w:ascii="Tahoma" w:hAnsi="Tahoma" w:cs="Tahoma"/>
              </w:rPr>
              <w:t>,0</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2,3</w:t>
            </w:r>
          </w:p>
        </w:tc>
        <w:tc>
          <w:tcPr>
            <w:tcW w:w="726" w:type="dxa"/>
            <w:vAlign w:val="bottom"/>
          </w:tcPr>
          <w:p w:rsidR="00652F81" w:rsidRPr="00131E40" w:rsidRDefault="00652F81" w:rsidP="00652F81">
            <w:pPr>
              <w:jc w:val="right"/>
              <w:rPr>
                <w:rFonts w:ascii="Tahoma" w:hAnsi="Tahoma" w:cs="Tahoma"/>
              </w:rPr>
            </w:pPr>
            <w:r w:rsidRPr="00131E40">
              <w:rPr>
                <w:rFonts w:ascii="Tahoma" w:hAnsi="Tahoma" w:cs="Tahoma"/>
              </w:rPr>
              <w:t>2,1</w:t>
            </w:r>
          </w:p>
        </w:tc>
      </w:tr>
      <w:tr w:rsidR="00652F81" w:rsidRPr="00CA39FC"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EU15</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2,6</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1,4</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1,4</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1,1</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2</w:t>
            </w:r>
            <w:r>
              <w:rPr>
                <w:rFonts w:ascii="Tahoma" w:hAnsi="Tahoma" w:cs="Tahoma"/>
              </w:rPr>
              <w:t>,0</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4,2</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2,3</w:t>
            </w:r>
          </w:p>
        </w:tc>
        <w:tc>
          <w:tcPr>
            <w:tcW w:w="726" w:type="dxa"/>
            <w:vAlign w:val="bottom"/>
          </w:tcPr>
          <w:p w:rsidR="00652F81" w:rsidRPr="00131E40" w:rsidRDefault="00652F81" w:rsidP="00652F81">
            <w:pPr>
              <w:jc w:val="right"/>
              <w:rPr>
                <w:rFonts w:ascii="Tahoma" w:hAnsi="Tahoma" w:cs="Tahoma"/>
              </w:rPr>
            </w:pPr>
            <w:r w:rsidRPr="00131E40">
              <w:rPr>
                <w:rFonts w:ascii="Tahoma" w:hAnsi="Tahoma" w:cs="Tahoma"/>
              </w:rPr>
              <w:t>2,2</w:t>
            </w:r>
          </w:p>
        </w:tc>
      </w:tr>
      <w:tr w:rsidR="00652F81" w:rsidRPr="00CA39FC" w:rsidTr="00652F81">
        <w:trPr>
          <w:trHeight w:val="255"/>
        </w:trPr>
        <w:tc>
          <w:tcPr>
            <w:tcW w:w="960" w:type="dxa"/>
            <w:noWrap/>
            <w:vAlign w:val="bottom"/>
          </w:tcPr>
          <w:p w:rsidR="00652F81" w:rsidRPr="00131E40" w:rsidRDefault="00652F81" w:rsidP="00652F81">
            <w:pPr>
              <w:rPr>
                <w:rFonts w:ascii="Tahoma" w:hAnsi="Tahoma" w:cs="Tahoma"/>
                <w:b/>
                <w:bCs/>
              </w:rPr>
            </w:pPr>
            <w:r>
              <w:rPr>
                <w:rFonts w:ascii="Tahoma" w:hAnsi="Tahoma" w:cs="Tahoma"/>
                <w:b/>
                <w:bCs/>
              </w:rPr>
              <w:t>EA1</w:t>
            </w:r>
            <w:r>
              <w:rPr>
                <w:rFonts w:ascii="Tahoma" w:hAnsi="Tahoma" w:cs="Tahoma"/>
                <w:b/>
                <w:bCs/>
                <w:lang w:val="en-US"/>
              </w:rPr>
              <w:t>6</w:t>
            </w:r>
            <w:r>
              <w:rPr>
                <w:rFonts w:ascii="Tahoma" w:hAnsi="Tahoma" w:cs="Tahoma"/>
                <w:b/>
                <w:bCs/>
              </w:rPr>
              <w:t>*</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w:t>
            </w:r>
          </w:p>
        </w:tc>
        <w:tc>
          <w:tcPr>
            <w:tcW w:w="726" w:type="dxa"/>
            <w:vAlign w:val="bottom"/>
          </w:tcPr>
          <w:p w:rsidR="00652F81" w:rsidRPr="00131E40" w:rsidRDefault="00652F81" w:rsidP="00652F81">
            <w:pPr>
              <w:jc w:val="right"/>
              <w:rPr>
                <w:rFonts w:ascii="Tahoma" w:hAnsi="Tahoma" w:cs="Tahoma"/>
              </w:rPr>
            </w:pPr>
            <w:r w:rsidRPr="00131E40">
              <w:rPr>
                <w:rFonts w:ascii="Tahoma" w:hAnsi="Tahoma" w:cs="Tahoma"/>
              </w:rPr>
              <w:t>2,8</w:t>
            </w:r>
          </w:p>
        </w:tc>
      </w:tr>
      <w:tr w:rsidR="00652F81" w:rsidRPr="00CA39FC"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EL</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0,8</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0,7</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0,4</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1,8</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1,2</w:t>
            </w:r>
          </w:p>
        </w:tc>
        <w:tc>
          <w:tcPr>
            <w:tcW w:w="960" w:type="dxa"/>
            <w:noWrap/>
            <w:vAlign w:val="bottom"/>
          </w:tcPr>
          <w:p w:rsidR="00652F81" w:rsidRPr="00131E40" w:rsidRDefault="00652F81" w:rsidP="00652F81">
            <w:pPr>
              <w:jc w:val="right"/>
              <w:rPr>
                <w:rFonts w:ascii="Tahoma" w:hAnsi="Tahoma" w:cs="Tahoma"/>
              </w:rPr>
            </w:pPr>
            <w:r w:rsidRPr="00131E40">
              <w:rPr>
                <w:rFonts w:ascii="Tahoma" w:hAnsi="Tahoma" w:cs="Tahoma"/>
              </w:rPr>
              <w:t>1</w:t>
            </w:r>
            <w:r>
              <w:rPr>
                <w:rFonts w:ascii="Tahoma" w:hAnsi="Tahoma" w:cs="Tahoma"/>
              </w:rPr>
              <w:t>,0</w:t>
            </w:r>
          </w:p>
        </w:tc>
        <w:tc>
          <w:tcPr>
            <w:tcW w:w="726" w:type="dxa"/>
            <w:vAlign w:val="bottom"/>
          </w:tcPr>
          <w:p w:rsidR="00652F81" w:rsidRPr="00131E40" w:rsidRDefault="00652F81" w:rsidP="00652F81">
            <w:pPr>
              <w:jc w:val="right"/>
              <w:rPr>
                <w:rFonts w:ascii="Tahoma" w:hAnsi="Tahoma" w:cs="Tahoma"/>
              </w:rPr>
            </w:pPr>
            <w:r w:rsidRPr="00131E40">
              <w:rPr>
                <w:rFonts w:ascii="Tahoma" w:hAnsi="Tahoma" w:cs="Tahoma"/>
              </w:rPr>
              <w:t>0,7</w:t>
            </w:r>
          </w:p>
        </w:tc>
      </w:tr>
    </w:tbl>
    <w:p w:rsidR="00652F81" w:rsidRPr="00C52F9D" w:rsidRDefault="00652F81" w:rsidP="00652F81">
      <w:pPr>
        <w:rPr>
          <w:rFonts w:ascii="Tahoma" w:hAnsi="Tahoma" w:cs="Tahoma"/>
        </w:rPr>
      </w:pPr>
      <w:r w:rsidRPr="00C52F9D">
        <w:rPr>
          <w:rFonts w:ascii="Tahoma" w:hAnsi="Tahoma" w:cs="Tahoma"/>
        </w:rPr>
        <w:t>*</w:t>
      </w:r>
      <w:r w:rsidRPr="00C52F9D">
        <w:rPr>
          <w:rFonts w:ascii="Tahoma" w:hAnsi="Tahoma" w:cs="Tahoma"/>
          <w:sz w:val="18"/>
          <w:szCs w:val="18"/>
        </w:rPr>
        <w:t>Δεν υπάρχουν διαθέσιμα στοιχεία για την ευρωζώνη των 1</w:t>
      </w:r>
      <w:r>
        <w:rPr>
          <w:rFonts w:ascii="Tahoma" w:hAnsi="Tahoma" w:cs="Tahoma"/>
          <w:sz w:val="18"/>
          <w:szCs w:val="18"/>
        </w:rPr>
        <w:t>7</w:t>
      </w:r>
    </w:p>
    <w:p w:rsidR="00652F81" w:rsidRPr="00444658" w:rsidRDefault="00652F81" w:rsidP="00652F81">
      <w:pPr>
        <w:pStyle w:val="1"/>
        <w:rPr>
          <w:rFonts w:ascii="Tahoma" w:hAnsi="Tahoma" w:cs="Tahoma"/>
          <w:sz w:val="18"/>
          <w:szCs w:val="18"/>
        </w:rPr>
      </w:pPr>
      <w:r w:rsidRPr="00186E8B">
        <w:rPr>
          <w:rFonts w:ascii="Tahoma" w:hAnsi="Tahoma" w:cs="Tahoma"/>
          <w:sz w:val="18"/>
          <w:szCs w:val="18"/>
        </w:rPr>
        <w:t>Πηγή:</w:t>
      </w:r>
      <w:r w:rsidRPr="00444658">
        <w:rPr>
          <w:rFonts w:ascii="Tahoma" w:hAnsi="Tahoma" w:cs="Tahoma"/>
          <w:b w:val="0"/>
          <w:sz w:val="18"/>
          <w:szCs w:val="18"/>
        </w:rPr>
        <w:t xml:space="preserve"> </w:t>
      </w:r>
      <w:r w:rsidRPr="00444658">
        <w:rPr>
          <w:rFonts w:ascii="Tahoma" w:hAnsi="Tahoma" w:cs="Tahoma"/>
          <w:b w:val="0"/>
          <w:sz w:val="18"/>
          <w:szCs w:val="18"/>
          <w:lang w:val="en-US"/>
        </w:rPr>
        <w:t>Eurostat</w:t>
      </w:r>
    </w:p>
    <w:p w:rsidR="00652F81" w:rsidRPr="00195016" w:rsidRDefault="00652F81" w:rsidP="00652F81"/>
    <w:p w:rsidR="00652F81" w:rsidRPr="00195016" w:rsidRDefault="00652F81" w:rsidP="00652F81"/>
    <w:p w:rsidR="00652F81" w:rsidRDefault="00652F81" w:rsidP="00652F81">
      <w:pPr>
        <w:sectPr w:rsidR="00652F81" w:rsidSect="00652F81">
          <w:footerReference w:type="default" r:id="rId131"/>
          <w:pgSz w:w="11906" w:h="16838"/>
          <w:pgMar w:top="1418" w:right="1418" w:bottom="1418" w:left="1440" w:header="720" w:footer="720" w:gutter="0"/>
          <w:cols w:space="720"/>
          <w:docGrid w:linePitch="360"/>
        </w:sectPr>
      </w:pPr>
      <w:bookmarkStart w:id="582" w:name="_Toc150308674"/>
    </w:p>
    <w:p w:rsidR="00652F81" w:rsidRPr="00294913" w:rsidRDefault="00652F81" w:rsidP="00652F81">
      <w:pPr>
        <w:pStyle w:val="new6"/>
      </w:pPr>
      <w:bookmarkStart w:id="583" w:name="_Toc169881574"/>
      <w:bookmarkStart w:id="584" w:name="_Toc170201939"/>
      <w:r>
        <w:rPr>
          <w:lang w:val="en-US"/>
        </w:rPr>
        <w:lastRenderedPageBreak/>
        <w:t>V</w:t>
      </w:r>
      <w:r w:rsidRPr="008F2F28">
        <w:t>-</w:t>
      </w:r>
      <w:r>
        <w:rPr>
          <w:lang w:val="en-US"/>
        </w:rPr>
        <w:t>B</w:t>
      </w:r>
      <w:r>
        <w:t>,</w:t>
      </w:r>
      <w:r>
        <w:tab/>
        <w:t xml:space="preserve">Κοινωνική </w:t>
      </w:r>
      <w:bookmarkEnd w:id="582"/>
      <w:bookmarkEnd w:id="583"/>
      <w:r>
        <w:t>Σ</w:t>
      </w:r>
      <w:r w:rsidRPr="00294913">
        <w:t>υνοχή</w:t>
      </w:r>
      <w:bookmarkEnd w:id="584"/>
    </w:p>
    <w:p w:rsidR="00652F81" w:rsidRPr="00294913" w:rsidRDefault="00652F81" w:rsidP="00652F81"/>
    <w:p w:rsidR="00652F81" w:rsidRPr="00294913" w:rsidRDefault="00652F81" w:rsidP="00652F81"/>
    <w:p w:rsidR="00652F81" w:rsidRPr="00294913" w:rsidRDefault="00652F81" w:rsidP="00652F81">
      <w:pPr>
        <w:pStyle w:val="new12"/>
      </w:pPr>
      <w:bookmarkStart w:id="585" w:name="_Toc150308675"/>
      <w:bookmarkStart w:id="586" w:name="_Toc169881575"/>
      <w:bookmarkStart w:id="587" w:name="_Toc170201940"/>
      <w:r w:rsidRPr="00294913">
        <w:rPr>
          <w:lang w:val="en-US"/>
        </w:rPr>
        <w:t>V</w:t>
      </w:r>
      <w:r w:rsidRPr="00294913">
        <w:t>-1β</w:t>
      </w:r>
      <w:r>
        <w:t>,</w:t>
      </w:r>
      <w:r w:rsidRPr="00294913">
        <w:tab/>
        <w:t xml:space="preserve">Κατανομή </w:t>
      </w:r>
      <w:r>
        <w:t>Ε</w:t>
      </w:r>
      <w:r w:rsidRPr="00294913">
        <w:t>ισοδήματος</w:t>
      </w:r>
      <w:bookmarkEnd w:id="585"/>
      <w:bookmarkEnd w:id="586"/>
      <w:bookmarkEnd w:id="587"/>
    </w:p>
    <w:p w:rsidR="00652F81" w:rsidRPr="00C27EEB" w:rsidRDefault="00652F81" w:rsidP="00652F81">
      <w:pPr>
        <w:pStyle w:val="new1210pt"/>
      </w:pPr>
      <w:bookmarkStart w:id="588" w:name="_Toc150308676"/>
      <w:bookmarkStart w:id="589" w:name="_Toc170201941"/>
      <w:r w:rsidRPr="00294913">
        <w:t>(Δείκτης του συνολικού εισοδήματος του 20% του πληθυσμού που αμείβεται με υψηλά εισοδήματα ως προς το 20% του πληθυσμού που αμείβεται με χαμηλά εισοδήματα)</w:t>
      </w:r>
      <w:bookmarkEnd w:id="588"/>
      <w:bookmarkEnd w:id="589"/>
    </w:p>
    <w:p w:rsidR="00652F81" w:rsidRPr="00C27EEB" w:rsidRDefault="00652F81" w:rsidP="00652F81"/>
    <w:p w:rsidR="00652F81" w:rsidRPr="00D82549" w:rsidRDefault="00652F81" w:rsidP="00652F81">
      <w:r>
        <w:rPr>
          <w:noProof/>
          <w:lang w:val="en-US" w:eastAsia="en-US"/>
        </w:rPr>
        <w:drawing>
          <wp:inline distT="0" distB="0" distL="0" distR="0">
            <wp:extent cx="5572125" cy="3467100"/>
            <wp:effectExtent l="0" t="0" r="0" b="0"/>
            <wp:docPr id="16" name="Εικόνα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2" cstate="print"/>
                    <a:srcRect/>
                    <a:stretch>
                      <a:fillRect/>
                    </a:stretch>
                  </pic:blipFill>
                  <pic:spPr bwMode="auto">
                    <a:xfrm>
                      <a:off x="0" y="0"/>
                      <a:ext cx="5572125" cy="3467100"/>
                    </a:xfrm>
                    <a:prstGeom prst="rect">
                      <a:avLst/>
                    </a:prstGeom>
                    <a:noFill/>
                    <a:ln w="9525">
                      <a:noFill/>
                      <a:miter lim="800000"/>
                      <a:headEnd/>
                      <a:tailEnd/>
                    </a:ln>
                  </pic:spPr>
                </pic:pic>
              </a:graphicData>
            </a:graphic>
          </wp:inline>
        </w:drawing>
      </w:r>
    </w:p>
    <w:p w:rsidR="00652F81" w:rsidRPr="007B29C9" w:rsidRDefault="00652F81" w:rsidP="00652F81">
      <w:pPr>
        <w:rPr>
          <w:lang w:val="en-US"/>
        </w:rPr>
      </w:pPr>
      <w:bookmarkStart w:id="590" w:name="_Toc150308678"/>
    </w:p>
    <w:tbl>
      <w:tblPr>
        <w:tblW w:w="9600" w:type="dxa"/>
        <w:tblBorders>
          <w:top w:val="single" w:sz="12" w:space="0" w:color="auto"/>
          <w:bottom w:val="single" w:sz="12" w:space="0" w:color="auto"/>
          <w:insideH w:val="dotted" w:sz="4" w:space="0" w:color="auto"/>
        </w:tblBorders>
        <w:tblLook w:val="00A0"/>
      </w:tblPr>
      <w:tblGrid>
        <w:gridCol w:w="960"/>
        <w:gridCol w:w="960"/>
        <w:gridCol w:w="960"/>
        <w:gridCol w:w="960"/>
        <w:gridCol w:w="960"/>
        <w:gridCol w:w="960"/>
        <w:gridCol w:w="960"/>
        <w:gridCol w:w="960"/>
        <w:gridCol w:w="960"/>
        <w:gridCol w:w="960"/>
      </w:tblGrid>
      <w:tr w:rsidR="00652F81" w:rsidRPr="00CA39FC" w:rsidTr="00652F81">
        <w:trPr>
          <w:trHeight w:val="255"/>
        </w:trPr>
        <w:tc>
          <w:tcPr>
            <w:tcW w:w="960" w:type="dxa"/>
            <w:tcBorders>
              <w:top w:val="single" w:sz="12" w:space="0" w:color="auto"/>
              <w:bottom w:val="single" w:sz="8" w:space="0" w:color="auto"/>
            </w:tcBorders>
            <w:noWrap/>
          </w:tcPr>
          <w:p w:rsidR="00652F81" w:rsidRPr="00CA39FC" w:rsidRDefault="00652F81" w:rsidP="00652F81">
            <w:pPr>
              <w:jc w:val="center"/>
              <w:rPr>
                <w:rFonts w:ascii="Tahoma" w:hAnsi="Tahoma" w:cs="Tahoma"/>
                <w:bCs/>
              </w:rPr>
            </w:pPr>
          </w:p>
        </w:tc>
        <w:tc>
          <w:tcPr>
            <w:tcW w:w="960" w:type="dxa"/>
            <w:tcBorders>
              <w:top w:val="single" w:sz="12" w:space="0" w:color="auto"/>
              <w:bottom w:val="single" w:sz="8" w:space="0" w:color="auto"/>
            </w:tcBorders>
            <w:vAlign w:val="bottom"/>
          </w:tcPr>
          <w:p w:rsidR="00652F81" w:rsidRPr="00CA39FC" w:rsidRDefault="00652F81" w:rsidP="00652F81">
            <w:pPr>
              <w:jc w:val="center"/>
              <w:rPr>
                <w:rFonts w:ascii="Tahoma" w:hAnsi="Tahoma" w:cs="Tahoma"/>
                <w:b/>
                <w:bCs/>
                <w:lang w:val="en-US"/>
              </w:rPr>
            </w:pPr>
            <w:r w:rsidRPr="00CA39FC">
              <w:rPr>
                <w:rFonts w:ascii="Tahoma" w:hAnsi="Tahoma" w:cs="Tahoma"/>
                <w:b/>
                <w:bCs/>
              </w:rPr>
              <w:t>200</w:t>
            </w:r>
            <w:r w:rsidRPr="00CA39FC">
              <w:rPr>
                <w:rFonts w:ascii="Tahoma" w:hAnsi="Tahoma" w:cs="Tahoma"/>
                <w:b/>
                <w:bCs/>
                <w:lang w:val="en-US"/>
              </w:rPr>
              <w:t>1</w:t>
            </w:r>
          </w:p>
        </w:tc>
        <w:tc>
          <w:tcPr>
            <w:tcW w:w="960" w:type="dxa"/>
            <w:tcBorders>
              <w:top w:val="single" w:sz="12" w:space="0" w:color="auto"/>
              <w:bottom w:val="single" w:sz="8" w:space="0" w:color="auto"/>
            </w:tcBorders>
            <w:vAlign w:val="bottom"/>
          </w:tcPr>
          <w:p w:rsidR="00652F81" w:rsidRPr="00CA39FC" w:rsidRDefault="00652F81" w:rsidP="00652F81">
            <w:pPr>
              <w:jc w:val="center"/>
              <w:rPr>
                <w:rFonts w:ascii="Tahoma" w:hAnsi="Tahoma" w:cs="Tahoma"/>
                <w:b/>
                <w:bCs/>
                <w:lang w:val="en-US"/>
              </w:rPr>
            </w:pPr>
            <w:r w:rsidRPr="00CA39FC">
              <w:rPr>
                <w:rFonts w:ascii="Tahoma" w:hAnsi="Tahoma" w:cs="Tahoma"/>
                <w:b/>
                <w:bCs/>
              </w:rPr>
              <w:t>200</w:t>
            </w:r>
            <w:r w:rsidRPr="00CA39FC">
              <w:rPr>
                <w:rFonts w:ascii="Tahoma" w:hAnsi="Tahoma" w:cs="Tahoma"/>
                <w:b/>
                <w:bCs/>
                <w:lang w:val="en-US"/>
              </w:rPr>
              <w:t>2</w:t>
            </w:r>
          </w:p>
        </w:tc>
        <w:tc>
          <w:tcPr>
            <w:tcW w:w="960" w:type="dxa"/>
            <w:tcBorders>
              <w:top w:val="single" w:sz="12" w:space="0" w:color="auto"/>
              <w:bottom w:val="single" w:sz="8" w:space="0" w:color="auto"/>
            </w:tcBorders>
            <w:vAlign w:val="bottom"/>
          </w:tcPr>
          <w:p w:rsidR="00652F81" w:rsidRPr="00CA39FC" w:rsidRDefault="00652F81" w:rsidP="00652F81">
            <w:pPr>
              <w:jc w:val="center"/>
              <w:rPr>
                <w:rFonts w:ascii="Tahoma" w:hAnsi="Tahoma" w:cs="Tahoma"/>
                <w:b/>
                <w:bCs/>
                <w:lang w:val="en-US"/>
              </w:rPr>
            </w:pPr>
            <w:r w:rsidRPr="00CA39FC">
              <w:rPr>
                <w:rFonts w:ascii="Tahoma" w:hAnsi="Tahoma" w:cs="Tahoma"/>
                <w:b/>
                <w:bCs/>
              </w:rPr>
              <w:t>200</w:t>
            </w:r>
            <w:r w:rsidRPr="00CA39FC">
              <w:rPr>
                <w:rFonts w:ascii="Tahoma" w:hAnsi="Tahoma" w:cs="Tahoma"/>
                <w:b/>
                <w:bCs/>
                <w:lang w:val="en-US"/>
              </w:rPr>
              <w:t>3</w:t>
            </w:r>
          </w:p>
        </w:tc>
        <w:tc>
          <w:tcPr>
            <w:tcW w:w="960" w:type="dxa"/>
            <w:tcBorders>
              <w:top w:val="single" w:sz="12" w:space="0" w:color="auto"/>
              <w:bottom w:val="single" w:sz="8" w:space="0" w:color="auto"/>
            </w:tcBorders>
            <w:vAlign w:val="bottom"/>
          </w:tcPr>
          <w:p w:rsidR="00652F81" w:rsidRPr="00CA39FC" w:rsidRDefault="00652F81" w:rsidP="00652F81">
            <w:pPr>
              <w:jc w:val="center"/>
              <w:rPr>
                <w:rFonts w:ascii="Tahoma" w:hAnsi="Tahoma" w:cs="Tahoma"/>
                <w:b/>
                <w:bCs/>
                <w:lang w:val="en-US"/>
              </w:rPr>
            </w:pPr>
            <w:r w:rsidRPr="00CA39FC">
              <w:rPr>
                <w:rFonts w:ascii="Tahoma" w:hAnsi="Tahoma" w:cs="Tahoma"/>
                <w:b/>
                <w:bCs/>
              </w:rPr>
              <w:t>200</w:t>
            </w:r>
            <w:r w:rsidRPr="00CA39FC">
              <w:rPr>
                <w:rFonts w:ascii="Tahoma" w:hAnsi="Tahoma" w:cs="Tahoma"/>
                <w:b/>
                <w:bCs/>
                <w:lang w:val="en-US"/>
              </w:rPr>
              <w:t>4</w:t>
            </w:r>
          </w:p>
        </w:tc>
        <w:tc>
          <w:tcPr>
            <w:tcW w:w="960" w:type="dxa"/>
            <w:tcBorders>
              <w:top w:val="single" w:sz="12" w:space="0" w:color="auto"/>
              <w:bottom w:val="single" w:sz="8" w:space="0" w:color="auto"/>
            </w:tcBorders>
            <w:vAlign w:val="bottom"/>
          </w:tcPr>
          <w:p w:rsidR="00652F81" w:rsidRPr="00C85B47" w:rsidRDefault="00652F81" w:rsidP="00652F81">
            <w:pPr>
              <w:jc w:val="center"/>
              <w:rPr>
                <w:rFonts w:ascii="Tahoma" w:hAnsi="Tahoma" w:cs="Tahoma"/>
                <w:b/>
                <w:bCs/>
              </w:rPr>
            </w:pPr>
            <w:r w:rsidRPr="00CA39FC">
              <w:rPr>
                <w:rFonts w:ascii="Tahoma" w:hAnsi="Tahoma" w:cs="Tahoma"/>
                <w:b/>
                <w:bCs/>
              </w:rPr>
              <w:t>200</w:t>
            </w:r>
            <w:r>
              <w:rPr>
                <w:rFonts w:ascii="Tahoma" w:hAnsi="Tahoma" w:cs="Tahoma"/>
                <w:b/>
                <w:bCs/>
              </w:rPr>
              <w:t>5</w:t>
            </w:r>
          </w:p>
        </w:tc>
        <w:tc>
          <w:tcPr>
            <w:tcW w:w="960" w:type="dxa"/>
            <w:tcBorders>
              <w:top w:val="single" w:sz="12" w:space="0" w:color="auto"/>
              <w:bottom w:val="single" w:sz="8" w:space="0" w:color="auto"/>
            </w:tcBorders>
            <w:vAlign w:val="bottom"/>
          </w:tcPr>
          <w:p w:rsidR="00652F81" w:rsidRPr="00CA39FC" w:rsidRDefault="00652F81" w:rsidP="00652F81">
            <w:pPr>
              <w:jc w:val="center"/>
              <w:rPr>
                <w:rFonts w:ascii="Tahoma" w:hAnsi="Tahoma" w:cs="Tahoma"/>
                <w:b/>
                <w:bCs/>
                <w:lang w:val="en-US"/>
              </w:rPr>
            </w:pPr>
            <w:r w:rsidRPr="00CA39FC">
              <w:rPr>
                <w:rFonts w:ascii="Tahoma" w:hAnsi="Tahoma" w:cs="Tahoma"/>
                <w:b/>
                <w:bCs/>
              </w:rPr>
              <w:t>200</w:t>
            </w:r>
            <w:r w:rsidRPr="00CA39FC">
              <w:rPr>
                <w:rFonts w:ascii="Tahoma" w:hAnsi="Tahoma" w:cs="Tahoma"/>
                <w:b/>
                <w:bCs/>
                <w:lang w:val="en-US"/>
              </w:rPr>
              <w:t>6</w:t>
            </w:r>
          </w:p>
        </w:tc>
        <w:tc>
          <w:tcPr>
            <w:tcW w:w="960" w:type="dxa"/>
            <w:tcBorders>
              <w:top w:val="single" w:sz="12" w:space="0" w:color="auto"/>
              <w:bottom w:val="single" w:sz="8" w:space="0" w:color="auto"/>
            </w:tcBorders>
            <w:vAlign w:val="bottom"/>
          </w:tcPr>
          <w:p w:rsidR="00652F81" w:rsidRPr="00CA39FC" w:rsidRDefault="00652F81" w:rsidP="00652F81">
            <w:pPr>
              <w:jc w:val="center"/>
              <w:rPr>
                <w:rFonts w:ascii="Tahoma" w:hAnsi="Tahoma" w:cs="Tahoma"/>
                <w:b/>
                <w:bCs/>
                <w:lang w:val="en-US"/>
              </w:rPr>
            </w:pPr>
            <w:r w:rsidRPr="00CA39FC">
              <w:rPr>
                <w:rFonts w:ascii="Tahoma" w:hAnsi="Tahoma" w:cs="Tahoma"/>
                <w:b/>
                <w:bCs/>
              </w:rPr>
              <w:t>200</w:t>
            </w:r>
            <w:r w:rsidRPr="00CA39FC">
              <w:rPr>
                <w:rFonts w:ascii="Tahoma" w:hAnsi="Tahoma" w:cs="Tahoma"/>
                <w:b/>
                <w:bCs/>
                <w:lang w:val="en-US"/>
              </w:rPr>
              <w:t>7</w:t>
            </w:r>
          </w:p>
        </w:tc>
        <w:tc>
          <w:tcPr>
            <w:tcW w:w="960" w:type="dxa"/>
            <w:tcBorders>
              <w:top w:val="single" w:sz="12" w:space="0" w:color="auto"/>
              <w:bottom w:val="single" w:sz="8" w:space="0" w:color="auto"/>
            </w:tcBorders>
            <w:vAlign w:val="bottom"/>
          </w:tcPr>
          <w:p w:rsidR="00652F81" w:rsidRPr="00CA39FC" w:rsidRDefault="00652F81" w:rsidP="00652F81">
            <w:pPr>
              <w:jc w:val="center"/>
              <w:rPr>
                <w:rFonts w:ascii="Tahoma" w:hAnsi="Tahoma" w:cs="Tahoma"/>
                <w:b/>
                <w:bCs/>
                <w:lang w:val="en-US"/>
              </w:rPr>
            </w:pPr>
            <w:r>
              <w:rPr>
                <w:rFonts w:ascii="Tahoma" w:hAnsi="Tahoma" w:cs="Tahoma"/>
                <w:b/>
                <w:bCs/>
                <w:lang w:val="en-US"/>
              </w:rPr>
              <w:t>2008</w:t>
            </w:r>
          </w:p>
        </w:tc>
        <w:tc>
          <w:tcPr>
            <w:tcW w:w="960" w:type="dxa"/>
            <w:tcBorders>
              <w:top w:val="single" w:sz="12" w:space="0" w:color="auto"/>
              <w:bottom w:val="single" w:sz="8" w:space="0" w:color="auto"/>
            </w:tcBorders>
            <w:noWrap/>
            <w:vAlign w:val="bottom"/>
          </w:tcPr>
          <w:p w:rsidR="00652F81" w:rsidRPr="007E1FEC" w:rsidRDefault="00652F81" w:rsidP="00652F81">
            <w:pPr>
              <w:jc w:val="center"/>
              <w:rPr>
                <w:rFonts w:ascii="Tahoma" w:hAnsi="Tahoma" w:cs="Tahoma"/>
                <w:b/>
                <w:bCs/>
              </w:rPr>
            </w:pPr>
            <w:r>
              <w:rPr>
                <w:rFonts w:ascii="Tahoma" w:hAnsi="Tahoma" w:cs="Tahoma"/>
                <w:b/>
                <w:bCs/>
              </w:rPr>
              <w:t>2009</w:t>
            </w:r>
          </w:p>
        </w:tc>
      </w:tr>
      <w:tr w:rsidR="00652F81" w:rsidRPr="00CA39FC" w:rsidTr="00652F81">
        <w:trPr>
          <w:trHeight w:val="255"/>
        </w:trPr>
        <w:tc>
          <w:tcPr>
            <w:tcW w:w="960" w:type="dxa"/>
            <w:tcBorders>
              <w:top w:val="single" w:sz="8" w:space="0" w:color="auto"/>
            </w:tcBorders>
            <w:noWrap/>
            <w:vAlign w:val="bottom"/>
          </w:tcPr>
          <w:p w:rsidR="00652F81" w:rsidRPr="00CA39FC" w:rsidRDefault="00652F81" w:rsidP="00652F81">
            <w:pPr>
              <w:rPr>
                <w:rFonts w:ascii="Tahoma" w:hAnsi="Tahoma" w:cs="Tahoma"/>
                <w:b/>
                <w:bCs/>
              </w:rPr>
            </w:pPr>
            <w:r w:rsidRPr="00CA39FC">
              <w:rPr>
                <w:rFonts w:ascii="Tahoma" w:hAnsi="Tahoma" w:cs="Tahoma"/>
                <w:b/>
                <w:bCs/>
              </w:rPr>
              <w:t>EU27</w:t>
            </w:r>
          </w:p>
        </w:tc>
        <w:tc>
          <w:tcPr>
            <w:tcW w:w="960" w:type="dxa"/>
            <w:tcBorders>
              <w:top w:val="single" w:sz="8" w:space="0" w:color="auto"/>
            </w:tcBorders>
            <w:vAlign w:val="bottom"/>
          </w:tcPr>
          <w:p w:rsidR="00652F81" w:rsidRPr="00D82549" w:rsidRDefault="00652F81" w:rsidP="00652F81">
            <w:pPr>
              <w:jc w:val="right"/>
              <w:rPr>
                <w:rFonts w:ascii="Tahoma" w:hAnsi="Tahoma" w:cs="Tahoma"/>
              </w:rPr>
            </w:pPr>
            <w:r w:rsidRPr="00D82549">
              <w:rPr>
                <w:rFonts w:ascii="Tahoma" w:hAnsi="Tahoma" w:cs="Tahoma"/>
              </w:rPr>
              <w:t>:</w:t>
            </w:r>
          </w:p>
        </w:tc>
        <w:tc>
          <w:tcPr>
            <w:tcW w:w="960" w:type="dxa"/>
            <w:tcBorders>
              <w:top w:val="single" w:sz="8" w:space="0" w:color="auto"/>
            </w:tcBorders>
            <w:vAlign w:val="bottom"/>
          </w:tcPr>
          <w:p w:rsidR="00652F81" w:rsidRPr="00D82549" w:rsidRDefault="00652F81" w:rsidP="00652F81">
            <w:pPr>
              <w:jc w:val="right"/>
              <w:rPr>
                <w:rFonts w:ascii="Tahoma" w:hAnsi="Tahoma" w:cs="Tahoma"/>
              </w:rPr>
            </w:pPr>
            <w:r w:rsidRPr="00D82549">
              <w:rPr>
                <w:rFonts w:ascii="Tahoma" w:hAnsi="Tahoma" w:cs="Tahoma"/>
              </w:rPr>
              <w:t>:</w:t>
            </w:r>
          </w:p>
        </w:tc>
        <w:tc>
          <w:tcPr>
            <w:tcW w:w="960" w:type="dxa"/>
            <w:tcBorders>
              <w:top w:val="single" w:sz="8" w:space="0" w:color="auto"/>
            </w:tcBorders>
            <w:vAlign w:val="bottom"/>
          </w:tcPr>
          <w:p w:rsidR="00652F81" w:rsidRPr="00D82549" w:rsidRDefault="00652F81" w:rsidP="00652F81">
            <w:pPr>
              <w:jc w:val="right"/>
              <w:rPr>
                <w:rFonts w:ascii="Tahoma" w:hAnsi="Tahoma" w:cs="Tahoma"/>
              </w:rPr>
            </w:pPr>
            <w:r w:rsidRPr="00D82549">
              <w:rPr>
                <w:rFonts w:ascii="Tahoma" w:hAnsi="Tahoma" w:cs="Tahoma"/>
              </w:rPr>
              <w:t>:</w:t>
            </w:r>
          </w:p>
        </w:tc>
        <w:tc>
          <w:tcPr>
            <w:tcW w:w="960" w:type="dxa"/>
            <w:tcBorders>
              <w:top w:val="single" w:sz="8" w:space="0" w:color="auto"/>
            </w:tcBorders>
            <w:vAlign w:val="bottom"/>
          </w:tcPr>
          <w:p w:rsidR="00652F81" w:rsidRPr="00D82549" w:rsidRDefault="00652F81" w:rsidP="00652F81">
            <w:pPr>
              <w:jc w:val="right"/>
              <w:rPr>
                <w:rFonts w:ascii="Tahoma" w:hAnsi="Tahoma" w:cs="Tahoma"/>
              </w:rPr>
            </w:pPr>
            <w:r w:rsidRPr="00D82549">
              <w:rPr>
                <w:rFonts w:ascii="Tahoma" w:hAnsi="Tahoma" w:cs="Tahoma"/>
              </w:rPr>
              <w:t>:</w:t>
            </w:r>
          </w:p>
        </w:tc>
        <w:tc>
          <w:tcPr>
            <w:tcW w:w="960" w:type="dxa"/>
            <w:tcBorders>
              <w:top w:val="single" w:sz="8" w:space="0" w:color="auto"/>
            </w:tcBorders>
            <w:vAlign w:val="bottom"/>
          </w:tcPr>
          <w:p w:rsidR="00652F81" w:rsidRPr="00D82549" w:rsidRDefault="00652F81" w:rsidP="00652F81">
            <w:pPr>
              <w:jc w:val="right"/>
              <w:rPr>
                <w:rFonts w:ascii="Tahoma" w:hAnsi="Tahoma" w:cs="Tahoma"/>
              </w:rPr>
            </w:pPr>
            <w:r>
              <w:rPr>
                <w:rFonts w:ascii="Tahoma" w:hAnsi="Tahoma" w:cs="Tahoma"/>
              </w:rPr>
              <w:t>5,2</w:t>
            </w:r>
          </w:p>
        </w:tc>
        <w:tc>
          <w:tcPr>
            <w:tcW w:w="960" w:type="dxa"/>
            <w:tcBorders>
              <w:top w:val="single" w:sz="8" w:space="0" w:color="auto"/>
            </w:tcBorders>
            <w:vAlign w:val="bottom"/>
          </w:tcPr>
          <w:p w:rsidR="00652F81" w:rsidRPr="00D82549" w:rsidRDefault="00652F81" w:rsidP="00652F81">
            <w:pPr>
              <w:jc w:val="right"/>
              <w:rPr>
                <w:rFonts w:ascii="Tahoma" w:hAnsi="Tahoma" w:cs="Tahoma"/>
              </w:rPr>
            </w:pPr>
            <w:r>
              <w:rPr>
                <w:rFonts w:ascii="Tahoma" w:hAnsi="Tahoma" w:cs="Tahoma"/>
              </w:rPr>
              <w:t>5,1</w:t>
            </w:r>
          </w:p>
        </w:tc>
        <w:tc>
          <w:tcPr>
            <w:tcW w:w="960" w:type="dxa"/>
            <w:tcBorders>
              <w:top w:val="single" w:sz="8" w:space="0" w:color="auto"/>
            </w:tcBorders>
            <w:vAlign w:val="bottom"/>
          </w:tcPr>
          <w:p w:rsidR="00652F81" w:rsidRPr="00D82549" w:rsidRDefault="00652F81" w:rsidP="00652F81">
            <w:pPr>
              <w:jc w:val="right"/>
              <w:rPr>
                <w:rFonts w:ascii="Tahoma" w:hAnsi="Tahoma" w:cs="Tahoma"/>
              </w:rPr>
            </w:pPr>
            <w:r>
              <w:rPr>
                <w:rFonts w:ascii="Tahoma" w:hAnsi="Tahoma" w:cs="Tahoma"/>
              </w:rPr>
              <w:t>5,0</w:t>
            </w:r>
          </w:p>
        </w:tc>
        <w:tc>
          <w:tcPr>
            <w:tcW w:w="960" w:type="dxa"/>
            <w:tcBorders>
              <w:top w:val="single" w:sz="8" w:space="0" w:color="auto"/>
            </w:tcBorders>
            <w:vAlign w:val="bottom"/>
          </w:tcPr>
          <w:p w:rsidR="00652F81" w:rsidRPr="00D82549" w:rsidRDefault="00652F81" w:rsidP="00652F81">
            <w:pPr>
              <w:jc w:val="right"/>
              <w:rPr>
                <w:rFonts w:ascii="Tahoma" w:hAnsi="Tahoma" w:cs="Tahoma"/>
              </w:rPr>
            </w:pPr>
            <w:r>
              <w:rPr>
                <w:rFonts w:ascii="Tahoma" w:hAnsi="Tahoma" w:cs="Tahoma"/>
              </w:rPr>
              <w:t>5,1</w:t>
            </w:r>
          </w:p>
        </w:tc>
        <w:tc>
          <w:tcPr>
            <w:tcW w:w="960" w:type="dxa"/>
            <w:tcBorders>
              <w:top w:val="single" w:sz="8" w:space="0" w:color="auto"/>
            </w:tcBorders>
            <w:noWrap/>
            <w:vAlign w:val="bottom"/>
          </w:tcPr>
          <w:p w:rsidR="00652F81" w:rsidRPr="00D82549" w:rsidRDefault="00652F81" w:rsidP="00652F81">
            <w:pPr>
              <w:jc w:val="right"/>
              <w:rPr>
                <w:rFonts w:ascii="Tahoma" w:hAnsi="Tahoma" w:cs="Tahoma"/>
              </w:rPr>
            </w:pPr>
            <w:r>
              <w:rPr>
                <w:rFonts w:ascii="Tahoma" w:hAnsi="Tahoma" w:cs="Tahoma"/>
              </w:rPr>
              <w:t>5,1</w:t>
            </w:r>
          </w:p>
        </w:tc>
      </w:tr>
      <w:tr w:rsidR="00652F81" w:rsidRPr="00CA39FC"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EU25</w:t>
            </w:r>
          </w:p>
        </w:tc>
        <w:tc>
          <w:tcPr>
            <w:tcW w:w="960" w:type="dxa"/>
            <w:vAlign w:val="bottom"/>
          </w:tcPr>
          <w:p w:rsidR="00652F81" w:rsidRPr="00D82549" w:rsidRDefault="00652F81" w:rsidP="00652F81">
            <w:pPr>
              <w:jc w:val="right"/>
              <w:rPr>
                <w:rFonts w:ascii="Tahoma" w:hAnsi="Tahoma" w:cs="Tahoma"/>
              </w:rPr>
            </w:pPr>
            <w:r w:rsidRPr="00D82549">
              <w:rPr>
                <w:rFonts w:ascii="Tahoma" w:hAnsi="Tahoma" w:cs="Tahoma"/>
              </w:rPr>
              <w:t>4,5</w:t>
            </w:r>
          </w:p>
        </w:tc>
        <w:tc>
          <w:tcPr>
            <w:tcW w:w="960" w:type="dxa"/>
            <w:vAlign w:val="bottom"/>
          </w:tcPr>
          <w:p w:rsidR="00652F81" w:rsidRPr="00D82549" w:rsidRDefault="00652F81" w:rsidP="00652F81">
            <w:pPr>
              <w:jc w:val="right"/>
              <w:rPr>
                <w:rFonts w:ascii="Tahoma" w:hAnsi="Tahoma" w:cs="Tahoma"/>
              </w:rPr>
            </w:pPr>
            <w:r w:rsidRPr="00D82549">
              <w:rPr>
                <w:rFonts w:ascii="Tahoma" w:hAnsi="Tahoma" w:cs="Tahoma"/>
              </w:rPr>
              <w:t>:</w:t>
            </w:r>
          </w:p>
        </w:tc>
        <w:tc>
          <w:tcPr>
            <w:tcW w:w="960" w:type="dxa"/>
            <w:vAlign w:val="bottom"/>
          </w:tcPr>
          <w:p w:rsidR="00652F81" w:rsidRPr="00D82549" w:rsidRDefault="00652F81" w:rsidP="00652F81">
            <w:pPr>
              <w:jc w:val="right"/>
              <w:rPr>
                <w:rFonts w:ascii="Tahoma" w:hAnsi="Tahoma" w:cs="Tahoma"/>
              </w:rPr>
            </w:pPr>
            <w:r w:rsidRPr="00D82549">
              <w:rPr>
                <w:rFonts w:ascii="Tahoma" w:hAnsi="Tahoma" w:cs="Tahoma"/>
              </w:rPr>
              <w:t>:</w:t>
            </w:r>
          </w:p>
        </w:tc>
        <w:tc>
          <w:tcPr>
            <w:tcW w:w="960" w:type="dxa"/>
            <w:vAlign w:val="bottom"/>
          </w:tcPr>
          <w:p w:rsidR="00652F81" w:rsidRPr="00D82549" w:rsidRDefault="00652F81" w:rsidP="00652F81">
            <w:pPr>
              <w:jc w:val="right"/>
              <w:rPr>
                <w:rFonts w:ascii="Tahoma" w:hAnsi="Tahoma" w:cs="Tahoma"/>
              </w:rPr>
            </w:pPr>
            <w:r w:rsidRPr="00D82549">
              <w:rPr>
                <w:rFonts w:ascii="Tahoma" w:hAnsi="Tahoma" w:cs="Tahoma"/>
              </w:rPr>
              <w:t>:</w:t>
            </w:r>
          </w:p>
        </w:tc>
        <w:tc>
          <w:tcPr>
            <w:tcW w:w="960" w:type="dxa"/>
            <w:vAlign w:val="bottom"/>
          </w:tcPr>
          <w:p w:rsidR="00652F81" w:rsidRPr="00D82549" w:rsidRDefault="00652F81" w:rsidP="00652F81">
            <w:pPr>
              <w:jc w:val="right"/>
              <w:rPr>
                <w:rFonts w:ascii="Tahoma" w:hAnsi="Tahoma" w:cs="Tahoma"/>
              </w:rPr>
            </w:pPr>
            <w:r w:rsidRPr="00D82549">
              <w:rPr>
                <w:rFonts w:ascii="Tahoma" w:hAnsi="Tahoma" w:cs="Tahoma"/>
              </w:rPr>
              <w:t>:</w:t>
            </w:r>
          </w:p>
        </w:tc>
        <w:tc>
          <w:tcPr>
            <w:tcW w:w="960" w:type="dxa"/>
            <w:vAlign w:val="bottom"/>
          </w:tcPr>
          <w:p w:rsidR="00652F81" w:rsidRPr="00D82549" w:rsidRDefault="00652F81" w:rsidP="00652F81">
            <w:pPr>
              <w:jc w:val="right"/>
              <w:rPr>
                <w:rFonts w:ascii="Tahoma" w:hAnsi="Tahoma" w:cs="Tahoma"/>
              </w:rPr>
            </w:pPr>
            <w:r w:rsidRPr="00D82549">
              <w:rPr>
                <w:rFonts w:ascii="Tahoma" w:hAnsi="Tahoma" w:cs="Tahoma"/>
              </w:rPr>
              <w:t>:</w:t>
            </w:r>
          </w:p>
        </w:tc>
        <w:tc>
          <w:tcPr>
            <w:tcW w:w="960" w:type="dxa"/>
            <w:vAlign w:val="bottom"/>
          </w:tcPr>
          <w:p w:rsidR="00652F81" w:rsidRPr="00D82549" w:rsidRDefault="00652F81" w:rsidP="00652F81">
            <w:pPr>
              <w:jc w:val="right"/>
              <w:rPr>
                <w:rFonts w:ascii="Tahoma" w:hAnsi="Tahoma" w:cs="Tahoma"/>
              </w:rPr>
            </w:pPr>
            <w:r w:rsidRPr="00D82549">
              <w:rPr>
                <w:rFonts w:ascii="Tahoma" w:hAnsi="Tahoma" w:cs="Tahoma"/>
              </w:rPr>
              <w:t>:</w:t>
            </w:r>
          </w:p>
        </w:tc>
        <w:tc>
          <w:tcPr>
            <w:tcW w:w="960" w:type="dxa"/>
            <w:vAlign w:val="bottom"/>
          </w:tcPr>
          <w:p w:rsidR="00652F81" w:rsidRPr="00D82549" w:rsidRDefault="00652F81" w:rsidP="00652F81">
            <w:pPr>
              <w:jc w:val="right"/>
              <w:rPr>
                <w:rFonts w:ascii="Tahoma" w:hAnsi="Tahoma" w:cs="Tahoma"/>
              </w:rPr>
            </w:pPr>
            <w:r w:rsidRPr="00D82549">
              <w:rPr>
                <w:rFonts w:ascii="Tahoma" w:hAnsi="Tahoma" w:cs="Tahoma"/>
              </w:rPr>
              <w:t>:</w:t>
            </w:r>
          </w:p>
        </w:tc>
        <w:tc>
          <w:tcPr>
            <w:tcW w:w="960" w:type="dxa"/>
            <w:noWrap/>
            <w:vAlign w:val="bottom"/>
          </w:tcPr>
          <w:p w:rsidR="00652F81" w:rsidRPr="00D82549" w:rsidRDefault="00652F81" w:rsidP="00652F81">
            <w:pPr>
              <w:jc w:val="right"/>
              <w:rPr>
                <w:rFonts w:ascii="Tahoma" w:hAnsi="Tahoma" w:cs="Tahoma"/>
              </w:rPr>
            </w:pPr>
            <w:r w:rsidRPr="00D82549">
              <w:rPr>
                <w:rFonts w:ascii="Tahoma" w:hAnsi="Tahoma" w:cs="Tahoma"/>
              </w:rPr>
              <w:t>:</w:t>
            </w:r>
          </w:p>
        </w:tc>
      </w:tr>
      <w:tr w:rsidR="00652F81" w:rsidRPr="00CA39FC"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EU15</w:t>
            </w:r>
          </w:p>
        </w:tc>
        <w:tc>
          <w:tcPr>
            <w:tcW w:w="960" w:type="dxa"/>
            <w:vAlign w:val="bottom"/>
          </w:tcPr>
          <w:p w:rsidR="00652F81" w:rsidRPr="00D82549" w:rsidRDefault="00652F81" w:rsidP="00652F81">
            <w:pPr>
              <w:jc w:val="right"/>
              <w:rPr>
                <w:rFonts w:ascii="Tahoma" w:hAnsi="Tahoma" w:cs="Tahoma"/>
              </w:rPr>
            </w:pPr>
            <w:r w:rsidRPr="00D82549">
              <w:rPr>
                <w:rFonts w:ascii="Tahoma" w:hAnsi="Tahoma" w:cs="Tahoma"/>
              </w:rPr>
              <w:t>4,5</w:t>
            </w:r>
          </w:p>
        </w:tc>
        <w:tc>
          <w:tcPr>
            <w:tcW w:w="960" w:type="dxa"/>
            <w:vAlign w:val="bottom"/>
          </w:tcPr>
          <w:p w:rsidR="00652F81" w:rsidRPr="00D82549" w:rsidRDefault="00652F81" w:rsidP="00652F81">
            <w:pPr>
              <w:jc w:val="right"/>
              <w:rPr>
                <w:rFonts w:ascii="Tahoma" w:hAnsi="Tahoma" w:cs="Tahoma"/>
              </w:rPr>
            </w:pPr>
            <w:r w:rsidRPr="00D82549">
              <w:rPr>
                <w:rFonts w:ascii="Tahoma" w:hAnsi="Tahoma" w:cs="Tahoma"/>
              </w:rPr>
              <w:t>:</w:t>
            </w:r>
          </w:p>
        </w:tc>
        <w:tc>
          <w:tcPr>
            <w:tcW w:w="960" w:type="dxa"/>
            <w:vAlign w:val="bottom"/>
          </w:tcPr>
          <w:p w:rsidR="00652F81" w:rsidRPr="00D82549" w:rsidRDefault="00652F81" w:rsidP="00652F81">
            <w:pPr>
              <w:jc w:val="right"/>
              <w:rPr>
                <w:rFonts w:ascii="Tahoma" w:hAnsi="Tahoma" w:cs="Tahoma"/>
              </w:rPr>
            </w:pPr>
            <w:r w:rsidRPr="00D82549">
              <w:rPr>
                <w:rFonts w:ascii="Tahoma" w:hAnsi="Tahoma" w:cs="Tahoma"/>
              </w:rPr>
              <w:t>4,6</w:t>
            </w:r>
          </w:p>
        </w:tc>
        <w:tc>
          <w:tcPr>
            <w:tcW w:w="960" w:type="dxa"/>
            <w:vAlign w:val="bottom"/>
          </w:tcPr>
          <w:p w:rsidR="00652F81" w:rsidRPr="00D82549" w:rsidRDefault="00652F81" w:rsidP="00652F81">
            <w:pPr>
              <w:jc w:val="right"/>
              <w:rPr>
                <w:rFonts w:ascii="Tahoma" w:hAnsi="Tahoma" w:cs="Tahoma"/>
              </w:rPr>
            </w:pPr>
            <w:r w:rsidRPr="00D82549">
              <w:rPr>
                <w:rFonts w:ascii="Tahoma" w:hAnsi="Tahoma" w:cs="Tahoma"/>
              </w:rPr>
              <w:t>4,8</w:t>
            </w:r>
          </w:p>
        </w:tc>
        <w:tc>
          <w:tcPr>
            <w:tcW w:w="960" w:type="dxa"/>
            <w:vAlign w:val="bottom"/>
          </w:tcPr>
          <w:p w:rsidR="00652F81" w:rsidRPr="00D82549" w:rsidRDefault="00652F81" w:rsidP="00652F81">
            <w:pPr>
              <w:jc w:val="right"/>
              <w:rPr>
                <w:rFonts w:ascii="Tahoma" w:hAnsi="Tahoma" w:cs="Tahoma"/>
              </w:rPr>
            </w:pPr>
            <w:r w:rsidRPr="00D82549">
              <w:rPr>
                <w:rFonts w:ascii="Tahoma" w:hAnsi="Tahoma" w:cs="Tahoma"/>
              </w:rPr>
              <w:t>4,8</w:t>
            </w:r>
          </w:p>
        </w:tc>
        <w:tc>
          <w:tcPr>
            <w:tcW w:w="960" w:type="dxa"/>
            <w:vAlign w:val="bottom"/>
          </w:tcPr>
          <w:p w:rsidR="00652F81" w:rsidRPr="00D82549" w:rsidRDefault="00652F81" w:rsidP="00652F81">
            <w:pPr>
              <w:jc w:val="right"/>
              <w:rPr>
                <w:rFonts w:ascii="Tahoma" w:hAnsi="Tahoma" w:cs="Tahoma"/>
              </w:rPr>
            </w:pPr>
            <w:r>
              <w:rPr>
                <w:rFonts w:ascii="Tahoma" w:hAnsi="Tahoma" w:cs="Tahoma"/>
              </w:rPr>
              <w:t>4,8</w:t>
            </w:r>
          </w:p>
        </w:tc>
        <w:tc>
          <w:tcPr>
            <w:tcW w:w="960" w:type="dxa"/>
            <w:vAlign w:val="bottom"/>
          </w:tcPr>
          <w:p w:rsidR="00652F81" w:rsidRPr="00D82549" w:rsidRDefault="00652F81" w:rsidP="00652F81">
            <w:pPr>
              <w:jc w:val="right"/>
              <w:rPr>
                <w:rFonts w:ascii="Tahoma" w:hAnsi="Tahoma" w:cs="Tahoma"/>
              </w:rPr>
            </w:pPr>
            <w:r>
              <w:rPr>
                <w:rFonts w:ascii="Tahoma" w:hAnsi="Tahoma" w:cs="Tahoma"/>
              </w:rPr>
              <w:t>5,0</w:t>
            </w:r>
          </w:p>
        </w:tc>
        <w:tc>
          <w:tcPr>
            <w:tcW w:w="960" w:type="dxa"/>
            <w:vAlign w:val="bottom"/>
          </w:tcPr>
          <w:p w:rsidR="00652F81" w:rsidRPr="00D82549" w:rsidRDefault="00652F81" w:rsidP="00652F81">
            <w:pPr>
              <w:jc w:val="right"/>
              <w:rPr>
                <w:rFonts w:ascii="Tahoma" w:hAnsi="Tahoma" w:cs="Tahoma"/>
              </w:rPr>
            </w:pPr>
            <w:r>
              <w:rPr>
                <w:rFonts w:ascii="Tahoma" w:hAnsi="Tahoma" w:cs="Tahoma"/>
              </w:rPr>
              <w:t>5,0</w:t>
            </w:r>
          </w:p>
        </w:tc>
        <w:tc>
          <w:tcPr>
            <w:tcW w:w="960" w:type="dxa"/>
            <w:noWrap/>
            <w:vAlign w:val="bottom"/>
          </w:tcPr>
          <w:p w:rsidR="00652F81" w:rsidRPr="00D82549" w:rsidRDefault="00652F81" w:rsidP="00652F81">
            <w:pPr>
              <w:jc w:val="right"/>
              <w:rPr>
                <w:rFonts w:ascii="Tahoma" w:hAnsi="Tahoma" w:cs="Tahoma"/>
              </w:rPr>
            </w:pPr>
            <w:r>
              <w:rPr>
                <w:rFonts w:ascii="Tahoma" w:hAnsi="Tahoma" w:cs="Tahoma"/>
              </w:rPr>
              <w:t>5,0</w:t>
            </w:r>
          </w:p>
        </w:tc>
      </w:tr>
      <w:tr w:rsidR="00652F81" w:rsidRPr="00CA39FC" w:rsidTr="00652F81">
        <w:trPr>
          <w:trHeight w:val="255"/>
        </w:trPr>
        <w:tc>
          <w:tcPr>
            <w:tcW w:w="960" w:type="dxa"/>
            <w:noWrap/>
            <w:vAlign w:val="bottom"/>
          </w:tcPr>
          <w:p w:rsidR="00652F81" w:rsidRPr="00A44CB5" w:rsidRDefault="00652F81" w:rsidP="00652F81">
            <w:pPr>
              <w:rPr>
                <w:rFonts w:ascii="Tahoma" w:hAnsi="Tahoma" w:cs="Tahoma"/>
                <w:b/>
                <w:bCs/>
              </w:rPr>
            </w:pPr>
            <w:r>
              <w:rPr>
                <w:rFonts w:ascii="Tahoma" w:hAnsi="Tahoma" w:cs="Tahoma"/>
                <w:b/>
                <w:bCs/>
              </w:rPr>
              <w:t>EA17</w:t>
            </w:r>
          </w:p>
        </w:tc>
        <w:tc>
          <w:tcPr>
            <w:tcW w:w="960" w:type="dxa"/>
            <w:vAlign w:val="bottom"/>
          </w:tcPr>
          <w:p w:rsidR="00652F81" w:rsidRPr="00D82549" w:rsidRDefault="00652F81" w:rsidP="00652F81">
            <w:pPr>
              <w:jc w:val="right"/>
              <w:rPr>
                <w:rFonts w:ascii="Tahoma" w:hAnsi="Tahoma" w:cs="Tahoma"/>
              </w:rPr>
            </w:pPr>
            <w:r w:rsidRPr="00D82549">
              <w:rPr>
                <w:rFonts w:ascii="Tahoma" w:hAnsi="Tahoma" w:cs="Tahoma"/>
              </w:rPr>
              <w:t>:</w:t>
            </w:r>
          </w:p>
        </w:tc>
        <w:tc>
          <w:tcPr>
            <w:tcW w:w="960" w:type="dxa"/>
            <w:vAlign w:val="bottom"/>
          </w:tcPr>
          <w:p w:rsidR="00652F81" w:rsidRPr="00D82549" w:rsidRDefault="00652F81" w:rsidP="00652F81">
            <w:pPr>
              <w:jc w:val="right"/>
              <w:rPr>
                <w:rFonts w:ascii="Tahoma" w:hAnsi="Tahoma" w:cs="Tahoma"/>
              </w:rPr>
            </w:pPr>
            <w:r w:rsidRPr="00D82549">
              <w:rPr>
                <w:rFonts w:ascii="Tahoma" w:hAnsi="Tahoma" w:cs="Tahoma"/>
              </w:rPr>
              <w:t>:</w:t>
            </w:r>
          </w:p>
        </w:tc>
        <w:tc>
          <w:tcPr>
            <w:tcW w:w="960" w:type="dxa"/>
            <w:vAlign w:val="bottom"/>
          </w:tcPr>
          <w:p w:rsidR="00652F81" w:rsidRPr="00D82549" w:rsidRDefault="00652F81" w:rsidP="00652F81">
            <w:pPr>
              <w:jc w:val="right"/>
              <w:rPr>
                <w:rFonts w:ascii="Tahoma" w:hAnsi="Tahoma" w:cs="Tahoma"/>
              </w:rPr>
            </w:pPr>
            <w:r w:rsidRPr="00D82549">
              <w:rPr>
                <w:rFonts w:ascii="Tahoma" w:hAnsi="Tahoma" w:cs="Tahoma"/>
              </w:rPr>
              <w:t>:</w:t>
            </w:r>
          </w:p>
        </w:tc>
        <w:tc>
          <w:tcPr>
            <w:tcW w:w="960" w:type="dxa"/>
            <w:vAlign w:val="bottom"/>
          </w:tcPr>
          <w:p w:rsidR="00652F81" w:rsidRPr="00D82549" w:rsidRDefault="00652F81" w:rsidP="00652F81">
            <w:pPr>
              <w:jc w:val="right"/>
              <w:rPr>
                <w:rFonts w:ascii="Tahoma" w:hAnsi="Tahoma" w:cs="Tahoma"/>
              </w:rPr>
            </w:pPr>
            <w:r w:rsidRPr="00D82549">
              <w:rPr>
                <w:rFonts w:ascii="Tahoma" w:hAnsi="Tahoma" w:cs="Tahoma"/>
              </w:rPr>
              <w:t>:</w:t>
            </w:r>
          </w:p>
        </w:tc>
        <w:tc>
          <w:tcPr>
            <w:tcW w:w="960" w:type="dxa"/>
            <w:vAlign w:val="bottom"/>
          </w:tcPr>
          <w:p w:rsidR="00652F81" w:rsidRPr="00D82549" w:rsidRDefault="00652F81" w:rsidP="00652F81">
            <w:pPr>
              <w:jc w:val="right"/>
              <w:rPr>
                <w:rFonts w:ascii="Tahoma" w:hAnsi="Tahoma" w:cs="Tahoma"/>
              </w:rPr>
            </w:pPr>
            <w:r w:rsidRPr="00D82549">
              <w:rPr>
                <w:rFonts w:ascii="Tahoma" w:hAnsi="Tahoma" w:cs="Tahoma"/>
              </w:rPr>
              <w:t>:</w:t>
            </w:r>
          </w:p>
        </w:tc>
        <w:tc>
          <w:tcPr>
            <w:tcW w:w="960" w:type="dxa"/>
            <w:vAlign w:val="bottom"/>
          </w:tcPr>
          <w:p w:rsidR="00652F81" w:rsidRPr="00D82549" w:rsidRDefault="00652F81" w:rsidP="00652F81">
            <w:pPr>
              <w:jc w:val="right"/>
              <w:rPr>
                <w:rFonts w:ascii="Tahoma" w:hAnsi="Tahoma" w:cs="Tahoma"/>
              </w:rPr>
            </w:pPr>
            <w:r w:rsidRPr="00D82549">
              <w:rPr>
                <w:rFonts w:ascii="Tahoma" w:hAnsi="Tahoma" w:cs="Tahoma"/>
              </w:rPr>
              <w:t>:</w:t>
            </w:r>
          </w:p>
        </w:tc>
        <w:tc>
          <w:tcPr>
            <w:tcW w:w="960" w:type="dxa"/>
            <w:vAlign w:val="bottom"/>
          </w:tcPr>
          <w:p w:rsidR="00652F81" w:rsidRPr="00D82549" w:rsidRDefault="00652F81" w:rsidP="00652F81">
            <w:pPr>
              <w:jc w:val="right"/>
              <w:rPr>
                <w:rFonts w:ascii="Tahoma" w:hAnsi="Tahoma" w:cs="Tahoma"/>
              </w:rPr>
            </w:pPr>
            <w:r>
              <w:rPr>
                <w:rFonts w:ascii="Tahoma" w:hAnsi="Tahoma" w:cs="Tahoma"/>
              </w:rPr>
              <w:t>4,9</w:t>
            </w:r>
          </w:p>
        </w:tc>
        <w:tc>
          <w:tcPr>
            <w:tcW w:w="960" w:type="dxa"/>
            <w:vAlign w:val="bottom"/>
          </w:tcPr>
          <w:p w:rsidR="00652F81" w:rsidRPr="00D82549" w:rsidRDefault="00652F81" w:rsidP="00652F81">
            <w:pPr>
              <w:jc w:val="right"/>
              <w:rPr>
                <w:rFonts w:ascii="Tahoma" w:hAnsi="Tahoma" w:cs="Tahoma"/>
              </w:rPr>
            </w:pPr>
            <w:r>
              <w:rPr>
                <w:rFonts w:ascii="Tahoma" w:hAnsi="Tahoma" w:cs="Tahoma"/>
              </w:rPr>
              <w:t>4,9</w:t>
            </w:r>
          </w:p>
        </w:tc>
        <w:tc>
          <w:tcPr>
            <w:tcW w:w="960" w:type="dxa"/>
            <w:noWrap/>
            <w:vAlign w:val="bottom"/>
          </w:tcPr>
          <w:p w:rsidR="00652F81" w:rsidRPr="00D82549" w:rsidRDefault="00652F81" w:rsidP="00652F81">
            <w:pPr>
              <w:jc w:val="right"/>
              <w:rPr>
                <w:rFonts w:ascii="Tahoma" w:hAnsi="Tahoma" w:cs="Tahoma"/>
              </w:rPr>
            </w:pPr>
            <w:r>
              <w:rPr>
                <w:rFonts w:ascii="Tahoma" w:hAnsi="Tahoma" w:cs="Tahoma"/>
              </w:rPr>
              <w:t>4,9</w:t>
            </w:r>
          </w:p>
        </w:tc>
      </w:tr>
      <w:tr w:rsidR="00652F81" w:rsidRPr="00CA39FC"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EL</w:t>
            </w:r>
          </w:p>
        </w:tc>
        <w:tc>
          <w:tcPr>
            <w:tcW w:w="960" w:type="dxa"/>
            <w:vAlign w:val="bottom"/>
          </w:tcPr>
          <w:p w:rsidR="00652F81" w:rsidRPr="00D82549" w:rsidRDefault="00652F81" w:rsidP="00652F81">
            <w:pPr>
              <w:jc w:val="right"/>
              <w:rPr>
                <w:rFonts w:ascii="Tahoma" w:hAnsi="Tahoma" w:cs="Tahoma"/>
              </w:rPr>
            </w:pPr>
            <w:r w:rsidRPr="00D82549">
              <w:rPr>
                <w:rFonts w:ascii="Tahoma" w:hAnsi="Tahoma" w:cs="Tahoma"/>
              </w:rPr>
              <w:t>5,7</w:t>
            </w:r>
          </w:p>
        </w:tc>
        <w:tc>
          <w:tcPr>
            <w:tcW w:w="960" w:type="dxa"/>
            <w:vAlign w:val="bottom"/>
          </w:tcPr>
          <w:p w:rsidR="00652F81" w:rsidRPr="00D82549" w:rsidRDefault="00652F81" w:rsidP="00652F81">
            <w:pPr>
              <w:jc w:val="right"/>
              <w:rPr>
                <w:rFonts w:ascii="Tahoma" w:hAnsi="Tahoma" w:cs="Tahoma"/>
              </w:rPr>
            </w:pPr>
            <w:r w:rsidRPr="00D82549">
              <w:rPr>
                <w:rFonts w:ascii="Tahoma" w:hAnsi="Tahoma" w:cs="Tahoma"/>
              </w:rPr>
              <w:t>:</w:t>
            </w:r>
          </w:p>
        </w:tc>
        <w:tc>
          <w:tcPr>
            <w:tcW w:w="960" w:type="dxa"/>
            <w:vAlign w:val="bottom"/>
          </w:tcPr>
          <w:p w:rsidR="00652F81" w:rsidRPr="00D82549" w:rsidRDefault="00652F81" w:rsidP="00652F81">
            <w:pPr>
              <w:jc w:val="right"/>
              <w:rPr>
                <w:rFonts w:ascii="Tahoma" w:hAnsi="Tahoma" w:cs="Tahoma"/>
              </w:rPr>
            </w:pPr>
            <w:r w:rsidRPr="00D82549">
              <w:rPr>
                <w:rFonts w:ascii="Tahoma" w:hAnsi="Tahoma" w:cs="Tahoma"/>
              </w:rPr>
              <w:t>6,4</w:t>
            </w:r>
          </w:p>
        </w:tc>
        <w:tc>
          <w:tcPr>
            <w:tcW w:w="960" w:type="dxa"/>
            <w:vAlign w:val="bottom"/>
          </w:tcPr>
          <w:p w:rsidR="00652F81" w:rsidRPr="00D82549" w:rsidRDefault="00652F81" w:rsidP="00652F81">
            <w:pPr>
              <w:jc w:val="right"/>
              <w:rPr>
                <w:rFonts w:ascii="Tahoma" w:hAnsi="Tahoma" w:cs="Tahoma"/>
              </w:rPr>
            </w:pPr>
            <w:r w:rsidRPr="00D82549">
              <w:rPr>
                <w:rFonts w:ascii="Tahoma" w:hAnsi="Tahoma" w:cs="Tahoma"/>
              </w:rPr>
              <w:t>5,9</w:t>
            </w:r>
          </w:p>
        </w:tc>
        <w:tc>
          <w:tcPr>
            <w:tcW w:w="960" w:type="dxa"/>
            <w:vAlign w:val="bottom"/>
          </w:tcPr>
          <w:p w:rsidR="00652F81" w:rsidRPr="00D82549" w:rsidRDefault="00652F81" w:rsidP="00652F81">
            <w:pPr>
              <w:jc w:val="right"/>
              <w:rPr>
                <w:rFonts w:ascii="Tahoma" w:hAnsi="Tahoma" w:cs="Tahoma"/>
              </w:rPr>
            </w:pPr>
            <w:r w:rsidRPr="00D82549">
              <w:rPr>
                <w:rFonts w:ascii="Tahoma" w:hAnsi="Tahoma" w:cs="Tahoma"/>
              </w:rPr>
              <w:t>5,8</w:t>
            </w:r>
          </w:p>
        </w:tc>
        <w:tc>
          <w:tcPr>
            <w:tcW w:w="960" w:type="dxa"/>
            <w:vAlign w:val="bottom"/>
          </w:tcPr>
          <w:p w:rsidR="00652F81" w:rsidRPr="00D82549" w:rsidRDefault="00652F81" w:rsidP="00652F81">
            <w:pPr>
              <w:jc w:val="right"/>
              <w:rPr>
                <w:rFonts w:ascii="Tahoma" w:hAnsi="Tahoma" w:cs="Tahoma"/>
              </w:rPr>
            </w:pPr>
            <w:r>
              <w:rPr>
                <w:rFonts w:ascii="Tahoma" w:hAnsi="Tahoma" w:cs="Tahoma"/>
              </w:rPr>
              <w:t>6,4</w:t>
            </w:r>
          </w:p>
        </w:tc>
        <w:tc>
          <w:tcPr>
            <w:tcW w:w="960" w:type="dxa"/>
            <w:vAlign w:val="bottom"/>
          </w:tcPr>
          <w:p w:rsidR="00652F81" w:rsidRPr="00D82549" w:rsidRDefault="00652F81" w:rsidP="00652F81">
            <w:pPr>
              <w:jc w:val="right"/>
              <w:rPr>
                <w:rFonts w:ascii="Tahoma" w:hAnsi="Tahoma" w:cs="Tahoma"/>
              </w:rPr>
            </w:pPr>
            <w:r>
              <w:rPr>
                <w:rFonts w:ascii="Tahoma" w:hAnsi="Tahoma" w:cs="Tahoma"/>
              </w:rPr>
              <w:t>6,3</w:t>
            </w:r>
          </w:p>
        </w:tc>
        <w:tc>
          <w:tcPr>
            <w:tcW w:w="960" w:type="dxa"/>
            <w:vAlign w:val="bottom"/>
          </w:tcPr>
          <w:p w:rsidR="00652F81" w:rsidRPr="00D82549" w:rsidRDefault="00652F81" w:rsidP="00652F81">
            <w:pPr>
              <w:jc w:val="right"/>
              <w:rPr>
                <w:rFonts w:ascii="Tahoma" w:hAnsi="Tahoma" w:cs="Tahoma"/>
              </w:rPr>
            </w:pPr>
            <w:r>
              <w:rPr>
                <w:rFonts w:ascii="Tahoma" w:hAnsi="Tahoma" w:cs="Tahoma"/>
              </w:rPr>
              <w:t>6,2</w:t>
            </w:r>
          </w:p>
        </w:tc>
        <w:tc>
          <w:tcPr>
            <w:tcW w:w="960" w:type="dxa"/>
            <w:noWrap/>
            <w:vAlign w:val="bottom"/>
          </w:tcPr>
          <w:p w:rsidR="00652F81" w:rsidRPr="00D82549" w:rsidRDefault="00652F81" w:rsidP="00652F81">
            <w:pPr>
              <w:jc w:val="right"/>
              <w:rPr>
                <w:rFonts w:ascii="Tahoma" w:hAnsi="Tahoma" w:cs="Tahoma"/>
              </w:rPr>
            </w:pPr>
            <w:r>
              <w:rPr>
                <w:rFonts w:ascii="Tahoma" w:hAnsi="Tahoma" w:cs="Tahoma"/>
              </w:rPr>
              <w:t>6,2</w:t>
            </w:r>
          </w:p>
        </w:tc>
      </w:tr>
    </w:tbl>
    <w:p w:rsidR="00652F81" w:rsidRPr="00AF1B09" w:rsidRDefault="00652F81" w:rsidP="00652F81">
      <w:pPr>
        <w:pStyle w:val="1"/>
        <w:rPr>
          <w:rFonts w:ascii="Tahoma" w:hAnsi="Tahoma" w:cs="Tahoma"/>
          <w:sz w:val="18"/>
          <w:szCs w:val="18"/>
        </w:rPr>
      </w:pPr>
      <w:r w:rsidRPr="00FB6871">
        <w:rPr>
          <w:rFonts w:ascii="Tahoma" w:hAnsi="Tahoma" w:cs="Tahoma"/>
          <w:sz w:val="18"/>
          <w:szCs w:val="18"/>
        </w:rPr>
        <w:t>Πηγή:</w:t>
      </w:r>
      <w:r w:rsidRPr="00AF1B09">
        <w:rPr>
          <w:rFonts w:ascii="Tahoma" w:hAnsi="Tahoma" w:cs="Tahoma"/>
          <w:b w:val="0"/>
          <w:sz w:val="18"/>
          <w:szCs w:val="18"/>
        </w:rPr>
        <w:t xml:space="preserve"> </w:t>
      </w:r>
      <w:r w:rsidRPr="00AE3665">
        <w:rPr>
          <w:rFonts w:ascii="Tahoma" w:hAnsi="Tahoma" w:cs="Tahoma"/>
          <w:b w:val="0"/>
          <w:sz w:val="18"/>
          <w:szCs w:val="18"/>
          <w:lang w:val="en-US"/>
        </w:rPr>
        <w:t>Eurostat</w:t>
      </w:r>
    </w:p>
    <w:p w:rsidR="00652F81" w:rsidRPr="00AF1B09" w:rsidRDefault="00652F81" w:rsidP="00652F81">
      <w:pPr>
        <w:rPr>
          <w:rFonts w:ascii="Tahoma" w:hAnsi="Tahoma" w:cs="Tahoma"/>
        </w:rPr>
      </w:pPr>
    </w:p>
    <w:p w:rsidR="00652F81" w:rsidRPr="00AF1B09" w:rsidRDefault="00652F81" w:rsidP="00652F81">
      <w:pPr>
        <w:pStyle w:val="new12"/>
      </w:pPr>
    </w:p>
    <w:p w:rsidR="00652F81" w:rsidRPr="00AF1B09" w:rsidRDefault="00652F81" w:rsidP="00652F81">
      <w:pPr>
        <w:pStyle w:val="new12"/>
        <w:sectPr w:rsidR="00652F81" w:rsidRPr="00AF1B09" w:rsidSect="00652F81">
          <w:footerReference w:type="default" r:id="rId133"/>
          <w:pgSz w:w="11906" w:h="16838"/>
          <w:pgMar w:top="1418" w:right="1418" w:bottom="1418" w:left="1440" w:header="720" w:footer="720" w:gutter="0"/>
          <w:cols w:space="720"/>
          <w:docGrid w:linePitch="360"/>
        </w:sectPr>
      </w:pPr>
    </w:p>
    <w:p w:rsidR="00652F81" w:rsidRPr="00294913" w:rsidRDefault="00652F81" w:rsidP="00652F81">
      <w:pPr>
        <w:pStyle w:val="new12"/>
        <w:ind w:left="851" w:hanging="851"/>
      </w:pPr>
      <w:bookmarkStart w:id="591" w:name="_Toc169881576"/>
      <w:bookmarkStart w:id="592" w:name="_Toc170201942"/>
      <w:r>
        <w:lastRenderedPageBreak/>
        <w:t>V-2β,</w:t>
      </w:r>
      <w:r w:rsidRPr="00B425B4">
        <w:tab/>
      </w:r>
      <w:r>
        <w:t xml:space="preserve">Άτομα με Επίπεδο Μόρφωσης μέχρι και Γυμνάσιο </w:t>
      </w:r>
      <w:r w:rsidRPr="00294913">
        <w:t>(δευτερο</w:t>
      </w:r>
      <w:r>
        <w:t>βάθμια) χωρίς περαιτέρω Ε</w:t>
      </w:r>
      <w:r w:rsidRPr="00294913">
        <w:t>κπαί</w:t>
      </w:r>
      <w:r>
        <w:t>δευσή ή Κ</w:t>
      </w:r>
      <w:r w:rsidRPr="00294913">
        <w:t>ατάρτιση</w:t>
      </w:r>
      <w:bookmarkEnd w:id="590"/>
      <w:bookmarkEnd w:id="591"/>
      <w:bookmarkEnd w:id="592"/>
    </w:p>
    <w:p w:rsidR="00652F81" w:rsidRPr="00C27EEB" w:rsidRDefault="00652F81" w:rsidP="00652F81">
      <w:pPr>
        <w:pStyle w:val="new1210pt"/>
      </w:pPr>
      <w:bookmarkStart w:id="593" w:name="_Toc150308679"/>
      <w:bookmarkStart w:id="594" w:name="_Toc170201943"/>
      <w:r w:rsidRPr="00294913">
        <w:t>(ως % πληθυσμού ηλικίας 18-24 ετών με χαμηλή δευτεροβάθμια και δεν είναι σε πρόγραμμα εκπαίδευσης ή κατάρτισης)</w:t>
      </w:r>
      <w:bookmarkEnd w:id="593"/>
      <w:bookmarkEnd w:id="594"/>
      <w:r>
        <w:t xml:space="preserve"> </w:t>
      </w:r>
    </w:p>
    <w:p w:rsidR="00652F81" w:rsidRPr="00C27EEB" w:rsidRDefault="00652F81" w:rsidP="00652F81"/>
    <w:p w:rsidR="00652F81" w:rsidRPr="00B858EE" w:rsidRDefault="00652F81" w:rsidP="00652F81">
      <w:r>
        <w:rPr>
          <w:noProof/>
          <w:lang w:val="en-US" w:eastAsia="en-US"/>
        </w:rPr>
        <w:drawing>
          <wp:inline distT="0" distB="0" distL="0" distR="0">
            <wp:extent cx="5381625" cy="3114675"/>
            <wp:effectExtent l="0" t="0" r="0" b="0"/>
            <wp:docPr id="1" name="Εικόνα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4" cstate="print"/>
                    <a:srcRect/>
                    <a:stretch>
                      <a:fillRect/>
                    </a:stretch>
                  </pic:blipFill>
                  <pic:spPr bwMode="auto">
                    <a:xfrm>
                      <a:off x="0" y="0"/>
                      <a:ext cx="5381625" cy="3114675"/>
                    </a:xfrm>
                    <a:prstGeom prst="rect">
                      <a:avLst/>
                    </a:prstGeom>
                    <a:noFill/>
                    <a:ln w="9525">
                      <a:noFill/>
                      <a:miter lim="800000"/>
                      <a:headEnd/>
                      <a:tailEnd/>
                    </a:ln>
                  </pic:spPr>
                </pic:pic>
              </a:graphicData>
            </a:graphic>
          </wp:inline>
        </w:drawing>
      </w:r>
    </w:p>
    <w:p w:rsidR="00652F81" w:rsidRDefault="00652F81" w:rsidP="00652F81">
      <w:pPr>
        <w:rPr>
          <w:lang w:val="en-US"/>
        </w:rPr>
      </w:pPr>
    </w:p>
    <w:tbl>
      <w:tblPr>
        <w:tblW w:w="9600" w:type="dxa"/>
        <w:tblBorders>
          <w:top w:val="single" w:sz="12" w:space="0" w:color="auto"/>
          <w:bottom w:val="single" w:sz="12" w:space="0" w:color="auto"/>
          <w:insideH w:val="dotted" w:sz="4" w:space="0" w:color="auto"/>
        </w:tblBorders>
        <w:tblLook w:val="00A0"/>
      </w:tblPr>
      <w:tblGrid>
        <w:gridCol w:w="960"/>
        <w:gridCol w:w="960"/>
        <w:gridCol w:w="960"/>
        <w:gridCol w:w="960"/>
        <w:gridCol w:w="960"/>
        <w:gridCol w:w="960"/>
        <w:gridCol w:w="960"/>
        <w:gridCol w:w="960"/>
        <w:gridCol w:w="960"/>
        <w:gridCol w:w="960"/>
      </w:tblGrid>
      <w:tr w:rsidR="00652F81" w:rsidRPr="00CA39FC" w:rsidTr="00652F81">
        <w:trPr>
          <w:trHeight w:val="255"/>
        </w:trPr>
        <w:tc>
          <w:tcPr>
            <w:tcW w:w="960" w:type="dxa"/>
            <w:tcBorders>
              <w:top w:val="single" w:sz="12" w:space="0" w:color="auto"/>
              <w:bottom w:val="single" w:sz="8" w:space="0" w:color="auto"/>
            </w:tcBorders>
            <w:noWrap/>
          </w:tcPr>
          <w:p w:rsidR="00652F81" w:rsidRPr="00CA39FC" w:rsidRDefault="00652F81" w:rsidP="00652F81">
            <w:pPr>
              <w:rPr>
                <w:rFonts w:ascii="Tahoma" w:hAnsi="Tahoma" w:cs="Tahoma"/>
                <w:bCs/>
              </w:rPr>
            </w:pP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2002</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2003</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2004</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2005</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2006</w:t>
            </w:r>
          </w:p>
        </w:tc>
        <w:tc>
          <w:tcPr>
            <w:tcW w:w="960" w:type="dxa"/>
            <w:tcBorders>
              <w:top w:val="single" w:sz="12" w:space="0" w:color="auto"/>
              <w:bottom w:val="single" w:sz="8" w:space="0" w:color="auto"/>
            </w:tcBorders>
            <w:noWrap/>
            <w:vAlign w:val="bottom"/>
          </w:tcPr>
          <w:p w:rsidR="00652F81" w:rsidRPr="00CA39FC" w:rsidRDefault="00652F81" w:rsidP="00652F81">
            <w:pPr>
              <w:jc w:val="center"/>
              <w:rPr>
                <w:rFonts w:ascii="Tahoma" w:hAnsi="Tahoma" w:cs="Tahoma"/>
                <w:b/>
                <w:bCs/>
              </w:rPr>
            </w:pPr>
            <w:r w:rsidRPr="00CA39FC">
              <w:rPr>
                <w:rFonts w:ascii="Tahoma" w:hAnsi="Tahoma" w:cs="Tahoma"/>
                <w:b/>
                <w:bCs/>
              </w:rPr>
              <w:t>2007</w:t>
            </w:r>
          </w:p>
        </w:tc>
        <w:tc>
          <w:tcPr>
            <w:tcW w:w="960" w:type="dxa"/>
            <w:tcBorders>
              <w:top w:val="single" w:sz="12" w:space="0" w:color="auto"/>
              <w:bottom w:val="single" w:sz="8" w:space="0" w:color="auto"/>
            </w:tcBorders>
            <w:noWrap/>
            <w:vAlign w:val="bottom"/>
          </w:tcPr>
          <w:p w:rsidR="00652F81" w:rsidRPr="00E61CE5" w:rsidRDefault="00652F81" w:rsidP="00652F81">
            <w:pPr>
              <w:jc w:val="center"/>
              <w:rPr>
                <w:rFonts w:ascii="Tahoma" w:hAnsi="Tahoma" w:cs="Tahoma"/>
                <w:b/>
                <w:bCs/>
                <w:lang w:val="en-US"/>
              </w:rPr>
            </w:pPr>
            <w:r>
              <w:rPr>
                <w:rFonts w:ascii="Tahoma" w:hAnsi="Tahoma" w:cs="Tahoma"/>
                <w:b/>
                <w:bCs/>
                <w:lang w:val="en-US"/>
              </w:rPr>
              <w:t>2008</w:t>
            </w:r>
          </w:p>
        </w:tc>
        <w:tc>
          <w:tcPr>
            <w:tcW w:w="960" w:type="dxa"/>
            <w:tcBorders>
              <w:top w:val="single" w:sz="12" w:space="0" w:color="auto"/>
              <w:bottom w:val="single" w:sz="8" w:space="0" w:color="auto"/>
            </w:tcBorders>
            <w:noWrap/>
            <w:vAlign w:val="bottom"/>
          </w:tcPr>
          <w:p w:rsidR="00652F81" w:rsidRPr="00E61CE5" w:rsidRDefault="00652F81" w:rsidP="00652F81">
            <w:pPr>
              <w:jc w:val="center"/>
              <w:rPr>
                <w:rFonts w:ascii="Tahoma" w:hAnsi="Tahoma" w:cs="Tahoma"/>
                <w:b/>
                <w:bCs/>
                <w:lang w:val="en-US"/>
              </w:rPr>
            </w:pPr>
            <w:r>
              <w:rPr>
                <w:rFonts w:ascii="Tahoma" w:hAnsi="Tahoma" w:cs="Tahoma"/>
                <w:b/>
                <w:bCs/>
                <w:lang w:val="en-US"/>
              </w:rPr>
              <w:t>2009</w:t>
            </w:r>
          </w:p>
        </w:tc>
        <w:tc>
          <w:tcPr>
            <w:tcW w:w="960" w:type="dxa"/>
            <w:tcBorders>
              <w:top w:val="single" w:sz="12" w:space="0" w:color="auto"/>
              <w:bottom w:val="single" w:sz="8" w:space="0" w:color="auto"/>
            </w:tcBorders>
            <w:noWrap/>
            <w:vAlign w:val="bottom"/>
          </w:tcPr>
          <w:p w:rsidR="00652F81" w:rsidRPr="007B65DA" w:rsidRDefault="00652F81" w:rsidP="00652F81">
            <w:pPr>
              <w:jc w:val="center"/>
              <w:rPr>
                <w:rFonts w:ascii="Tahoma" w:hAnsi="Tahoma" w:cs="Tahoma"/>
                <w:b/>
                <w:bCs/>
              </w:rPr>
            </w:pPr>
            <w:r>
              <w:rPr>
                <w:rFonts w:ascii="Tahoma" w:hAnsi="Tahoma" w:cs="Tahoma"/>
                <w:b/>
                <w:bCs/>
              </w:rPr>
              <w:t>2010</w:t>
            </w:r>
          </w:p>
        </w:tc>
      </w:tr>
      <w:tr w:rsidR="00652F81" w:rsidRPr="00CA39FC" w:rsidTr="00652F81">
        <w:trPr>
          <w:trHeight w:val="255"/>
        </w:trPr>
        <w:tc>
          <w:tcPr>
            <w:tcW w:w="960" w:type="dxa"/>
            <w:tcBorders>
              <w:top w:val="single" w:sz="8" w:space="0" w:color="auto"/>
            </w:tcBorders>
            <w:noWrap/>
            <w:vAlign w:val="bottom"/>
          </w:tcPr>
          <w:p w:rsidR="00652F81" w:rsidRPr="00CA39FC" w:rsidRDefault="00652F81" w:rsidP="00652F81">
            <w:pPr>
              <w:rPr>
                <w:rFonts w:ascii="Tahoma" w:hAnsi="Tahoma" w:cs="Tahoma"/>
                <w:b/>
                <w:bCs/>
              </w:rPr>
            </w:pPr>
            <w:r w:rsidRPr="00CA39FC">
              <w:rPr>
                <w:rFonts w:ascii="Tahoma" w:hAnsi="Tahoma" w:cs="Tahoma"/>
                <w:b/>
                <w:bCs/>
              </w:rPr>
              <w:t>EU27</w:t>
            </w:r>
          </w:p>
        </w:tc>
        <w:tc>
          <w:tcPr>
            <w:tcW w:w="960" w:type="dxa"/>
            <w:tcBorders>
              <w:top w:val="single" w:sz="8" w:space="0" w:color="auto"/>
            </w:tcBorders>
            <w:noWrap/>
            <w:vAlign w:val="bottom"/>
          </w:tcPr>
          <w:p w:rsidR="00652F81" w:rsidRPr="007B65DA" w:rsidRDefault="00652F81" w:rsidP="00652F81">
            <w:pPr>
              <w:jc w:val="right"/>
              <w:rPr>
                <w:rFonts w:ascii="Tahoma" w:hAnsi="Tahoma" w:cs="Tahoma"/>
              </w:rPr>
            </w:pPr>
            <w:r w:rsidRPr="007B65DA">
              <w:rPr>
                <w:rFonts w:ascii="Tahoma" w:hAnsi="Tahoma" w:cs="Tahoma"/>
              </w:rPr>
              <w:t>17</w:t>
            </w:r>
            <w:r>
              <w:rPr>
                <w:rFonts w:ascii="Tahoma" w:hAnsi="Tahoma" w:cs="Tahoma"/>
              </w:rPr>
              <w:t>,0</w:t>
            </w:r>
          </w:p>
        </w:tc>
        <w:tc>
          <w:tcPr>
            <w:tcW w:w="960" w:type="dxa"/>
            <w:tcBorders>
              <w:top w:val="single" w:sz="8" w:space="0" w:color="auto"/>
            </w:tcBorders>
            <w:noWrap/>
            <w:vAlign w:val="bottom"/>
          </w:tcPr>
          <w:p w:rsidR="00652F81" w:rsidRPr="007B65DA" w:rsidRDefault="00652F81" w:rsidP="00652F81">
            <w:pPr>
              <w:jc w:val="right"/>
              <w:rPr>
                <w:rFonts w:ascii="Tahoma" w:hAnsi="Tahoma" w:cs="Tahoma"/>
              </w:rPr>
            </w:pPr>
            <w:r w:rsidRPr="007B65DA">
              <w:rPr>
                <w:rFonts w:ascii="Tahoma" w:hAnsi="Tahoma" w:cs="Tahoma"/>
              </w:rPr>
              <w:t>16,6</w:t>
            </w:r>
          </w:p>
        </w:tc>
        <w:tc>
          <w:tcPr>
            <w:tcW w:w="960" w:type="dxa"/>
            <w:tcBorders>
              <w:top w:val="single" w:sz="8" w:space="0" w:color="auto"/>
            </w:tcBorders>
            <w:noWrap/>
            <w:vAlign w:val="bottom"/>
          </w:tcPr>
          <w:p w:rsidR="00652F81" w:rsidRPr="007B65DA" w:rsidRDefault="00652F81" w:rsidP="00652F81">
            <w:pPr>
              <w:jc w:val="right"/>
              <w:rPr>
                <w:rFonts w:ascii="Tahoma" w:hAnsi="Tahoma" w:cs="Tahoma"/>
              </w:rPr>
            </w:pPr>
            <w:r w:rsidRPr="007B65DA">
              <w:rPr>
                <w:rFonts w:ascii="Tahoma" w:hAnsi="Tahoma" w:cs="Tahoma"/>
              </w:rPr>
              <w:t>16,1</w:t>
            </w:r>
          </w:p>
        </w:tc>
        <w:tc>
          <w:tcPr>
            <w:tcW w:w="960" w:type="dxa"/>
            <w:tcBorders>
              <w:top w:val="single" w:sz="8" w:space="0" w:color="auto"/>
            </w:tcBorders>
            <w:noWrap/>
            <w:vAlign w:val="bottom"/>
          </w:tcPr>
          <w:p w:rsidR="00652F81" w:rsidRPr="007B65DA" w:rsidRDefault="00652F81" w:rsidP="00652F81">
            <w:pPr>
              <w:jc w:val="right"/>
              <w:rPr>
                <w:rFonts w:ascii="Tahoma" w:hAnsi="Tahoma" w:cs="Tahoma"/>
              </w:rPr>
            </w:pPr>
            <w:r w:rsidRPr="007B65DA">
              <w:rPr>
                <w:rFonts w:ascii="Tahoma" w:hAnsi="Tahoma" w:cs="Tahoma"/>
              </w:rPr>
              <w:t>15,8</w:t>
            </w:r>
          </w:p>
        </w:tc>
        <w:tc>
          <w:tcPr>
            <w:tcW w:w="960" w:type="dxa"/>
            <w:tcBorders>
              <w:top w:val="single" w:sz="8" w:space="0" w:color="auto"/>
            </w:tcBorders>
            <w:noWrap/>
            <w:vAlign w:val="bottom"/>
          </w:tcPr>
          <w:p w:rsidR="00652F81" w:rsidRPr="007B65DA" w:rsidRDefault="00652F81" w:rsidP="00652F81">
            <w:pPr>
              <w:jc w:val="right"/>
              <w:rPr>
                <w:rFonts w:ascii="Tahoma" w:hAnsi="Tahoma" w:cs="Tahoma"/>
              </w:rPr>
            </w:pPr>
            <w:r w:rsidRPr="007B65DA">
              <w:rPr>
                <w:rFonts w:ascii="Tahoma" w:hAnsi="Tahoma" w:cs="Tahoma"/>
              </w:rPr>
              <w:t>15,5</w:t>
            </w:r>
          </w:p>
        </w:tc>
        <w:tc>
          <w:tcPr>
            <w:tcW w:w="960" w:type="dxa"/>
            <w:tcBorders>
              <w:top w:val="single" w:sz="8" w:space="0" w:color="auto"/>
            </w:tcBorders>
            <w:noWrap/>
            <w:vAlign w:val="bottom"/>
          </w:tcPr>
          <w:p w:rsidR="00652F81" w:rsidRPr="007B65DA" w:rsidRDefault="00652F81" w:rsidP="00652F81">
            <w:pPr>
              <w:jc w:val="right"/>
              <w:rPr>
                <w:rFonts w:ascii="Tahoma" w:hAnsi="Tahoma" w:cs="Tahoma"/>
              </w:rPr>
            </w:pPr>
            <w:r w:rsidRPr="007B65DA">
              <w:rPr>
                <w:rFonts w:ascii="Tahoma" w:hAnsi="Tahoma" w:cs="Tahoma"/>
              </w:rPr>
              <w:t>15,1</w:t>
            </w:r>
          </w:p>
        </w:tc>
        <w:tc>
          <w:tcPr>
            <w:tcW w:w="960" w:type="dxa"/>
            <w:tcBorders>
              <w:top w:val="single" w:sz="8" w:space="0" w:color="auto"/>
            </w:tcBorders>
            <w:noWrap/>
            <w:vAlign w:val="bottom"/>
          </w:tcPr>
          <w:p w:rsidR="00652F81" w:rsidRPr="007B65DA" w:rsidRDefault="00652F81" w:rsidP="00652F81">
            <w:pPr>
              <w:jc w:val="right"/>
              <w:rPr>
                <w:rFonts w:ascii="Tahoma" w:hAnsi="Tahoma" w:cs="Tahoma"/>
              </w:rPr>
            </w:pPr>
            <w:r w:rsidRPr="007B65DA">
              <w:rPr>
                <w:rFonts w:ascii="Tahoma" w:hAnsi="Tahoma" w:cs="Tahoma"/>
              </w:rPr>
              <w:t>14,9</w:t>
            </w:r>
          </w:p>
        </w:tc>
        <w:tc>
          <w:tcPr>
            <w:tcW w:w="960" w:type="dxa"/>
            <w:tcBorders>
              <w:top w:val="single" w:sz="8" w:space="0" w:color="auto"/>
            </w:tcBorders>
            <w:noWrap/>
            <w:vAlign w:val="bottom"/>
          </w:tcPr>
          <w:p w:rsidR="00652F81" w:rsidRPr="007B65DA" w:rsidRDefault="00652F81" w:rsidP="00652F81">
            <w:pPr>
              <w:jc w:val="right"/>
              <w:rPr>
                <w:rFonts w:ascii="Tahoma" w:hAnsi="Tahoma" w:cs="Tahoma"/>
              </w:rPr>
            </w:pPr>
            <w:r w:rsidRPr="007B65DA">
              <w:rPr>
                <w:rFonts w:ascii="Tahoma" w:hAnsi="Tahoma" w:cs="Tahoma"/>
              </w:rPr>
              <w:t>14,4</w:t>
            </w:r>
          </w:p>
        </w:tc>
        <w:tc>
          <w:tcPr>
            <w:tcW w:w="960" w:type="dxa"/>
            <w:tcBorders>
              <w:top w:val="single" w:sz="8" w:space="0" w:color="auto"/>
            </w:tcBorders>
            <w:noWrap/>
            <w:vAlign w:val="bottom"/>
          </w:tcPr>
          <w:p w:rsidR="00652F81" w:rsidRPr="007B65DA" w:rsidRDefault="00652F81" w:rsidP="00652F81">
            <w:pPr>
              <w:jc w:val="right"/>
              <w:rPr>
                <w:rFonts w:ascii="Tahoma" w:hAnsi="Tahoma" w:cs="Tahoma"/>
              </w:rPr>
            </w:pPr>
            <w:r w:rsidRPr="007B65DA">
              <w:rPr>
                <w:rFonts w:ascii="Tahoma" w:hAnsi="Tahoma" w:cs="Tahoma"/>
              </w:rPr>
              <w:t>14,1</w:t>
            </w:r>
          </w:p>
        </w:tc>
      </w:tr>
      <w:tr w:rsidR="00652F81" w:rsidRPr="00CA39FC"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EU25</w:t>
            </w:r>
          </w:p>
        </w:tc>
        <w:tc>
          <w:tcPr>
            <w:tcW w:w="960" w:type="dxa"/>
            <w:noWrap/>
            <w:vAlign w:val="bottom"/>
          </w:tcPr>
          <w:p w:rsidR="00652F81" w:rsidRPr="007B65DA" w:rsidRDefault="00652F81" w:rsidP="00652F81">
            <w:pPr>
              <w:jc w:val="right"/>
              <w:rPr>
                <w:rFonts w:ascii="Tahoma" w:hAnsi="Tahoma" w:cs="Tahoma"/>
              </w:rPr>
            </w:pPr>
            <w:r w:rsidRPr="007B65DA">
              <w:rPr>
                <w:rFonts w:ascii="Tahoma" w:hAnsi="Tahoma" w:cs="Tahoma"/>
              </w:rPr>
              <w:t>16,6</w:t>
            </w:r>
          </w:p>
        </w:tc>
        <w:tc>
          <w:tcPr>
            <w:tcW w:w="960" w:type="dxa"/>
            <w:noWrap/>
            <w:vAlign w:val="bottom"/>
          </w:tcPr>
          <w:p w:rsidR="00652F81" w:rsidRPr="007B65DA" w:rsidRDefault="00652F81" w:rsidP="00652F81">
            <w:pPr>
              <w:jc w:val="right"/>
              <w:rPr>
                <w:rFonts w:ascii="Tahoma" w:hAnsi="Tahoma" w:cs="Tahoma"/>
              </w:rPr>
            </w:pPr>
            <w:r w:rsidRPr="007B65DA">
              <w:rPr>
                <w:rFonts w:ascii="Tahoma" w:hAnsi="Tahoma" w:cs="Tahoma"/>
              </w:rPr>
              <w:t>16,1</w:t>
            </w:r>
          </w:p>
        </w:tc>
        <w:tc>
          <w:tcPr>
            <w:tcW w:w="960" w:type="dxa"/>
            <w:noWrap/>
            <w:vAlign w:val="bottom"/>
          </w:tcPr>
          <w:p w:rsidR="00652F81" w:rsidRPr="007B65DA" w:rsidRDefault="00652F81" w:rsidP="00652F81">
            <w:pPr>
              <w:jc w:val="right"/>
              <w:rPr>
                <w:rFonts w:ascii="Tahoma" w:hAnsi="Tahoma" w:cs="Tahoma"/>
              </w:rPr>
            </w:pPr>
            <w:r w:rsidRPr="007B65DA">
              <w:rPr>
                <w:rFonts w:ascii="Tahoma" w:hAnsi="Tahoma" w:cs="Tahoma"/>
              </w:rPr>
              <w:t>15,7</w:t>
            </w:r>
          </w:p>
        </w:tc>
        <w:tc>
          <w:tcPr>
            <w:tcW w:w="960" w:type="dxa"/>
            <w:noWrap/>
            <w:vAlign w:val="bottom"/>
          </w:tcPr>
          <w:p w:rsidR="00652F81" w:rsidRPr="007B65DA" w:rsidRDefault="00652F81" w:rsidP="00652F81">
            <w:pPr>
              <w:jc w:val="right"/>
              <w:rPr>
                <w:rFonts w:ascii="Tahoma" w:hAnsi="Tahoma" w:cs="Tahoma"/>
              </w:rPr>
            </w:pPr>
            <w:r w:rsidRPr="007B65DA">
              <w:rPr>
                <w:rFonts w:ascii="Tahoma" w:hAnsi="Tahoma" w:cs="Tahoma"/>
              </w:rPr>
              <w:t>15,5</w:t>
            </w:r>
          </w:p>
        </w:tc>
        <w:tc>
          <w:tcPr>
            <w:tcW w:w="960" w:type="dxa"/>
            <w:noWrap/>
            <w:vAlign w:val="bottom"/>
          </w:tcPr>
          <w:p w:rsidR="00652F81" w:rsidRPr="007B65DA" w:rsidRDefault="00652F81" w:rsidP="00652F81">
            <w:pPr>
              <w:jc w:val="right"/>
              <w:rPr>
                <w:rFonts w:ascii="Tahoma" w:hAnsi="Tahoma" w:cs="Tahoma"/>
              </w:rPr>
            </w:pPr>
            <w:r w:rsidRPr="007B65DA">
              <w:rPr>
                <w:rFonts w:ascii="Tahoma" w:hAnsi="Tahoma" w:cs="Tahoma"/>
              </w:rPr>
              <w:t>15,4</w:t>
            </w:r>
          </w:p>
        </w:tc>
        <w:tc>
          <w:tcPr>
            <w:tcW w:w="960" w:type="dxa"/>
            <w:noWrap/>
            <w:vAlign w:val="bottom"/>
          </w:tcPr>
          <w:p w:rsidR="00652F81" w:rsidRPr="007B65DA" w:rsidRDefault="00652F81" w:rsidP="00652F81">
            <w:pPr>
              <w:jc w:val="right"/>
              <w:rPr>
                <w:rFonts w:ascii="Tahoma" w:hAnsi="Tahoma" w:cs="Tahoma"/>
              </w:rPr>
            </w:pPr>
            <w:r w:rsidRPr="007B65DA">
              <w:rPr>
                <w:rFonts w:ascii="Tahoma" w:hAnsi="Tahoma" w:cs="Tahoma"/>
              </w:rPr>
              <w:t>15</w:t>
            </w:r>
            <w:r>
              <w:rPr>
                <w:rFonts w:ascii="Tahoma" w:hAnsi="Tahoma" w:cs="Tahoma"/>
              </w:rPr>
              <w:t>,0</w:t>
            </w:r>
          </w:p>
        </w:tc>
        <w:tc>
          <w:tcPr>
            <w:tcW w:w="960" w:type="dxa"/>
            <w:noWrap/>
            <w:vAlign w:val="bottom"/>
          </w:tcPr>
          <w:p w:rsidR="00652F81" w:rsidRPr="007B65DA" w:rsidRDefault="00652F81" w:rsidP="00652F81">
            <w:pPr>
              <w:jc w:val="right"/>
              <w:rPr>
                <w:rFonts w:ascii="Tahoma" w:hAnsi="Tahoma" w:cs="Tahoma"/>
              </w:rPr>
            </w:pPr>
            <w:r w:rsidRPr="007B65DA">
              <w:rPr>
                <w:rFonts w:ascii="Tahoma" w:hAnsi="Tahoma" w:cs="Tahoma"/>
              </w:rPr>
              <w:t>14,9</w:t>
            </w:r>
          </w:p>
        </w:tc>
        <w:tc>
          <w:tcPr>
            <w:tcW w:w="960" w:type="dxa"/>
            <w:noWrap/>
            <w:vAlign w:val="bottom"/>
          </w:tcPr>
          <w:p w:rsidR="00652F81" w:rsidRPr="007B65DA" w:rsidRDefault="00652F81" w:rsidP="00652F81">
            <w:pPr>
              <w:jc w:val="right"/>
              <w:rPr>
                <w:rFonts w:ascii="Tahoma" w:hAnsi="Tahoma" w:cs="Tahoma"/>
              </w:rPr>
            </w:pPr>
            <w:r w:rsidRPr="007B65DA">
              <w:rPr>
                <w:rFonts w:ascii="Tahoma" w:hAnsi="Tahoma" w:cs="Tahoma"/>
              </w:rPr>
              <w:t>14,3</w:t>
            </w:r>
          </w:p>
        </w:tc>
        <w:tc>
          <w:tcPr>
            <w:tcW w:w="960" w:type="dxa"/>
            <w:noWrap/>
            <w:vAlign w:val="bottom"/>
          </w:tcPr>
          <w:p w:rsidR="00652F81" w:rsidRPr="007B65DA" w:rsidRDefault="00652F81" w:rsidP="00652F81">
            <w:pPr>
              <w:jc w:val="right"/>
              <w:rPr>
                <w:rFonts w:ascii="Tahoma" w:hAnsi="Tahoma" w:cs="Tahoma"/>
              </w:rPr>
            </w:pPr>
            <w:r w:rsidRPr="007B65DA">
              <w:rPr>
                <w:rFonts w:ascii="Tahoma" w:hAnsi="Tahoma" w:cs="Tahoma"/>
              </w:rPr>
              <w:t>13,9</w:t>
            </w:r>
          </w:p>
        </w:tc>
      </w:tr>
      <w:tr w:rsidR="00652F81" w:rsidRPr="00CA39FC"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EU15</w:t>
            </w:r>
          </w:p>
        </w:tc>
        <w:tc>
          <w:tcPr>
            <w:tcW w:w="960" w:type="dxa"/>
            <w:noWrap/>
            <w:vAlign w:val="bottom"/>
          </w:tcPr>
          <w:p w:rsidR="00652F81" w:rsidRPr="007B65DA" w:rsidRDefault="00652F81" w:rsidP="00652F81">
            <w:pPr>
              <w:jc w:val="right"/>
              <w:rPr>
                <w:rFonts w:ascii="Tahoma" w:hAnsi="Tahoma" w:cs="Tahoma"/>
              </w:rPr>
            </w:pPr>
            <w:r w:rsidRPr="007B65DA">
              <w:rPr>
                <w:rFonts w:ascii="Tahoma" w:hAnsi="Tahoma" w:cs="Tahoma"/>
              </w:rPr>
              <w:t>18,6</w:t>
            </w:r>
          </w:p>
        </w:tc>
        <w:tc>
          <w:tcPr>
            <w:tcW w:w="960" w:type="dxa"/>
            <w:noWrap/>
            <w:vAlign w:val="bottom"/>
          </w:tcPr>
          <w:p w:rsidR="00652F81" w:rsidRPr="007B65DA" w:rsidRDefault="00652F81" w:rsidP="00652F81">
            <w:pPr>
              <w:jc w:val="right"/>
              <w:rPr>
                <w:rFonts w:ascii="Tahoma" w:hAnsi="Tahoma" w:cs="Tahoma"/>
              </w:rPr>
            </w:pPr>
            <w:r w:rsidRPr="007B65DA">
              <w:rPr>
                <w:rFonts w:ascii="Tahoma" w:hAnsi="Tahoma" w:cs="Tahoma"/>
              </w:rPr>
              <w:t>18,2</w:t>
            </w:r>
          </w:p>
        </w:tc>
        <w:tc>
          <w:tcPr>
            <w:tcW w:w="960" w:type="dxa"/>
            <w:noWrap/>
            <w:vAlign w:val="bottom"/>
          </w:tcPr>
          <w:p w:rsidR="00652F81" w:rsidRPr="007B65DA" w:rsidRDefault="00652F81" w:rsidP="00652F81">
            <w:pPr>
              <w:jc w:val="right"/>
              <w:rPr>
                <w:rFonts w:ascii="Tahoma" w:hAnsi="Tahoma" w:cs="Tahoma"/>
              </w:rPr>
            </w:pPr>
            <w:r w:rsidRPr="007B65DA">
              <w:rPr>
                <w:rFonts w:ascii="Tahoma" w:hAnsi="Tahoma" w:cs="Tahoma"/>
              </w:rPr>
              <w:t>17,7</w:t>
            </w:r>
          </w:p>
        </w:tc>
        <w:tc>
          <w:tcPr>
            <w:tcW w:w="960" w:type="dxa"/>
            <w:noWrap/>
            <w:vAlign w:val="bottom"/>
          </w:tcPr>
          <w:p w:rsidR="00652F81" w:rsidRPr="007B65DA" w:rsidRDefault="00652F81" w:rsidP="00652F81">
            <w:pPr>
              <w:jc w:val="right"/>
              <w:rPr>
                <w:rFonts w:ascii="Tahoma" w:hAnsi="Tahoma" w:cs="Tahoma"/>
              </w:rPr>
            </w:pPr>
            <w:r w:rsidRPr="007B65DA">
              <w:rPr>
                <w:rFonts w:ascii="Tahoma" w:hAnsi="Tahoma" w:cs="Tahoma"/>
              </w:rPr>
              <w:t>17,5</w:t>
            </w:r>
          </w:p>
        </w:tc>
        <w:tc>
          <w:tcPr>
            <w:tcW w:w="960" w:type="dxa"/>
            <w:noWrap/>
            <w:vAlign w:val="bottom"/>
          </w:tcPr>
          <w:p w:rsidR="00652F81" w:rsidRPr="007B65DA" w:rsidRDefault="00652F81" w:rsidP="00652F81">
            <w:pPr>
              <w:jc w:val="right"/>
              <w:rPr>
                <w:rFonts w:ascii="Tahoma" w:hAnsi="Tahoma" w:cs="Tahoma"/>
              </w:rPr>
            </w:pPr>
            <w:r w:rsidRPr="007B65DA">
              <w:rPr>
                <w:rFonts w:ascii="Tahoma" w:hAnsi="Tahoma" w:cs="Tahoma"/>
              </w:rPr>
              <w:t>17,3</w:t>
            </w:r>
          </w:p>
        </w:tc>
        <w:tc>
          <w:tcPr>
            <w:tcW w:w="960" w:type="dxa"/>
            <w:noWrap/>
            <w:vAlign w:val="bottom"/>
          </w:tcPr>
          <w:p w:rsidR="00652F81" w:rsidRPr="007B65DA" w:rsidRDefault="00652F81" w:rsidP="00652F81">
            <w:pPr>
              <w:jc w:val="right"/>
              <w:rPr>
                <w:rFonts w:ascii="Tahoma" w:hAnsi="Tahoma" w:cs="Tahoma"/>
              </w:rPr>
            </w:pPr>
            <w:r w:rsidRPr="007B65DA">
              <w:rPr>
                <w:rFonts w:ascii="Tahoma" w:hAnsi="Tahoma" w:cs="Tahoma"/>
              </w:rPr>
              <w:t>16,9</w:t>
            </w:r>
          </w:p>
        </w:tc>
        <w:tc>
          <w:tcPr>
            <w:tcW w:w="960" w:type="dxa"/>
            <w:noWrap/>
            <w:vAlign w:val="bottom"/>
          </w:tcPr>
          <w:p w:rsidR="00652F81" w:rsidRPr="007B65DA" w:rsidRDefault="00652F81" w:rsidP="00652F81">
            <w:pPr>
              <w:jc w:val="right"/>
              <w:rPr>
                <w:rFonts w:ascii="Tahoma" w:hAnsi="Tahoma" w:cs="Tahoma"/>
              </w:rPr>
            </w:pPr>
            <w:r w:rsidRPr="007B65DA">
              <w:rPr>
                <w:rFonts w:ascii="Tahoma" w:hAnsi="Tahoma" w:cs="Tahoma"/>
              </w:rPr>
              <w:t>16,7</w:t>
            </w:r>
          </w:p>
        </w:tc>
        <w:tc>
          <w:tcPr>
            <w:tcW w:w="960" w:type="dxa"/>
            <w:noWrap/>
            <w:vAlign w:val="bottom"/>
          </w:tcPr>
          <w:p w:rsidR="00652F81" w:rsidRPr="007B65DA" w:rsidRDefault="00652F81" w:rsidP="00652F81">
            <w:pPr>
              <w:jc w:val="right"/>
              <w:rPr>
                <w:rFonts w:ascii="Tahoma" w:hAnsi="Tahoma" w:cs="Tahoma"/>
              </w:rPr>
            </w:pPr>
            <w:r w:rsidRPr="007B65DA">
              <w:rPr>
                <w:rFonts w:ascii="Tahoma" w:hAnsi="Tahoma" w:cs="Tahoma"/>
              </w:rPr>
              <w:t>15,9</w:t>
            </w:r>
          </w:p>
        </w:tc>
        <w:tc>
          <w:tcPr>
            <w:tcW w:w="960" w:type="dxa"/>
            <w:noWrap/>
            <w:vAlign w:val="bottom"/>
          </w:tcPr>
          <w:p w:rsidR="00652F81" w:rsidRPr="007B65DA" w:rsidRDefault="00652F81" w:rsidP="00652F81">
            <w:pPr>
              <w:jc w:val="right"/>
              <w:rPr>
                <w:rFonts w:ascii="Tahoma" w:hAnsi="Tahoma" w:cs="Tahoma"/>
              </w:rPr>
            </w:pPr>
            <w:r w:rsidRPr="007B65DA">
              <w:rPr>
                <w:rFonts w:ascii="Tahoma" w:hAnsi="Tahoma" w:cs="Tahoma"/>
              </w:rPr>
              <w:t>15,5</w:t>
            </w:r>
          </w:p>
        </w:tc>
      </w:tr>
      <w:tr w:rsidR="00652F81" w:rsidRPr="00CA39FC" w:rsidTr="00652F81">
        <w:trPr>
          <w:trHeight w:val="255"/>
        </w:trPr>
        <w:tc>
          <w:tcPr>
            <w:tcW w:w="960" w:type="dxa"/>
            <w:noWrap/>
            <w:vAlign w:val="bottom"/>
          </w:tcPr>
          <w:p w:rsidR="00652F81" w:rsidRPr="00F5135D" w:rsidRDefault="00652F81" w:rsidP="00652F81">
            <w:pPr>
              <w:rPr>
                <w:rFonts w:ascii="Tahoma" w:hAnsi="Tahoma" w:cs="Tahoma"/>
                <w:b/>
                <w:bCs/>
              </w:rPr>
            </w:pPr>
            <w:r>
              <w:rPr>
                <w:rFonts w:ascii="Tahoma" w:hAnsi="Tahoma" w:cs="Tahoma"/>
                <w:b/>
                <w:bCs/>
              </w:rPr>
              <w:t>EA17</w:t>
            </w:r>
          </w:p>
        </w:tc>
        <w:tc>
          <w:tcPr>
            <w:tcW w:w="960" w:type="dxa"/>
            <w:noWrap/>
            <w:vAlign w:val="bottom"/>
          </w:tcPr>
          <w:p w:rsidR="00652F81" w:rsidRPr="007B65DA" w:rsidRDefault="00652F81" w:rsidP="00652F81">
            <w:pPr>
              <w:jc w:val="right"/>
              <w:rPr>
                <w:rFonts w:ascii="Tahoma" w:hAnsi="Tahoma" w:cs="Tahoma"/>
              </w:rPr>
            </w:pPr>
            <w:r w:rsidRPr="007B65DA">
              <w:rPr>
                <w:rFonts w:ascii="Tahoma" w:hAnsi="Tahoma" w:cs="Tahoma"/>
              </w:rPr>
              <w:t>18,9</w:t>
            </w:r>
          </w:p>
        </w:tc>
        <w:tc>
          <w:tcPr>
            <w:tcW w:w="960" w:type="dxa"/>
            <w:noWrap/>
            <w:vAlign w:val="bottom"/>
          </w:tcPr>
          <w:p w:rsidR="00652F81" w:rsidRPr="007B65DA" w:rsidRDefault="00652F81" w:rsidP="00652F81">
            <w:pPr>
              <w:jc w:val="right"/>
              <w:rPr>
                <w:rFonts w:ascii="Tahoma" w:hAnsi="Tahoma" w:cs="Tahoma"/>
              </w:rPr>
            </w:pPr>
            <w:r w:rsidRPr="007B65DA">
              <w:rPr>
                <w:rFonts w:ascii="Tahoma" w:hAnsi="Tahoma" w:cs="Tahoma"/>
              </w:rPr>
              <w:t>18,5</w:t>
            </w:r>
          </w:p>
        </w:tc>
        <w:tc>
          <w:tcPr>
            <w:tcW w:w="960" w:type="dxa"/>
            <w:noWrap/>
            <w:vAlign w:val="bottom"/>
          </w:tcPr>
          <w:p w:rsidR="00652F81" w:rsidRPr="007B65DA" w:rsidRDefault="00652F81" w:rsidP="00652F81">
            <w:pPr>
              <w:jc w:val="right"/>
              <w:rPr>
                <w:rFonts w:ascii="Tahoma" w:hAnsi="Tahoma" w:cs="Tahoma"/>
              </w:rPr>
            </w:pPr>
            <w:r w:rsidRPr="007B65DA">
              <w:rPr>
                <w:rFonts w:ascii="Tahoma" w:hAnsi="Tahoma" w:cs="Tahoma"/>
              </w:rPr>
              <w:t>17,9</w:t>
            </w:r>
          </w:p>
        </w:tc>
        <w:tc>
          <w:tcPr>
            <w:tcW w:w="960" w:type="dxa"/>
            <w:noWrap/>
            <w:vAlign w:val="bottom"/>
          </w:tcPr>
          <w:p w:rsidR="00652F81" w:rsidRPr="007B65DA" w:rsidRDefault="00652F81" w:rsidP="00652F81">
            <w:pPr>
              <w:jc w:val="right"/>
              <w:rPr>
                <w:rFonts w:ascii="Tahoma" w:hAnsi="Tahoma" w:cs="Tahoma"/>
              </w:rPr>
            </w:pPr>
            <w:r w:rsidRPr="007B65DA">
              <w:rPr>
                <w:rFonts w:ascii="Tahoma" w:hAnsi="Tahoma" w:cs="Tahoma"/>
              </w:rPr>
              <w:t>17,6</w:t>
            </w:r>
          </w:p>
        </w:tc>
        <w:tc>
          <w:tcPr>
            <w:tcW w:w="960" w:type="dxa"/>
            <w:noWrap/>
            <w:vAlign w:val="bottom"/>
          </w:tcPr>
          <w:p w:rsidR="00652F81" w:rsidRPr="007B65DA" w:rsidRDefault="00652F81" w:rsidP="00652F81">
            <w:pPr>
              <w:jc w:val="right"/>
              <w:rPr>
                <w:rFonts w:ascii="Tahoma" w:hAnsi="Tahoma" w:cs="Tahoma"/>
              </w:rPr>
            </w:pPr>
            <w:r w:rsidRPr="007B65DA">
              <w:rPr>
                <w:rFonts w:ascii="Tahoma" w:hAnsi="Tahoma" w:cs="Tahoma"/>
              </w:rPr>
              <w:t>17,4</w:t>
            </w:r>
          </w:p>
        </w:tc>
        <w:tc>
          <w:tcPr>
            <w:tcW w:w="960" w:type="dxa"/>
            <w:noWrap/>
            <w:vAlign w:val="bottom"/>
          </w:tcPr>
          <w:p w:rsidR="00652F81" w:rsidRPr="007B65DA" w:rsidRDefault="00652F81" w:rsidP="00652F81">
            <w:pPr>
              <w:jc w:val="right"/>
              <w:rPr>
                <w:rFonts w:ascii="Tahoma" w:hAnsi="Tahoma" w:cs="Tahoma"/>
              </w:rPr>
            </w:pPr>
            <w:r w:rsidRPr="007B65DA">
              <w:rPr>
                <w:rFonts w:ascii="Tahoma" w:hAnsi="Tahoma" w:cs="Tahoma"/>
              </w:rPr>
              <w:t>16,8</w:t>
            </w:r>
          </w:p>
        </w:tc>
        <w:tc>
          <w:tcPr>
            <w:tcW w:w="960" w:type="dxa"/>
            <w:noWrap/>
            <w:vAlign w:val="bottom"/>
          </w:tcPr>
          <w:p w:rsidR="00652F81" w:rsidRPr="007B65DA" w:rsidRDefault="00652F81" w:rsidP="00652F81">
            <w:pPr>
              <w:jc w:val="right"/>
              <w:rPr>
                <w:rFonts w:ascii="Tahoma" w:hAnsi="Tahoma" w:cs="Tahoma"/>
              </w:rPr>
            </w:pPr>
            <w:r w:rsidRPr="007B65DA">
              <w:rPr>
                <w:rFonts w:ascii="Tahoma" w:hAnsi="Tahoma" w:cs="Tahoma"/>
              </w:rPr>
              <w:t>16,6</w:t>
            </w:r>
          </w:p>
        </w:tc>
        <w:tc>
          <w:tcPr>
            <w:tcW w:w="960" w:type="dxa"/>
            <w:noWrap/>
            <w:vAlign w:val="bottom"/>
          </w:tcPr>
          <w:p w:rsidR="00652F81" w:rsidRPr="007B65DA" w:rsidRDefault="00652F81" w:rsidP="00652F81">
            <w:pPr>
              <w:jc w:val="right"/>
              <w:rPr>
                <w:rFonts w:ascii="Tahoma" w:hAnsi="Tahoma" w:cs="Tahoma"/>
              </w:rPr>
            </w:pPr>
            <w:r w:rsidRPr="007B65DA">
              <w:rPr>
                <w:rFonts w:ascii="Tahoma" w:hAnsi="Tahoma" w:cs="Tahoma"/>
              </w:rPr>
              <w:t>15,9</w:t>
            </w:r>
          </w:p>
        </w:tc>
        <w:tc>
          <w:tcPr>
            <w:tcW w:w="960" w:type="dxa"/>
            <w:noWrap/>
            <w:vAlign w:val="bottom"/>
          </w:tcPr>
          <w:p w:rsidR="00652F81" w:rsidRPr="007B65DA" w:rsidRDefault="00652F81" w:rsidP="00652F81">
            <w:pPr>
              <w:jc w:val="right"/>
              <w:rPr>
                <w:rFonts w:ascii="Tahoma" w:hAnsi="Tahoma" w:cs="Tahoma"/>
              </w:rPr>
            </w:pPr>
            <w:r w:rsidRPr="007B65DA">
              <w:rPr>
                <w:rFonts w:ascii="Tahoma" w:hAnsi="Tahoma" w:cs="Tahoma"/>
              </w:rPr>
              <w:t>15,6</w:t>
            </w:r>
          </w:p>
        </w:tc>
      </w:tr>
      <w:tr w:rsidR="00652F81" w:rsidRPr="00CA39FC" w:rsidTr="00652F81">
        <w:trPr>
          <w:trHeight w:val="255"/>
        </w:trPr>
        <w:tc>
          <w:tcPr>
            <w:tcW w:w="960" w:type="dxa"/>
            <w:tcBorders>
              <w:bottom w:val="single" w:sz="12" w:space="0" w:color="auto"/>
            </w:tcBorders>
            <w:noWrap/>
            <w:vAlign w:val="bottom"/>
          </w:tcPr>
          <w:p w:rsidR="00652F81" w:rsidRPr="00CA39FC" w:rsidRDefault="00652F81" w:rsidP="00652F81">
            <w:pPr>
              <w:rPr>
                <w:rFonts w:ascii="Tahoma" w:hAnsi="Tahoma" w:cs="Tahoma"/>
                <w:b/>
                <w:bCs/>
              </w:rPr>
            </w:pPr>
            <w:r w:rsidRPr="00CA39FC">
              <w:rPr>
                <w:rFonts w:ascii="Tahoma" w:hAnsi="Tahoma" w:cs="Tahoma"/>
                <w:b/>
                <w:bCs/>
              </w:rPr>
              <w:t>EL</w:t>
            </w:r>
          </w:p>
        </w:tc>
        <w:tc>
          <w:tcPr>
            <w:tcW w:w="960" w:type="dxa"/>
            <w:tcBorders>
              <w:bottom w:val="single" w:sz="12" w:space="0" w:color="auto"/>
            </w:tcBorders>
            <w:noWrap/>
            <w:vAlign w:val="bottom"/>
          </w:tcPr>
          <w:p w:rsidR="00652F81" w:rsidRPr="007B65DA" w:rsidRDefault="00652F81" w:rsidP="00652F81">
            <w:pPr>
              <w:jc w:val="right"/>
              <w:rPr>
                <w:rFonts w:ascii="Tahoma" w:hAnsi="Tahoma" w:cs="Tahoma"/>
              </w:rPr>
            </w:pPr>
            <w:r w:rsidRPr="007B65DA">
              <w:rPr>
                <w:rFonts w:ascii="Tahoma" w:hAnsi="Tahoma" w:cs="Tahoma"/>
              </w:rPr>
              <w:t>16,5</w:t>
            </w:r>
          </w:p>
        </w:tc>
        <w:tc>
          <w:tcPr>
            <w:tcW w:w="960" w:type="dxa"/>
            <w:tcBorders>
              <w:bottom w:val="single" w:sz="12" w:space="0" w:color="auto"/>
            </w:tcBorders>
            <w:noWrap/>
            <w:vAlign w:val="bottom"/>
          </w:tcPr>
          <w:p w:rsidR="00652F81" w:rsidRPr="007B65DA" w:rsidRDefault="00652F81" w:rsidP="00652F81">
            <w:pPr>
              <w:jc w:val="right"/>
              <w:rPr>
                <w:rFonts w:ascii="Tahoma" w:hAnsi="Tahoma" w:cs="Tahoma"/>
              </w:rPr>
            </w:pPr>
            <w:r w:rsidRPr="007B65DA">
              <w:rPr>
                <w:rFonts w:ascii="Tahoma" w:hAnsi="Tahoma" w:cs="Tahoma"/>
              </w:rPr>
              <w:t>16</w:t>
            </w:r>
            <w:r>
              <w:rPr>
                <w:rFonts w:ascii="Tahoma" w:hAnsi="Tahoma" w:cs="Tahoma"/>
              </w:rPr>
              <w:t>,0</w:t>
            </w:r>
          </w:p>
        </w:tc>
        <w:tc>
          <w:tcPr>
            <w:tcW w:w="960" w:type="dxa"/>
            <w:tcBorders>
              <w:bottom w:val="single" w:sz="12" w:space="0" w:color="auto"/>
            </w:tcBorders>
            <w:noWrap/>
            <w:vAlign w:val="bottom"/>
          </w:tcPr>
          <w:p w:rsidR="00652F81" w:rsidRPr="007B65DA" w:rsidRDefault="00652F81" w:rsidP="00652F81">
            <w:pPr>
              <w:jc w:val="right"/>
              <w:rPr>
                <w:rFonts w:ascii="Tahoma" w:hAnsi="Tahoma" w:cs="Tahoma"/>
              </w:rPr>
            </w:pPr>
            <w:r w:rsidRPr="007B65DA">
              <w:rPr>
                <w:rFonts w:ascii="Tahoma" w:hAnsi="Tahoma" w:cs="Tahoma"/>
              </w:rPr>
              <w:t>14,7</w:t>
            </w:r>
          </w:p>
        </w:tc>
        <w:tc>
          <w:tcPr>
            <w:tcW w:w="960" w:type="dxa"/>
            <w:tcBorders>
              <w:bottom w:val="single" w:sz="12" w:space="0" w:color="auto"/>
            </w:tcBorders>
            <w:noWrap/>
            <w:vAlign w:val="bottom"/>
          </w:tcPr>
          <w:p w:rsidR="00652F81" w:rsidRPr="007B65DA" w:rsidRDefault="00652F81" w:rsidP="00652F81">
            <w:pPr>
              <w:jc w:val="right"/>
              <w:rPr>
                <w:rFonts w:ascii="Tahoma" w:hAnsi="Tahoma" w:cs="Tahoma"/>
              </w:rPr>
            </w:pPr>
            <w:r w:rsidRPr="007B65DA">
              <w:rPr>
                <w:rFonts w:ascii="Tahoma" w:hAnsi="Tahoma" w:cs="Tahoma"/>
              </w:rPr>
              <w:t>13,6</w:t>
            </w:r>
          </w:p>
        </w:tc>
        <w:tc>
          <w:tcPr>
            <w:tcW w:w="960" w:type="dxa"/>
            <w:tcBorders>
              <w:bottom w:val="single" w:sz="12" w:space="0" w:color="auto"/>
            </w:tcBorders>
            <w:noWrap/>
            <w:vAlign w:val="bottom"/>
          </w:tcPr>
          <w:p w:rsidR="00652F81" w:rsidRPr="007B65DA" w:rsidRDefault="00652F81" w:rsidP="00652F81">
            <w:pPr>
              <w:jc w:val="right"/>
              <w:rPr>
                <w:rFonts w:ascii="Tahoma" w:hAnsi="Tahoma" w:cs="Tahoma"/>
              </w:rPr>
            </w:pPr>
            <w:r w:rsidRPr="007B65DA">
              <w:rPr>
                <w:rFonts w:ascii="Tahoma" w:hAnsi="Tahoma" w:cs="Tahoma"/>
              </w:rPr>
              <w:t>15,5</w:t>
            </w:r>
          </w:p>
        </w:tc>
        <w:tc>
          <w:tcPr>
            <w:tcW w:w="960" w:type="dxa"/>
            <w:tcBorders>
              <w:bottom w:val="single" w:sz="12" w:space="0" w:color="auto"/>
            </w:tcBorders>
            <w:noWrap/>
            <w:vAlign w:val="bottom"/>
          </w:tcPr>
          <w:p w:rsidR="00652F81" w:rsidRPr="007B65DA" w:rsidRDefault="00652F81" w:rsidP="00652F81">
            <w:pPr>
              <w:jc w:val="right"/>
              <w:rPr>
                <w:rFonts w:ascii="Tahoma" w:hAnsi="Tahoma" w:cs="Tahoma"/>
              </w:rPr>
            </w:pPr>
            <w:r w:rsidRPr="007B65DA">
              <w:rPr>
                <w:rFonts w:ascii="Tahoma" w:hAnsi="Tahoma" w:cs="Tahoma"/>
              </w:rPr>
              <w:t>14,6</w:t>
            </w:r>
          </w:p>
        </w:tc>
        <w:tc>
          <w:tcPr>
            <w:tcW w:w="960" w:type="dxa"/>
            <w:tcBorders>
              <w:bottom w:val="single" w:sz="12" w:space="0" w:color="auto"/>
            </w:tcBorders>
            <w:noWrap/>
            <w:vAlign w:val="bottom"/>
          </w:tcPr>
          <w:p w:rsidR="00652F81" w:rsidRPr="007B65DA" w:rsidRDefault="00652F81" w:rsidP="00652F81">
            <w:pPr>
              <w:jc w:val="right"/>
              <w:rPr>
                <w:rFonts w:ascii="Tahoma" w:hAnsi="Tahoma" w:cs="Tahoma"/>
              </w:rPr>
            </w:pPr>
            <w:r w:rsidRPr="007B65DA">
              <w:rPr>
                <w:rFonts w:ascii="Tahoma" w:hAnsi="Tahoma" w:cs="Tahoma"/>
              </w:rPr>
              <w:t>14,8</w:t>
            </w:r>
          </w:p>
        </w:tc>
        <w:tc>
          <w:tcPr>
            <w:tcW w:w="960" w:type="dxa"/>
            <w:tcBorders>
              <w:bottom w:val="single" w:sz="12" w:space="0" w:color="auto"/>
            </w:tcBorders>
            <w:noWrap/>
            <w:vAlign w:val="bottom"/>
          </w:tcPr>
          <w:p w:rsidR="00652F81" w:rsidRPr="007B65DA" w:rsidRDefault="00652F81" w:rsidP="00652F81">
            <w:pPr>
              <w:jc w:val="right"/>
              <w:rPr>
                <w:rFonts w:ascii="Tahoma" w:hAnsi="Tahoma" w:cs="Tahoma"/>
              </w:rPr>
            </w:pPr>
            <w:r w:rsidRPr="007B65DA">
              <w:rPr>
                <w:rFonts w:ascii="Tahoma" w:hAnsi="Tahoma" w:cs="Tahoma"/>
              </w:rPr>
              <w:t>14,5</w:t>
            </w:r>
          </w:p>
        </w:tc>
        <w:tc>
          <w:tcPr>
            <w:tcW w:w="960" w:type="dxa"/>
            <w:tcBorders>
              <w:bottom w:val="single" w:sz="12" w:space="0" w:color="auto"/>
            </w:tcBorders>
            <w:noWrap/>
            <w:vAlign w:val="bottom"/>
          </w:tcPr>
          <w:p w:rsidR="00652F81" w:rsidRPr="007B65DA" w:rsidRDefault="00652F81" w:rsidP="00652F81">
            <w:pPr>
              <w:jc w:val="right"/>
              <w:rPr>
                <w:rFonts w:ascii="Tahoma" w:hAnsi="Tahoma" w:cs="Tahoma"/>
              </w:rPr>
            </w:pPr>
            <w:r w:rsidRPr="007B65DA">
              <w:rPr>
                <w:rFonts w:ascii="Tahoma" w:hAnsi="Tahoma" w:cs="Tahoma"/>
              </w:rPr>
              <w:t>13,7</w:t>
            </w:r>
          </w:p>
        </w:tc>
      </w:tr>
      <w:tr w:rsidR="00652F81" w:rsidRPr="00CA39FC" w:rsidTr="00652F81">
        <w:trPr>
          <w:trHeight w:val="255"/>
        </w:trPr>
        <w:tc>
          <w:tcPr>
            <w:tcW w:w="9600" w:type="dxa"/>
            <w:gridSpan w:val="10"/>
            <w:tcBorders>
              <w:top w:val="single" w:sz="12" w:space="0" w:color="auto"/>
              <w:bottom w:val="single" w:sz="8" w:space="0" w:color="auto"/>
            </w:tcBorders>
            <w:noWrap/>
          </w:tcPr>
          <w:p w:rsidR="00652F81" w:rsidRPr="00545F7F" w:rsidRDefault="00652F81" w:rsidP="00652F81">
            <w:pPr>
              <w:rPr>
                <w:rFonts w:ascii="Tahoma" w:hAnsi="Tahoma" w:cs="Tahoma"/>
                <w:b/>
                <w:bCs/>
                <w:sz w:val="18"/>
                <w:szCs w:val="18"/>
              </w:rPr>
            </w:pPr>
            <w:r w:rsidRPr="00545F7F">
              <w:rPr>
                <w:rFonts w:ascii="Tahoma" w:hAnsi="Tahoma" w:cs="Tahoma"/>
                <w:b/>
                <w:bCs/>
                <w:sz w:val="18"/>
                <w:szCs w:val="18"/>
              </w:rPr>
              <w:t>Άντρες</w:t>
            </w:r>
          </w:p>
        </w:tc>
      </w:tr>
      <w:tr w:rsidR="00652F81" w:rsidRPr="00CA39FC" w:rsidTr="00652F81">
        <w:trPr>
          <w:trHeight w:val="255"/>
        </w:trPr>
        <w:tc>
          <w:tcPr>
            <w:tcW w:w="960" w:type="dxa"/>
            <w:tcBorders>
              <w:top w:val="single" w:sz="8" w:space="0" w:color="auto"/>
            </w:tcBorders>
            <w:noWrap/>
            <w:vAlign w:val="bottom"/>
          </w:tcPr>
          <w:p w:rsidR="00652F81" w:rsidRPr="00CA39FC" w:rsidRDefault="00652F81" w:rsidP="00652F81">
            <w:pPr>
              <w:rPr>
                <w:rFonts w:ascii="Tahoma" w:hAnsi="Tahoma" w:cs="Tahoma"/>
                <w:b/>
                <w:bCs/>
              </w:rPr>
            </w:pPr>
            <w:r w:rsidRPr="00CA39FC">
              <w:rPr>
                <w:rFonts w:ascii="Tahoma" w:hAnsi="Tahoma" w:cs="Tahoma"/>
                <w:b/>
                <w:bCs/>
              </w:rPr>
              <w:t>EU27</w:t>
            </w:r>
          </w:p>
        </w:tc>
        <w:tc>
          <w:tcPr>
            <w:tcW w:w="960" w:type="dxa"/>
            <w:tcBorders>
              <w:top w:val="single" w:sz="8" w:space="0" w:color="auto"/>
            </w:tcBorders>
            <w:noWrap/>
            <w:vAlign w:val="center"/>
          </w:tcPr>
          <w:p w:rsidR="00652F81" w:rsidRPr="007B65DA" w:rsidRDefault="00652F81" w:rsidP="00652F81">
            <w:pPr>
              <w:jc w:val="right"/>
              <w:rPr>
                <w:rFonts w:ascii="Tahoma" w:hAnsi="Tahoma" w:cs="Tahoma"/>
                <w:sz w:val="18"/>
                <w:szCs w:val="18"/>
              </w:rPr>
            </w:pPr>
            <w:r>
              <w:rPr>
                <w:rFonts w:ascii="Tahoma" w:hAnsi="Tahoma" w:cs="Tahoma"/>
                <w:sz w:val="18"/>
                <w:szCs w:val="18"/>
              </w:rPr>
              <w:t>19,1</w:t>
            </w:r>
          </w:p>
        </w:tc>
        <w:tc>
          <w:tcPr>
            <w:tcW w:w="960" w:type="dxa"/>
            <w:tcBorders>
              <w:top w:val="single" w:sz="8" w:space="0" w:color="auto"/>
            </w:tcBorders>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18,7</w:t>
            </w:r>
          </w:p>
        </w:tc>
        <w:tc>
          <w:tcPr>
            <w:tcW w:w="960" w:type="dxa"/>
            <w:tcBorders>
              <w:top w:val="single" w:sz="8" w:space="0" w:color="auto"/>
            </w:tcBorders>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18,4</w:t>
            </w:r>
          </w:p>
        </w:tc>
        <w:tc>
          <w:tcPr>
            <w:tcW w:w="960" w:type="dxa"/>
            <w:tcBorders>
              <w:top w:val="single" w:sz="8" w:space="0" w:color="auto"/>
            </w:tcBorders>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17,8</w:t>
            </w:r>
          </w:p>
        </w:tc>
        <w:tc>
          <w:tcPr>
            <w:tcW w:w="960" w:type="dxa"/>
            <w:tcBorders>
              <w:top w:val="single" w:sz="8" w:space="0" w:color="auto"/>
            </w:tcBorders>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17,6</w:t>
            </w:r>
          </w:p>
        </w:tc>
        <w:tc>
          <w:tcPr>
            <w:tcW w:w="960" w:type="dxa"/>
            <w:tcBorders>
              <w:top w:val="single" w:sz="8" w:space="0" w:color="auto"/>
            </w:tcBorders>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17,1</w:t>
            </w:r>
          </w:p>
        </w:tc>
        <w:tc>
          <w:tcPr>
            <w:tcW w:w="960" w:type="dxa"/>
            <w:tcBorders>
              <w:top w:val="single" w:sz="8" w:space="0" w:color="auto"/>
            </w:tcBorders>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16,9</w:t>
            </w:r>
          </w:p>
        </w:tc>
        <w:tc>
          <w:tcPr>
            <w:tcW w:w="960" w:type="dxa"/>
            <w:tcBorders>
              <w:top w:val="single" w:sz="8" w:space="0" w:color="auto"/>
            </w:tcBorders>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16,3</w:t>
            </w:r>
          </w:p>
        </w:tc>
        <w:tc>
          <w:tcPr>
            <w:tcW w:w="960" w:type="dxa"/>
            <w:tcBorders>
              <w:top w:val="single" w:sz="8" w:space="0" w:color="auto"/>
            </w:tcBorders>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16,0</w:t>
            </w:r>
          </w:p>
        </w:tc>
      </w:tr>
      <w:tr w:rsidR="00652F81" w:rsidRPr="00CA39FC"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EU25</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18,8</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18,3</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18,1</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17,6</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17,6</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17,2</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17,0</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16,3</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15,9</w:t>
            </w:r>
          </w:p>
        </w:tc>
      </w:tr>
      <w:tr w:rsidR="00652F81" w:rsidRPr="00CA39FC"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EU15</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21,0</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20,6</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20,3</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19,8</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19,8</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19,3</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19,1</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18,2</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17,7</w:t>
            </w:r>
          </w:p>
        </w:tc>
      </w:tr>
      <w:tr w:rsidR="00652F81" w:rsidRPr="00CA39FC" w:rsidTr="00652F81">
        <w:trPr>
          <w:trHeight w:val="255"/>
        </w:trPr>
        <w:tc>
          <w:tcPr>
            <w:tcW w:w="960" w:type="dxa"/>
            <w:noWrap/>
            <w:vAlign w:val="bottom"/>
          </w:tcPr>
          <w:p w:rsidR="00652F81" w:rsidRPr="00F5135D" w:rsidRDefault="00652F81" w:rsidP="00652F81">
            <w:pPr>
              <w:rPr>
                <w:rFonts w:ascii="Tahoma" w:hAnsi="Tahoma" w:cs="Tahoma"/>
                <w:b/>
                <w:bCs/>
              </w:rPr>
            </w:pPr>
            <w:r>
              <w:rPr>
                <w:rFonts w:ascii="Tahoma" w:hAnsi="Tahoma" w:cs="Tahoma"/>
                <w:b/>
                <w:bCs/>
              </w:rPr>
              <w:t>EA17</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21,6</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21,2</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20,9</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20,3</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20,2</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19,5</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19,2</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18,4</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18,0</w:t>
            </w:r>
          </w:p>
        </w:tc>
      </w:tr>
      <w:tr w:rsidR="00652F81" w:rsidRPr="00CA39FC" w:rsidTr="00652F81">
        <w:trPr>
          <w:trHeight w:val="255"/>
        </w:trPr>
        <w:tc>
          <w:tcPr>
            <w:tcW w:w="960" w:type="dxa"/>
            <w:tcBorders>
              <w:bottom w:val="single" w:sz="12" w:space="0" w:color="auto"/>
            </w:tcBorders>
            <w:noWrap/>
            <w:vAlign w:val="bottom"/>
          </w:tcPr>
          <w:p w:rsidR="00652F81" w:rsidRPr="00CA39FC" w:rsidRDefault="00652F81" w:rsidP="00652F81">
            <w:pPr>
              <w:rPr>
                <w:rFonts w:ascii="Tahoma" w:hAnsi="Tahoma" w:cs="Tahoma"/>
                <w:b/>
                <w:bCs/>
              </w:rPr>
            </w:pPr>
            <w:r w:rsidRPr="00CA39FC">
              <w:rPr>
                <w:rFonts w:ascii="Tahoma" w:hAnsi="Tahoma" w:cs="Tahoma"/>
                <w:b/>
                <w:bCs/>
              </w:rPr>
              <w:t>EL</w:t>
            </w:r>
          </w:p>
        </w:tc>
        <w:tc>
          <w:tcPr>
            <w:tcW w:w="960" w:type="dxa"/>
            <w:tcBorders>
              <w:bottom w:val="single" w:sz="12" w:space="0" w:color="auto"/>
            </w:tcBorders>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20,6</w:t>
            </w:r>
          </w:p>
        </w:tc>
        <w:tc>
          <w:tcPr>
            <w:tcW w:w="960" w:type="dxa"/>
            <w:tcBorders>
              <w:bottom w:val="single" w:sz="12" w:space="0" w:color="auto"/>
            </w:tcBorders>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20,0</w:t>
            </w:r>
          </w:p>
        </w:tc>
        <w:tc>
          <w:tcPr>
            <w:tcW w:w="960" w:type="dxa"/>
            <w:tcBorders>
              <w:bottom w:val="single" w:sz="12" w:space="0" w:color="auto"/>
            </w:tcBorders>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18,1</w:t>
            </w:r>
          </w:p>
        </w:tc>
        <w:tc>
          <w:tcPr>
            <w:tcW w:w="960" w:type="dxa"/>
            <w:tcBorders>
              <w:bottom w:val="single" w:sz="12" w:space="0" w:color="auto"/>
            </w:tcBorders>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17,6</w:t>
            </w:r>
          </w:p>
        </w:tc>
        <w:tc>
          <w:tcPr>
            <w:tcW w:w="960" w:type="dxa"/>
            <w:tcBorders>
              <w:bottom w:val="single" w:sz="12" w:space="0" w:color="auto"/>
            </w:tcBorders>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20,2</w:t>
            </w:r>
          </w:p>
        </w:tc>
        <w:tc>
          <w:tcPr>
            <w:tcW w:w="960" w:type="dxa"/>
            <w:tcBorders>
              <w:bottom w:val="single" w:sz="12" w:space="0" w:color="auto"/>
            </w:tcBorders>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18,6</w:t>
            </w:r>
          </w:p>
        </w:tc>
        <w:tc>
          <w:tcPr>
            <w:tcW w:w="960" w:type="dxa"/>
            <w:tcBorders>
              <w:bottom w:val="single" w:sz="12" w:space="0" w:color="auto"/>
            </w:tcBorders>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18,5</w:t>
            </w:r>
          </w:p>
        </w:tc>
        <w:tc>
          <w:tcPr>
            <w:tcW w:w="960" w:type="dxa"/>
            <w:tcBorders>
              <w:bottom w:val="single" w:sz="12" w:space="0" w:color="auto"/>
            </w:tcBorders>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18,3</w:t>
            </w:r>
          </w:p>
        </w:tc>
        <w:tc>
          <w:tcPr>
            <w:tcW w:w="960" w:type="dxa"/>
            <w:tcBorders>
              <w:bottom w:val="single" w:sz="12" w:space="0" w:color="auto"/>
            </w:tcBorders>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16,5</w:t>
            </w:r>
          </w:p>
        </w:tc>
      </w:tr>
      <w:tr w:rsidR="00652F81" w:rsidRPr="00CA39FC" w:rsidTr="00652F81">
        <w:trPr>
          <w:trHeight w:val="255"/>
        </w:trPr>
        <w:tc>
          <w:tcPr>
            <w:tcW w:w="9600" w:type="dxa"/>
            <w:gridSpan w:val="10"/>
            <w:tcBorders>
              <w:top w:val="single" w:sz="12" w:space="0" w:color="auto"/>
              <w:bottom w:val="single" w:sz="8" w:space="0" w:color="auto"/>
            </w:tcBorders>
            <w:noWrap/>
          </w:tcPr>
          <w:p w:rsidR="00652F81" w:rsidRPr="00545F7F" w:rsidRDefault="00652F81" w:rsidP="00652F81">
            <w:pPr>
              <w:rPr>
                <w:rFonts w:ascii="Tahoma" w:hAnsi="Tahoma" w:cs="Tahoma"/>
                <w:b/>
                <w:bCs/>
                <w:sz w:val="18"/>
                <w:szCs w:val="18"/>
              </w:rPr>
            </w:pPr>
            <w:r w:rsidRPr="00545F7F">
              <w:rPr>
                <w:rFonts w:ascii="Tahoma" w:hAnsi="Tahoma" w:cs="Tahoma"/>
                <w:b/>
                <w:bCs/>
                <w:sz w:val="18"/>
                <w:szCs w:val="18"/>
              </w:rPr>
              <w:t>Γυναίκες</w:t>
            </w:r>
          </w:p>
        </w:tc>
      </w:tr>
      <w:tr w:rsidR="00652F81" w:rsidRPr="00CA39FC" w:rsidTr="00652F81">
        <w:trPr>
          <w:trHeight w:val="255"/>
        </w:trPr>
        <w:tc>
          <w:tcPr>
            <w:tcW w:w="960" w:type="dxa"/>
            <w:tcBorders>
              <w:top w:val="single" w:sz="8" w:space="0" w:color="auto"/>
            </w:tcBorders>
            <w:noWrap/>
            <w:vAlign w:val="bottom"/>
          </w:tcPr>
          <w:p w:rsidR="00652F81" w:rsidRPr="00CA39FC" w:rsidRDefault="00652F81" w:rsidP="00652F81">
            <w:pPr>
              <w:rPr>
                <w:rFonts w:ascii="Tahoma" w:hAnsi="Tahoma" w:cs="Tahoma"/>
                <w:b/>
                <w:bCs/>
              </w:rPr>
            </w:pPr>
            <w:r w:rsidRPr="00CA39FC">
              <w:rPr>
                <w:rFonts w:ascii="Tahoma" w:hAnsi="Tahoma" w:cs="Tahoma"/>
                <w:b/>
                <w:bCs/>
              </w:rPr>
              <w:t>EU27</w:t>
            </w:r>
          </w:p>
        </w:tc>
        <w:tc>
          <w:tcPr>
            <w:tcW w:w="960" w:type="dxa"/>
            <w:tcBorders>
              <w:top w:val="single" w:sz="8" w:space="0" w:color="auto"/>
            </w:tcBorders>
            <w:noWrap/>
            <w:vAlign w:val="center"/>
          </w:tcPr>
          <w:p w:rsidR="00652F81" w:rsidRPr="00565406" w:rsidRDefault="00652F81" w:rsidP="00652F81">
            <w:pPr>
              <w:jc w:val="right"/>
              <w:rPr>
                <w:rFonts w:ascii="Tahoma" w:hAnsi="Tahoma" w:cs="Tahoma"/>
                <w:sz w:val="18"/>
                <w:szCs w:val="18"/>
              </w:rPr>
            </w:pPr>
            <w:r>
              <w:rPr>
                <w:rFonts w:ascii="Tahoma" w:hAnsi="Tahoma" w:cs="Tahoma"/>
                <w:sz w:val="18"/>
                <w:szCs w:val="18"/>
              </w:rPr>
              <w:t>14,9</w:t>
            </w:r>
          </w:p>
        </w:tc>
        <w:tc>
          <w:tcPr>
            <w:tcW w:w="960" w:type="dxa"/>
            <w:tcBorders>
              <w:top w:val="single" w:sz="8" w:space="0" w:color="auto"/>
            </w:tcBorders>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14,5</w:t>
            </w:r>
          </w:p>
        </w:tc>
        <w:tc>
          <w:tcPr>
            <w:tcW w:w="960" w:type="dxa"/>
            <w:tcBorders>
              <w:top w:val="single" w:sz="8" w:space="0" w:color="auto"/>
            </w:tcBorders>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13,8</w:t>
            </w:r>
          </w:p>
        </w:tc>
        <w:tc>
          <w:tcPr>
            <w:tcW w:w="960" w:type="dxa"/>
            <w:tcBorders>
              <w:top w:val="single" w:sz="8" w:space="0" w:color="auto"/>
            </w:tcBorders>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13,7</w:t>
            </w:r>
          </w:p>
        </w:tc>
        <w:tc>
          <w:tcPr>
            <w:tcW w:w="960" w:type="dxa"/>
            <w:tcBorders>
              <w:top w:val="single" w:sz="8" w:space="0" w:color="auto"/>
            </w:tcBorders>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13,4</w:t>
            </w:r>
          </w:p>
        </w:tc>
        <w:tc>
          <w:tcPr>
            <w:tcW w:w="960" w:type="dxa"/>
            <w:tcBorders>
              <w:top w:val="single" w:sz="8" w:space="0" w:color="auto"/>
            </w:tcBorders>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13,0</w:t>
            </w:r>
          </w:p>
        </w:tc>
        <w:tc>
          <w:tcPr>
            <w:tcW w:w="960" w:type="dxa"/>
            <w:tcBorders>
              <w:top w:val="single" w:sz="8" w:space="0" w:color="auto"/>
            </w:tcBorders>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12,9</w:t>
            </w:r>
          </w:p>
        </w:tc>
        <w:tc>
          <w:tcPr>
            <w:tcW w:w="960" w:type="dxa"/>
            <w:tcBorders>
              <w:top w:val="single" w:sz="8" w:space="0" w:color="auto"/>
            </w:tcBorders>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12,5</w:t>
            </w:r>
          </w:p>
        </w:tc>
        <w:tc>
          <w:tcPr>
            <w:tcW w:w="960" w:type="dxa"/>
            <w:tcBorders>
              <w:top w:val="single" w:sz="8" w:space="0" w:color="auto"/>
            </w:tcBorders>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12,2</w:t>
            </w:r>
          </w:p>
        </w:tc>
      </w:tr>
      <w:tr w:rsidR="00652F81" w:rsidRPr="00CA39FC"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EU25</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14,4</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13,9</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13,3</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13,3</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13,1</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12,7</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12,7</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12,2</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11,8</w:t>
            </w:r>
          </w:p>
        </w:tc>
      </w:tr>
      <w:tr w:rsidR="00652F81" w:rsidRPr="00CA39FC"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EU15</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16,3</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15,8</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15,1</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15,2</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14,9</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14,5</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14,3</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13,7</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13,2</w:t>
            </w:r>
          </w:p>
        </w:tc>
      </w:tr>
      <w:tr w:rsidR="00652F81" w:rsidRPr="00CA39FC" w:rsidTr="00652F81">
        <w:trPr>
          <w:trHeight w:val="255"/>
        </w:trPr>
        <w:tc>
          <w:tcPr>
            <w:tcW w:w="960" w:type="dxa"/>
            <w:noWrap/>
            <w:vAlign w:val="bottom"/>
          </w:tcPr>
          <w:p w:rsidR="00652F81" w:rsidRPr="00F5135D" w:rsidRDefault="00652F81" w:rsidP="00652F81">
            <w:pPr>
              <w:rPr>
                <w:rFonts w:ascii="Tahoma" w:hAnsi="Tahoma" w:cs="Tahoma"/>
                <w:b/>
                <w:bCs/>
              </w:rPr>
            </w:pPr>
            <w:r>
              <w:rPr>
                <w:rFonts w:ascii="Tahoma" w:hAnsi="Tahoma" w:cs="Tahoma"/>
                <w:b/>
                <w:bCs/>
              </w:rPr>
              <w:t>EA17</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16,2</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15,8</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14,9</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15,0</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14,6</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14,1</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13,9</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13,4</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13,1</w:t>
            </w:r>
          </w:p>
        </w:tc>
      </w:tr>
      <w:tr w:rsidR="00652F81" w:rsidRPr="00CA39FC" w:rsidTr="00652F81">
        <w:trPr>
          <w:trHeight w:val="255"/>
        </w:trPr>
        <w:tc>
          <w:tcPr>
            <w:tcW w:w="960" w:type="dxa"/>
            <w:noWrap/>
            <w:vAlign w:val="bottom"/>
          </w:tcPr>
          <w:p w:rsidR="00652F81" w:rsidRPr="00CA39FC" w:rsidRDefault="00652F81" w:rsidP="00652F81">
            <w:pPr>
              <w:rPr>
                <w:rFonts w:ascii="Tahoma" w:hAnsi="Tahoma" w:cs="Tahoma"/>
                <w:b/>
                <w:bCs/>
              </w:rPr>
            </w:pPr>
            <w:r w:rsidRPr="00CA39FC">
              <w:rPr>
                <w:rFonts w:ascii="Tahoma" w:hAnsi="Tahoma" w:cs="Tahoma"/>
                <w:b/>
                <w:bCs/>
              </w:rPr>
              <w:t>EL</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12,5</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11,9</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11,3</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9,7</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10,8</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10,6</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10,9</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10,6</w:t>
            </w:r>
          </w:p>
        </w:tc>
        <w:tc>
          <w:tcPr>
            <w:tcW w:w="960" w:type="dxa"/>
            <w:noWrap/>
            <w:vAlign w:val="center"/>
          </w:tcPr>
          <w:p w:rsidR="00652F81" w:rsidRPr="0083349E" w:rsidRDefault="00652F81" w:rsidP="00652F81">
            <w:pPr>
              <w:jc w:val="right"/>
              <w:rPr>
                <w:rFonts w:ascii="Tahoma" w:hAnsi="Tahoma" w:cs="Tahoma"/>
                <w:sz w:val="18"/>
                <w:szCs w:val="18"/>
              </w:rPr>
            </w:pPr>
            <w:r>
              <w:rPr>
                <w:rFonts w:ascii="Tahoma" w:hAnsi="Tahoma" w:cs="Tahoma"/>
                <w:sz w:val="18"/>
                <w:szCs w:val="18"/>
              </w:rPr>
              <w:t>10,8</w:t>
            </w:r>
          </w:p>
        </w:tc>
      </w:tr>
    </w:tbl>
    <w:p w:rsidR="00652F81" w:rsidRPr="00CA39FC" w:rsidRDefault="00652F81" w:rsidP="00652F81">
      <w:pPr>
        <w:rPr>
          <w:rFonts w:ascii="Tahoma" w:hAnsi="Tahoma" w:cs="Tahoma"/>
          <w:sz w:val="18"/>
          <w:szCs w:val="18"/>
          <w:lang w:val="en-US"/>
        </w:rPr>
      </w:pPr>
      <w:r w:rsidRPr="00FB6871">
        <w:rPr>
          <w:rFonts w:ascii="Tahoma" w:hAnsi="Tahoma" w:cs="Tahoma"/>
          <w:b/>
          <w:sz w:val="18"/>
          <w:szCs w:val="18"/>
        </w:rPr>
        <w:t>Πηγή:</w:t>
      </w:r>
      <w:r w:rsidRPr="00CA39FC">
        <w:rPr>
          <w:rFonts w:ascii="Tahoma" w:hAnsi="Tahoma" w:cs="Tahoma"/>
          <w:sz w:val="18"/>
          <w:szCs w:val="18"/>
        </w:rPr>
        <w:t xml:space="preserve"> </w:t>
      </w:r>
      <w:r w:rsidRPr="00CA39FC">
        <w:rPr>
          <w:rFonts w:ascii="Tahoma" w:hAnsi="Tahoma" w:cs="Tahoma"/>
          <w:sz w:val="18"/>
          <w:szCs w:val="18"/>
          <w:lang w:val="en-US"/>
        </w:rPr>
        <w:t>Eurostat</w:t>
      </w:r>
    </w:p>
    <w:p w:rsidR="00652F81" w:rsidRPr="000931A3" w:rsidRDefault="00652F81" w:rsidP="00652F81"/>
    <w:p w:rsidR="00652F81" w:rsidRDefault="00652F81" w:rsidP="00652F81"/>
    <w:p w:rsidR="00652F81" w:rsidRPr="00BF0354" w:rsidRDefault="00652F81" w:rsidP="00652F81">
      <w:pPr>
        <w:rPr>
          <w:rFonts w:ascii="Bookman Old Style" w:hAnsi="Bookman Old Style"/>
          <w:bCs/>
          <w:smallCaps/>
          <w:sz w:val="36"/>
          <w:szCs w:val="36"/>
          <w:lang w:val="en-US"/>
        </w:rPr>
      </w:pPr>
    </w:p>
    <w:p w:rsidR="00652F81" w:rsidRDefault="00652F81" w:rsidP="00652F81"/>
    <w:bookmarkEnd w:id="488"/>
    <w:bookmarkEnd w:id="489"/>
    <w:bookmarkEnd w:id="490"/>
    <w:p w:rsidR="006F7A6B" w:rsidRPr="00294913" w:rsidRDefault="006F7A6B" w:rsidP="006F7A6B">
      <w:pPr>
        <w:rPr>
          <w:lang w:val="en-US"/>
        </w:rPr>
      </w:pPr>
    </w:p>
    <w:sectPr w:rsidR="006F7A6B" w:rsidRPr="00294913" w:rsidSect="00F23F59">
      <w:footerReference w:type="default" r:id="rId135"/>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3069" w:rsidRDefault="005C3069" w:rsidP="0058019C">
      <w:r>
        <w:separator/>
      </w:r>
    </w:p>
  </w:endnote>
  <w:endnote w:type="continuationSeparator" w:id="0">
    <w:p w:rsidR="005C3069" w:rsidRDefault="005C3069" w:rsidP="005801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61002A87" w:usb1="80000000" w:usb2="00000008" w:usb3="00000000" w:csb0="000101FF" w:csb1="00000000"/>
  </w:font>
  <w:font w:name="Calibri">
    <w:panose1 w:val="020F0502020204030204"/>
    <w:charset w:val="A1"/>
    <w:family w:val="swiss"/>
    <w:pitch w:val="variable"/>
    <w:sig w:usb0="A00002EF" w:usb1="4000207B" w:usb2="00000000" w:usb3="00000000" w:csb0="0000009F" w:csb1="00000000"/>
  </w:font>
  <w:font w:name="Cambria">
    <w:panose1 w:val="02040503050406030204"/>
    <w:charset w:val="A1"/>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A1"/>
    <w:family w:val="roman"/>
    <w:pitch w:val="variable"/>
    <w:sig w:usb0="00000287" w:usb1="00000000" w:usb2="00000000" w:usb3="00000000" w:csb0="0000009F" w:csb1="00000000"/>
  </w:font>
  <w:font w:name="Arial">
    <w:panose1 w:val="020B0604020202020204"/>
    <w:charset w:val="A1"/>
    <w:family w:val="swiss"/>
    <w:pitch w:val="variable"/>
    <w:sig w:usb0="20002A87" w:usb1="80000000" w:usb2="00000008" w:usb3="00000000" w:csb0="000001F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A1"/>
    <w:family w:val="swiss"/>
    <w:pitch w:val="variable"/>
    <w:sig w:usb0="A10006FF" w:usb1="4000205B" w:usb2="00000010"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154933" w:rsidRDefault="0073051F" w:rsidP="003257F4">
    <w:pPr>
      <w:pStyle w:val="Footer"/>
      <w:framePr w:wrap="around" w:vAnchor="text" w:hAnchor="margin" w:xAlign="outside" w:y="1"/>
      <w:rPr>
        <w:rStyle w:val="PageNumber"/>
        <w:rFonts w:ascii="Tahoma" w:hAnsi="Tahoma" w:cs="Tahoma"/>
      </w:rPr>
    </w:pPr>
    <w:r w:rsidRPr="00154933">
      <w:rPr>
        <w:rStyle w:val="PageNumber"/>
        <w:rFonts w:ascii="Tahoma" w:hAnsi="Tahoma" w:cs="Tahoma"/>
      </w:rPr>
      <w:fldChar w:fldCharType="begin"/>
    </w:r>
    <w:r w:rsidR="00212EB2" w:rsidRPr="00154933">
      <w:rPr>
        <w:rStyle w:val="PageNumber"/>
        <w:rFonts w:ascii="Tahoma" w:hAnsi="Tahoma" w:cs="Tahoma"/>
      </w:rPr>
      <w:instrText xml:space="preserve">PAGE  </w:instrText>
    </w:r>
    <w:r w:rsidRPr="00154933">
      <w:rPr>
        <w:rStyle w:val="PageNumber"/>
        <w:rFonts w:ascii="Tahoma" w:hAnsi="Tahoma" w:cs="Tahoma"/>
      </w:rPr>
      <w:fldChar w:fldCharType="separate"/>
    </w:r>
    <w:r w:rsidR="004C5DF9">
      <w:rPr>
        <w:rStyle w:val="PageNumber"/>
        <w:rFonts w:ascii="Tahoma" w:hAnsi="Tahoma" w:cs="Tahoma"/>
        <w:noProof/>
      </w:rPr>
      <w:t>32</w:t>
    </w:r>
    <w:r w:rsidRPr="00154933">
      <w:rPr>
        <w:rStyle w:val="PageNumber"/>
        <w:rFonts w:ascii="Tahoma" w:hAnsi="Tahoma" w:cs="Tahoma"/>
      </w:rPr>
      <w:fldChar w:fldCharType="end"/>
    </w:r>
  </w:p>
  <w:p w:rsidR="00212EB2" w:rsidRPr="00895356" w:rsidRDefault="00212EB2" w:rsidP="003257F4">
    <w:pPr>
      <w:pStyle w:val="Footer"/>
      <w:ind w:right="360" w:firstLine="360"/>
      <w:rPr>
        <w:lang w:val="en-US"/>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Default="00212EB2" w:rsidP="00591211">
    <w:pPr>
      <w:pStyle w:val="Footer"/>
      <w:ind w:right="360" w:firstLine="360"/>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F37057" w:rsidRDefault="0073051F" w:rsidP="00652F81">
    <w:pPr>
      <w:pStyle w:val="Footer"/>
      <w:tabs>
        <w:tab w:val="clear" w:pos="8306"/>
        <w:tab w:val="right" w:pos="9000"/>
      </w:tabs>
      <w:ind w:right="70"/>
      <w:rPr>
        <w:rFonts w:ascii="Tahoma" w:hAnsi="Tahoma" w:cs="Tahoma"/>
      </w:rPr>
    </w:pPr>
    <w:r w:rsidRPr="00F37057">
      <w:rPr>
        <w:rStyle w:val="PageNumber"/>
        <w:rFonts w:ascii="Tahoma" w:hAnsi="Tahoma" w:cs="Tahoma"/>
      </w:rPr>
      <w:fldChar w:fldCharType="begin"/>
    </w:r>
    <w:r w:rsidR="00212EB2" w:rsidRPr="00F37057">
      <w:rPr>
        <w:rStyle w:val="PageNumber"/>
        <w:rFonts w:ascii="Tahoma" w:hAnsi="Tahoma" w:cs="Tahoma"/>
      </w:rPr>
      <w:instrText xml:space="preserve"> PAGE </w:instrText>
    </w:r>
    <w:r w:rsidRPr="00F37057">
      <w:rPr>
        <w:rStyle w:val="PageNumber"/>
        <w:rFonts w:ascii="Tahoma" w:hAnsi="Tahoma" w:cs="Tahoma"/>
      </w:rPr>
      <w:fldChar w:fldCharType="separate"/>
    </w:r>
    <w:r w:rsidR="00BA6377">
      <w:rPr>
        <w:rStyle w:val="PageNumber"/>
        <w:rFonts w:ascii="Tahoma" w:hAnsi="Tahoma" w:cs="Tahoma"/>
        <w:noProof/>
      </w:rPr>
      <w:t>120</w:t>
    </w:r>
    <w:r w:rsidRPr="00F37057">
      <w:rPr>
        <w:rStyle w:val="PageNumber"/>
        <w:rFonts w:ascii="Tahoma" w:hAnsi="Tahoma" w:cs="Tahoma"/>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F37057" w:rsidRDefault="00212EB2" w:rsidP="00652F81">
    <w:pPr>
      <w:pStyle w:val="Footer"/>
      <w:tabs>
        <w:tab w:val="clear" w:pos="8306"/>
        <w:tab w:val="right" w:pos="9000"/>
      </w:tabs>
      <w:ind w:right="70"/>
      <w:rPr>
        <w:rFonts w:ascii="Tahoma" w:hAnsi="Tahoma" w:cs="Tahoma"/>
      </w:rPr>
    </w:pPr>
    <w:r>
      <w:rPr>
        <w:rStyle w:val="PageNumber"/>
        <w:rFonts w:ascii="Tahoma" w:hAnsi="Tahoma" w:cs="Tahoma"/>
        <w:lang w:val="en-US"/>
      </w:rPr>
      <w:tab/>
    </w:r>
    <w:r>
      <w:rPr>
        <w:rStyle w:val="PageNumber"/>
        <w:rFonts w:ascii="Tahoma" w:hAnsi="Tahoma" w:cs="Tahoma"/>
        <w:lang w:val="en-US"/>
      </w:rPr>
      <w:tab/>
    </w:r>
    <w:r w:rsidR="0073051F" w:rsidRPr="00F37057">
      <w:rPr>
        <w:rStyle w:val="PageNumber"/>
        <w:rFonts w:ascii="Tahoma" w:hAnsi="Tahoma" w:cs="Tahoma"/>
      </w:rPr>
      <w:fldChar w:fldCharType="begin"/>
    </w:r>
    <w:r w:rsidRPr="00F37057">
      <w:rPr>
        <w:rStyle w:val="PageNumber"/>
        <w:rFonts w:ascii="Tahoma" w:hAnsi="Tahoma" w:cs="Tahoma"/>
      </w:rPr>
      <w:instrText xml:space="preserve"> PAGE </w:instrText>
    </w:r>
    <w:r w:rsidR="0073051F" w:rsidRPr="00F37057">
      <w:rPr>
        <w:rStyle w:val="PageNumber"/>
        <w:rFonts w:ascii="Tahoma" w:hAnsi="Tahoma" w:cs="Tahoma"/>
      </w:rPr>
      <w:fldChar w:fldCharType="separate"/>
    </w:r>
    <w:r w:rsidR="00BA6377">
      <w:rPr>
        <w:rStyle w:val="PageNumber"/>
        <w:rFonts w:ascii="Tahoma" w:hAnsi="Tahoma" w:cs="Tahoma"/>
        <w:noProof/>
      </w:rPr>
      <w:t>121</w:t>
    </w:r>
    <w:r w:rsidR="0073051F" w:rsidRPr="00F37057">
      <w:rPr>
        <w:rStyle w:val="PageNumber"/>
        <w:rFonts w:ascii="Tahoma" w:hAnsi="Tahoma" w:cs="Tahoma"/>
      </w:rPr>
      <w:fldChar w:fldCharType="end"/>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F37057" w:rsidRDefault="0073051F" w:rsidP="00652F81">
    <w:pPr>
      <w:pStyle w:val="Footer"/>
      <w:tabs>
        <w:tab w:val="clear" w:pos="8306"/>
        <w:tab w:val="right" w:pos="9000"/>
      </w:tabs>
      <w:ind w:right="70"/>
      <w:rPr>
        <w:rFonts w:ascii="Tahoma" w:hAnsi="Tahoma" w:cs="Tahoma"/>
      </w:rPr>
    </w:pPr>
    <w:r w:rsidRPr="00F37057">
      <w:rPr>
        <w:rStyle w:val="PageNumber"/>
        <w:rFonts w:ascii="Tahoma" w:hAnsi="Tahoma" w:cs="Tahoma"/>
      </w:rPr>
      <w:fldChar w:fldCharType="begin"/>
    </w:r>
    <w:r w:rsidR="00212EB2" w:rsidRPr="00F37057">
      <w:rPr>
        <w:rStyle w:val="PageNumber"/>
        <w:rFonts w:ascii="Tahoma" w:hAnsi="Tahoma" w:cs="Tahoma"/>
      </w:rPr>
      <w:instrText xml:space="preserve"> PAGE </w:instrText>
    </w:r>
    <w:r w:rsidRPr="00F37057">
      <w:rPr>
        <w:rStyle w:val="PageNumber"/>
        <w:rFonts w:ascii="Tahoma" w:hAnsi="Tahoma" w:cs="Tahoma"/>
      </w:rPr>
      <w:fldChar w:fldCharType="separate"/>
    </w:r>
    <w:r w:rsidR="00BA6377">
      <w:rPr>
        <w:rStyle w:val="PageNumber"/>
        <w:rFonts w:ascii="Tahoma" w:hAnsi="Tahoma" w:cs="Tahoma"/>
        <w:noProof/>
      </w:rPr>
      <w:t>122</w:t>
    </w:r>
    <w:r w:rsidRPr="00F37057">
      <w:rPr>
        <w:rStyle w:val="PageNumber"/>
        <w:rFonts w:ascii="Tahoma" w:hAnsi="Tahoma" w:cs="Tahoma"/>
      </w:rPr>
      <w:fldChar w:fldCharType="end"/>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F37057" w:rsidRDefault="00212EB2" w:rsidP="00652F81">
    <w:pPr>
      <w:pStyle w:val="Footer"/>
      <w:tabs>
        <w:tab w:val="clear" w:pos="8306"/>
        <w:tab w:val="right" w:pos="9000"/>
      </w:tabs>
      <w:ind w:right="70"/>
      <w:rPr>
        <w:rFonts w:ascii="Tahoma" w:hAnsi="Tahoma" w:cs="Tahoma"/>
      </w:rPr>
    </w:pPr>
    <w:r>
      <w:rPr>
        <w:rStyle w:val="PageNumber"/>
        <w:rFonts w:ascii="Tahoma" w:hAnsi="Tahoma" w:cs="Tahoma"/>
      </w:rPr>
      <w:tab/>
    </w:r>
    <w:r>
      <w:rPr>
        <w:rStyle w:val="PageNumber"/>
        <w:rFonts w:ascii="Tahoma" w:hAnsi="Tahoma" w:cs="Tahoma"/>
      </w:rPr>
      <w:tab/>
    </w:r>
    <w:r w:rsidR="0073051F" w:rsidRPr="00F37057">
      <w:rPr>
        <w:rStyle w:val="PageNumber"/>
        <w:rFonts w:ascii="Tahoma" w:hAnsi="Tahoma" w:cs="Tahoma"/>
      </w:rPr>
      <w:fldChar w:fldCharType="begin"/>
    </w:r>
    <w:r w:rsidRPr="00F37057">
      <w:rPr>
        <w:rStyle w:val="PageNumber"/>
        <w:rFonts w:ascii="Tahoma" w:hAnsi="Tahoma" w:cs="Tahoma"/>
      </w:rPr>
      <w:instrText xml:space="preserve"> PAGE </w:instrText>
    </w:r>
    <w:r w:rsidR="0073051F" w:rsidRPr="00F37057">
      <w:rPr>
        <w:rStyle w:val="PageNumber"/>
        <w:rFonts w:ascii="Tahoma" w:hAnsi="Tahoma" w:cs="Tahoma"/>
      </w:rPr>
      <w:fldChar w:fldCharType="separate"/>
    </w:r>
    <w:r w:rsidR="00BA6377">
      <w:rPr>
        <w:rStyle w:val="PageNumber"/>
        <w:rFonts w:ascii="Tahoma" w:hAnsi="Tahoma" w:cs="Tahoma"/>
        <w:noProof/>
      </w:rPr>
      <w:t>123</w:t>
    </w:r>
    <w:r w:rsidR="0073051F" w:rsidRPr="00F37057">
      <w:rPr>
        <w:rStyle w:val="PageNumber"/>
        <w:rFonts w:ascii="Tahoma" w:hAnsi="Tahoma" w:cs="Tahoma"/>
      </w:rPr>
      <w:fldChar w:fldCharType="end"/>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F37057" w:rsidRDefault="0073051F" w:rsidP="00652F81">
    <w:pPr>
      <w:pStyle w:val="Footer"/>
      <w:tabs>
        <w:tab w:val="clear" w:pos="8306"/>
        <w:tab w:val="right" w:pos="9000"/>
      </w:tabs>
      <w:ind w:right="70"/>
      <w:rPr>
        <w:rFonts w:ascii="Tahoma" w:hAnsi="Tahoma" w:cs="Tahoma"/>
      </w:rPr>
    </w:pPr>
    <w:r w:rsidRPr="00F37057">
      <w:rPr>
        <w:rStyle w:val="PageNumber"/>
        <w:rFonts w:ascii="Tahoma" w:hAnsi="Tahoma" w:cs="Tahoma"/>
      </w:rPr>
      <w:fldChar w:fldCharType="begin"/>
    </w:r>
    <w:r w:rsidR="00212EB2" w:rsidRPr="00F37057">
      <w:rPr>
        <w:rStyle w:val="PageNumber"/>
        <w:rFonts w:ascii="Tahoma" w:hAnsi="Tahoma" w:cs="Tahoma"/>
      </w:rPr>
      <w:instrText xml:space="preserve"> PAGE </w:instrText>
    </w:r>
    <w:r w:rsidRPr="00F37057">
      <w:rPr>
        <w:rStyle w:val="PageNumber"/>
        <w:rFonts w:ascii="Tahoma" w:hAnsi="Tahoma" w:cs="Tahoma"/>
      </w:rPr>
      <w:fldChar w:fldCharType="separate"/>
    </w:r>
    <w:r w:rsidR="00BA6377">
      <w:rPr>
        <w:rStyle w:val="PageNumber"/>
        <w:rFonts w:ascii="Tahoma" w:hAnsi="Tahoma" w:cs="Tahoma"/>
        <w:noProof/>
      </w:rPr>
      <w:t>124</w:t>
    </w:r>
    <w:r w:rsidRPr="00F37057">
      <w:rPr>
        <w:rStyle w:val="PageNumber"/>
        <w:rFonts w:ascii="Tahoma" w:hAnsi="Tahoma" w:cs="Tahoma"/>
      </w:rP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F37057" w:rsidRDefault="00212EB2" w:rsidP="00652F81">
    <w:pPr>
      <w:pStyle w:val="Footer"/>
      <w:tabs>
        <w:tab w:val="clear" w:pos="8306"/>
        <w:tab w:val="right" w:pos="9000"/>
      </w:tabs>
      <w:ind w:right="70"/>
      <w:rPr>
        <w:rFonts w:ascii="Tahoma" w:hAnsi="Tahoma" w:cs="Tahoma"/>
      </w:rPr>
    </w:pPr>
    <w:r>
      <w:rPr>
        <w:rStyle w:val="PageNumber"/>
        <w:rFonts w:ascii="Tahoma" w:hAnsi="Tahoma" w:cs="Tahoma"/>
      </w:rPr>
      <w:tab/>
    </w:r>
    <w:r>
      <w:rPr>
        <w:rStyle w:val="PageNumber"/>
        <w:rFonts w:ascii="Tahoma" w:hAnsi="Tahoma" w:cs="Tahoma"/>
      </w:rPr>
      <w:tab/>
    </w:r>
    <w:r w:rsidR="0073051F" w:rsidRPr="00F37057">
      <w:rPr>
        <w:rStyle w:val="PageNumber"/>
        <w:rFonts w:ascii="Tahoma" w:hAnsi="Tahoma" w:cs="Tahoma"/>
      </w:rPr>
      <w:fldChar w:fldCharType="begin"/>
    </w:r>
    <w:r w:rsidRPr="00F37057">
      <w:rPr>
        <w:rStyle w:val="PageNumber"/>
        <w:rFonts w:ascii="Tahoma" w:hAnsi="Tahoma" w:cs="Tahoma"/>
      </w:rPr>
      <w:instrText xml:space="preserve"> PAGE </w:instrText>
    </w:r>
    <w:r w:rsidR="0073051F" w:rsidRPr="00F37057">
      <w:rPr>
        <w:rStyle w:val="PageNumber"/>
        <w:rFonts w:ascii="Tahoma" w:hAnsi="Tahoma" w:cs="Tahoma"/>
      </w:rPr>
      <w:fldChar w:fldCharType="separate"/>
    </w:r>
    <w:r w:rsidR="00BA6377">
      <w:rPr>
        <w:rStyle w:val="PageNumber"/>
        <w:rFonts w:ascii="Tahoma" w:hAnsi="Tahoma" w:cs="Tahoma"/>
        <w:noProof/>
      </w:rPr>
      <w:t>125</w:t>
    </w:r>
    <w:r w:rsidR="0073051F" w:rsidRPr="00F37057">
      <w:rPr>
        <w:rStyle w:val="PageNumber"/>
        <w:rFonts w:ascii="Tahoma" w:hAnsi="Tahoma" w:cs="Tahoma"/>
      </w:rPr>
      <w:fldChar w:fldCharType="end"/>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F37057" w:rsidRDefault="0073051F" w:rsidP="00652F81">
    <w:pPr>
      <w:pStyle w:val="Footer"/>
      <w:tabs>
        <w:tab w:val="clear" w:pos="8306"/>
        <w:tab w:val="right" w:pos="9000"/>
      </w:tabs>
      <w:ind w:right="70"/>
      <w:rPr>
        <w:rFonts w:ascii="Tahoma" w:hAnsi="Tahoma" w:cs="Tahoma"/>
      </w:rPr>
    </w:pPr>
    <w:r w:rsidRPr="00F37057">
      <w:rPr>
        <w:rStyle w:val="PageNumber"/>
        <w:rFonts w:ascii="Tahoma" w:hAnsi="Tahoma" w:cs="Tahoma"/>
      </w:rPr>
      <w:fldChar w:fldCharType="begin"/>
    </w:r>
    <w:r w:rsidR="00212EB2" w:rsidRPr="00F37057">
      <w:rPr>
        <w:rStyle w:val="PageNumber"/>
        <w:rFonts w:ascii="Tahoma" w:hAnsi="Tahoma" w:cs="Tahoma"/>
      </w:rPr>
      <w:instrText xml:space="preserve"> PAGE </w:instrText>
    </w:r>
    <w:r w:rsidRPr="00F37057">
      <w:rPr>
        <w:rStyle w:val="PageNumber"/>
        <w:rFonts w:ascii="Tahoma" w:hAnsi="Tahoma" w:cs="Tahoma"/>
      </w:rPr>
      <w:fldChar w:fldCharType="separate"/>
    </w:r>
    <w:r w:rsidR="00BA6377">
      <w:rPr>
        <w:rStyle w:val="PageNumber"/>
        <w:rFonts w:ascii="Tahoma" w:hAnsi="Tahoma" w:cs="Tahoma"/>
        <w:noProof/>
      </w:rPr>
      <w:t>126</w:t>
    </w:r>
    <w:r w:rsidRPr="00F37057">
      <w:rPr>
        <w:rStyle w:val="PageNumber"/>
        <w:rFonts w:ascii="Tahoma" w:hAnsi="Tahoma" w:cs="Tahoma"/>
      </w:rPr>
      <w:fldChar w:fldCharType="end"/>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F37057" w:rsidRDefault="00212EB2" w:rsidP="00652F81">
    <w:pPr>
      <w:pStyle w:val="Footer"/>
      <w:tabs>
        <w:tab w:val="clear" w:pos="8306"/>
        <w:tab w:val="right" w:pos="9000"/>
      </w:tabs>
      <w:ind w:right="70"/>
      <w:rPr>
        <w:rFonts w:ascii="Tahoma" w:hAnsi="Tahoma" w:cs="Tahoma"/>
      </w:rPr>
    </w:pPr>
    <w:r>
      <w:rPr>
        <w:rStyle w:val="PageNumber"/>
        <w:rFonts w:ascii="Tahoma" w:hAnsi="Tahoma" w:cs="Tahoma"/>
      </w:rPr>
      <w:tab/>
    </w:r>
    <w:r>
      <w:rPr>
        <w:rStyle w:val="PageNumber"/>
        <w:rFonts w:ascii="Tahoma" w:hAnsi="Tahoma" w:cs="Tahoma"/>
      </w:rPr>
      <w:tab/>
    </w:r>
    <w:r w:rsidR="0073051F" w:rsidRPr="00F37057">
      <w:rPr>
        <w:rStyle w:val="PageNumber"/>
        <w:rFonts w:ascii="Tahoma" w:hAnsi="Tahoma" w:cs="Tahoma"/>
      </w:rPr>
      <w:fldChar w:fldCharType="begin"/>
    </w:r>
    <w:r w:rsidRPr="00F37057">
      <w:rPr>
        <w:rStyle w:val="PageNumber"/>
        <w:rFonts w:ascii="Tahoma" w:hAnsi="Tahoma" w:cs="Tahoma"/>
      </w:rPr>
      <w:instrText xml:space="preserve"> PAGE </w:instrText>
    </w:r>
    <w:r w:rsidR="0073051F" w:rsidRPr="00F37057">
      <w:rPr>
        <w:rStyle w:val="PageNumber"/>
        <w:rFonts w:ascii="Tahoma" w:hAnsi="Tahoma" w:cs="Tahoma"/>
      </w:rPr>
      <w:fldChar w:fldCharType="separate"/>
    </w:r>
    <w:r w:rsidR="00BA6377">
      <w:rPr>
        <w:rStyle w:val="PageNumber"/>
        <w:rFonts w:ascii="Tahoma" w:hAnsi="Tahoma" w:cs="Tahoma"/>
        <w:noProof/>
      </w:rPr>
      <w:t>127</w:t>
    </w:r>
    <w:r w:rsidR="0073051F" w:rsidRPr="00F37057">
      <w:rPr>
        <w:rStyle w:val="PageNumber"/>
        <w:rFonts w:ascii="Tahoma" w:hAnsi="Tahoma" w:cs="Tahoma"/>
      </w:rPr>
      <w:fldChar w:fldCharType="end"/>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F37057" w:rsidRDefault="0073051F" w:rsidP="00652F81">
    <w:pPr>
      <w:pStyle w:val="Footer"/>
      <w:tabs>
        <w:tab w:val="clear" w:pos="8306"/>
        <w:tab w:val="right" w:pos="9000"/>
      </w:tabs>
      <w:ind w:right="70"/>
      <w:rPr>
        <w:rFonts w:ascii="Tahoma" w:hAnsi="Tahoma" w:cs="Tahoma"/>
      </w:rPr>
    </w:pPr>
    <w:r w:rsidRPr="00F37057">
      <w:rPr>
        <w:rStyle w:val="PageNumber"/>
        <w:rFonts w:ascii="Tahoma" w:hAnsi="Tahoma" w:cs="Tahoma"/>
      </w:rPr>
      <w:fldChar w:fldCharType="begin"/>
    </w:r>
    <w:r w:rsidR="00212EB2" w:rsidRPr="00F37057">
      <w:rPr>
        <w:rStyle w:val="PageNumber"/>
        <w:rFonts w:ascii="Tahoma" w:hAnsi="Tahoma" w:cs="Tahoma"/>
      </w:rPr>
      <w:instrText xml:space="preserve"> PAGE </w:instrText>
    </w:r>
    <w:r w:rsidRPr="00F37057">
      <w:rPr>
        <w:rStyle w:val="PageNumber"/>
        <w:rFonts w:ascii="Tahoma" w:hAnsi="Tahoma" w:cs="Tahoma"/>
      </w:rPr>
      <w:fldChar w:fldCharType="separate"/>
    </w:r>
    <w:r w:rsidR="00BA6377">
      <w:rPr>
        <w:rStyle w:val="PageNumber"/>
        <w:rFonts w:ascii="Tahoma" w:hAnsi="Tahoma" w:cs="Tahoma"/>
        <w:noProof/>
      </w:rPr>
      <w:t>128</w:t>
    </w:r>
    <w:r w:rsidRPr="00F37057">
      <w:rPr>
        <w:rStyle w:val="PageNumber"/>
        <w:rFonts w:ascii="Tahoma" w:hAnsi="Tahoma" w:cs="Tahoma"/>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Default="00212EB2" w:rsidP="003257F4">
    <w:pPr>
      <w:pStyle w:val="Footer"/>
      <w:ind w:right="360" w:firstLine="360"/>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F37057" w:rsidRDefault="00212EB2" w:rsidP="00652F81">
    <w:pPr>
      <w:pStyle w:val="Footer"/>
      <w:tabs>
        <w:tab w:val="clear" w:pos="8306"/>
        <w:tab w:val="right" w:pos="9000"/>
      </w:tabs>
      <w:ind w:right="70"/>
      <w:rPr>
        <w:rFonts w:ascii="Tahoma" w:hAnsi="Tahoma" w:cs="Tahoma"/>
      </w:rPr>
    </w:pPr>
    <w:r>
      <w:rPr>
        <w:rStyle w:val="PageNumber"/>
        <w:rFonts w:ascii="Tahoma" w:hAnsi="Tahoma" w:cs="Tahoma"/>
      </w:rPr>
      <w:tab/>
    </w:r>
    <w:r>
      <w:rPr>
        <w:rStyle w:val="PageNumber"/>
        <w:rFonts w:ascii="Tahoma" w:hAnsi="Tahoma" w:cs="Tahoma"/>
      </w:rPr>
      <w:tab/>
    </w:r>
    <w:r w:rsidR="0073051F" w:rsidRPr="00F37057">
      <w:rPr>
        <w:rStyle w:val="PageNumber"/>
        <w:rFonts w:ascii="Tahoma" w:hAnsi="Tahoma" w:cs="Tahoma"/>
      </w:rPr>
      <w:fldChar w:fldCharType="begin"/>
    </w:r>
    <w:r w:rsidRPr="00F37057">
      <w:rPr>
        <w:rStyle w:val="PageNumber"/>
        <w:rFonts w:ascii="Tahoma" w:hAnsi="Tahoma" w:cs="Tahoma"/>
      </w:rPr>
      <w:instrText xml:space="preserve"> PAGE </w:instrText>
    </w:r>
    <w:r w:rsidR="0073051F" w:rsidRPr="00F37057">
      <w:rPr>
        <w:rStyle w:val="PageNumber"/>
        <w:rFonts w:ascii="Tahoma" w:hAnsi="Tahoma" w:cs="Tahoma"/>
      </w:rPr>
      <w:fldChar w:fldCharType="separate"/>
    </w:r>
    <w:r w:rsidR="00BA6377">
      <w:rPr>
        <w:rStyle w:val="PageNumber"/>
        <w:rFonts w:ascii="Tahoma" w:hAnsi="Tahoma" w:cs="Tahoma"/>
        <w:noProof/>
      </w:rPr>
      <w:t>129</w:t>
    </w:r>
    <w:r w:rsidR="0073051F" w:rsidRPr="00F37057">
      <w:rPr>
        <w:rStyle w:val="PageNumber"/>
        <w:rFonts w:ascii="Tahoma" w:hAnsi="Tahoma" w:cs="Tahoma"/>
      </w:rPr>
      <w:fldChar w:fldCharType="end"/>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F37057" w:rsidRDefault="0073051F" w:rsidP="00652F81">
    <w:pPr>
      <w:pStyle w:val="Footer"/>
      <w:tabs>
        <w:tab w:val="clear" w:pos="8306"/>
        <w:tab w:val="right" w:pos="9000"/>
      </w:tabs>
      <w:ind w:right="70"/>
      <w:rPr>
        <w:rFonts w:ascii="Tahoma" w:hAnsi="Tahoma" w:cs="Tahoma"/>
      </w:rPr>
    </w:pPr>
    <w:r w:rsidRPr="00F37057">
      <w:rPr>
        <w:rStyle w:val="PageNumber"/>
        <w:rFonts w:ascii="Tahoma" w:hAnsi="Tahoma" w:cs="Tahoma"/>
      </w:rPr>
      <w:fldChar w:fldCharType="begin"/>
    </w:r>
    <w:r w:rsidR="00212EB2" w:rsidRPr="00F37057">
      <w:rPr>
        <w:rStyle w:val="PageNumber"/>
        <w:rFonts w:ascii="Tahoma" w:hAnsi="Tahoma" w:cs="Tahoma"/>
      </w:rPr>
      <w:instrText xml:space="preserve"> PAGE </w:instrText>
    </w:r>
    <w:r w:rsidRPr="00F37057">
      <w:rPr>
        <w:rStyle w:val="PageNumber"/>
        <w:rFonts w:ascii="Tahoma" w:hAnsi="Tahoma" w:cs="Tahoma"/>
      </w:rPr>
      <w:fldChar w:fldCharType="separate"/>
    </w:r>
    <w:r w:rsidR="00BA6377">
      <w:rPr>
        <w:rStyle w:val="PageNumber"/>
        <w:rFonts w:ascii="Tahoma" w:hAnsi="Tahoma" w:cs="Tahoma"/>
        <w:noProof/>
      </w:rPr>
      <w:t>130</w:t>
    </w:r>
    <w:r w:rsidRPr="00F37057">
      <w:rPr>
        <w:rStyle w:val="PageNumber"/>
        <w:rFonts w:ascii="Tahoma" w:hAnsi="Tahoma" w:cs="Tahoma"/>
      </w:rPr>
      <w:fldChar w:fldCharType="end"/>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F37057" w:rsidRDefault="00212EB2" w:rsidP="00652F81">
    <w:pPr>
      <w:pStyle w:val="Footer"/>
      <w:tabs>
        <w:tab w:val="clear" w:pos="8306"/>
        <w:tab w:val="right" w:pos="9000"/>
      </w:tabs>
      <w:ind w:right="70"/>
      <w:rPr>
        <w:rFonts w:ascii="Tahoma" w:hAnsi="Tahoma" w:cs="Tahoma"/>
      </w:rPr>
    </w:pPr>
    <w:r>
      <w:rPr>
        <w:rStyle w:val="PageNumber"/>
        <w:rFonts w:ascii="Tahoma" w:hAnsi="Tahoma" w:cs="Tahoma"/>
      </w:rPr>
      <w:tab/>
    </w:r>
    <w:r>
      <w:rPr>
        <w:rStyle w:val="PageNumber"/>
        <w:rFonts w:ascii="Tahoma" w:hAnsi="Tahoma" w:cs="Tahoma"/>
      </w:rPr>
      <w:tab/>
    </w:r>
    <w:r w:rsidR="0073051F" w:rsidRPr="00F37057">
      <w:rPr>
        <w:rStyle w:val="PageNumber"/>
        <w:rFonts w:ascii="Tahoma" w:hAnsi="Tahoma" w:cs="Tahoma"/>
      </w:rPr>
      <w:fldChar w:fldCharType="begin"/>
    </w:r>
    <w:r w:rsidRPr="00F37057">
      <w:rPr>
        <w:rStyle w:val="PageNumber"/>
        <w:rFonts w:ascii="Tahoma" w:hAnsi="Tahoma" w:cs="Tahoma"/>
      </w:rPr>
      <w:instrText xml:space="preserve"> PAGE </w:instrText>
    </w:r>
    <w:r w:rsidR="0073051F" w:rsidRPr="00F37057">
      <w:rPr>
        <w:rStyle w:val="PageNumber"/>
        <w:rFonts w:ascii="Tahoma" w:hAnsi="Tahoma" w:cs="Tahoma"/>
      </w:rPr>
      <w:fldChar w:fldCharType="separate"/>
    </w:r>
    <w:r w:rsidR="00BA6377">
      <w:rPr>
        <w:rStyle w:val="PageNumber"/>
        <w:rFonts w:ascii="Tahoma" w:hAnsi="Tahoma" w:cs="Tahoma"/>
        <w:noProof/>
      </w:rPr>
      <w:t>131</w:t>
    </w:r>
    <w:r w:rsidR="0073051F" w:rsidRPr="00F37057">
      <w:rPr>
        <w:rStyle w:val="PageNumber"/>
        <w:rFonts w:ascii="Tahoma" w:hAnsi="Tahoma" w:cs="Tahoma"/>
      </w:rPr>
      <w:fldChar w:fldCharType="end"/>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F37057" w:rsidRDefault="00212EB2" w:rsidP="00652F81">
    <w:pPr>
      <w:pStyle w:val="Footer"/>
      <w:tabs>
        <w:tab w:val="clear" w:pos="8306"/>
        <w:tab w:val="right" w:pos="9000"/>
      </w:tabs>
      <w:ind w:right="70"/>
      <w:rPr>
        <w:rFonts w:ascii="Tahoma" w:hAnsi="Tahoma" w:cs="Tahoma"/>
      </w:rPr>
    </w:pPr>
    <w:r>
      <w:rPr>
        <w:rStyle w:val="PageNumber"/>
        <w:rFonts w:ascii="Tahoma" w:hAnsi="Tahoma" w:cs="Tahoma"/>
        <w:lang w:val="en-US"/>
      </w:rPr>
      <w:tab/>
    </w:r>
    <w:r>
      <w:rPr>
        <w:rStyle w:val="PageNumber"/>
        <w:rFonts w:ascii="Tahoma" w:hAnsi="Tahoma" w:cs="Tahoma"/>
        <w:lang w:val="en-US"/>
      </w:rPr>
      <w:tab/>
    </w:r>
    <w:r w:rsidR="0073051F" w:rsidRPr="00F37057">
      <w:rPr>
        <w:rStyle w:val="PageNumber"/>
        <w:rFonts w:ascii="Tahoma" w:hAnsi="Tahoma" w:cs="Tahoma"/>
      </w:rPr>
      <w:fldChar w:fldCharType="begin"/>
    </w:r>
    <w:r w:rsidRPr="00F37057">
      <w:rPr>
        <w:rStyle w:val="PageNumber"/>
        <w:rFonts w:ascii="Tahoma" w:hAnsi="Tahoma" w:cs="Tahoma"/>
      </w:rPr>
      <w:instrText xml:space="preserve"> PAGE </w:instrText>
    </w:r>
    <w:r w:rsidR="0073051F" w:rsidRPr="00F37057">
      <w:rPr>
        <w:rStyle w:val="PageNumber"/>
        <w:rFonts w:ascii="Tahoma" w:hAnsi="Tahoma" w:cs="Tahoma"/>
      </w:rPr>
      <w:fldChar w:fldCharType="separate"/>
    </w:r>
    <w:r w:rsidR="00BA6377">
      <w:rPr>
        <w:rStyle w:val="PageNumber"/>
        <w:rFonts w:ascii="Tahoma" w:hAnsi="Tahoma" w:cs="Tahoma"/>
        <w:noProof/>
      </w:rPr>
      <w:t>132</w:t>
    </w:r>
    <w:r w:rsidR="0073051F" w:rsidRPr="00F37057">
      <w:rPr>
        <w:rStyle w:val="PageNumber"/>
        <w:rFonts w:ascii="Tahoma" w:hAnsi="Tahoma" w:cs="Tahoma"/>
      </w:rPr>
      <w:fldChar w:fldCharType="end"/>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F37057" w:rsidRDefault="00212EB2" w:rsidP="00652F81">
    <w:pPr>
      <w:pStyle w:val="Footer"/>
      <w:tabs>
        <w:tab w:val="clear" w:pos="8306"/>
        <w:tab w:val="right" w:pos="9000"/>
      </w:tabs>
      <w:ind w:right="70"/>
      <w:rPr>
        <w:rFonts w:ascii="Tahoma" w:hAnsi="Tahoma" w:cs="Tahoma"/>
      </w:rPr>
    </w:pPr>
    <w:r>
      <w:rPr>
        <w:rStyle w:val="PageNumber"/>
        <w:rFonts w:ascii="Tahoma" w:hAnsi="Tahoma" w:cs="Tahoma"/>
      </w:rPr>
      <w:tab/>
    </w:r>
    <w:r>
      <w:rPr>
        <w:rStyle w:val="PageNumber"/>
        <w:rFonts w:ascii="Tahoma" w:hAnsi="Tahoma" w:cs="Tahoma"/>
      </w:rPr>
      <w:tab/>
    </w:r>
    <w:r w:rsidR="0073051F" w:rsidRPr="00F37057">
      <w:rPr>
        <w:rStyle w:val="PageNumber"/>
        <w:rFonts w:ascii="Tahoma" w:hAnsi="Tahoma" w:cs="Tahoma"/>
      </w:rPr>
      <w:fldChar w:fldCharType="begin"/>
    </w:r>
    <w:r w:rsidRPr="00F37057">
      <w:rPr>
        <w:rStyle w:val="PageNumber"/>
        <w:rFonts w:ascii="Tahoma" w:hAnsi="Tahoma" w:cs="Tahoma"/>
      </w:rPr>
      <w:instrText xml:space="preserve"> PAGE </w:instrText>
    </w:r>
    <w:r w:rsidR="0073051F" w:rsidRPr="00F37057">
      <w:rPr>
        <w:rStyle w:val="PageNumber"/>
        <w:rFonts w:ascii="Tahoma" w:hAnsi="Tahoma" w:cs="Tahoma"/>
      </w:rPr>
      <w:fldChar w:fldCharType="separate"/>
    </w:r>
    <w:r w:rsidR="00BA6377">
      <w:rPr>
        <w:rStyle w:val="PageNumber"/>
        <w:rFonts w:ascii="Tahoma" w:hAnsi="Tahoma" w:cs="Tahoma"/>
        <w:noProof/>
      </w:rPr>
      <w:t>135</w:t>
    </w:r>
    <w:r w:rsidR="0073051F" w:rsidRPr="00F37057">
      <w:rPr>
        <w:rStyle w:val="PageNumber"/>
        <w:rFonts w:ascii="Tahoma" w:hAnsi="Tahoma" w:cs="Tahoma"/>
      </w:rPr>
      <w:fldChar w:fldCharType="end"/>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F37057" w:rsidRDefault="0073051F" w:rsidP="00652F81">
    <w:pPr>
      <w:pStyle w:val="Footer"/>
      <w:tabs>
        <w:tab w:val="clear" w:pos="8306"/>
        <w:tab w:val="right" w:pos="9000"/>
      </w:tabs>
      <w:ind w:right="70"/>
      <w:rPr>
        <w:rFonts w:ascii="Tahoma" w:hAnsi="Tahoma" w:cs="Tahoma"/>
      </w:rPr>
    </w:pPr>
    <w:r w:rsidRPr="00F37057">
      <w:rPr>
        <w:rStyle w:val="PageNumber"/>
        <w:rFonts w:ascii="Tahoma" w:hAnsi="Tahoma" w:cs="Tahoma"/>
      </w:rPr>
      <w:fldChar w:fldCharType="begin"/>
    </w:r>
    <w:r w:rsidR="00212EB2" w:rsidRPr="00F37057">
      <w:rPr>
        <w:rStyle w:val="PageNumber"/>
        <w:rFonts w:ascii="Tahoma" w:hAnsi="Tahoma" w:cs="Tahoma"/>
      </w:rPr>
      <w:instrText xml:space="preserve"> PAGE </w:instrText>
    </w:r>
    <w:r w:rsidRPr="00F37057">
      <w:rPr>
        <w:rStyle w:val="PageNumber"/>
        <w:rFonts w:ascii="Tahoma" w:hAnsi="Tahoma" w:cs="Tahoma"/>
      </w:rPr>
      <w:fldChar w:fldCharType="separate"/>
    </w:r>
    <w:r w:rsidR="00BA6377">
      <w:rPr>
        <w:rStyle w:val="PageNumber"/>
        <w:rFonts w:ascii="Tahoma" w:hAnsi="Tahoma" w:cs="Tahoma"/>
        <w:noProof/>
      </w:rPr>
      <w:t>136</w:t>
    </w:r>
    <w:r w:rsidRPr="00F37057">
      <w:rPr>
        <w:rStyle w:val="PageNumber"/>
        <w:rFonts w:ascii="Tahoma" w:hAnsi="Tahoma" w:cs="Tahoma"/>
      </w:rPr>
      <w:fldChar w:fldCharType="end"/>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F37057" w:rsidRDefault="00212EB2" w:rsidP="00652F81">
    <w:pPr>
      <w:pStyle w:val="Footer"/>
      <w:tabs>
        <w:tab w:val="clear" w:pos="8306"/>
        <w:tab w:val="right" w:pos="9000"/>
      </w:tabs>
      <w:ind w:right="70"/>
      <w:rPr>
        <w:rFonts w:ascii="Tahoma" w:hAnsi="Tahoma" w:cs="Tahoma"/>
      </w:rPr>
    </w:pPr>
    <w:r>
      <w:rPr>
        <w:rStyle w:val="PageNumber"/>
        <w:rFonts w:ascii="Tahoma" w:hAnsi="Tahoma" w:cs="Tahoma"/>
      </w:rPr>
      <w:tab/>
    </w:r>
    <w:r>
      <w:rPr>
        <w:rStyle w:val="PageNumber"/>
        <w:rFonts w:ascii="Tahoma" w:hAnsi="Tahoma" w:cs="Tahoma"/>
      </w:rPr>
      <w:tab/>
    </w:r>
    <w:r w:rsidR="0073051F" w:rsidRPr="00F37057">
      <w:rPr>
        <w:rStyle w:val="PageNumber"/>
        <w:rFonts w:ascii="Tahoma" w:hAnsi="Tahoma" w:cs="Tahoma"/>
      </w:rPr>
      <w:fldChar w:fldCharType="begin"/>
    </w:r>
    <w:r w:rsidRPr="00F37057">
      <w:rPr>
        <w:rStyle w:val="PageNumber"/>
        <w:rFonts w:ascii="Tahoma" w:hAnsi="Tahoma" w:cs="Tahoma"/>
      </w:rPr>
      <w:instrText xml:space="preserve"> PAGE </w:instrText>
    </w:r>
    <w:r w:rsidR="0073051F" w:rsidRPr="00F37057">
      <w:rPr>
        <w:rStyle w:val="PageNumber"/>
        <w:rFonts w:ascii="Tahoma" w:hAnsi="Tahoma" w:cs="Tahoma"/>
      </w:rPr>
      <w:fldChar w:fldCharType="separate"/>
    </w:r>
    <w:r w:rsidR="00BA6377">
      <w:rPr>
        <w:rStyle w:val="PageNumber"/>
        <w:rFonts w:ascii="Tahoma" w:hAnsi="Tahoma" w:cs="Tahoma"/>
        <w:noProof/>
      </w:rPr>
      <w:t>137</w:t>
    </w:r>
    <w:r w:rsidR="0073051F" w:rsidRPr="00F37057">
      <w:rPr>
        <w:rStyle w:val="PageNumber"/>
        <w:rFonts w:ascii="Tahoma" w:hAnsi="Tahoma" w:cs="Tahoma"/>
      </w:rPr>
      <w:fldChar w:fldCharType="end"/>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F37057" w:rsidRDefault="0073051F" w:rsidP="00652F81">
    <w:pPr>
      <w:pStyle w:val="Footer"/>
      <w:tabs>
        <w:tab w:val="clear" w:pos="8306"/>
        <w:tab w:val="right" w:pos="9000"/>
      </w:tabs>
      <w:ind w:right="70"/>
      <w:rPr>
        <w:rFonts w:ascii="Tahoma" w:hAnsi="Tahoma" w:cs="Tahoma"/>
      </w:rPr>
    </w:pPr>
    <w:r w:rsidRPr="00F37057">
      <w:rPr>
        <w:rStyle w:val="PageNumber"/>
        <w:rFonts w:ascii="Tahoma" w:hAnsi="Tahoma" w:cs="Tahoma"/>
      </w:rPr>
      <w:fldChar w:fldCharType="begin"/>
    </w:r>
    <w:r w:rsidR="00212EB2" w:rsidRPr="00F37057">
      <w:rPr>
        <w:rStyle w:val="PageNumber"/>
        <w:rFonts w:ascii="Tahoma" w:hAnsi="Tahoma" w:cs="Tahoma"/>
      </w:rPr>
      <w:instrText xml:space="preserve"> PAGE </w:instrText>
    </w:r>
    <w:r w:rsidRPr="00F37057">
      <w:rPr>
        <w:rStyle w:val="PageNumber"/>
        <w:rFonts w:ascii="Tahoma" w:hAnsi="Tahoma" w:cs="Tahoma"/>
      </w:rPr>
      <w:fldChar w:fldCharType="separate"/>
    </w:r>
    <w:r w:rsidR="00BA6377">
      <w:rPr>
        <w:rStyle w:val="PageNumber"/>
        <w:rFonts w:ascii="Tahoma" w:hAnsi="Tahoma" w:cs="Tahoma"/>
        <w:noProof/>
      </w:rPr>
      <w:t>138</w:t>
    </w:r>
    <w:r w:rsidRPr="00F37057">
      <w:rPr>
        <w:rStyle w:val="PageNumber"/>
        <w:rFonts w:ascii="Tahoma" w:hAnsi="Tahoma" w:cs="Tahoma"/>
      </w:rPr>
      <w:fldChar w:fldCharType="end"/>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F37057" w:rsidRDefault="00212EB2" w:rsidP="00652F81">
    <w:pPr>
      <w:pStyle w:val="Footer"/>
      <w:tabs>
        <w:tab w:val="clear" w:pos="8306"/>
        <w:tab w:val="right" w:pos="9000"/>
      </w:tabs>
      <w:ind w:right="70"/>
      <w:rPr>
        <w:rFonts w:ascii="Tahoma" w:hAnsi="Tahoma" w:cs="Tahoma"/>
      </w:rPr>
    </w:pPr>
    <w:r>
      <w:rPr>
        <w:rStyle w:val="PageNumber"/>
        <w:rFonts w:ascii="Tahoma" w:hAnsi="Tahoma" w:cs="Tahoma"/>
      </w:rPr>
      <w:tab/>
    </w:r>
    <w:r>
      <w:rPr>
        <w:rStyle w:val="PageNumber"/>
        <w:rFonts w:ascii="Tahoma" w:hAnsi="Tahoma" w:cs="Tahoma"/>
      </w:rPr>
      <w:tab/>
    </w:r>
    <w:r w:rsidR="0073051F" w:rsidRPr="00F37057">
      <w:rPr>
        <w:rStyle w:val="PageNumber"/>
        <w:rFonts w:ascii="Tahoma" w:hAnsi="Tahoma" w:cs="Tahoma"/>
      </w:rPr>
      <w:fldChar w:fldCharType="begin"/>
    </w:r>
    <w:r w:rsidRPr="00F37057">
      <w:rPr>
        <w:rStyle w:val="PageNumber"/>
        <w:rFonts w:ascii="Tahoma" w:hAnsi="Tahoma" w:cs="Tahoma"/>
      </w:rPr>
      <w:instrText xml:space="preserve"> PAGE </w:instrText>
    </w:r>
    <w:r w:rsidR="0073051F" w:rsidRPr="00F37057">
      <w:rPr>
        <w:rStyle w:val="PageNumber"/>
        <w:rFonts w:ascii="Tahoma" w:hAnsi="Tahoma" w:cs="Tahoma"/>
      </w:rPr>
      <w:fldChar w:fldCharType="separate"/>
    </w:r>
    <w:r w:rsidR="00BA6377">
      <w:rPr>
        <w:rStyle w:val="PageNumber"/>
        <w:rFonts w:ascii="Tahoma" w:hAnsi="Tahoma" w:cs="Tahoma"/>
        <w:noProof/>
      </w:rPr>
      <w:t>139</w:t>
    </w:r>
    <w:r w:rsidR="0073051F" w:rsidRPr="00F37057">
      <w:rPr>
        <w:rStyle w:val="PageNumber"/>
        <w:rFonts w:ascii="Tahoma" w:hAnsi="Tahoma" w:cs="Tahoma"/>
      </w:rPr>
      <w:fldChar w:fldCharType="end"/>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F37057" w:rsidRDefault="0073051F" w:rsidP="00652F81">
    <w:pPr>
      <w:pStyle w:val="Footer"/>
      <w:tabs>
        <w:tab w:val="clear" w:pos="8306"/>
        <w:tab w:val="right" w:pos="9000"/>
      </w:tabs>
      <w:ind w:right="70"/>
      <w:rPr>
        <w:rFonts w:ascii="Tahoma" w:hAnsi="Tahoma" w:cs="Tahoma"/>
      </w:rPr>
    </w:pPr>
    <w:r w:rsidRPr="00F37057">
      <w:rPr>
        <w:rStyle w:val="PageNumber"/>
        <w:rFonts w:ascii="Tahoma" w:hAnsi="Tahoma" w:cs="Tahoma"/>
      </w:rPr>
      <w:fldChar w:fldCharType="begin"/>
    </w:r>
    <w:r w:rsidR="00212EB2" w:rsidRPr="00F37057">
      <w:rPr>
        <w:rStyle w:val="PageNumber"/>
        <w:rFonts w:ascii="Tahoma" w:hAnsi="Tahoma" w:cs="Tahoma"/>
      </w:rPr>
      <w:instrText xml:space="preserve"> PAGE </w:instrText>
    </w:r>
    <w:r w:rsidRPr="00F37057">
      <w:rPr>
        <w:rStyle w:val="PageNumber"/>
        <w:rFonts w:ascii="Tahoma" w:hAnsi="Tahoma" w:cs="Tahoma"/>
      </w:rPr>
      <w:fldChar w:fldCharType="separate"/>
    </w:r>
    <w:r w:rsidR="00BA6377">
      <w:rPr>
        <w:rStyle w:val="PageNumber"/>
        <w:rFonts w:ascii="Tahoma" w:hAnsi="Tahoma" w:cs="Tahoma"/>
        <w:noProof/>
      </w:rPr>
      <w:t>140</w:t>
    </w:r>
    <w:r w:rsidRPr="00F37057">
      <w:rPr>
        <w:rStyle w:val="PageNumber"/>
        <w:rFonts w:ascii="Tahoma" w:hAnsi="Tahoma" w:cs="Tahoma"/>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993B9A" w:rsidRDefault="0073051F" w:rsidP="003257F4">
    <w:pPr>
      <w:pStyle w:val="Footer"/>
      <w:framePr w:wrap="around" w:vAnchor="text" w:hAnchor="margin" w:xAlign="right" w:y="1"/>
      <w:rPr>
        <w:rStyle w:val="PageNumber"/>
        <w:rFonts w:ascii="Tahoma" w:hAnsi="Tahoma" w:cs="Tahoma"/>
      </w:rPr>
    </w:pPr>
    <w:r w:rsidRPr="00993B9A">
      <w:rPr>
        <w:rStyle w:val="PageNumber"/>
        <w:rFonts w:ascii="Tahoma" w:hAnsi="Tahoma" w:cs="Tahoma"/>
      </w:rPr>
      <w:fldChar w:fldCharType="begin"/>
    </w:r>
    <w:r w:rsidR="00212EB2" w:rsidRPr="00993B9A">
      <w:rPr>
        <w:rStyle w:val="PageNumber"/>
        <w:rFonts w:ascii="Tahoma" w:hAnsi="Tahoma" w:cs="Tahoma"/>
      </w:rPr>
      <w:instrText xml:space="preserve">PAGE  </w:instrText>
    </w:r>
    <w:r w:rsidRPr="00993B9A">
      <w:rPr>
        <w:rStyle w:val="PageNumber"/>
        <w:rFonts w:ascii="Tahoma" w:hAnsi="Tahoma" w:cs="Tahoma"/>
      </w:rPr>
      <w:fldChar w:fldCharType="separate"/>
    </w:r>
    <w:r w:rsidR="00212EB2">
      <w:rPr>
        <w:rStyle w:val="PageNumber"/>
        <w:rFonts w:ascii="Tahoma" w:hAnsi="Tahoma" w:cs="Tahoma"/>
        <w:noProof/>
      </w:rPr>
      <w:t>8</w:t>
    </w:r>
    <w:r w:rsidRPr="00993B9A">
      <w:rPr>
        <w:rStyle w:val="PageNumber"/>
        <w:rFonts w:ascii="Tahoma" w:hAnsi="Tahoma" w:cs="Tahoma"/>
      </w:rPr>
      <w:fldChar w:fldCharType="end"/>
    </w:r>
  </w:p>
  <w:p w:rsidR="00212EB2" w:rsidRDefault="00212EB2" w:rsidP="003257F4">
    <w:pPr>
      <w:pStyle w:val="Footer"/>
      <w:ind w:right="360"/>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F37057" w:rsidRDefault="00212EB2" w:rsidP="00652F81">
    <w:pPr>
      <w:pStyle w:val="Footer"/>
      <w:tabs>
        <w:tab w:val="clear" w:pos="8306"/>
        <w:tab w:val="right" w:pos="9000"/>
      </w:tabs>
      <w:ind w:right="70"/>
      <w:rPr>
        <w:rFonts w:ascii="Tahoma" w:hAnsi="Tahoma" w:cs="Tahoma"/>
      </w:rPr>
    </w:pPr>
    <w:r>
      <w:rPr>
        <w:rStyle w:val="PageNumber"/>
        <w:rFonts w:ascii="Tahoma" w:hAnsi="Tahoma" w:cs="Tahoma"/>
      </w:rPr>
      <w:tab/>
    </w:r>
    <w:r>
      <w:rPr>
        <w:rStyle w:val="PageNumber"/>
        <w:rFonts w:ascii="Tahoma" w:hAnsi="Tahoma" w:cs="Tahoma"/>
      </w:rPr>
      <w:tab/>
    </w:r>
    <w:r w:rsidR="0073051F" w:rsidRPr="00F37057">
      <w:rPr>
        <w:rStyle w:val="PageNumber"/>
        <w:rFonts w:ascii="Tahoma" w:hAnsi="Tahoma" w:cs="Tahoma"/>
      </w:rPr>
      <w:fldChar w:fldCharType="begin"/>
    </w:r>
    <w:r w:rsidRPr="00F37057">
      <w:rPr>
        <w:rStyle w:val="PageNumber"/>
        <w:rFonts w:ascii="Tahoma" w:hAnsi="Tahoma" w:cs="Tahoma"/>
      </w:rPr>
      <w:instrText xml:space="preserve"> PAGE </w:instrText>
    </w:r>
    <w:r w:rsidR="0073051F" w:rsidRPr="00F37057">
      <w:rPr>
        <w:rStyle w:val="PageNumber"/>
        <w:rFonts w:ascii="Tahoma" w:hAnsi="Tahoma" w:cs="Tahoma"/>
      </w:rPr>
      <w:fldChar w:fldCharType="separate"/>
    </w:r>
    <w:r w:rsidR="00BA6377">
      <w:rPr>
        <w:rStyle w:val="PageNumber"/>
        <w:rFonts w:ascii="Tahoma" w:hAnsi="Tahoma" w:cs="Tahoma"/>
        <w:noProof/>
      </w:rPr>
      <w:t>141</w:t>
    </w:r>
    <w:r w:rsidR="0073051F" w:rsidRPr="00F37057">
      <w:rPr>
        <w:rStyle w:val="PageNumber"/>
        <w:rFonts w:ascii="Tahoma" w:hAnsi="Tahoma" w:cs="Tahoma"/>
      </w:rPr>
      <w:fldChar w:fldCharType="end"/>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F37057" w:rsidRDefault="0073051F" w:rsidP="00652F81">
    <w:pPr>
      <w:pStyle w:val="Footer"/>
      <w:tabs>
        <w:tab w:val="clear" w:pos="8306"/>
        <w:tab w:val="right" w:pos="9000"/>
      </w:tabs>
      <w:ind w:right="70"/>
      <w:rPr>
        <w:rFonts w:ascii="Tahoma" w:hAnsi="Tahoma" w:cs="Tahoma"/>
      </w:rPr>
    </w:pPr>
    <w:r w:rsidRPr="00F37057">
      <w:rPr>
        <w:rStyle w:val="PageNumber"/>
        <w:rFonts w:ascii="Tahoma" w:hAnsi="Tahoma" w:cs="Tahoma"/>
      </w:rPr>
      <w:fldChar w:fldCharType="begin"/>
    </w:r>
    <w:r w:rsidR="00212EB2" w:rsidRPr="00F37057">
      <w:rPr>
        <w:rStyle w:val="PageNumber"/>
        <w:rFonts w:ascii="Tahoma" w:hAnsi="Tahoma" w:cs="Tahoma"/>
      </w:rPr>
      <w:instrText xml:space="preserve"> PAGE </w:instrText>
    </w:r>
    <w:r w:rsidRPr="00F37057">
      <w:rPr>
        <w:rStyle w:val="PageNumber"/>
        <w:rFonts w:ascii="Tahoma" w:hAnsi="Tahoma" w:cs="Tahoma"/>
      </w:rPr>
      <w:fldChar w:fldCharType="separate"/>
    </w:r>
    <w:r w:rsidR="00BA6377">
      <w:rPr>
        <w:rStyle w:val="PageNumber"/>
        <w:rFonts w:ascii="Tahoma" w:hAnsi="Tahoma" w:cs="Tahoma"/>
        <w:noProof/>
      </w:rPr>
      <w:t>142</w:t>
    </w:r>
    <w:r w:rsidRPr="00F37057">
      <w:rPr>
        <w:rStyle w:val="PageNumber"/>
        <w:rFonts w:ascii="Tahoma" w:hAnsi="Tahoma" w:cs="Tahoma"/>
      </w:rPr>
      <w:fldChar w:fldCharType="end"/>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DF9" w:rsidRPr="00F37057" w:rsidRDefault="004C5DF9" w:rsidP="00652F81">
    <w:pPr>
      <w:pStyle w:val="Footer"/>
      <w:tabs>
        <w:tab w:val="clear" w:pos="8306"/>
        <w:tab w:val="right" w:pos="9000"/>
      </w:tabs>
      <w:ind w:right="70"/>
      <w:rPr>
        <w:rFonts w:ascii="Tahoma" w:hAnsi="Tahoma" w:cs="Tahoma"/>
      </w:rPr>
    </w:pPr>
    <w:r>
      <w:rPr>
        <w:rStyle w:val="PageNumber"/>
        <w:rFonts w:ascii="Tahoma" w:hAnsi="Tahoma" w:cs="Tahoma"/>
        <w:lang w:val="en-US"/>
      </w:rPr>
      <w:tab/>
    </w:r>
    <w:r>
      <w:rPr>
        <w:rStyle w:val="PageNumber"/>
        <w:rFonts w:ascii="Tahoma" w:hAnsi="Tahoma" w:cs="Tahoma"/>
        <w:lang w:val="en-US"/>
      </w:rPr>
      <w:tab/>
    </w:r>
    <w:r w:rsidR="0073051F" w:rsidRPr="00F37057">
      <w:rPr>
        <w:rStyle w:val="PageNumber"/>
        <w:rFonts w:ascii="Tahoma" w:hAnsi="Tahoma" w:cs="Tahoma"/>
      </w:rPr>
      <w:fldChar w:fldCharType="begin"/>
    </w:r>
    <w:r w:rsidRPr="00F37057">
      <w:rPr>
        <w:rStyle w:val="PageNumber"/>
        <w:rFonts w:ascii="Tahoma" w:hAnsi="Tahoma" w:cs="Tahoma"/>
      </w:rPr>
      <w:instrText xml:space="preserve"> PAGE </w:instrText>
    </w:r>
    <w:r w:rsidR="0073051F" w:rsidRPr="00F37057">
      <w:rPr>
        <w:rStyle w:val="PageNumber"/>
        <w:rFonts w:ascii="Tahoma" w:hAnsi="Tahoma" w:cs="Tahoma"/>
      </w:rPr>
      <w:fldChar w:fldCharType="separate"/>
    </w:r>
    <w:r w:rsidR="00BA6377">
      <w:rPr>
        <w:rStyle w:val="PageNumber"/>
        <w:rFonts w:ascii="Tahoma" w:hAnsi="Tahoma" w:cs="Tahoma"/>
        <w:noProof/>
      </w:rPr>
      <w:t>143</w:t>
    </w:r>
    <w:r w:rsidR="0073051F" w:rsidRPr="00F37057">
      <w:rPr>
        <w:rStyle w:val="PageNumber"/>
        <w:rFonts w:ascii="Tahoma" w:hAnsi="Tahoma" w:cs="Tahoma"/>
      </w:rPr>
      <w:fldChar w:fldCharType="end"/>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DF9" w:rsidRPr="00F37057" w:rsidRDefault="0073051F" w:rsidP="00652F81">
    <w:pPr>
      <w:pStyle w:val="Footer"/>
      <w:tabs>
        <w:tab w:val="clear" w:pos="8306"/>
        <w:tab w:val="right" w:pos="9000"/>
      </w:tabs>
      <w:ind w:right="70"/>
      <w:rPr>
        <w:rFonts w:ascii="Tahoma" w:hAnsi="Tahoma" w:cs="Tahoma"/>
      </w:rPr>
    </w:pPr>
    <w:r w:rsidRPr="00F37057">
      <w:rPr>
        <w:rStyle w:val="PageNumber"/>
        <w:rFonts w:ascii="Tahoma" w:hAnsi="Tahoma" w:cs="Tahoma"/>
      </w:rPr>
      <w:fldChar w:fldCharType="begin"/>
    </w:r>
    <w:r w:rsidR="004C5DF9" w:rsidRPr="00F37057">
      <w:rPr>
        <w:rStyle w:val="PageNumber"/>
        <w:rFonts w:ascii="Tahoma" w:hAnsi="Tahoma" w:cs="Tahoma"/>
      </w:rPr>
      <w:instrText xml:space="preserve"> PAGE </w:instrText>
    </w:r>
    <w:r w:rsidRPr="00F37057">
      <w:rPr>
        <w:rStyle w:val="PageNumber"/>
        <w:rFonts w:ascii="Tahoma" w:hAnsi="Tahoma" w:cs="Tahoma"/>
      </w:rPr>
      <w:fldChar w:fldCharType="separate"/>
    </w:r>
    <w:r w:rsidR="00BA6377">
      <w:rPr>
        <w:rStyle w:val="PageNumber"/>
        <w:rFonts w:ascii="Tahoma" w:hAnsi="Tahoma" w:cs="Tahoma"/>
        <w:noProof/>
      </w:rPr>
      <w:t>144</w:t>
    </w:r>
    <w:r w:rsidRPr="00F37057">
      <w:rPr>
        <w:rStyle w:val="PageNumber"/>
        <w:rFonts w:ascii="Tahoma" w:hAnsi="Tahoma" w:cs="Tahoma"/>
      </w:rPr>
      <w:fldChar w:fldCharType="end"/>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F37057" w:rsidRDefault="00212EB2" w:rsidP="00652F81">
    <w:pPr>
      <w:pStyle w:val="Footer"/>
      <w:tabs>
        <w:tab w:val="clear" w:pos="8306"/>
        <w:tab w:val="right" w:pos="9000"/>
      </w:tabs>
      <w:ind w:right="70"/>
      <w:rPr>
        <w:rFonts w:ascii="Tahoma" w:hAnsi="Tahoma" w:cs="Tahoma"/>
      </w:rPr>
    </w:pPr>
    <w:r>
      <w:rPr>
        <w:rStyle w:val="PageNumber"/>
        <w:rFonts w:ascii="Tahoma" w:hAnsi="Tahoma" w:cs="Tahoma"/>
        <w:lang w:val="en-US"/>
      </w:rPr>
      <w:tab/>
    </w:r>
    <w:r>
      <w:rPr>
        <w:rStyle w:val="PageNumber"/>
        <w:rFonts w:ascii="Tahoma" w:hAnsi="Tahoma" w:cs="Tahoma"/>
        <w:lang w:val="en-US"/>
      </w:rPr>
      <w:tab/>
    </w:r>
    <w:r w:rsidR="0073051F" w:rsidRPr="00F37057">
      <w:rPr>
        <w:rStyle w:val="PageNumber"/>
        <w:rFonts w:ascii="Tahoma" w:hAnsi="Tahoma" w:cs="Tahoma"/>
      </w:rPr>
      <w:fldChar w:fldCharType="begin"/>
    </w:r>
    <w:r w:rsidRPr="00F37057">
      <w:rPr>
        <w:rStyle w:val="PageNumber"/>
        <w:rFonts w:ascii="Tahoma" w:hAnsi="Tahoma" w:cs="Tahoma"/>
      </w:rPr>
      <w:instrText xml:space="preserve"> PAGE </w:instrText>
    </w:r>
    <w:r w:rsidR="0073051F" w:rsidRPr="00F37057">
      <w:rPr>
        <w:rStyle w:val="PageNumber"/>
        <w:rFonts w:ascii="Tahoma" w:hAnsi="Tahoma" w:cs="Tahoma"/>
      </w:rPr>
      <w:fldChar w:fldCharType="separate"/>
    </w:r>
    <w:r w:rsidR="00BA6377">
      <w:rPr>
        <w:rStyle w:val="PageNumber"/>
        <w:rFonts w:ascii="Tahoma" w:hAnsi="Tahoma" w:cs="Tahoma"/>
        <w:noProof/>
      </w:rPr>
      <w:t>145</w:t>
    </w:r>
    <w:r w:rsidR="0073051F" w:rsidRPr="00F37057">
      <w:rPr>
        <w:rStyle w:val="PageNumber"/>
        <w:rFonts w:ascii="Tahoma" w:hAnsi="Tahoma" w:cs="Tahoma"/>
      </w:rPr>
      <w:fldChar w:fldCharType="end"/>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F37057" w:rsidRDefault="004C5DF9" w:rsidP="00652F81">
    <w:pPr>
      <w:pStyle w:val="Footer"/>
      <w:tabs>
        <w:tab w:val="clear" w:pos="8306"/>
        <w:tab w:val="right" w:pos="9000"/>
      </w:tabs>
      <w:ind w:right="70"/>
      <w:rPr>
        <w:rFonts w:ascii="Tahoma" w:hAnsi="Tahoma" w:cs="Tahoma"/>
      </w:rPr>
    </w:pPr>
    <w:r>
      <w:rPr>
        <w:rStyle w:val="PageNumber"/>
        <w:rFonts w:ascii="Tahoma" w:hAnsi="Tahoma" w:cs="Tahoma"/>
        <w:lang w:val="en-US"/>
      </w:rPr>
      <w:tab/>
    </w:r>
    <w:r>
      <w:rPr>
        <w:rStyle w:val="PageNumber"/>
        <w:rFonts w:ascii="Tahoma" w:hAnsi="Tahoma" w:cs="Tahoma"/>
        <w:lang w:val="en-US"/>
      </w:rPr>
      <w:tab/>
    </w:r>
    <w:r w:rsidR="0073051F" w:rsidRPr="00F37057">
      <w:rPr>
        <w:rStyle w:val="PageNumber"/>
        <w:rFonts w:ascii="Tahoma" w:hAnsi="Tahoma" w:cs="Tahoma"/>
      </w:rPr>
      <w:fldChar w:fldCharType="begin"/>
    </w:r>
    <w:r w:rsidR="00212EB2" w:rsidRPr="00F37057">
      <w:rPr>
        <w:rStyle w:val="PageNumber"/>
        <w:rFonts w:ascii="Tahoma" w:hAnsi="Tahoma" w:cs="Tahoma"/>
      </w:rPr>
      <w:instrText xml:space="preserve"> PAGE </w:instrText>
    </w:r>
    <w:r w:rsidR="0073051F" w:rsidRPr="00F37057">
      <w:rPr>
        <w:rStyle w:val="PageNumber"/>
        <w:rFonts w:ascii="Tahoma" w:hAnsi="Tahoma" w:cs="Tahoma"/>
      </w:rPr>
      <w:fldChar w:fldCharType="separate"/>
    </w:r>
    <w:r w:rsidR="00BA6377">
      <w:rPr>
        <w:rStyle w:val="PageNumber"/>
        <w:rFonts w:ascii="Tahoma" w:hAnsi="Tahoma" w:cs="Tahoma"/>
        <w:noProof/>
      </w:rPr>
      <w:t>146</w:t>
    </w:r>
    <w:r w:rsidR="0073051F" w:rsidRPr="00F37057">
      <w:rPr>
        <w:rStyle w:val="PageNumber"/>
        <w:rFonts w:ascii="Tahoma" w:hAnsi="Tahoma" w:cs="Tahoma"/>
      </w:rPr>
      <w:fldChar w:fldCharType="end"/>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DF9" w:rsidRPr="00F37057" w:rsidRDefault="004C5DF9" w:rsidP="00652F81">
    <w:pPr>
      <w:pStyle w:val="Footer"/>
      <w:tabs>
        <w:tab w:val="clear" w:pos="8306"/>
        <w:tab w:val="right" w:pos="9000"/>
      </w:tabs>
      <w:ind w:right="70"/>
      <w:rPr>
        <w:rFonts w:ascii="Tahoma" w:hAnsi="Tahoma" w:cs="Tahoma"/>
      </w:rPr>
    </w:pPr>
    <w:r>
      <w:rPr>
        <w:rStyle w:val="PageNumber"/>
        <w:rFonts w:ascii="Tahoma" w:hAnsi="Tahoma" w:cs="Tahoma"/>
        <w:lang w:val="en-US"/>
      </w:rPr>
      <w:tab/>
    </w:r>
    <w:r>
      <w:rPr>
        <w:rStyle w:val="PageNumber"/>
        <w:rFonts w:ascii="Tahoma" w:hAnsi="Tahoma" w:cs="Tahoma"/>
        <w:lang w:val="en-US"/>
      </w:rPr>
      <w:tab/>
    </w:r>
    <w:r w:rsidR="0073051F" w:rsidRPr="00F37057">
      <w:rPr>
        <w:rStyle w:val="PageNumber"/>
        <w:rFonts w:ascii="Tahoma" w:hAnsi="Tahoma" w:cs="Tahoma"/>
      </w:rPr>
      <w:fldChar w:fldCharType="begin"/>
    </w:r>
    <w:r w:rsidRPr="00F37057">
      <w:rPr>
        <w:rStyle w:val="PageNumber"/>
        <w:rFonts w:ascii="Tahoma" w:hAnsi="Tahoma" w:cs="Tahoma"/>
      </w:rPr>
      <w:instrText xml:space="preserve"> PAGE </w:instrText>
    </w:r>
    <w:r w:rsidR="0073051F" w:rsidRPr="00F37057">
      <w:rPr>
        <w:rStyle w:val="PageNumber"/>
        <w:rFonts w:ascii="Tahoma" w:hAnsi="Tahoma" w:cs="Tahoma"/>
      </w:rPr>
      <w:fldChar w:fldCharType="separate"/>
    </w:r>
    <w:r w:rsidR="00BA6377">
      <w:rPr>
        <w:rStyle w:val="PageNumber"/>
        <w:rFonts w:ascii="Tahoma" w:hAnsi="Tahoma" w:cs="Tahoma"/>
        <w:noProof/>
      </w:rPr>
      <w:t>147</w:t>
    </w:r>
    <w:r w:rsidR="0073051F" w:rsidRPr="00F37057">
      <w:rPr>
        <w:rStyle w:val="PageNumber"/>
        <w:rFonts w:ascii="Tahoma" w:hAnsi="Tahoma" w:cs="Tahoma"/>
      </w:rPr>
      <w:fldChar w:fldCharType="end"/>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F37057" w:rsidRDefault="0073051F" w:rsidP="00652F81">
    <w:pPr>
      <w:pStyle w:val="Footer"/>
      <w:tabs>
        <w:tab w:val="clear" w:pos="8306"/>
        <w:tab w:val="right" w:pos="9000"/>
      </w:tabs>
      <w:ind w:right="70"/>
      <w:rPr>
        <w:rFonts w:ascii="Tahoma" w:hAnsi="Tahoma" w:cs="Tahoma"/>
      </w:rPr>
    </w:pPr>
    <w:r w:rsidRPr="00F37057">
      <w:rPr>
        <w:rStyle w:val="PageNumber"/>
        <w:rFonts w:ascii="Tahoma" w:hAnsi="Tahoma" w:cs="Tahoma"/>
      </w:rPr>
      <w:fldChar w:fldCharType="begin"/>
    </w:r>
    <w:r w:rsidR="00212EB2" w:rsidRPr="00F37057">
      <w:rPr>
        <w:rStyle w:val="PageNumber"/>
        <w:rFonts w:ascii="Tahoma" w:hAnsi="Tahoma" w:cs="Tahoma"/>
      </w:rPr>
      <w:instrText xml:space="preserve"> PAGE </w:instrText>
    </w:r>
    <w:r w:rsidRPr="00F37057">
      <w:rPr>
        <w:rStyle w:val="PageNumber"/>
        <w:rFonts w:ascii="Tahoma" w:hAnsi="Tahoma" w:cs="Tahoma"/>
      </w:rPr>
      <w:fldChar w:fldCharType="separate"/>
    </w:r>
    <w:r w:rsidR="00BA6377">
      <w:rPr>
        <w:rStyle w:val="PageNumber"/>
        <w:rFonts w:ascii="Tahoma" w:hAnsi="Tahoma" w:cs="Tahoma"/>
        <w:noProof/>
      </w:rPr>
      <w:t>148</w:t>
    </w:r>
    <w:r w:rsidRPr="00F37057">
      <w:rPr>
        <w:rStyle w:val="PageNumber"/>
        <w:rFonts w:ascii="Tahoma" w:hAnsi="Tahoma" w:cs="Tahoma"/>
      </w:rPr>
      <w:fldChar w:fldCharType="end"/>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F37057" w:rsidRDefault="004C5DF9" w:rsidP="00652F81">
    <w:pPr>
      <w:pStyle w:val="Footer"/>
      <w:tabs>
        <w:tab w:val="clear" w:pos="8306"/>
        <w:tab w:val="right" w:pos="9000"/>
      </w:tabs>
      <w:ind w:right="70"/>
      <w:rPr>
        <w:rFonts w:ascii="Tahoma" w:hAnsi="Tahoma" w:cs="Tahoma"/>
      </w:rPr>
    </w:pPr>
    <w:r>
      <w:rPr>
        <w:rStyle w:val="PageNumber"/>
        <w:rFonts w:ascii="Tahoma" w:hAnsi="Tahoma" w:cs="Tahoma"/>
        <w:lang w:val="en-US"/>
      </w:rPr>
      <w:tab/>
    </w:r>
    <w:r>
      <w:rPr>
        <w:rStyle w:val="PageNumber"/>
        <w:rFonts w:ascii="Tahoma" w:hAnsi="Tahoma" w:cs="Tahoma"/>
        <w:lang w:val="en-US"/>
      </w:rPr>
      <w:tab/>
    </w:r>
    <w:r w:rsidR="0073051F" w:rsidRPr="00F37057">
      <w:rPr>
        <w:rStyle w:val="PageNumber"/>
        <w:rFonts w:ascii="Tahoma" w:hAnsi="Tahoma" w:cs="Tahoma"/>
      </w:rPr>
      <w:fldChar w:fldCharType="begin"/>
    </w:r>
    <w:r w:rsidR="00212EB2" w:rsidRPr="00F37057">
      <w:rPr>
        <w:rStyle w:val="PageNumber"/>
        <w:rFonts w:ascii="Tahoma" w:hAnsi="Tahoma" w:cs="Tahoma"/>
      </w:rPr>
      <w:instrText xml:space="preserve"> PAGE </w:instrText>
    </w:r>
    <w:r w:rsidR="0073051F" w:rsidRPr="00F37057">
      <w:rPr>
        <w:rStyle w:val="PageNumber"/>
        <w:rFonts w:ascii="Tahoma" w:hAnsi="Tahoma" w:cs="Tahoma"/>
      </w:rPr>
      <w:fldChar w:fldCharType="separate"/>
    </w:r>
    <w:r w:rsidR="00BA6377">
      <w:rPr>
        <w:rStyle w:val="PageNumber"/>
        <w:rFonts w:ascii="Tahoma" w:hAnsi="Tahoma" w:cs="Tahoma"/>
        <w:noProof/>
      </w:rPr>
      <w:t>149</w:t>
    </w:r>
    <w:r w:rsidR="0073051F" w:rsidRPr="00F37057">
      <w:rPr>
        <w:rStyle w:val="PageNumber"/>
        <w:rFonts w:ascii="Tahoma" w:hAnsi="Tahoma" w:cs="Tahoma"/>
      </w:rPr>
      <w:fldChar w:fldCharType="end"/>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F37057" w:rsidRDefault="00212EB2" w:rsidP="00591211">
    <w:pPr>
      <w:pStyle w:val="Footer"/>
      <w:tabs>
        <w:tab w:val="clear" w:pos="8306"/>
        <w:tab w:val="right" w:pos="9000"/>
      </w:tabs>
      <w:ind w:right="70"/>
      <w:rPr>
        <w:rFonts w:ascii="Tahoma" w:hAnsi="Tahoma" w:cs="Tahoma"/>
      </w:rPr>
    </w:pPr>
    <w:r>
      <w:rPr>
        <w:rStyle w:val="PageNumber"/>
        <w:rFonts w:ascii="Tahoma" w:hAnsi="Tahoma" w:cs="Tahoma"/>
      </w:rPr>
      <w:tab/>
    </w:r>
    <w:r>
      <w:rPr>
        <w:rStyle w:val="PageNumber"/>
        <w:rFonts w:ascii="Tahoma" w:hAnsi="Tahoma" w:cs="Tahoma"/>
      </w:rPr>
      <w:tab/>
    </w:r>
    <w:r w:rsidR="0073051F" w:rsidRPr="00F37057">
      <w:rPr>
        <w:rStyle w:val="PageNumber"/>
        <w:rFonts w:ascii="Tahoma" w:hAnsi="Tahoma" w:cs="Tahoma"/>
      </w:rPr>
      <w:fldChar w:fldCharType="begin"/>
    </w:r>
    <w:r w:rsidRPr="00F37057">
      <w:rPr>
        <w:rStyle w:val="PageNumber"/>
        <w:rFonts w:ascii="Tahoma" w:hAnsi="Tahoma" w:cs="Tahoma"/>
      </w:rPr>
      <w:instrText xml:space="preserve"> PAGE </w:instrText>
    </w:r>
    <w:r w:rsidR="0073051F" w:rsidRPr="00F37057">
      <w:rPr>
        <w:rStyle w:val="PageNumber"/>
        <w:rFonts w:ascii="Tahoma" w:hAnsi="Tahoma" w:cs="Tahoma"/>
      </w:rPr>
      <w:fldChar w:fldCharType="separate"/>
    </w:r>
    <w:r w:rsidR="00BA6377">
      <w:rPr>
        <w:rStyle w:val="PageNumber"/>
        <w:rFonts w:ascii="Tahoma" w:hAnsi="Tahoma" w:cs="Tahoma"/>
        <w:noProof/>
      </w:rPr>
      <w:t>150</w:t>
    </w:r>
    <w:r w:rsidR="0073051F" w:rsidRPr="00F37057">
      <w:rPr>
        <w:rStyle w:val="PageNumber"/>
        <w:rFonts w:ascii="Tahoma" w:hAnsi="Tahoma" w:cs="Tahoma"/>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Default="00212EB2" w:rsidP="003257F4">
    <w:pPr>
      <w:pStyle w:val="Footer"/>
      <w:ind w:right="360"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Default="0073051F" w:rsidP="003257F4">
    <w:pPr>
      <w:pStyle w:val="Footer"/>
      <w:framePr w:wrap="around" w:vAnchor="text" w:hAnchor="margin" w:xAlign="outside" w:y="1"/>
      <w:rPr>
        <w:rStyle w:val="PageNumber"/>
      </w:rPr>
    </w:pPr>
    <w:r w:rsidRPr="00EC6448">
      <w:rPr>
        <w:rStyle w:val="PageNumber"/>
        <w:rFonts w:ascii="Tahoma" w:hAnsi="Tahoma" w:cs="Tahoma"/>
      </w:rPr>
      <w:fldChar w:fldCharType="begin"/>
    </w:r>
    <w:r w:rsidR="00212EB2" w:rsidRPr="00EC6448">
      <w:rPr>
        <w:rStyle w:val="PageNumber"/>
        <w:rFonts w:ascii="Tahoma" w:hAnsi="Tahoma" w:cs="Tahoma"/>
      </w:rPr>
      <w:instrText xml:space="preserve">PAGE  </w:instrText>
    </w:r>
    <w:r w:rsidRPr="00EC6448">
      <w:rPr>
        <w:rStyle w:val="PageNumber"/>
        <w:rFonts w:ascii="Tahoma" w:hAnsi="Tahoma" w:cs="Tahoma"/>
      </w:rPr>
      <w:fldChar w:fldCharType="separate"/>
    </w:r>
    <w:r w:rsidR="00BA6377">
      <w:rPr>
        <w:rStyle w:val="PageNumber"/>
        <w:rFonts w:ascii="Tahoma" w:hAnsi="Tahoma" w:cs="Tahoma"/>
        <w:noProof/>
      </w:rPr>
      <w:t>114</w:t>
    </w:r>
    <w:r w:rsidRPr="00EC6448">
      <w:rPr>
        <w:rStyle w:val="PageNumber"/>
        <w:rFonts w:ascii="Tahoma" w:hAnsi="Tahoma" w:cs="Tahoma"/>
      </w:rPr>
      <w:fldChar w:fldCharType="end"/>
    </w:r>
  </w:p>
  <w:p w:rsidR="00212EB2" w:rsidRPr="001245DD" w:rsidRDefault="00212EB2" w:rsidP="003257F4">
    <w:pPr>
      <w:pStyle w:val="Footer"/>
      <w:tabs>
        <w:tab w:val="clear" w:pos="8306"/>
        <w:tab w:val="left" w:pos="8820"/>
      </w:tabs>
      <w:ind w:right="360" w:firstLine="360"/>
      <w:rPr>
        <w:rFonts w:ascii="Tahoma" w:hAnsi="Tahoma" w:cs="Tahoma"/>
      </w:rPr>
    </w:pPr>
    <w:r>
      <w:tab/>
    </w:r>
    <w:r>
      <w:tab/>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993B9A" w:rsidRDefault="0073051F" w:rsidP="003257F4">
    <w:pPr>
      <w:pStyle w:val="Footer"/>
      <w:framePr w:wrap="around" w:vAnchor="text" w:hAnchor="margin" w:xAlign="right" w:y="1"/>
      <w:rPr>
        <w:rStyle w:val="PageNumber"/>
        <w:rFonts w:ascii="Tahoma" w:hAnsi="Tahoma" w:cs="Tahoma"/>
      </w:rPr>
    </w:pPr>
    <w:r w:rsidRPr="00993B9A">
      <w:rPr>
        <w:rStyle w:val="PageNumber"/>
        <w:rFonts w:ascii="Tahoma" w:hAnsi="Tahoma" w:cs="Tahoma"/>
      </w:rPr>
      <w:fldChar w:fldCharType="begin"/>
    </w:r>
    <w:r w:rsidR="00212EB2" w:rsidRPr="00993B9A">
      <w:rPr>
        <w:rStyle w:val="PageNumber"/>
        <w:rFonts w:ascii="Tahoma" w:hAnsi="Tahoma" w:cs="Tahoma"/>
      </w:rPr>
      <w:instrText xml:space="preserve">PAGE  </w:instrText>
    </w:r>
    <w:r w:rsidRPr="00993B9A">
      <w:rPr>
        <w:rStyle w:val="PageNumber"/>
        <w:rFonts w:ascii="Tahoma" w:hAnsi="Tahoma" w:cs="Tahoma"/>
      </w:rPr>
      <w:fldChar w:fldCharType="separate"/>
    </w:r>
    <w:r w:rsidR="00BA6377">
      <w:rPr>
        <w:rStyle w:val="PageNumber"/>
        <w:rFonts w:ascii="Tahoma" w:hAnsi="Tahoma" w:cs="Tahoma"/>
        <w:noProof/>
      </w:rPr>
      <w:t>3</w:t>
    </w:r>
    <w:r w:rsidRPr="00993B9A">
      <w:rPr>
        <w:rStyle w:val="PageNumber"/>
        <w:rFonts w:ascii="Tahoma" w:hAnsi="Tahoma" w:cs="Tahoma"/>
      </w:rPr>
      <w:fldChar w:fldCharType="end"/>
    </w:r>
  </w:p>
  <w:p w:rsidR="00212EB2" w:rsidRDefault="00212EB2" w:rsidP="003257F4">
    <w:pPr>
      <w:pStyle w:val="Footer"/>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933A04" w:rsidRDefault="0073051F" w:rsidP="00AE1766">
    <w:pPr>
      <w:pStyle w:val="Footer"/>
      <w:framePr w:wrap="around" w:vAnchor="text" w:hAnchor="page" w:x="1441" w:y="-47"/>
      <w:rPr>
        <w:rStyle w:val="PageNumber"/>
        <w:rFonts w:ascii="Tahoma" w:hAnsi="Tahoma" w:cs="Tahoma"/>
      </w:rPr>
    </w:pPr>
    <w:r w:rsidRPr="00933A04">
      <w:rPr>
        <w:rStyle w:val="PageNumber"/>
        <w:rFonts w:ascii="Tahoma" w:hAnsi="Tahoma" w:cs="Tahoma"/>
      </w:rPr>
      <w:fldChar w:fldCharType="begin"/>
    </w:r>
    <w:r w:rsidR="00212EB2" w:rsidRPr="00933A04">
      <w:rPr>
        <w:rStyle w:val="PageNumber"/>
        <w:rFonts w:ascii="Tahoma" w:hAnsi="Tahoma" w:cs="Tahoma"/>
      </w:rPr>
      <w:instrText xml:space="preserve">PAGE  </w:instrText>
    </w:r>
    <w:r w:rsidRPr="00933A04">
      <w:rPr>
        <w:rStyle w:val="PageNumber"/>
        <w:rFonts w:ascii="Tahoma" w:hAnsi="Tahoma" w:cs="Tahoma"/>
      </w:rPr>
      <w:fldChar w:fldCharType="separate"/>
    </w:r>
    <w:r w:rsidR="004C5DF9">
      <w:rPr>
        <w:rStyle w:val="PageNumber"/>
        <w:rFonts w:ascii="Tahoma" w:hAnsi="Tahoma" w:cs="Tahoma"/>
        <w:noProof/>
      </w:rPr>
      <w:t>78</w:t>
    </w:r>
    <w:r w:rsidRPr="00933A04">
      <w:rPr>
        <w:rStyle w:val="PageNumber"/>
        <w:rFonts w:ascii="Tahoma" w:hAnsi="Tahoma" w:cs="Tahoma"/>
      </w:rPr>
      <w:fldChar w:fldCharType="end"/>
    </w:r>
  </w:p>
  <w:p w:rsidR="00212EB2" w:rsidRDefault="00212EB2" w:rsidP="00AE1766">
    <w:pPr>
      <w:pStyle w:val="Footer"/>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933A04" w:rsidRDefault="0073051F" w:rsidP="003257F4">
    <w:pPr>
      <w:pStyle w:val="Footer"/>
      <w:framePr w:wrap="around" w:vAnchor="text" w:hAnchor="page" w:x="1441" w:y="-47"/>
      <w:rPr>
        <w:rStyle w:val="PageNumber"/>
        <w:rFonts w:ascii="Tahoma" w:hAnsi="Tahoma" w:cs="Tahoma"/>
      </w:rPr>
    </w:pPr>
    <w:r w:rsidRPr="00933A04">
      <w:rPr>
        <w:rStyle w:val="PageNumber"/>
        <w:rFonts w:ascii="Tahoma" w:hAnsi="Tahoma" w:cs="Tahoma"/>
      </w:rPr>
      <w:fldChar w:fldCharType="begin"/>
    </w:r>
    <w:r w:rsidR="00212EB2" w:rsidRPr="00933A04">
      <w:rPr>
        <w:rStyle w:val="PageNumber"/>
        <w:rFonts w:ascii="Tahoma" w:hAnsi="Tahoma" w:cs="Tahoma"/>
      </w:rPr>
      <w:instrText xml:space="preserve">PAGE  </w:instrText>
    </w:r>
    <w:r w:rsidRPr="00933A04">
      <w:rPr>
        <w:rStyle w:val="PageNumber"/>
        <w:rFonts w:ascii="Tahoma" w:hAnsi="Tahoma" w:cs="Tahoma"/>
      </w:rPr>
      <w:fldChar w:fldCharType="separate"/>
    </w:r>
    <w:r w:rsidR="004C5DF9">
      <w:rPr>
        <w:rStyle w:val="PageNumber"/>
        <w:rFonts w:ascii="Tahoma" w:hAnsi="Tahoma" w:cs="Tahoma"/>
        <w:noProof/>
      </w:rPr>
      <w:t>106</w:t>
    </w:r>
    <w:r w:rsidRPr="00933A04">
      <w:rPr>
        <w:rStyle w:val="PageNumber"/>
        <w:rFonts w:ascii="Tahoma" w:hAnsi="Tahoma" w:cs="Tahoma"/>
      </w:rPr>
      <w:fldChar w:fldCharType="end"/>
    </w:r>
  </w:p>
  <w:p w:rsidR="00212EB2" w:rsidRDefault="00212EB2" w:rsidP="003257F4">
    <w:pPr>
      <w:pStyle w:val="Footer"/>
      <w:ind w:right="36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933A04" w:rsidRDefault="0073051F" w:rsidP="00227662">
    <w:pPr>
      <w:pStyle w:val="Footer"/>
      <w:framePr w:wrap="around" w:vAnchor="text" w:hAnchor="page" w:x="1441" w:y="-47"/>
      <w:rPr>
        <w:rStyle w:val="PageNumber"/>
        <w:rFonts w:ascii="Tahoma" w:hAnsi="Tahoma" w:cs="Tahoma"/>
      </w:rPr>
    </w:pPr>
    <w:r w:rsidRPr="00933A04">
      <w:rPr>
        <w:rStyle w:val="PageNumber"/>
        <w:rFonts w:ascii="Tahoma" w:hAnsi="Tahoma" w:cs="Tahoma"/>
      </w:rPr>
      <w:fldChar w:fldCharType="begin"/>
    </w:r>
    <w:r w:rsidR="00212EB2" w:rsidRPr="00933A04">
      <w:rPr>
        <w:rStyle w:val="PageNumber"/>
        <w:rFonts w:ascii="Tahoma" w:hAnsi="Tahoma" w:cs="Tahoma"/>
      </w:rPr>
      <w:instrText xml:space="preserve">PAGE  </w:instrText>
    </w:r>
    <w:r w:rsidRPr="00933A04">
      <w:rPr>
        <w:rStyle w:val="PageNumber"/>
        <w:rFonts w:ascii="Tahoma" w:hAnsi="Tahoma" w:cs="Tahoma"/>
      </w:rPr>
      <w:fldChar w:fldCharType="separate"/>
    </w:r>
    <w:r w:rsidR="004C5DF9">
      <w:rPr>
        <w:rStyle w:val="PageNumber"/>
        <w:rFonts w:ascii="Tahoma" w:hAnsi="Tahoma" w:cs="Tahoma"/>
        <w:noProof/>
      </w:rPr>
      <w:t>144</w:t>
    </w:r>
    <w:r w:rsidRPr="00933A04">
      <w:rPr>
        <w:rStyle w:val="PageNumber"/>
        <w:rFonts w:ascii="Tahoma" w:hAnsi="Tahoma" w:cs="Tahoma"/>
      </w:rPr>
      <w:fldChar w:fldCharType="end"/>
    </w:r>
  </w:p>
  <w:p w:rsidR="00212EB2" w:rsidRDefault="00212EB2" w:rsidP="0022766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3069" w:rsidRDefault="005C3069" w:rsidP="0058019C">
      <w:r>
        <w:separator/>
      </w:r>
    </w:p>
  </w:footnote>
  <w:footnote w:type="continuationSeparator" w:id="0">
    <w:p w:rsidR="005C3069" w:rsidRDefault="005C3069" w:rsidP="0058019C">
      <w:r>
        <w:continuationSeparator/>
      </w:r>
    </w:p>
  </w:footnote>
  <w:footnote w:id="1">
    <w:p w:rsidR="00212EB2" w:rsidRPr="00F862CD" w:rsidRDefault="00212EB2" w:rsidP="00C45FD3">
      <w:pPr>
        <w:pStyle w:val="FootnoteText"/>
        <w:rPr>
          <w:rFonts w:ascii="Tahoma" w:hAnsi="Tahoma" w:cs="Tahoma"/>
        </w:rPr>
      </w:pPr>
      <w:r w:rsidRPr="00F862CD">
        <w:rPr>
          <w:rStyle w:val="FootnoteReference"/>
          <w:rFonts w:cs="Tahoma"/>
          <w:sz w:val="18"/>
          <w:szCs w:val="18"/>
        </w:rPr>
        <w:footnoteRef/>
      </w:r>
      <w:r w:rsidRPr="00F862CD">
        <w:rPr>
          <w:rFonts w:ascii="Tahoma" w:hAnsi="Tahoma" w:cs="Tahoma"/>
          <w:sz w:val="18"/>
          <w:szCs w:val="18"/>
        </w:rPr>
        <w:t xml:space="preserve"> </w:t>
      </w:r>
      <w:r w:rsidRPr="00BA1B31">
        <w:rPr>
          <w:rFonts w:ascii="Tahoma" w:hAnsi="Tahoma" w:cs="Tahoma"/>
          <w:sz w:val="16"/>
          <w:szCs w:val="18"/>
        </w:rPr>
        <w:t>Αναμένεται ότι για κάθε 1€ που θα εισπράττεται 3€ επί πλέον θα επενδύονται</w:t>
      </w:r>
      <w:r w:rsidRPr="00F862CD">
        <w:rPr>
          <w:rFonts w:ascii="Tahoma" w:hAnsi="Tahoma" w:cs="Tahoma"/>
          <w:sz w:val="18"/>
          <w:szCs w:val="18"/>
        </w:rPr>
        <w:t>.</w:t>
      </w:r>
    </w:p>
  </w:footnote>
  <w:footnote w:id="2">
    <w:p w:rsidR="00212EB2" w:rsidRDefault="00212EB2">
      <w:pPr>
        <w:pStyle w:val="FootnoteText"/>
      </w:pPr>
      <w:r w:rsidRPr="00EC6448">
        <w:rPr>
          <w:rStyle w:val="FootnoteReference"/>
          <w:rFonts w:cs="Tahoma"/>
        </w:rPr>
        <w:footnoteRef/>
      </w:r>
      <w:r w:rsidRPr="00114502">
        <w:t xml:space="preserve"> </w:t>
      </w:r>
      <w:r w:rsidRPr="00114502">
        <w:rPr>
          <w:rFonts w:ascii="Tahoma" w:hAnsi="Tahoma" w:cs="Tahoma"/>
          <w:sz w:val="16"/>
          <w:szCs w:val="16"/>
        </w:rPr>
        <w:t>Εκτιμήσεις ΙΟΒΕ. Σημειώνεται ότι το μεσοσταθμικό επιτόκιο για το μέρος του χρέους που ανταλλάχθηκε υπολογίζεται στο 2,63% μέχρι το 2020 (3,65% μέχρι το</w:t>
      </w:r>
      <w:r>
        <w:rPr>
          <w:rFonts w:ascii="Tahoma" w:hAnsi="Tahoma" w:cs="Tahoma"/>
          <w:sz w:val="16"/>
          <w:szCs w:val="16"/>
        </w:rPr>
        <w:t xml:space="preserve"> </w:t>
      </w:r>
      <w:r w:rsidRPr="00114502">
        <w:rPr>
          <w:rFonts w:ascii="Tahoma" w:hAnsi="Tahoma" w:cs="Tahoma"/>
          <w:sz w:val="16"/>
          <w:szCs w:val="16"/>
        </w:rPr>
        <w:t>2030)</w:t>
      </w:r>
      <w:r>
        <w:rPr>
          <w:rFonts w:ascii="Tahoma" w:hAnsi="Tahoma" w:cs="Tahoma"/>
          <w:sz w:val="16"/>
          <w:szCs w:val="16"/>
        </w:rPr>
        <w:t xml:space="preserve">. </w:t>
      </w:r>
    </w:p>
  </w:footnote>
  <w:footnote w:id="3">
    <w:p w:rsidR="00212EB2" w:rsidRPr="0047355D" w:rsidRDefault="00212EB2" w:rsidP="00824B57">
      <w:pPr>
        <w:pStyle w:val="FootnoteText"/>
        <w:spacing w:before="0" w:after="0" w:line="240" w:lineRule="auto"/>
        <w:rPr>
          <w:lang w:val="en-US"/>
        </w:rPr>
      </w:pPr>
      <w:r w:rsidRPr="00EC6448">
        <w:rPr>
          <w:rStyle w:val="FootnoteReference"/>
        </w:rPr>
        <w:footnoteRef/>
      </w:r>
      <w:r w:rsidRPr="00627BF6">
        <w:rPr>
          <w:rFonts w:ascii="Tahoma" w:hAnsi="Tahoma" w:cs="Tahoma"/>
          <w:lang w:val="en-US"/>
        </w:rPr>
        <w:t xml:space="preserve"> </w:t>
      </w:r>
      <w:r w:rsidRPr="00BD3C8E">
        <w:rPr>
          <w:rFonts w:ascii="Tahoma" w:hAnsi="Tahoma" w:cs="Tahoma"/>
          <w:sz w:val="18"/>
          <w:szCs w:val="18"/>
          <w:lang w:val="en-GB"/>
        </w:rPr>
        <w:t>Interim Forecast, European Commission, February 2012</w:t>
      </w:r>
    </w:p>
  </w:footnote>
  <w:footnote w:id="4">
    <w:p w:rsidR="00212EB2" w:rsidRPr="0047355D" w:rsidRDefault="00212EB2" w:rsidP="00824B57">
      <w:pPr>
        <w:pStyle w:val="FootnoteText"/>
        <w:spacing w:before="0" w:after="0" w:line="240" w:lineRule="auto"/>
        <w:rPr>
          <w:lang w:val="en-US"/>
        </w:rPr>
      </w:pPr>
      <w:r w:rsidRPr="00627BF6">
        <w:rPr>
          <w:rStyle w:val="FootnoteReference"/>
          <w:rFonts w:cs="Tahoma"/>
        </w:rPr>
        <w:footnoteRef/>
      </w:r>
      <w:r w:rsidRPr="00627BF6">
        <w:rPr>
          <w:rFonts w:ascii="Tahoma" w:hAnsi="Tahoma" w:cs="Tahoma"/>
          <w:lang w:val="en-US"/>
        </w:rPr>
        <w:t xml:space="preserve"> </w:t>
      </w:r>
      <w:r w:rsidRPr="00627BF6">
        <w:rPr>
          <w:rFonts w:ascii="Tahoma" w:hAnsi="Tahoma" w:cs="Tahoma"/>
          <w:sz w:val="18"/>
          <w:szCs w:val="18"/>
          <w:lang w:val="en-US"/>
        </w:rPr>
        <w:t>News Release Flash Estimate for 4Q2011, 26/2012 – 15/02/2012</w:t>
      </w:r>
    </w:p>
  </w:footnote>
  <w:footnote w:id="5">
    <w:p w:rsidR="00212EB2" w:rsidRDefault="00212EB2" w:rsidP="00824B57">
      <w:pPr>
        <w:pStyle w:val="FootnoteText"/>
        <w:spacing w:before="0" w:after="0" w:line="240" w:lineRule="auto"/>
      </w:pPr>
      <w:r w:rsidRPr="00B30974">
        <w:rPr>
          <w:rStyle w:val="FootnoteReference"/>
          <w:rFonts w:cs="Tahoma"/>
          <w:sz w:val="16"/>
          <w:szCs w:val="16"/>
        </w:rPr>
        <w:footnoteRef/>
      </w:r>
      <w:r w:rsidRPr="00B30974">
        <w:rPr>
          <w:rFonts w:ascii="Tahoma" w:hAnsi="Tahoma" w:cs="Tahoma"/>
          <w:sz w:val="16"/>
          <w:szCs w:val="16"/>
        </w:rPr>
        <w:t xml:space="preserve"> Το ερευνητικό κέντρο </w:t>
      </w:r>
      <w:r w:rsidRPr="00B30974">
        <w:rPr>
          <w:rFonts w:ascii="Tahoma" w:hAnsi="Tahoma" w:cs="Tahoma"/>
          <w:sz w:val="16"/>
          <w:szCs w:val="16"/>
          <w:lang w:val="en-US"/>
        </w:rPr>
        <w:t>Center</w:t>
      </w:r>
      <w:r w:rsidRPr="00B30974">
        <w:rPr>
          <w:rFonts w:ascii="Tahoma" w:hAnsi="Tahoma" w:cs="Tahoma"/>
          <w:sz w:val="16"/>
          <w:szCs w:val="16"/>
        </w:rPr>
        <w:t xml:space="preserve"> </w:t>
      </w:r>
      <w:r w:rsidRPr="00B30974">
        <w:rPr>
          <w:rFonts w:ascii="Tahoma" w:hAnsi="Tahoma" w:cs="Tahoma"/>
          <w:sz w:val="16"/>
          <w:szCs w:val="16"/>
          <w:lang w:val="en-US"/>
        </w:rPr>
        <w:t>of</w:t>
      </w:r>
      <w:r w:rsidRPr="00B30974">
        <w:rPr>
          <w:rFonts w:ascii="Tahoma" w:hAnsi="Tahoma" w:cs="Tahoma"/>
          <w:sz w:val="16"/>
          <w:szCs w:val="16"/>
        </w:rPr>
        <w:t xml:space="preserve"> </w:t>
      </w:r>
      <w:r w:rsidRPr="00B30974">
        <w:rPr>
          <w:rFonts w:ascii="Tahoma" w:hAnsi="Tahoma" w:cs="Tahoma"/>
          <w:sz w:val="16"/>
          <w:szCs w:val="16"/>
          <w:lang w:val="en-US"/>
        </w:rPr>
        <w:t>Economic</w:t>
      </w:r>
      <w:r w:rsidRPr="00B30974">
        <w:rPr>
          <w:rFonts w:ascii="Tahoma" w:hAnsi="Tahoma" w:cs="Tahoma"/>
          <w:sz w:val="16"/>
          <w:szCs w:val="16"/>
        </w:rPr>
        <w:t xml:space="preserve"> </w:t>
      </w:r>
      <w:r w:rsidRPr="00B30974">
        <w:rPr>
          <w:rFonts w:ascii="Tahoma" w:hAnsi="Tahoma" w:cs="Tahoma"/>
          <w:sz w:val="16"/>
          <w:szCs w:val="16"/>
          <w:lang w:val="en-US"/>
        </w:rPr>
        <w:t>Policy</w:t>
      </w:r>
      <w:r w:rsidRPr="00B30974">
        <w:rPr>
          <w:rFonts w:ascii="Tahoma" w:hAnsi="Tahoma" w:cs="Tahoma"/>
          <w:sz w:val="16"/>
          <w:szCs w:val="16"/>
        </w:rPr>
        <w:t xml:space="preserve"> </w:t>
      </w:r>
      <w:r w:rsidRPr="00B30974">
        <w:rPr>
          <w:rFonts w:ascii="Tahoma" w:hAnsi="Tahoma" w:cs="Tahoma"/>
          <w:sz w:val="16"/>
          <w:szCs w:val="16"/>
          <w:lang w:val="en-US"/>
        </w:rPr>
        <w:t>Research</w:t>
      </w:r>
      <w:r w:rsidRPr="00B30974">
        <w:rPr>
          <w:rFonts w:ascii="Tahoma" w:hAnsi="Tahoma" w:cs="Tahoma"/>
          <w:sz w:val="16"/>
          <w:szCs w:val="16"/>
        </w:rPr>
        <w:t xml:space="preserve"> σε συνεργασία με την Τράπεζα της Ιταλίας εκτιμά κάθε μήνα τον πρόδρομο δείκτη οικονομικής δραστηριότητας €-COIN για την Ευρωζώνη </w:t>
      </w:r>
      <w:r w:rsidRPr="00B30974">
        <w:rPr>
          <w:rFonts w:ascii="Tahoma" w:hAnsi="Tahoma" w:cs="Tahoma"/>
          <w:sz w:val="16"/>
          <w:szCs w:val="16"/>
          <w:lang w:val="en-US"/>
        </w:rPr>
        <w:t>O</w:t>
      </w:r>
      <w:r w:rsidRPr="00B30974">
        <w:rPr>
          <w:rFonts w:ascii="Tahoma" w:hAnsi="Tahoma" w:cs="Tahoma"/>
          <w:sz w:val="16"/>
          <w:szCs w:val="16"/>
        </w:rPr>
        <w:t xml:space="preserve"> δείκτης συνιστά πρόβλεψη της εξέλιξης του και προκύπτει από τη σύνθεση ποικίλων διαφορετικών δεδομένων, όπως η πορεία της βιομηχανικής παραγωγής, των τιμών, στοιχείων από την αγορά εργασίας, καθώς και χρηματοοικονομικών στοιχείων.</w:t>
      </w:r>
    </w:p>
  </w:footnote>
  <w:footnote w:id="6">
    <w:p w:rsidR="00212EB2" w:rsidRDefault="00212EB2" w:rsidP="00783601">
      <w:pPr>
        <w:pStyle w:val="FootnoteText"/>
        <w:spacing w:before="0" w:after="0" w:line="240" w:lineRule="auto"/>
      </w:pPr>
      <w:r>
        <w:rPr>
          <w:rStyle w:val="FootnoteReference"/>
        </w:rPr>
        <w:footnoteRef/>
      </w:r>
      <w:r>
        <w:t xml:space="preserve"> </w:t>
      </w:r>
      <w:r w:rsidRPr="00D30E57">
        <w:rPr>
          <w:rFonts w:ascii="Tahoma" w:hAnsi="Tahoma" w:cs="Tahoma"/>
          <w:sz w:val="18"/>
        </w:rPr>
        <w:t>Τριμηνιαίοι Εθνικοί Λογαριασμοί, Προσωρινά Στοιχεία, 09/03/12, ΕΛ.ΣΤΑΤ.</w:t>
      </w:r>
    </w:p>
  </w:footnote>
  <w:footnote w:id="7">
    <w:p w:rsidR="00212EB2" w:rsidRDefault="00212EB2" w:rsidP="005F202F">
      <w:pPr>
        <w:pStyle w:val="FootnoteText"/>
        <w:spacing w:before="0" w:after="0" w:line="240" w:lineRule="auto"/>
        <w:rPr>
          <w:lang w:val="en-US"/>
        </w:rPr>
      </w:pPr>
      <w:r>
        <w:rPr>
          <w:rStyle w:val="FootnoteReference"/>
        </w:rPr>
        <w:footnoteRef/>
      </w:r>
      <w:r w:rsidRPr="004B7E48">
        <w:rPr>
          <w:lang w:val="en-GB"/>
        </w:rPr>
        <w:t xml:space="preserve"> </w:t>
      </w:r>
      <w:r w:rsidRPr="00D30E57">
        <w:rPr>
          <w:rFonts w:ascii="Tahoma" w:hAnsi="Tahoma" w:cs="Tahoma"/>
          <w:sz w:val="18"/>
          <w:lang w:val="en-US"/>
        </w:rPr>
        <w:t xml:space="preserve">World Trade Monitor December 2011, CPB </w:t>
      </w:r>
      <w:smartTag w:uri="urn:schemas-microsoft-com:office:smarttags" w:element="country-region">
        <w:smartTag w:uri="urn:schemas-microsoft-com:office:smarttags" w:element="place">
          <w:r w:rsidRPr="00D30E57">
            <w:rPr>
              <w:rFonts w:ascii="Tahoma" w:hAnsi="Tahoma" w:cs="Tahoma"/>
              <w:sz w:val="18"/>
              <w:lang w:val="en-US"/>
            </w:rPr>
            <w:t>Nethe</w:t>
          </w:r>
          <w:r w:rsidRPr="00D30E57">
            <w:rPr>
              <w:rFonts w:ascii="Tahoma" w:hAnsi="Tahoma" w:cs="Tahoma"/>
              <w:sz w:val="18"/>
              <w:lang w:val="en-US"/>
            </w:rPr>
            <w:t>r</w:t>
          </w:r>
          <w:r w:rsidRPr="00D30E57">
            <w:rPr>
              <w:rFonts w:ascii="Tahoma" w:hAnsi="Tahoma" w:cs="Tahoma"/>
              <w:sz w:val="18"/>
              <w:lang w:val="en-US"/>
            </w:rPr>
            <w:t>lands</w:t>
          </w:r>
        </w:smartTag>
      </w:smartTag>
      <w:r w:rsidRPr="00D30E57">
        <w:rPr>
          <w:rFonts w:ascii="Tahoma" w:hAnsi="Tahoma" w:cs="Tahoma"/>
          <w:sz w:val="18"/>
          <w:lang w:val="en-US"/>
        </w:rPr>
        <w:t>, March 2012</w:t>
      </w:r>
    </w:p>
    <w:p w:rsidR="00212EB2" w:rsidRPr="004B7E48" w:rsidRDefault="00212EB2" w:rsidP="00D30E57">
      <w:pPr>
        <w:pStyle w:val="FootnoteText"/>
        <w:rPr>
          <w:lang w:val="en-US"/>
        </w:rPr>
      </w:pPr>
    </w:p>
  </w:footnote>
  <w:footnote w:id="8">
    <w:p w:rsidR="00212EB2" w:rsidRPr="00295EC3" w:rsidRDefault="00212EB2" w:rsidP="002A5D2E">
      <w:pPr>
        <w:pStyle w:val="FootnoteText"/>
        <w:spacing w:before="0" w:after="0" w:line="240" w:lineRule="auto"/>
        <w:rPr>
          <w:rFonts w:ascii="Tahoma" w:hAnsi="Tahoma" w:cs="Tahoma"/>
          <w:sz w:val="18"/>
          <w:lang w:val="en-GB"/>
        </w:rPr>
      </w:pPr>
      <w:r w:rsidRPr="00AA0BF4">
        <w:rPr>
          <w:rStyle w:val="FootnoteReference"/>
          <w:rFonts w:cs="Tahoma"/>
        </w:rPr>
        <w:footnoteRef/>
      </w:r>
      <w:r w:rsidRPr="00AA0BF4">
        <w:rPr>
          <w:rFonts w:ascii="Tahoma" w:hAnsi="Tahoma" w:cs="Tahoma"/>
          <w:lang w:val="en-GB"/>
        </w:rPr>
        <w:t xml:space="preserve"> </w:t>
      </w:r>
      <w:r w:rsidRPr="00295EC3">
        <w:rPr>
          <w:rFonts w:ascii="Tahoma" w:hAnsi="Tahoma" w:cs="Tahoma"/>
          <w:sz w:val="18"/>
          <w:lang w:val="en-US"/>
        </w:rPr>
        <w:t xml:space="preserve">World Trade Monitor December 2011, CPB </w:t>
      </w:r>
      <w:smartTag w:uri="urn:schemas-microsoft-com:office:smarttags" w:element="country-region">
        <w:smartTag w:uri="urn:schemas-microsoft-com:office:smarttags" w:element="place">
          <w:r w:rsidRPr="00295EC3">
            <w:rPr>
              <w:rFonts w:ascii="Tahoma" w:hAnsi="Tahoma" w:cs="Tahoma"/>
              <w:sz w:val="18"/>
              <w:lang w:val="en-US"/>
            </w:rPr>
            <w:t>Nethe</w:t>
          </w:r>
          <w:r w:rsidRPr="00295EC3">
            <w:rPr>
              <w:rFonts w:ascii="Tahoma" w:hAnsi="Tahoma" w:cs="Tahoma"/>
              <w:sz w:val="18"/>
              <w:lang w:val="en-US"/>
            </w:rPr>
            <w:t>r</w:t>
          </w:r>
          <w:r w:rsidRPr="00295EC3">
            <w:rPr>
              <w:rFonts w:ascii="Tahoma" w:hAnsi="Tahoma" w:cs="Tahoma"/>
              <w:sz w:val="18"/>
              <w:lang w:val="en-US"/>
            </w:rPr>
            <w:t>lands</w:t>
          </w:r>
        </w:smartTag>
      </w:smartTag>
      <w:r w:rsidRPr="00295EC3">
        <w:rPr>
          <w:rFonts w:ascii="Tahoma" w:hAnsi="Tahoma" w:cs="Tahoma"/>
          <w:sz w:val="18"/>
          <w:lang w:val="en-US"/>
        </w:rPr>
        <w:t>, March 2012</w:t>
      </w:r>
    </w:p>
  </w:footnote>
  <w:footnote w:id="9">
    <w:p w:rsidR="00212EB2" w:rsidRPr="000B7D73" w:rsidRDefault="00212EB2" w:rsidP="002A5D2E">
      <w:pPr>
        <w:pStyle w:val="FootnoteText"/>
        <w:spacing w:before="0" w:after="0" w:line="240" w:lineRule="auto"/>
        <w:rPr>
          <w:rFonts w:ascii="Tahoma" w:hAnsi="Tahoma"/>
          <w:lang w:val="en-US"/>
        </w:rPr>
      </w:pPr>
      <w:r w:rsidRPr="00AA0BF4">
        <w:rPr>
          <w:rStyle w:val="FootnoteReference"/>
          <w:rFonts w:cs="Tahoma"/>
        </w:rPr>
        <w:footnoteRef/>
      </w:r>
      <w:r w:rsidRPr="00AA0BF4">
        <w:rPr>
          <w:rFonts w:ascii="Tahoma" w:hAnsi="Tahoma" w:cs="Tahoma"/>
          <w:lang w:val="en-GB"/>
        </w:rPr>
        <w:t xml:space="preserve"> </w:t>
      </w:r>
      <w:r w:rsidRPr="00D30E57">
        <w:rPr>
          <w:rFonts w:ascii="Tahoma" w:hAnsi="Tahoma" w:cs="Tahoma"/>
          <w:sz w:val="18"/>
          <w:lang w:val="en-US"/>
        </w:rPr>
        <w:t xml:space="preserve">World Economic Outlook Update, IMF, January 2012 - </w:t>
      </w:r>
      <w:r w:rsidRPr="00D30E57">
        <w:rPr>
          <w:rFonts w:ascii="Tahoma" w:hAnsi="Tahoma" w:cs="Tahoma"/>
          <w:sz w:val="18"/>
          <w:szCs w:val="18"/>
          <w:lang w:val="en-US"/>
        </w:rPr>
        <w:t xml:space="preserve">Economic Outlook no. 90, OECD, November 2011 </w:t>
      </w:r>
    </w:p>
  </w:footnote>
  <w:footnote w:id="10">
    <w:p w:rsidR="00212EB2" w:rsidRDefault="00212EB2" w:rsidP="00C71491">
      <w:pPr>
        <w:pStyle w:val="FootnoteText"/>
        <w:spacing w:before="0" w:after="0" w:line="240" w:lineRule="auto"/>
      </w:pPr>
      <w:r>
        <w:rPr>
          <w:rStyle w:val="FootnoteReference"/>
        </w:rPr>
        <w:footnoteRef/>
      </w:r>
      <w:r>
        <w:t xml:space="preserve"> </w:t>
      </w:r>
      <w:r w:rsidRPr="00724CC5">
        <w:rPr>
          <w:rFonts w:ascii="Tahoma" w:hAnsi="Tahoma" w:cs="Tahoma"/>
          <w:sz w:val="18"/>
        </w:rPr>
        <w:t xml:space="preserve">Ο δείκτης στο Χονδρικό Εμπόριο υπολογίζεται χωρίς το Φ.Π.Α. και περιλαμβάνει τα συνολικά ποσά που έχει τιμολογήσει η επιχείρηση στη διάρκεια της περιόδου αναφοράς (τριμήνου). </w:t>
      </w:r>
    </w:p>
  </w:footnote>
  <w:footnote w:id="11">
    <w:p w:rsidR="00212EB2" w:rsidRPr="009F59F0" w:rsidRDefault="00212EB2" w:rsidP="005F0AB5">
      <w:pPr>
        <w:pStyle w:val="FootnoteText"/>
        <w:spacing w:before="0" w:after="0" w:line="240" w:lineRule="auto"/>
        <w:rPr>
          <w:rFonts w:ascii="Tahoma" w:hAnsi="Tahoma" w:cs="Tahoma"/>
          <w:sz w:val="18"/>
          <w:szCs w:val="18"/>
        </w:rPr>
      </w:pPr>
      <w:r w:rsidRPr="006F20D5">
        <w:rPr>
          <w:rStyle w:val="FootnoteReference"/>
          <w:rFonts w:cs="Tahoma"/>
          <w:sz w:val="18"/>
          <w:szCs w:val="18"/>
        </w:rPr>
        <w:footnoteRef/>
      </w:r>
      <w:r w:rsidRPr="006F20D5">
        <w:rPr>
          <w:rFonts w:ascii="Tahoma" w:hAnsi="Tahoma" w:cs="Tahoma"/>
          <w:sz w:val="18"/>
          <w:szCs w:val="18"/>
        </w:rPr>
        <w:t xml:space="preserve"> Εκτιμήσεις βάσει μηνιαίων στοιχείων (εποχικά διορθωμένων) για το ποσοστό ανεργίας από την </w:t>
      </w:r>
      <w:r w:rsidRPr="006F20D5">
        <w:rPr>
          <w:rFonts w:ascii="Tahoma" w:hAnsi="Tahoma" w:cs="Tahoma"/>
          <w:sz w:val="18"/>
          <w:szCs w:val="18"/>
          <w:lang w:val="en-US"/>
        </w:rPr>
        <w:t>Eur</w:t>
      </w:r>
      <w:r w:rsidRPr="006F20D5">
        <w:rPr>
          <w:rFonts w:ascii="Tahoma" w:hAnsi="Tahoma" w:cs="Tahoma"/>
          <w:sz w:val="18"/>
          <w:szCs w:val="18"/>
          <w:lang w:val="en-US"/>
        </w:rPr>
        <w:t>o</w:t>
      </w:r>
      <w:r w:rsidRPr="006F20D5">
        <w:rPr>
          <w:rFonts w:ascii="Tahoma" w:hAnsi="Tahoma" w:cs="Tahoma"/>
          <w:sz w:val="18"/>
          <w:szCs w:val="18"/>
          <w:lang w:val="en-US"/>
        </w:rPr>
        <w:t>stat</w:t>
      </w:r>
      <w:r w:rsidRPr="009F59F0">
        <w:rPr>
          <w:rFonts w:ascii="Tahoma" w:hAnsi="Tahoma" w:cs="Tahoma"/>
          <w:sz w:val="18"/>
          <w:szCs w:val="18"/>
        </w:rPr>
        <w:t>.</w:t>
      </w:r>
    </w:p>
  </w:footnote>
  <w:footnote w:id="12">
    <w:p w:rsidR="00212EB2" w:rsidRDefault="00212EB2" w:rsidP="0007608A">
      <w:pPr>
        <w:pStyle w:val="FootnoteText"/>
        <w:spacing w:before="0" w:after="0" w:line="240" w:lineRule="auto"/>
      </w:pPr>
      <w:r w:rsidRPr="008F5E36">
        <w:rPr>
          <w:rStyle w:val="FootnoteReference"/>
          <w:rFonts w:cs="Tahoma"/>
          <w:sz w:val="15"/>
          <w:szCs w:val="15"/>
        </w:rPr>
        <w:footnoteRef/>
      </w:r>
      <w:r w:rsidRPr="008F5E36">
        <w:rPr>
          <w:rFonts w:ascii="Tahoma" w:hAnsi="Tahoma" w:cs="Tahoma"/>
          <w:sz w:val="15"/>
          <w:szCs w:val="15"/>
        </w:rPr>
        <w:t xml:space="preserve"> </w:t>
      </w:r>
      <w:r w:rsidRPr="00C94589">
        <w:rPr>
          <w:rFonts w:ascii="Tahoma" w:hAnsi="Tahoma" w:cs="Tahoma"/>
          <w:sz w:val="16"/>
          <w:szCs w:val="15"/>
        </w:rPr>
        <w:t>Τα ποσά σε παρένθεση εκφράζουν την απόλυτη μεταβολή σε σχέση με το 2010, εκτός αν αναφέρεται διαφορετικά</w:t>
      </w:r>
      <w:r w:rsidRPr="008F5E36">
        <w:rPr>
          <w:rFonts w:ascii="Tahoma" w:hAnsi="Tahoma" w:cs="Tahoma"/>
          <w:sz w:val="15"/>
          <w:szCs w:val="15"/>
        </w:rPr>
        <w:t xml:space="preserve">. </w:t>
      </w:r>
    </w:p>
  </w:footnote>
  <w:footnote w:id="13">
    <w:p w:rsidR="00212EB2" w:rsidRDefault="00212EB2" w:rsidP="0007608A">
      <w:pPr>
        <w:pStyle w:val="FootnoteText"/>
        <w:spacing w:before="0" w:after="0" w:line="240" w:lineRule="auto"/>
      </w:pPr>
      <w:r w:rsidRPr="00645502">
        <w:rPr>
          <w:rStyle w:val="FootnoteReference"/>
          <w:rFonts w:cs="Tahoma"/>
          <w:sz w:val="14"/>
          <w:szCs w:val="14"/>
        </w:rPr>
        <w:footnoteRef/>
      </w:r>
      <w:r w:rsidRPr="00645502">
        <w:rPr>
          <w:rFonts w:ascii="Tahoma" w:hAnsi="Tahoma" w:cs="Tahoma"/>
          <w:sz w:val="14"/>
          <w:szCs w:val="14"/>
        </w:rPr>
        <w:t xml:space="preserve"> </w:t>
      </w:r>
      <w:r w:rsidRPr="00C94589">
        <w:rPr>
          <w:rFonts w:ascii="Tahoma" w:hAnsi="Tahoma" w:cs="Tahoma"/>
          <w:sz w:val="16"/>
          <w:szCs w:val="14"/>
        </w:rPr>
        <w:t>Οι εισπράξεις αφορούν καταβολές από το Ευρωπαϊκό Γεωργικό Ταμείο Εγγυήσεων (ΕΓΤΕ) και το Ευρωπαϊκό Κοινωνικό Ταμείο (ΕΚΤ)</w:t>
      </w:r>
    </w:p>
  </w:footnote>
  <w:footnote w:id="14">
    <w:p w:rsidR="00212EB2" w:rsidRPr="00C94589" w:rsidRDefault="00212EB2" w:rsidP="0007608A">
      <w:pPr>
        <w:pStyle w:val="FootnoteText"/>
        <w:spacing w:before="0" w:after="0" w:line="240" w:lineRule="auto"/>
        <w:rPr>
          <w:sz w:val="22"/>
        </w:rPr>
      </w:pPr>
      <w:r w:rsidRPr="00645502">
        <w:rPr>
          <w:rStyle w:val="FootnoteReference"/>
          <w:rFonts w:cs="Tahoma"/>
          <w:sz w:val="14"/>
          <w:szCs w:val="14"/>
        </w:rPr>
        <w:footnoteRef/>
      </w:r>
      <w:r w:rsidRPr="00645502">
        <w:rPr>
          <w:rFonts w:ascii="Tahoma" w:hAnsi="Tahoma" w:cs="Tahoma"/>
          <w:sz w:val="14"/>
          <w:szCs w:val="14"/>
        </w:rPr>
        <w:t xml:space="preserve"> </w:t>
      </w:r>
      <w:r w:rsidRPr="00C94589">
        <w:rPr>
          <w:rFonts w:ascii="Tahoma" w:hAnsi="Tahoma" w:cs="Tahoma"/>
          <w:sz w:val="16"/>
          <w:szCs w:val="14"/>
        </w:rPr>
        <w:t>Οι πληρωμές αφορούν κυρίως καταβολές προς τον Κοινοτικό Προϋπολογισμό</w:t>
      </w:r>
    </w:p>
  </w:footnote>
  <w:footnote w:id="15">
    <w:p w:rsidR="00212EB2" w:rsidRPr="00C94589" w:rsidRDefault="00212EB2" w:rsidP="0007608A">
      <w:pPr>
        <w:pStyle w:val="FootnoteText"/>
        <w:spacing w:before="0" w:after="0" w:line="240" w:lineRule="auto"/>
        <w:rPr>
          <w:sz w:val="22"/>
        </w:rPr>
      </w:pPr>
      <w:r w:rsidRPr="008F5E36">
        <w:rPr>
          <w:rStyle w:val="FootnoteReference"/>
          <w:rFonts w:cs="Tahoma"/>
          <w:sz w:val="14"/>
          <w:szCs w:val="12"/>
        </w:rPr>
        <w:footnoteRef/>
      </w:r>
      <w:r w:rsidRPr="008F5E36">
        <w:rPr>
          <w:rFonts w:ascii="Tahoma" w:hAnsi="Tahoma" w:cs="Tahoma"/>
          <w:sz w:val="14"/>
          <w:szCs w:val="12"/>
        </w:rPr>
        <w:t xml:space="preserve"> </w:t>
      </w:r>
      <w:r w:rsidRPr="00C94589">
        <w:rPr>
          <w:rFonts w:ascii="Tahoma" w:hAnsi="Tahoma" w:cs="Tahoma"/>
          <w:sz w:val="16"/>
          <w:szCs w:val="12"/>
        </w:rPr>
        <w:t>Οι εισπράξεις κεφαλαιακών μεταβιβάσεων αφορούν καταβολές από τα διαρθρωτικά ταμεία και το Ταμείο Συνοχής</w:t>
      </w:r>
    </w:p>
  </w:footnote>
  <w:footnote w:id="16">
    <w:p w:rsidR="00212EB2" w:rsidRPr="00D73DCF" w:rsidRDefault="00212EB2" w:rsidP="00D73DCF">
      <w:pPr>
        <w:pStyle w:val="FootnoteText"/>
        <w:spacing w:before="0" w:after="0" w:line="240" w:lineRule="auto"/>
      </w:pPr>
      <w:r>
        <w:rPr>
          <w:rStyle w:val="FootnoteReference"/>
        </w:rPr>
        <w:footnoteRef/>
      </w:r>
      <w:r w:rsidRPr="00D73DCF">
        <w:t xml:space="preserve"> </w:t>
      </w:r>
      <w:r w:rsidRPr="0069710F">
        <w:rPr>
          <w:rFonts w:ascii="Tahoma" w:hAnsi="Tahoma" w:cs="Tahoma"/>
          <w:sz w:val="16"/>
          <w:szCs w:val="18"/>
        </w:rPr>
        <w:t>Το ενημερωτικό σημείωμα αυτό βασίζεται σε ερευνητική εργασία που εκπονεί ο κ. Νίκος Βεντούρης, ερευνητής ΙΟΒΕ</w:t>
      </w:r>
    </w:p>
  </w:footnote>
  <w:footnote w:id="17">
    <w:p w:rsidR="00212EB2" w:rsidRPr="003632B0" w:rsidRDefault="00212EB2" w:rsidP="003C1B9F">
      <w:pPr>
        <w:pStyle w:val="FootnoteText"/>
        <w:spacing w:before="0" w:after="0" w:line="240" w:lineRule="auto"/>
        <w:rPr>
          <w:rFonts w:ascii="Tahoma" w:hAnsi="Tahoma" w:cs="Tahoma"/>
          <w:sz w:val="18"/>
          <w:szCs w:val="18"/>
          <w:lang w:val="en-US"/>
        </w:rPr>
      </w:pPr>
      <w:r w:rsidRPr="009F1107">
        <w:rPr>
          <w:rStyle w:val="FootnoteReference"/>
          <w:sz w:val="18"/>
          <w:szCs w:val="18"/>
        </w:rPr>
        <w:footnoteRef/>
      </w:r>
      <w:r w:rsidRPr="009F1107">
        <w:rPr>
          <w:sz w:val="18"/>
          <w:szCs w:val="18"/>
          <w:lang w:val="en-US"/>
        </w:rPr>
        <w:t xml:space="preserve"> </w:t>
      </w:r>
      <w:r w:rsidRPr="00C94589">
        <w:rPr>
          <w:rFonts w:ascii="Tahoma" w:hAnsi="Tahoma" w:cs="Tahoma"/>
          <w:sz w:val="16"/>
          <w:szCs w:val="18"/>
          <w:lang w:val="en-US"/>
        </w:rPr>
        <w:t>Eurogroup Statement 21.02.2012 (</w:t>
      </w:r>
      <w:hyperlink r:id="rId1" w:history="1">
        <w:r w:rsidRPr="00C94589">
          <w:rPr>
            <w:rStyle w:val="Hyperlink"/>
            <w:rFonts w:ascii="Tahoma" w:hAnsi="Tahoma" w:cs="Tahoma"/>
            <w:sz w:val="16"/>
            <w:szCs w:val="18"/>
            <w:lang w:val="en-US"/>
          </w:rPr>
          <w:t>http://consilium.europa.eu/uedocs/cms_data/docs/pressdata/en/ecofin/128075.pdf</w:t>
        </w:r>
      </w:hyperlink>
      <w:r w:rsidRPr="00C94589">
        <w:rPr>
          <w:rFonts w:ascii="Tahoma" w:hAnsi="Tahoma" w:cs="Tahoma"/>
          <w:sz w:val="16"/>
          <w:szCs w:val="18"/>
          <w:lang w:val="en-US"/>
        </w:rPr>
        <w:t>), Press Release IIF: Statement by the Steering Committee of the Private Creditor-Investor Committee for Greece (PCIC) - Common Understanding Reached on Key Terms of a Voluntary Exchange of Privately Held Greek Government Bonds (GGB’s) (bruxelles.blogs.liberation.fr/iif.doc), Hellenic Republic  - Ministry of Finance (Press Release, 21.02.2012).</w:t>
      </w:r>
    </w:p>
  </w:footnote>
  <w:footnote w:id="18">
    <w:p w:rsidR="00212EB2" w:rsidRPr="00C94589" w:rsidRDefault="00212EB2" w:rsidP="003C1B9F">
      <w:pPr>
        <w:pStyle w:val="FootnoteText"/>
        <w:spacing w:before="0" w:after="0" w:line="240" w:lineRule="auto"/>
        <w:rPr>
          <w:sz w:val="16"/>
          <w:szCs w:val="16"/>
        </w:rPr>
      </w:pPr>
      <w:r>
        <w:rPr>
          <w:rStyle w:val="FootnoteReference"/>
        </w:rPr>
        <w:footnoteRef/>
      </w:r>
      <w:r>
        <w:t xml:space="preserve"> </w:t>
      </w:r>
      <w:r w:rsidRPr="00C94589">
        <w:rPr>
          <w:rFonts w:ascii="Tahoma" w:hAnsi="Tahoma" w:cs="Tahoma"/>
          <w:sz w:val="16"/>
          <w:szCs w:val="16"/>
        </w:rPr>
        <w:t>Ως ακαθάριστες χρηματοδοτικές ανάγκες ορίζεται το άθροισμα του ελλείμματος του δημόσιου τομέα συν τα χρεολύσια του μεσο-μακροπρόθεσμου χρέους του δημόσιου τομέα συν το βραχυπρόθεσμο χρέος στο τέλος της προηγούμενης περιόδου.</w:t>
      </w:r>
      <w:r w:rsidRPr="00C94589">
        <w:rPr>
          <w:sz w:val="16"/>
          <w:szCs w:val="16"/>
        </w:rPr>
        <w:t xml:space="preserve">  </w:t>
      </w:r>
    </w:p>
  </w:footnote>
  <w:footnote w:id="19">
    <w:p w:rsidR="00212EB2" w:rsidRPr="00C94589" w:rsidRDefault="00212EB2" w:rsidP="003C1B9F">
      <w:pPr>
        <w:pStyle w:val="FootnoteText"/>
        <w:spacing w:before="0" w:after="0" w:line="240" w:lineRule="auto"/>
        <w:rPr>
          <w:sz w:val="18"/>
        </w:rPr>
      </w:pPr>
      <w:r>
        <w:rPr>
          <w:rStyle w:val="FootnoteReference"/>
        </w:rPr>
        <w:footnoteRef/>
      </w:r>
      <w:r w:rsidRPr="00CF34F5">
        <w:t xml:space="preserve"> </w:t>
      </w:r>
      <w:r w:rsidRPr="00C94589">
        <w:rPr>
          <w:rFonts w:ascii="Tahoma" w:hAnsi="Tahoma" w:cs="Tahoma"/>
          <w:sz w:val="16"/>
          <w:szCs w:val="18"/>
        </w:rPr>
        <w:t xml:space="preserve">Ήδη, στις 13.03.2012, ο οίκος </w:t>
      </w:r>
      <w:r w:rsidRPr="00C94589">
        <w:rPr>
          <w:rFonts w:ascii="Tahoma" w:hAnsi="Tahoma" w:cs="Tahoma"/>
          <w:sz w:val="16"/>
          <w:szCs w:val="18"/>
          <w:lang w:val="en-US"/>
        </w:rPr>
        <w:t>Fitch</w:t>
      </w:r>
      <w:r w:rsidRPr="00C94589">
        <w:rPr>
          <w:rFonts w:ascii="Tahoma" w:hAnsi="Tahoma" w:cs="Tahoma"/>
          <w:sz w:val="16"/>
          <w:szCs w:val="18"/>
        </w:rPr>
        <w:t xml:space="preserve"> </w:t>
      </w:r>
      <w:r w:rsidRPr="00C94589">
        <w:rPr>
          <w:rFonts w:ascii="Tahoma" w:hAnsi="Tahoma" w:cs="Tahoma"/>
          <w:sz w:val="16"/>
          <w:szCs w:val="18"/>
          <w:lang w:val="en-US"/>
        </w:rPr>
        <w:t>Ratings</w:t>
      </w:r>
      <w:r w:rsidRPr="00C94589">
        <w:rPr>
          <w:rFonts w:ascii="Tahoma" w:hAnsi="Tahoma" w:cs="Tahoma"/>
          <w:sz w:val="16"/>
          <w:szCs w:val="18"/>
        </w:rPr>
        <w:t xml:space="preserve"> αναβάθμισε την πιστοληπτική ικανότητα της χώρας στην κατηγορία ‘</w:t>
      </w:r>
      <w:r w:rsidRPr="00C94589">
        <w:rPr>
          <w:rFonts w:ascii="Tahoma" w:hAnsi="Tahoma" w:cs="Tahoma"/>
          <w:sz w:val="16"/>
          <w:szCs w:val="18"/>
          <w:lang w:val="en-US"/>
        </w:rPr>
        <w:t>B</w:t>
      </w:r>
      <w:r w:rsidRPr="00C94589">
        <w:rPr>
          <w:rFonts w:ascii="Tahoma" w:hAnsi="Tahoma" w:cs="Tahoma"/>
          <w:sz w:val="16"/>
          <w:szCs w:val="18"/>
        </w:rPr>
        <w:t>-‘ με σταθερές προοπτικές από  ‘</w:t>
      </w:r>
      <w:r w:rsidRPr="00C94589">
        <w:rPr>
          <w:rFonts w:ascii="Tahoma" w:hAnsi="Tahoma" w:cs="Tahoma"/>
          <w:sz w:val="16"/>
          <w:szCs w:val="18"/>
          <w:lang w:val="en-US"/>
        </w:rPr>
        <w:t>Restricted</w:t>
      </w:r>
      <w:r w:rsidRPr="00C94589">
        <w:rPr>
          <w:rFonts w:ascii="Tahoma" w:hAnsi="Tahoma" w:cs="Tahoma"/>
          <w:sz w:val="16"/>
          <w:szCs w:val="18"/>
        </w:rPr>
        <w:t xml:space="preserve"> </w:t>
      </w:r>
      <w:r w:rsidRPr="00C94589">
        <w:rPr>
          <w:rFonts w:ascii="Tahoma" w:hAnsi="Tahoma" w:cs="Tahoma"/>
          <w:sz w:val="16"/>
          <w:szCs w:val="18"/>
          <w:lang w:val="en-US"/>
        </w:rPr>
        <w:t>Default</w:t>
      </w:r>
      <w:r w:rsidRPr="00C94589">
        <w:rPr>
          <w:rFonts w:ascii="Tahoma" w:hAnsi="Tahoma" w:cs="Tahoma"/>
          <w:sz w:val="16"/>
          <w:szCs w:val="18"/>
        </w:rPr>
        <w:t>’ με αρνητικές προοπτικές. (</w:t>
      </w:r>
      <w:hyperlink r:id="rId2" w:history="1">
        <w:r w:rsidRPr="00C94589">
          <w:rPr>
            <w:rStyle w:val="Hyperlink"/>
            <w:rFonts w:ascii="Tahoma" w:hAnsi="Tahoma" w:cs="Tahoma"/>
            <w:sz w:val="16"/>
            <w:szCs w:val="18"/>
          </w:rPr>
          <w:t>http://www.bloomberg.com/news/2012-03-13/greece-upgraded-from-selective-default-by-fitch-after-debt-swap.html</w:t>
        </w:r>
      </w:hyperlink>
      <w:r w:rsidRPr="00C94589">
        <w:rPr>
          <w:rFonts w:ascii="Tahoma" w:hAnsi="Tahoma" w:cs="Tahoma"/>
          <w:sz w:val="16"/>
          <w:szCs w:val="18"/>
        </w:rPr>
        <w:t>)</w:t>
      </w:r>
      <w:r w:rsidRPr="00C94589">
        <w:rPr>
          <w:sz w:val="18"/>
        </w:rPr>
        <w:t xml:space="preserve"> </w:t>
      </w:r>
    </w:p>
  </w:footnote>
  <w:footnote w:id="20">
    <w:p w:rsidR="00212EB2" w:rsidRPr="002951DF" w:rsidRDefault="00212EB2" w:rsidP="003C1B9F">
      <w:pPr>
        <w:pStyle w:val="FootnoteText"/>
        <w:spacing w:before="0" w:after="0" w:line="240" w:lineRule="auto"/>
        <w:rPr>
          <w:rFonts w:ascii="Tahoma" w:hAnsi="Tahoma" w:cs="Tahoma"/>
          <w:sz w:val="18"/>
          <w:szCs w:val="18"/>
          <w:lang w:val="en-US"/>
        </w:rPr>
      </w:pPr>
      <w:r>
        <w:rPr>
          <w:rStyle w:val="FootnoteReference"/>
        </w:rPr>
        <w:footnoteRef/>
      </w:r>
      <w:r>
        <w:t xml:space="preserve"> </w:t>
      </w:r>
      <w:r w:rsidRPr="00C94589">
        <w:rPr>
          <w:rFonts w:ascii="Tahoma" w:hAnsi="Tahoma" w:cs="Tahoma"/>
          <w:sz w:val="16"/>
          <w:szCs w:val="18"/>
        </w:rPr>
        <w:t>Παραδείγματα χωρών με πρωτογενή πλεονάσματα ύψους 5-10% του ΑΕΠ: Για 4 χρόνια: Καναδάς (1997-2000), Ιταλία (1997-2000), Αυστρία (1976-1979). Για 5-7 χρόνια: Τουρκία (2000-2006), Νέα Ζηλανδία (1993-1998), Δανία (1985-1989). Για 8-10 χρόνια: Ρουμανία (1985-1989), Αίγυπτος (1993-2000). Για</w:t>
      </w:r>
      <w:r w:rsidRPr="00C94589">
        <w:rPr>
          <w:rFonts w:ascii="Tahoma" w:hAnsi="Tahoma" w:cs="Tahoma"/>
          <w:sz w:val="16"/>
          <w:szCs w:val="18"/>
          <w:lang w:val="en-US"/>
        </w:rPr>
        <w:t xml:space="preserve"> 11-13 </w:t>
      </w:r>
      <w:r w:rsidRPr="00C94589">
        <w:rPr>
          <w:rFonts w:ascii="Tahoma" w:hAnsi="Tahoma" w:cs="Tahoma"/>
          <w:sz w:val="16"/>
          <w:szCs w:val="18"/>
        </w:rPr>
        <w:t>χρόνια</w:t>
      </w:r>
      <w:r w:rsidRPr="00C94589">
        <w:rPr>
          <w:rFonts w:ascii="Tahoma" w:hAnsi="Tahoma" w:cs="Tahoma"/>
          <w:sz w:val="16"/>
          <w:szCs w:val="18"/>
          <w:lang w:val="en-US"/>
        </w:rPr>
        <w:t xml:space="preserve">: </w:t>
      </w:r>
      <w:r w:rsidRPr="00C94589">
        <w:rPr>
          <w:rFonts w:ascii="Tahoma" w:hAnsi="Tahoma" w:cs="Tahoma"/>
          <w:sz w:val="16"/>
          <w:szCs w:val="18"/>
        </w:rPr>
        <w:t>Μεξικό</w:t>
      </w:r>
      <w:r w:rsidRPr="00C94589">
        <w:rPr>
          <w:rFonts w:ascii="Tahoma" w:hAnsi="Tahoma" w:cs="Tahoma"/>
          <w:sz w:val="16"/>
          <w:szCs w:val="18"/>
          <w:lang w:val="en-US"/>
        </w:rPr>
        <w:t xml:space="preserve"> (1983-1995), </w:t>
      </w:r>
      <w:r w:rsidRPr="00C94589">
        <w:rPr>
          <w:rFonts w:ascii="Tahoma" w:hAnsi="Tahoma" w:cs="Tahoma"/>
          <w:sz w:val="16"/>
          <w:szCs w:val="18"/>
        </w:rPr>
        <w:t>Ισραήλ</w:t>
      </w:r>
      <w:r w:rsidRPr="00C94589">
        <w:rPr>
          <w:rFonts w:ascii="Tahoma" w:hAnsi="Tahoma" w:cs="Tahoma"/>
          <w:sz w:val="16"/>
          <w:szCs w:val="18"/>
          <w:lang w:val="en-US"/>
        </w:rPr>
        <w:t xml:space="preserve"> (1983-1994). </w:t>
      </w:r>
      <w:r w:rsidRPr="00C94589">
        <w:rPr>
          <w:rFonts w:ascii="Tahoma" w:hAnsi="Tahoma" w:cs="Tahoma"/>
          <w:sz w:val="16"/>
          <w:szCs w:val="18"/>
        </w:rPr>
        <w:t>Για</w:t>
      </w:r>
      <w:r w:rsidRPr="00C94589">
        <w:rPr>
          <w:rFonts w:ascii="Tahoma" w:hAnsi="Tahoma" w:cs="Tahoma"/>
          <w:sz w:val="16"/>
          <w:szCs w:val="18"/>
          <w:lang w:val="en-US"/>
        </w:rPr>
        <w:t xml:space="preserve"> 14-15 </w:t>
      </w:r>
      <w:r w:rsidRPr="00C94589">
        <w:rPr>
          <w:rFonts w:ascii="Tahoma" w:hAnsi="Tahoma" w:cs="Tahoma"/>
          <w:sz w:val="16"/>
          <w:szCs w:val="18"/>
        </w:rPr>
        <w:t>χρόνια</w:t>
      </w:r>
      <w:r w:rsidRPr="00C94589">
        <w:rPr>
          <w:rFonts w:ascii="Tahoma" w:hAnsi="Tahoma" w:cs="Tahoma"/>
          <w:sz w:val="16"/>
          <w:szCs w:val="18"/>
          <w:lang w:val="en-US"/>
        </w:rPr>
        <w:t xml:space="preserve">: </w:t>
      </w:r>
      <w:r w:rsidRPr="00C94589">
        <w:rPr>
          <w:rFonts w:ascii="Tahoma" w:hAnsi="Tahoma" w:cs="Tahoma"/>
          <w:sz w:val="16"/>
          <w:szCs w:val="18"/>
        </w:rPr>
        <w:t>Βέλγιο</w:t>
      </w:r>
      <w:r w:rsidRPr="00C94589">
        <w:rPr>
          <w:rFonts w:ascii="Tahoma" w:hAnsi="Tahoma" w:cs="Tahoma"/>
          <w:sz w:val="16"/>
          <w:szCs w:val="18"/>
          <w:lang w:val="en-US"/>
        </w:rPr>
        <w:t xml:space="preserve"> (1990-2004), </w:t>
      </w:r>
      <w:r w:rsidRPr="00C94589">
        <w:rPr>
          <w:rFonts w:ascii="Tahoma" w:hAnsi="Tahoma" w:cs="Tahoma"/>
          <w:sz w:val="16"/>
          <w:szCs w:val="18"/>
        </w:rPr>
        <w:t>Βουλγαρία</w:t>
      </w:r>
      <w:r w:rsidRPr="00C94589">
        <w:rPr>
          <w:rFonts w:ascii="Tahoma" w:hAnsi="Tahoma" w:cs="Tahoma"/>
          <w:sz w:val="16"/>
          <w:szCs w:val="18"/>
          <w:lang w:val="en-US"/>
        </w:rPr>
        <w:t xml:space="preserve"> (1994-2007). </w:t>
      </w:r>
      <w:r w:rsidRPr="00C94589">
        <w:rPr>
          <w:rFonts w:ascii="Tahoma" w:hAnsi="Tahoma" w:cs="Tahoma"/>
          <w:i/>
          <w:sz w:val="16"/>
          <w:szCs w:val="18"/>
        </w:rPr>
        <w:t>Πηγή</w:t>
      </w:r>
      <w:r w:rsidRPr="00C94589">
        <w:rPr>
          <w:rFonts w:ascii="Tahoma" w:hAnsi="Tahoma" w:cs="Tahoma"/>
          <w:i/>
          <w:sz w:val="16"/>
          <w:szCs w:val="18"/>
          <w:lang w:val="en-US"/>
        </w:rPr>
        <w:t xml:space="preserve">: </w:t>
      </w:r>
      <w:r w:rsidRPr="00C94589">
        <w:rPr>
          <w:rFonts w:ascii="Tahoma" w:hAnsi="Tahoma" w:cs="Tahoma"/>
          <w:i/>
          <w:sz w:val="16"/>
          <w:szCs w:val="18"/>
          <w:lang w:val="en-GB"/>
        </w:rPr>
        <w:t>IMF</w:t>
      </w:r>
      <w:r w:rsidRPr="00C94589">
        <w:rPr>
          <w:rFonts w:ascii="Tahoma" w:hAnsi="Tahoma" w:cs="Tahoma"/>
          <w:i/>
          <w:sz w:val="16"/>
          <w:szCs w:val="18"/>
          <w:lang w:val="en-US"/>
        </w:rPr>
        <w:t xml:space="preserve">, </w:t>
      </w:r>
      <w:r w:rsidRPr="00C94589">
        <w:rPr>
          <w:rFonts w:ascii="Tahoma" w:hAnsi="Tahoma" w:cs="Tahoma"/>
          <w:i/>
          <w:sz w:val="16"/>
          <w:szCs w:val="18"/>
          <w:lang w:val="en-GB"/>
        </w:rPr>
        <w:t>Report</w:t>
      </w:r>
      <w:r w:rsidRPr="00C94589">
        <w:rPr>
          <w:rFonts w:ascii="Tahoma" w:hAnsi="Tahoma" w:cs="Tahoma"/>
          <w:i/>
          <w:sz w:val="16"/>
          <w:szCs w:val="18"/>
          <w:lang w:val="en-US"/>
        </w:rPr>
        <w:t xml:space="preserve"> </w:t>
      </w:r>
      <w:r w:rsidRPr="00C94589">
        <w:rPr>
          <w:rFonts w:ascii="Tahoma" w:hAnsi="Tahoma" w:cs="Tahoma"/>
          <w:i/>
          <w:sz w:val="16"/>
          <w:szCs w:val="18"/>
          <w:lang w:val="en-GB"/>
        </w:rPr>
        <w:t>on</w:t>
      </w:r>
      <w:r w:rsidRPr="00C94589">
        <w:rPr>
          <w:rFonts w:ascii="Tahoma" w:hAnsi="Tahoma" w:cs="Tahoma"/>
          <w:i/>
          <w:sz w:val="16"/>
          <w:szCs w:val="18"/>
          <w:lang w:val="en-US"/>
        </w:rPr>
        <w:t xml:space="preserve"> </w:t>
      </w:r>
      <w:r w:rsidRPr="00C94589">
        <w:rPr>
          <w:rFonts w:ascii="Tahoma" w:hAnsi="Tahoma" w:cs="Tahoma"/>
          <w:i/>
          <w:sz w:val="16"/>
          <w:szCs w:val="18"/>
          <w:lang w:val="en-GB"/>
        </w:rPr>
        <w:t>Greece</w:t>
      </w:r>
      <w:r w:rsidRPr="00C94589">
        <w:rPr>
          <w:rFonts w:ascii="Tahoma" w:hAnsi="Tahoma" w:cs="Tahoma"/>
          <w:i/>
          <w:sz w:val="16"/>
          <w:szCs w:val="18"/>
          <w:lang w:val="en-US"/>
        </w:rPr>
        <w:t xml:space="preserve">, </w:t>
      </w:r>
      <w:r w:rsidRPr="00C94589">
        <w:rPr>
          <w:rFonts w:ascii="Tahoma" w:hAnsi="Tahoma" w:cs="Tahoma"/>
          <w:i/>
          <w:sz w:val="16"/>
          <w:szCs w:val="18"/>
          <w:lang w:val="en-GB"/>
        </w:rPr>
        <w:t>Request</w:t>
      </w:r>
      <w:r w:rsidRPr="00C94589">
        <w:rPr>
          <w:rFonts w:ascii="Tahoma" w:hAnsi="Tahoma" w:cs="Tahoma"/>
          <w:i/>
          <w:sz w:val="16"/>
          <w:szCs w:val="18"/>
          <w:lang w:val="en-US"/>
        </w:rPr>
        <w:t xml:space="preserve"> </w:t>
      </w:r>
      <w:r w:rsidRPr="00C94589">
        <w:rPr>
          <w:rFonts w:ascii="Tahoma" w:hAnsi="Tahoma" w:cs="Tahoma"/>
          <w:i/>
          <w:sz w:val="16"/>
          <w:szCs w:val="18"/>
          <w:lang w:val="en-GB"/>
        </w:rPr>
        <w:t xml:space="preserve">for Extended Arrangement Under the Extended Fund Facility (March 9, 2012), Strategies for Fiscal Consolidation in the Post-Crisis World (IMF, 2010). </w:t>
      </w:r>
    </w:p>
  </w:footnote>
  <w:footnote w:id="21">
    <w:p w:rsidR="00212EB2" w:rsidRPr="00A11D69" w:rsidRDefault="00212EB2" w:rsidP="003C1B9F">
      <w:pPr>
        <w:pStyle w:val="FootnoteText"/>
        <w:spacing w:before="0" w:after="0" w:line="240" w:lineRule="auto"/>
      </w:pPr>
      <w:r>
        <w:rPr>
          <w:rStyle w:val="FootnoteReference"/>
        </w:rPr>
        <w:footnoteRef/>
      </w:r>
      <w:r>
        <w:t xml:space="preserve"> </w:t>
      </w:r>
      <w:r w:rsidRPr="00C94589">
        <w:rPr>
          <w:rFonts w:ascii="Tahoma" w:hAnsi="Tahoma" w:cs="Tahoma"/>
          <w:sz w:val="16"/>
          <w:szCs w:val="18"/>
        </w:rPr>
        <w:t xml:space="preserve">Μετά τη μείωση του λόγου </w:t>
      </w:r>
      <w:r>
        <w:rPr>
          <w:rFonts w:ascii="Tahoma" w:hAnsi="Tahoma" w:cs="Tahoma"/>
          <w:sz w:val="16"/>
          <w:szCs w:val="18"/>
        </w:rPr>
        <w:t xml:space="preserve">Δημοσίου </w:t>
      </w:r>
      <w:r w:rsidRPr="00C94589">
        <w:rPr>
          <w:rFonts w:ascii="Tahoma" w:hAnsi="Tahoma" w:cs="Tahoma"/>
          <w:sz w:val="16"/>
          <w:szCs w:val="18"/>
        </w:rPr>
        <w:t>Χρέο</w:t>
      </w:r>
      <w:r>
        <w:rPr>
          <w:rFonts w:ascii="Tahoma" w:hAnsi="Tahoma" w:cs="Tahoma"/>
          <w:sz w:val="16"/>
          <w:szCs w:val="18"/>
        </w:rPr>
        <w:t>υ</w:t>
      </w:r>
      <w:r w:rsidRPr="00C94589">
        <w:rPr>
          <w:rFonts w:ascii="Tahoma" w:hAnsi="Tahoma" w:cs="Tahoma"/>
          <w:sz w:val="16"/>
          <w:szCs w:val="18"/>
        </w:rPr>
        <w:t xml:space="preserve">ς/ΑΕΠ που θα παρατηρηθεί το 2012 λόγω της ονομαστικής μείωσης του χρέους εξαιτίας του </w:t>
      </w:r>
      <w:r w:rsidRPr="00C94589">
        <w:rPr>
          <w:rFonts w:ascii="Tahoma" w:hAnsi="Tahoma" w:cs="Tahoma"/>
          <w:sz w:val="16"/>
          <w:szCs w:val="18"/>
          <w:lang w:val="en-GB"/>
        </w:rPr>
        <w:t>PSI</w:t>
      </w:r>
      <w:r w:rsidRPr="00C94589">
        <w:rPr>
          <w:rFonts w:ascii="Tahoma" w:hAnsi="Tahoma" w:cs="Tahoma"/>
          <w:sz w:val="16"/>
          <w:szCs w:val="18"/>
        </w:rPr>
        <w:t>, το δημόσιο χρέος αναμένεται και πάλι να αυξηθεί οριακά το 2013 λόγω των αρνητικών ρυθμών μεγέθυνσης που θα παρατηρηθούν και του χρόνου και του περιορισμένου ύψους πρωτογενούς πλεονάσματος</w:t>
      </w:r>
      <w:r w:rsidRPr="00C94589">
        <w:rPr>
          <w:sz w:val="18"/>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0E39E0" w:rsidRDefault="00212EB2" w:rsidP="003257F4">
    <w:pPr>
      <w:pStyle w:val="Header"/>
      <w:pBdr>
        <w:bottom w:val="single" w:sz="8" w:space="1" w:color="auto"/>
      </w:pBdr>
      <w:rPr>
        <w:rFonts w:ascii="Tahoma" w:hAnsi="Tahoma" w:cs="Tahoma"/>
        <w:sz w:val="18"/>
        <w:szCs w:val="18"/>
      </w:rPr>
    </w:pPr>
    <w:r w:rsidRPr="000E39E0">
      <w:rPr>
        <w:rFonts w:ascii="Tahoma" w:hAnsi="Tahoma" w:cs="Tahoma"/>
        <w:sz w:val="18"/>
        <w:szCs w:val="18"/>
      </w:rPr>
      <w:t xml:space="preserve">ΙΟΒΕ “Η Ελληνική Οικονομία” </w:t>
    </w:r>
    <w:r w:rsidRPr="000E39E0">
      <w:rPr>
        <w:rFonts w:ascii="Tahoma" w:hAnsi="Tahoma" w:cs="Tahoma"/>
        <w:i/>
        <w:sz w:val="18"/>
        <w:szCs w:val="18"/>
      </w:rPr>
      <w:t>τεύχος 0</w:t>
    </w:r>
    <w:r>
      <w:rPr>
        <w:rFonts w:ascii="Tahoma" w:hAnsi="Tahoma" w:cs="Tahoma"/>
        <w:i/>
        <w:sz w:val="18"/>
        <w:szCs w:val="18"/>
      </w:rPr>
      <w:t>1</w:t>
    </w:r>
    <w:r w:rsidRPr="000E39E0">
      <w:rPr>
        <w:rFonts w:ascii="Tahoma" w:hAnsi="Tahoma" w:cs="Tahoma"/>
        <w:i/>
        <w:sz w:val="18"/>
        <w:szCs w:val="18"/>
      </w:rPr>
      <w:t>/0</w:t>
    </w:r>
    <w:r>
      <w:rPr>
        <w:rFonts w:ascii="Tahoma" w:hAnsi="Tahoma" w:cs="Tahoma"/>
        <w:i/>
        <w:sz w:val="18"/>
        <w:szCs w:val="18"/>
      </w:rPr>
      <w:t>8</w:t>
    </w:r>
  </w:p>
  <w:p w:rsidR="00212EB2" w:rsidRDefault="00212EB2" w:rsidP="003257F4">
    <w:pPr>
      <w:pStyle w:val="Header"/>
      <w:ind w:right="360" w:firstLine="360"/>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EA2458" w:rsidRDefault="00212EB2" w:rsidP="00A436FA">
    <w:pPr>
      <w:pStyle w:val="Header"/>
      <w:pBdr>
        <w:bottom w:val="single" w:sz="8" w:space="1" w:color="auto"/>
      </w:pBdr>
      <w:tabs>
        <w:tab w:val="left" w:pos="9000"/>
      </w:tabs>
      <w:ind w:left="567" w:right="-426"/>
      <w:rPr>
        <w:rFonts w:ascii="Tahoma" w:hAnsi="Tahoma" w:cs="Tahoma"/>
        <w:i/>
      </w:rPr>
    </w:pPr>
    <w:r w:rsidRPr="00D0471E">
      <w:rPr>
        <w:rFonts w:ascii="Tahoma" w:hAnsi="Tahoma" w:cs="Tahoma"/>
      </w:rPr>
      <w:t xml:space="preserve">ΙΟΒΕ “Η Ελληνική Οικονομία” </w:t>
    </w:r>
    <w:r w:rsidRPr="00D0471E">
      <w:rPr>
        <w:rFonts w:ascii="Tahoma" w:hAnsi="Tahoma" w:cs="Tahoma"/>
        <w:i/>
      </w:rPr>
      <w:t>τεύχος 0</w:t>
    </w:r>
    <w:r>
      <w:rPr>
        <w:rFonts w:ascii="Tahoma" w:hAnsi="Tahoma" w:cs="Tahoma"/>
        <w:i/>
      </w:rPr>
      <w:t>1</w:t>
    </w:r>
    <w:r w:rsidRPr="00D0471E">
      <w:rPr>
        <w:rFonts w:ascii="Tahoma" w:hAnsi="Tahoma" w:cs="Tahoma"/>
        <w:i/>
      </w:rPr>
      <w:t>/1</w:t>
    </w:r>
    <w:r>
      <w:rPr>
        <w:rFonts w:ascii="Tahoma" w:hAnsi="Tahoma" w:cs="Tahoma"/>
        <w:i/>
      </w:rPr>
      <w:t>2</w:t>
    </w:r>
  </w:p>
  <w:p w:rsidR="00212EB2" w:rsidRDefault="00212EB2" w:rsidP="003257F4">
    <w:pPr>
      <w:pStyle w:val="Header"/>
      <w:ind w:right="1102" w:firstLine="360"/>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EA2458" w:rsidRDefault="00212EB2" w:rsidP="00A436FA">
    <w:pPr>
      <w:pStyle w:val="Header"/>
      <w:pBdr>
        <w:bottom w:val="single" w:sz="8" w:space="1" w:color="auto"/>
      </w:pBdr>
      <w:tabs>
        <w:tab w:val="left" w:pos="9000"/>
      </w:tabs>
      <w:ind w:right="-1"/>
      <w:rPr>
        <w:rFonts w:ascii="Tahoma" w:hAnsi="Tahoma" w:cs="Tahoma"/>
        <w:i/>
      </w:rPr>
    </w:pPr>
    <w:r w:rsidRPr="00D0471E">
      <w:rPr>
        <w:rFonts w:ascii="Tahoma" w:hAnsi="Tahoma" w:cs="Tahoma"/>
      </w:rPr>
      <w:t xml:space="preserve">ΙΟΒΕ “Η Ελληνική Οικονομία” </w:t>
    </w:r>
    <w:r w:rsidRPr="00D0471E">
      <w:rPr>
        <w:rFonts w:ascii="Tahoma" w:hAnsi="Tahoma" w:cs="Tahoma"/>
        <w:i/>
      </w:rPr>
      <w:t>τεύχος 0</w:t>
    </w:r>
    <w:r>
      <w:rPr>
        <w:rFonts w:ascii="Tahoma" w:hAnsi="Tahoma" w:cs="Tahoma"/>
        <w:i/>
      </w:rPr>
      <w:t>1</w:t>
    </w:r>
    <w:r w:rsidRPr="00D0471E">
      <w:rPr>
        <w:rFonts w:ascii="Tahoma" w:hAnsi="Tahoma" w:cs="Tahoma"/>
        <w:i/>
      </w:rPr>
      <w:t>/1</w:t>
    </w:r>
    <w:r>
      <w:rPr>
        <w:rFonts w:ascii="Tahoma" w:hAnsi="Tahoma" w:cs="Tahoma"/>
        <w:i/>
      </w:rPr>
      <w:t>2</w:t>
    </w:r>
  </w:p>
  <w:p w:rsidR="00212EB2" w:rsidRDefault="00212EB2" w:rsidP="003257F4">
    <w:pPr>
      <w:pStyle w:val="Header"/>
      <w:ind w:right="1102" w:firstLine="360"/>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Default="00212EB2" w:rsidP="00591211">
    <w:pPr>
      <w:pStyle w:val="Header"/>
      <w:ind w:right="360" w:firstLine="360"/>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8F2F28" w:rsidRDefault="00212EB2" w:rsidP="00652F81">
    <w:pPr>
      <w:pStyle w:val="Header"/>
      <w:pBdr>
        <w:bottom w:val="single" w:sz="8" w:space="1" w:color="auto"/>
      </w:pBdr>
      <w:tabs>
        <w:tab w:val="clear" w:pos="4153"/>
        <w:tab w:val="clear" w:pos="8306"/>
        <w:tab w:val="right" w:pos="9000"/>
        <w:tab w:val="left" w:pos="9180"/>
      </w:tabs>
      <w:ind w:right="48"/>
      <w:rPr>
        <w:rFonts w:ascii="Tahoma" w:hAnsi="Tahoma" w:cs="Tahoma"/>
        <w:sz w:val="18"/>
        <w:szCs w:val="18"/>
      </w:rPr>
    </w:pPr>
    <w:r w:rsidRPr="008F2F28">
      <w:rPr>
        <w:rFonts w:ascii="Tahoma" w:hAnsi="Tahoma" w:cs="Tahoma"/>
        <w:sz w:val="18"/>
        <w:szCs w:val="18"/>
      </w:rPr>
      <w:t>ΙΟΒΕ “Η Ελληνική Οικονομ</w:t>
    </w:r>
    <w:r>
      <w:rPr>
        <w:rFonts w:ascii="Tahoma" w:hAnsi="Tahoma" w:cs="Tahoma"/>
        <w:sz w:val="18"/>
        <w:szCs w:val="18"/>
      </w:rPr>
      <w:t>ία</w:t>
    </w:r>
    <w:r w:rsidRPr="008F2F28">
      <w:rPr>
        <w:rFonts w:ascii="Tahoma" w:hAnsi="Tahoma" w:cs="Tahoma"/>
        <w:sz w:val="18"/>
        <w:szCs w:val="18"/>
      </w:rPr>
      <w:t xml:space="preserve">” </w:t>
    </w:r>
    <w:r w:rsidRPr="008F2F28">
      <w:rPr>
        <w:rFonts w:ascii="Tahoma" w:hAnsi="Tahoma" w:cs="Tahoma"/>
        <w:i/>
        <w:sz w:val="18"/>
        <w:szCs w:val="18"/>
      </w:rPr>
      <w:t>τεύχος 0</w:t>
    </w:r>
    <w:r>
      <w:rPr>
        <w:rFonts w:ascii="Tahoma" w:hAnsi="Tahoma" w:cs="Tahoma"/>
        <w:i/>
        <w:sz w:val="18"/>
        <w:szCs w:val="18"/>
      </w:rPr>
      <w:t>1/12</w:t>
    </w:r>
    <w:r w:rsidRPr="008F2F28">
      <w:rPr>
        <w:rFonts w:ascii="Tahoma" w:hAnsi="Tahoma" w:cs="Tahoma"/>
        <w:sz w:val="18"/>
        <w:szCs w:val="18"/>
      </w:rPr>
      <w:tab/>
      <w:t>Παρ</w:t>
    </w:r>
    <w:r>
      <w:rPr>
        <w:rFonts w:ascii="Tahoma" w:hAnsi="Tahoma" w:cs="Tahoma"/>
        <w:sz w:val="18"/>
        <w:szCs w:val="18"/>
      </w:rPr>
      <w:t>άρτημα</w:t>
    </w:r>
    <w:r w:rsidRPr="008F2F28">
      <w:rPr>
        <w:rFonts w:ascii="Tahoma" w:hAnsi="Tahoma" w:cs="Tahoma"/>
        <w:sz w:val="18"/>
        <w:szCs w:val="18"/>
      </w:rPr>
      <w:tab/>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4362C0" w:rsidRDefault="00212EB2" w:rsidP="00652F81">
    <w:pPr>
      <w:pStyle w:val="Header"/>
      <w:pBdr>
        <w:bottom w:val="single" w:sz="8" w:space="1" w:color="auto"/>
      </w:pBdr>
      <w:tabs>
        <w:tab w:val="clear" w:pos="8306"/>
        <w:tab w:val="right" w:pos="9000"/>
      </w:tabs>
      <w:rPr>
        <w:rFonts w:ascii="Tahoma" w:hAnsi="Tahoma" w:cs="Tahoma"/>
        <w:i/>
        <w:sz w:val="18"/>
        <w:szCs w:val="18"/>
      </w:rPr>
    </w:pPr>
    <w:r w:rsidRPr="000E39E0">
      <w:rPr>
        <w:rFonts w:ascii="Tahoma" w:hAnsi="Tahoma" w:cs="Tahoma"/>
        <w:sz w:val="18"/>
        <w:szCs w:val="18"/>
      </w:rPr>
      <w:t xml:space="preserve">ΙΟΒΕ “Η Ελληνική Οικονομία” </w:t>
    </w:r>
    <w:r w:rsidRPr="00745C1C">
      <w:rPr>
        <w:rFonts w:ascii="Tahoma" w:hAnsi="Tahoma" w:cs="Tahoma"/>
        <w:i/>
        <w:sz w:val="18"/>
        <w:szCs w:val="18"/>
      </w:rPr>
      <w:t>τεύχος</w:t>
    </w:r>
    <w:r w:rsidRPr="00AD56D9">
      <w:rPr>
        <w:rFonts w:ascii="Tahoma" w:hAnsi="Tahoma" w:cs="Tahoma"/>
        <w:sz w:val="18"/>
        <w:szCs w:val="18"/>
      </w:rPr>
      <w:t xml:space="preserve"> </w:t>
    </w:r>
    <w:r w:rsidRPr="000E39E0">
      <w:rPr>
        <w:rFonts w:ascii="Tahoma" w:hAnsi="Tahoma" w:cs="Tahoma"/>
        <w:i/>
        <w:sz w:val="18"/>
        <w:szCs w:val="18"/>
      </w:rPr>
      <w:t>0</w:t>
    </w:r>
    <w:r>
      <w:rPr>
        <w:rFonts w:ascii="Tahoma" w:hAnsi="Tahoma" w:cs="Tahoma"/>
        <w:i/>
        <w:sz w:val="18"/>
        <w:szCs w:val="18"/>
      </w:rPr>
      <w:t>4</w:t>
    </w:r>
    <w:r w:rsidRPr="000E39E0">
      <w:rPr>
        <w:rFonts w:ascii="Tahoma" w:hAnsi="Tahoma" w:cs="Tahoma"/>
        <w:i/>
        <w:sz w:val="18"/>
        <w:szCs w:val="18"/>
      </w:rPr>
      <w:t>/0</w:t>
    </w:r>
    <w:r>
      <w:rPr>
        <w:rFonts w:ascii="Tahoma" w:hAnsi="Tahoma" w:cs="Tahoma"/>
        <w:i/>
        <w:sz w:val="18"/>
        <w:szCs w:val="18"/>
      </w:rPr>
      <w:t>9</w:t>
    </w:r>
    <w:r w:rsidRPr="00CE13E1">
      <w:rPr>
        <w:rFonts w:ascii="Tahoma" w:hAnsi="Tahoma" w:cs="Tahoma"/>
        <w:sz w:val="18"/>
        <w:szCs w:val="18"/>
      </w:rPr>
      <w:t xml:space="preserve"> </w:t>
    </w:r>
    <w:r>
      <w:rPr>
        <w:rFonts w:ascii="Tahoma" w:hAnsi="Tahoma" w:cs="Tahoma"/>
        <w:sz w:val="18"/>
        <w:szCs w:val="18"/>
      </w:rPr>
      <w:tab/>
    </w:r>
    <w:r>
      <w:rPr>
        <w:rFonts w:ascii="Tahoma" w:hAnsi="Tahoma" w:cs="Tahoma"/>
        <w:sz w:val="18"/>
        <w:szCs w:val="18"/>
      </w:rPr>
      <w:tab/>
    </w:r>
    <w:r w:rsidRPr="008F2F28">
      <w:rPr>
        <w:rFonts w:ascii="Tahoma" w:hAnsi="Tahoma" w:cs="Tahoma"/>
        <w:sz w:val="18"/>
        <w:szCs w:val="18"/>
      </w:rPr>
      <w:t>Παρ</w:t>
    </w:r>
    <w:r>
      <w:rPr>
        <w:rFonts w:ascii="Tahoma" w:hAnsi="Tahoma" w:cs="Tahoma"/>
        <w:sz w:val="18"/>
        <w:szCs w:val="18"/>
      </w:rPr>
      <w:t>άρτημα</w:t>
    </w:r>
  </w:p>
  <w:p w:rsidR="00212EB2" w:rsidRPr="000E39E0" w:rsidRDefault="00212EB2" w:rsidP="00652F81">
    <w:pPr>
      <w:pStyle w:val="Header"/>
      <w:ind w:left="-180"/>
      <w:rPr>
        <w:rFonts w:ascii="Tahoma" w:hAnsi="Tahoma" w:cs="Tahoma"/>
        <w:sz w:val="18"/>
        <w:szCs w:val="18"/>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Default="00212EB2" w:rsidP="00652F81">
    <w:pPr>
      <w:pStyle w:val="Header"/>
      <w:ind w:right="360" w:firstLine="360"/>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8F2F28" w:rsidRDefault="00212EB2" w:rsidP="00652F81">
    <w:pPr>
      <w:pStyle w:val="Header"/>
      <w:pBdr>
        <w:bottom w:val="single" w:sz="8" w:space="1" w:color="auto"/>
      </w:pBdr>
      <w:tabs>
        <w:tab w:val="clear" w:pos="4153"/>
        <w:tab w:val="clear" w:pos="8306"/>
        <w:tab w:val="right" w:pos="9000"/>
        <w:tab w:val="left" w:pos="9180"/>
      </w:tabs>
      <w:ind w:right="48"/>
      <w:rPr>
        <w:rFonts w:ascii="Tahoma" w:hAnsi="Tahoma" w:cs="Tahoma"/>
        <w:sz w:val="18"/>
        <w:szCs w:val="18"/>
      </w:rPr>
    </w:pPr>
    <w:r w:rsidRPr="008F2F28">
      <w:rPr>
        <w:rFonts w:ascii="Tahoma" w:hAnsi="Tahoma" w:cs="Tahoma"/>
        <w:sz w:val="18"/>
        <w:szCs w:val="18"/>
      </w:rPr>
      <w:t>ΙΟΒΕ “Η Ελληνική Οικονομ</w:t>
    </w:r>
    <w:r>
      <w:rPr>
        <w:rFonts w:ascii="Tahoma" w:hAnsi="Tahoma" w:cs="Tahoma"/>
        <w:sz w:val="18"/>
        <w:szCs w:val="18"/>
      </w:rPr>
      <w:t>ία</w:t>
    </w:r>
    <w:r w:rsidRPr="008F2F28">
      <w:rPr>
        <w:rFonts w:ascii="Tahoma" w:hAnsi="Tahoma" w:cs="Tahoma"/>
        <w:sz w:val="18"/>
        <w:szCs w:val="18"/>
      </w:rPr>
      <w:t xml:space="preserve">” </w:t>
    </w:r>
    <w:r>
      <w:rPr>
        <w:rFonts w:ascii="Tahoma" w:hAnsi="Tahoma" w:cs="Tahoma"/>
        <w:i/>
        <w:sz w:val="18"/>
        <w:szCs w:val="18"/>
      </w:rPr>
      <w:t>τεύχος 01/12</w:t>
    </w:r>
    <w:r w:rsidRPr="008F2F28">
      <w:rPr>
        <w:rFonts w:ascii="Tahoma" w:hAnsi="Tahoma" w:cs="Tahoma"/>
        <w:sz w:val="18"/>
        <w:szCs w:val="18"/>
      </w:rPr>
      <w:tab/>
      <w:t>Παρ</w:t>
    </w:r>
    <w:r>
      <w:rPr>
        <w:rFonts w:ascii="Tahoma" w:hAnsi="Tahoma" w:cs="Tahoma"/>
        <w:sz w:val="18"/>
        <w:szCs w:val="18"/>
      </w:rPr>
      <w:t>άρτημα</w:t>
    </w:r>
    <w:r w:rsidRPr="008F2F28">
      <w:rPr>
        <w:rFonts w:ascii="Tahoma" w:hAnsi="Tahoma" w:cs="Tahoma"/>
        <w:sz w:val="18"/>
        <w:szCs w:val="18"/>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Default="00212EB2" w:rsidP="003257F4">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0E39E0" w:rsidRDefault="00212EB2" w:rsidP="003257F4">
    <w:pPr>
      <w:pStyle w:val="Header"/>
      <w:pBdr>
        <w:bottom w:val="single" w:sz="8" w:space="1" w:color="auto"/>
      </w:pBdr>
      <w:rPr>
        <w:rFonts w:ascii="Tahoma" w:hAnsi="Tahoma" w:cs="Tahoma"/>
        <w:sz w:val="18"/>
        <w:szCs w:val="18"/>
      </w:rPr>
    </w:pPr>
    <w:r w:rsidRPr="000E39E0">
      <w:rPr>
        <w:rFonts w:ascii="Tahoma" w:hAnsi="Tahoma" w:cs="Tahoma"/>
        <w:sz w:val="18"/>
        <w:szCs w:val="18"/>
      </w:rPr>
      <w:t xml:space="preserve">ΙΟΒΕ “Η Ελληνική Οικονομία” </w:t>
    </w:r>
    <w:r w:rsidRPr="000E39E0">
      <w:rPr>
        <w:rFonts w:ascii="Tahoma" w:hAnsi="Tahoma" w:cs="Tahoma"/>
        <w:i/>
        <w:sz w:val="18"/>
        <w:szCs w:val="18"/>
      </w:rPr>
      <w:t>τεύχος 0</w:t>
    </w:r>
    <w:r>
      <w:rPr>
        <w:rFonts w:ascii="Tahoma" w:hAnsi="Tahoma" w:cs="Tahoma"/>
        <w:i/>
        <w:sz w:val="18"/>
        <w:szCs w:val="18"/>
      </w:rPr>
      <w:t>4</w:t>
    </w:r>
    <w:r w:rsidRPr="000E39E0">
      <w:rPr>
        <w:rFonts w:ascii="Tahoma" w:hAnsi="Tahoma" w:cs="Tahoma"/>
        <w:i/>
        <w:sz w:val="18"/>
        <w:szCs w:val="18"/>
      </w:rPr>
      <w:t>/07</w:t>
    </w:r>
  </w:p>
  <w:p w:rsidR="00212EB2" w:rsidRDefault="00212EB2">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Default="00212EB2" w:rsidP="003257F4">
    <w:pPr>
      <w:pStyle w:val="Header"/>
      <w:ind w:right="360" w:firstLine="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Default="00212EB2" w:rsidP="003257F4">
    <w:pPr>
      <w:pStyle w:val="Header"/>
      <w:ind w:right="360" w:firstLine="36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Default="00212EB2" w:rsidP="003257F4">
    <w:pPr>
      <w:pStyle w:val="Header"/>
      <w:ind w:right="360" w:firstLine="360"/>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2D4E44" w:rsidRDefault="00212EB2" w:rsidP="003257F4">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EA2458" w:rsidRDefault="00212EB2" w:rsidP="00A747F6">
    <w:pPr>
      <w:pStyle w:val="Header"/>
      <w:pBdr>
        <w:bottom w:val="single" w:sz="8" w:space="1" w:color="auto"/>
      </w:pBdr>
      <w:tabs>
        <w:tab w:val="left" w:pos="9000"/>
      </w:tabs>
      <w:ind w:right="-12"/>
      <w:rPr>
        <w:rFonts w:ascii="Tahoma" w:hAnsi="Tahoma" w:cs="Tahoma"/>
        <w:i/>
      </w:rPr>
    </w:pPr>
    <w:r w:rsidRPr="00D0471E">
      <w:rPr>
        <w:rFonts w:ascii="Tahoma" w:hAnsi="Tahoma" w:cs="Tahoma"/>
      </w:rPr>
      <w:t xml:space="preserve">ΙΟΒΕ “Η Ελληνική Οικονομία” </w:t>
    </w:r>
    <w:r w:rsidRPr="00D0471E">
      <w:rPr>
        <w:rFonts w:ascii="Tahoma" w:hAnsi="Tahoma" w:cs="Tahoma"/>
        <w:i/>
      </w:rPr>
      <w:t>τεύχος 0</w:t>
    </w:r>
    <w:r>
      <w:rPr>
        <w:rFonts w:ascii="Tahoma" w:hAnsi="Tahoma" w:cs="Tahoma"/>
        <w:i/>
      </w:rPr>
      <w:t>1</w:t>
    </w:r>
    <w:r w:rsidRPr="00D0471E">
      <w:rPr>
        <w:rFonts w:ascii="Tahoma" w:hAnsi="Tahoma" w:cs="Tahoma"/>
        <w:i/>
      </w:rPr>
      <w:t>/1</w:t>
    </w:r>
    <w:r>
      <w:rPr>
        <w:rFonts w:ascii="Tahoma" w:hAnsi="Tahoma" w:cs="Tahoma"/>
        <w:i/>
      </w:rPr>
      <w:t>2</w:t>
    </w:r>
  </w:p>
  <w:p w:rsidR="00212EB2" w:rsidRDefault="00212EB2" w:rsidP="003257F4">
    <w:pPr>
      <w:pStyle w:val="Header"/>
      <w:ind w:right="1102" w:firstLine="360"/>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B2" w:rsidRPr="00EA2458" w:rsidRDefault="00212EB2" w:rsidP="009018F8">
    <w:pPr>
      <w:pStyle w:val="Header"/>
      <w:pBdr>
        <w:bottom w:val="single" w:sz="8" w:space="1" w:color="auto"/>
      </w:pBdr>
      <w:tabs>
        <w:tab w:val="left" w:pos="9000"/>
      </w:tabs>
      <w:ind w:right="271"/>
      <w:rPr>
        <w:rFonts w:ascii="Tahoma" w:hAnsi="Tahoma" w:cs="Tahoma"/>
        <w:i/>
      </w:rPr>
    </w:pPr>
    <w:r w:rsidRPr="00D0471E">
      <w:rPr>
        <w:rFonts w:ascii="Tahoma" w:hAnsi="Tahoma" w:cs="Tahoma"/>
      </w:rPr>
      <w:t xml:space="preserve">ΙΟΒΕ “Η Ελληνική Οικονομία” </w:t>
    </w:r>
    <w:r w:rsidRPr="00D0471E">
      <w:rPr>
        <w:rFonts w:ascii="Tahoma" w:hAnsi="Tahoma" w:cs="Tahoma"/>
        <w:i/>
      </w:rPr>
      <w:t>τεύχος 0</w:t>
    </w:r>
    <w:r>
      <w:rPr>
        <w:rFonts w:ascii="Tahoma" w:hAnsi="Tahoma" w:cs="Tahoma"/>
        <w:i/>
      </w:rPr>
      <w:t>1</w:t>
    </w:r>
    <w:r w:rsidRPr="00D0471E">
      <w:rPr>
        <w:rFonts w:ascii="Tahoma" w:hAnsi="Tahoma" w:cs="Tahoma"/>
        <w:i/>
      </w:rPr>
      <w:t>/1</w:t>
    </w:r>
    <w:r>
      <w:rPr>
        <w:rFonts w:ascii="Tahoma" w:hAnsi="Tahoma" w:cs="Tahoma"/>
        <w:i/>
      </w:rPr>
      <w:t>2</w:t>
    </w:r>
  </w:p>
  <w:p w:rsidR="00212EB2" w:rsidRDefault="00212EB2" w:rsidP="003257F4">
    <w:pPr>
      <w:pStyle w:val="Header"/>
      <w:ind w:right="1102"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A118F"/>
    <w:multiLevelType w:val="multilevel"/>
    <w:tmpl w:val="0408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D05234F"/>
    <w:multiLevelType w:val="hybridMultilevel"/>
    <w:tmpl w:val="B1B6FFFC"/>
    <w:lvl w:ilvl="0" w:tplc="DB62CB1A">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DAA73F9"/>
    <w:multiLevelType w:val="hybridMultilevel"/>
    <w:tmpl w:val="C5A4DE3C"/>
    <w:lvl w:ilvl="0" w:tplc="35F692BE">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883220F"/>
    <w:multiLevelType w:val="hybridMultilevel"/>
    <w:tmpl w:val="17BCE0E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2DB65FE2"/>
    <w:multiLevelType w:val="hybridMultilevel"/>
    <w:tmpl w:val="7292E5DC"/>
    <w:lvl w:ilvl="0" w:tplc="D1621EA2">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5">
    <w:nsid w:val="2F451958"/>
    <w:multiLevelType w:val="multilevel"/>
    <w:tmpl w:val="4CB8BEB2"/>
    <w:styleLink w:val="Style1"/>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38D16261"/>
    <w:multiLevelType w:val="hybridMultilevel"/>
    <w:tmpl w:val="E536E458"/>
    <w:lvl w:ilvl="0" w:tplc="99AAA386">
      <w:start w:val="1"/>
      <w:numFmt w:val="decimal"/>
      <w:lvlText w:val="%1."/>
      <w:lvlJc w:val="left"/>
      <w:pPr>
        <w:tabs>
          <w:tab w:val="num" w:pos="360"/>
        </w:tabs>
        <w:ind w:left="360" w:hanging="360"/>
      </w:pPr>
      <w:rPr>
        <w:rFonts w:cs="Times New Roman" w:hint="default"/>
      </w:rPr>
    </w:lvl>
    <w:lvl w:ilvl="1" w:tplc="BE80D30E" w:tentative="1">
      <w:start w:val="1"/>
      <w:numFmt w:val="lowerLetter"/>
      <w:lvlText w:val="%2."/>
      <w:lvlJc w:val="left"/>
      <w:pPr>
        <w:tabs>
          <w:tab w:val="num" w:pos="723"/>
        </w:tabs>
        <w:ind w:left="723" w:hanging="360"/>
      </w:pPr>
      <w:rPr>
        <w:rFonts w:cs="Times New Roman"/>
      </w:rPr>
    </w:lvl>
    <w:lvl w:ilvl="2" w:tplc="659CAB6A" w:tentative="1">
      <w:start w:val="1"/>
      <w:numFmt w:val="lowerRoman"/>
      <w:lvlText w:val="%3."/>
      <w:lvlJc w:val="right"/>
      <w:pPr>
        <w:tabs>
          <w:tab w:val="num" w:pos="1443"/>
        </w:tabs>
        <w:ind w:left="1443" w:hanging="180"/>
      </w:pPr>
      <w:rPr>
        <w:rFonts w:cs="Times New Roman"/>
      </w:rPr>
    </w:lvl>
    <w:lvl w:ilvl="3" w:tplc="B270F5EA" w:tentative="1">
      <w:start w:val="1"/>
      <w:numFmt w:val="decimal"/>
      <w:lvlText w:val="%4."/>
      <w:lvlJc w:val="left"/>
      <w:pPr>
        <w:tabs>
          <w:tab w:val="num" w:pos="2163"/>
        </w:tabs>
        <w:ind w:left="2163" w:hanging="360"/>
      </w:pPr>
      <w:rPr>
        <w:rFonts w:cs="Times New Roman"/>
      </w:rPr>
    </w:lvl>
    <w:lvl w:ilvl="4" w:tplc="DA34A9F2" w:tentative="1">
      <w:start w:val="1"/>
      <w:numFmt w:val="lowerLetter"/>
      <w:lvlText w:val="%5."/>
      <w:lvlJc w:val="left"/>
      <w:pPr>
        <w:tabs>
          <w:tab w:val="num" w:pos="2883"/>
        </w:tabs>
        <w:ind w:left="2883" w:hanging="360"/>
      </w:pPr>
      <w:rPr>
        <w:rFonts w:cs="Times New Roman"/>
      </w:rPr>
    </w:lvl>
    <w:lvl w:ilvl="5" w:tplc="14AEAC16" w:tentative="1">
      <w:start w:val="1"/>
      <w:numFmt w:val="lowerRoman"/>
      <w:lvlText w:val="%6."/>
      <w:lvlJc w:val="right"/>
      <w:pPr>
        <w:tabs>
          <w:tab w:val="num" w:pos="3603"/>
        </w:tabs>
        <w:ind w:left="3603" w:hanging="180"/>
      </w:pPr>
      <w:rPr>
        <w:rFonts w:cs="Times New Roman"/>
      </w:rPr>
    </w:lvl>
    <w:lvl w:ilvl="6" w:tplc="75AA989C" w:tentative="1">
      <w:start w:val="1"/>
      <w:numFmt w:val="decimal"/>
      <w:lvlText w:val="%7."/>
      <w:lvlJc w:val="left"/>
      <w:pPr>
        <w:tabs>
          <w:tab w:val="num" w:pos="4323"/>
        </w:tabs>
        <w:ind w:left="4323" w:hanging="360"/>
      </w:pPr>
      <w:rPr>
        <w:rFonts w:cs="Times New Roman"/>
      </w:rPr>
    </w:lvl>
    <w:lvl w:ilvl="7" w:tplc="2894FF06" w:tentative="1">
      <w:start w:val="1"/>
      <w:numFmt w:val="lowerLetter"/>
      <w:lvlText w:val="%8."/>
      <w:lvlJc w:val="left"/>
      <w:pPr>
        <w:tabs>
          <w:tab w:val="num" w:pos="5043"/>
        </w:tabs>
        <w:ind w:left="5043" w:hanging="360"/>
      </w:pPr>
      <w:rPr>
        <w:rFonts w:cs="Times New Roman"/>
      </w:rPr>
    </w:lvl>
    <w:lvl w:ilvl="8" w:tplc="4E686536" w:tentative="1">
      <w:start w:val="1"/>
      <w:numFmt w:val="lowerRoman"/>
      <w:lvlText w:val="%9."/>
      <w:lvlJc w:val="right"/>
      <w:pPr>
        <w:tabs>
          <w:tab w:val="num" w:pos="5763"/>
        </w:tabs>
        <w:ind w:left="5763" w:hanging="180"/>
      </w:pPr>
      <w:rPr>
        <w:rFonts w:cs="Times New Roman"/>
      </w:rPr>
    </w:lvl>
  </w:abstractNum>
  <w:abstractNum w:abstractNumId="7">
    <w:nsid w:val="4EB12D70"/>
    <w:multiLevelType w:val="hybridMultilevel"/>
    <w:tmpl w:val="6AA22026"/>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5A065EC1"/>
    <w:multiLevelType w:val="hybridMultilevel"/>
    <w:tmpl w:val="0A7238D4"/>
    <w:lvl w:ilvl="0" w:tplc="0408000F">
      <w:start w:val="1"/>
      <w:numFmt w:val="decimal"/>
      <w:lvlText w:val="%1."/>
      <w:lvlJc w:val="left"/>
      <w:pPr>
        <w:ind w:left="1440" w:hanging="360"/>
      </w:pPr>
      <w:rPr>
        <w:rFonts w:hint="default"/>
      </w:rPr>
    </w:lvl>
    <w:lvl w:ilvl="1" w:tplc="04080001">
      <w:start w:val="1"/>
      <w:numFmt w:val="bullet"/>
      <w:lvlText w:val=""/>
      <w:lvlJc w:val="left"/>
      <w:pPr>
        <w:tabs>
          <w:tab w:val="num" w:pos="1080"/>
        </w:tabs>
        <w:ind w:left="1080" w:hanging="360"/>
      </w:pPr>
      <w:rPr>
        <w:rFonts w:ascii="Symbol" w:hAnsi="Symbol" w:hint="default"/>
      </w:rPr>
    </w:lvl>
    <w:lvl w:ilvl="2" w:tplc="0408001B">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9">
    <w:nsid w:val="6F502FFA"/>
    <w:multiLevelType w:val="multilevel"/>
    <w:tmpl w:val="9634F5CA"/>
    <w:lvl w:ilvl="0">
      <w:start w:val="5"/>
      <w:numFmt w:val="decimal"/>
      <w:lvlText w:val="%1."/>
      <w:lvlJc w:val="left"/>
      <w:pPr>
        <w:tabs>
          <w:tab w:val="num" w:pos="360"/>
        </w:tabs>
        <w:ind w:left="360" w:hanging="360"/>
      </w:pPr>
      <w:rPr>
        <w:rFonts w:cs="Times New Roman" w:hint="default"/>
      </w:rPr>
    </w:lvl>
    <w:lvl w:ilvl="1">
      <w:start w:val="1"/>
      <w:numFmt w:val="decimal"/>
      <w:isLgl/>
      <w:lvlText w:val="%1.%2"/>
      <w:lvlJc w:val="left"/>
      <w:pPr>
        <w:ind w:left="720" w:hanging="720"/>
      </w:pPr>
      <w:rPr>
        <w:rFonts w:ascii="Times New Roman" w:hAnsi="Times New Roman" w:cs="Times New Roman" w:hint="default"/>
        <w:b w:val="0"/>
        <w:i w:val="0"/>
        <w:sz w:val="20"/>
      </w:rPr>
    </w:lvl>
    <w:lvl w:ilvl="2">
      <w:start w:val="1"/>
      <w:numFmt w:val="decimal"/>
      <w:isLgl/>
      <w:lvlText w:val="%1.%2.%3"/>
      <w:lvlJc w:val="left"/>
      <w:pPr>
        <w:ind w:left="720" w:hanging="720"/>
      </w:pPr>
      <w:rPr>
        <w:rFonts w:ascii="Times New Roman" w:hAnsi="Times New Roman" w:cs="Times New Roman" w:hint="default"/>
        <w:b w:val="0"/>
        <w:i w:val="0"/>
        <w:sz w:val="20"/>
      </w:rPr>
    </w:lvl>
    <w:lvl w:ilvl="3">
      <w:start w:val="1"/>
      <w:numFmt w:val="decimal"/>
      <w:isLgl/>
      <w:lvlText w:val="%1.%2.%3.%4"/>
      <w:lvlJc w:val="left"/>
      <w:pPr>
        <w:ind w:left="1080" w:hanging="1080"/>
      </w:pPr>
      <w:rPr>
        <w:rFonts w:ascii="Times New Roman" w:hAnsi="Times New Roman" w:cs="Times New Roman" w:hint="default"/>
        <w:b w:val="0"/>
        <w:i w:val="0"/>
        <w:sz w:val="20"/>
      </w:rPr>
    </w:lvl>
    <w:lvl w:ilvl="4">
      <w:start w:val="1"/>
      <w:numFmt w:val="decimal"/>
      <w:isLgl/>
      <w:lvlText w:val="%1.%2.%3.%4.%5"/>
      <w:lvlJc w:val="left"/>
      <w:pPr>
        <w:ind w:left="1440" w:hanging="1440"/>
      </w:pPr>
      <w:rPr>
        <w:rFonts w:ascii="Times New Roman" w:hAnsi="Times New Roman" w:cs="Times New Roman" w:hint="default"/>
        <w:b w:val="0"/>
        <w:i w:val="0"/>
        <w:sz w:val="20"/>
      </w:rPr>
    </w:lvl>
    <w:lvl w:ilvl="5">
      <w:start w:val="1"/>
      <w:numFmt w:val="decimal"/>
      <w:isLgl/>
      <w:lvlText w:val="%1.%2.%3.%4.%5.%6"/>
      <w:lvlJc w:val="left"/>
      <w:pPr>
        <w:ind w:left="1440" w:hanging="1440"/>
      </w:pPr>
      <w:rPr>
        <w:rFonts w:ascii="Times New Roman" w:hAnsi="Times New Roman" w:cs="Times New Roman" w:hint="default"/>
        <w:b w:val="0"/>
        <w:i w:val="0"/>
        <w:sz w:val="20"/>
      </w:rPr>
    </w:lvl>
    <w:lvl w:ilvl="6">
      <w:start w:val="1"/>
      <w:numFmt w:val="decimal"/>
      <w:isLgl/>
      <w:lvlText w:val="%1.%2.%3.%4.%5.%6.%7"/>
      <w:lvlJc w:val="left"/>
      <w:pPr>
        <w:ind w:left="1800" w:hanging="1800"/>
      </w:pPr>
      <w:rPr>
        <w:rFonts w:ascii="Times New Roman" w:hAnsi="Times New Roman" w:cs="Times New Roman" w:hint="default"/>
        <w:b w:val="0"/>
        <w:i w:val="0"/>
        <w:sz w:val="20"/>
      </w:rPr>
    </w:lvl>
    <w:lvl w:ilvl="7">
      <w:start w:val="1"/>
      <w:numFmt w:val="decimal"/>
      <w:isLgl/>
      <w:lvlText w:val="%1.%2.%3.%4.%5.%6.%7.%8"/>
      <w:lvlJc w:val="left"/>
      <w:pPr>
        <w:ind w:left="2160" w:hanging="2160"/>
      </w:pPr>
      <w:rPr>
        <w:rFonts w:ascii="Times New Roman" w:hAnsi="Times New Roman" w:cs="Times New Roman" w:hint="default"/>
        <w:b w:val="0"/>
        <w:i w:val="0"/>
        <w:sz w:val="20"/>
      </w:rPr>
    </w:lvl>
    <w:lvl w:ilvl="8">
      <w:start w:val="1"/>
      <w:numFmt w:val="decimal"/>
      <w:isLgl/>
      <w:lvlText w:val="%1.%2.%3.%4.%5.%6.%7.%8.%9"/>
      <w:lvlJc w:val="left"/>
      <w:pPr>
        <w:ind w:left="2520" w:hanging="2520"/>
      </w:pPr>
      <w:rPr>
        <w:rFonts w:ascii="Times New Roman" w:hAnsi="Times New Roman" w:cs="Times New Roman" w:hint="default"/>
        <w:b w:val="0"/>
        <w:i w:val="0"/>
        <w:sz w:val="20"/>
      </w:rPr>
    </w:lvl>
  </w:abstractNum>
  <w:abstractNum w:abstractNumId="10">
    <w:nsid w:val="7895301C"/>
    <w:multiLevelType w:val="multilevel"/>
    <w:tmpl w:val="ABE637A4"/>
    <w:lvl w:ilvl="0">
      <w:start w:val="3"/>
      <w:numFmt w:val="decimal"/>
      <w:lvlText w:val="%1."/>
      <w:lvlJc w:val="left"/>
      <w:pPr>
        <w:tabs>
          <w:tab w:val="num" w:pos="360"/>
        </w:tabs>
        <w:ind w:left="360" w:hanging="360"/>
      </w:pPr>
      <w:rPr>
        <w:rFonts w:cs="Times New Roman" w:hint="default"/>
      </w:rPr>
    </w:lvl>
    <w:lvl w:ilvl="1">
      <w:start w:val="1"/>
      <w:numFmt w:val="decimal"/>
      <w:isLgl/>
      <w:lvlText w:val="%1.%2"/>
      <w:lvlJc w:val="left"/>
      <w:pPr>
        <w:ind w:left="720" w:hanging="720"/>
      </w:pPr>
      <w:rPr>
        <w:rFonts w:ascii="Tahoma" w:hAnsi="Tahoma" w:cs="Tahoma" w:hint="default"/>
        <w:b/>
        <w:i w:val="0"/>
        <w:sz w:val="22"/>
        <w:szCs w:val="22"/>
      </w:rPr>
    </w:lvl>
    <w:lvl w:ilvl="2">
      <w:start w:val="1"/>
      <w:numFmt w:val="decimal"/>
      <w:isLgl/>
      <w:lvlText w:val="%1.%2.%3"/>
      <w:lvlJc w:val="left"/>
      <w:pPr>
        <w:ind w:left="720" w:hanging="720"/>
      </w:pPr>
      <w:rPr>
        <w:rFonts w:ascii="Times New Roman" w:hAnsi="Times New Roman" w:cs="Times New Roman" w:hint="default"/>
        <w:b w:val="0"/>
        <w:i w:val="0"/>
        <w:sz w:val="20"/>
      </w:rPr>
    </w:lvl>
    <w:lvl w:ilvl="3">
      <w:start w:val="1"/>
      <w:numFmt w:val="decimal"/>
      <w:isLgl/>
      <w:lvlText w:val="%1.%2.%3.%4"/>
      <w:lvlJc w:val="left"/>
      <w:pPr>
        <w:ind w:left="1080" w:hanging="1080"/>
      </w:pPr>
      <w:rPr>
        <w:rFonts w:ascii="Times New Roman" w:hAnsi="Times New Roman" w:cs="Times New Roman" w:hint="default"/>
        <w:b w:val="0"/>
        <w:i w:val="0"/>
        <w:sz w:val="20"/>
      </w:rPr>
    </w:lvl>
    <w:lvl w:ilvl="4">
      <w:start w:val="1"/>
      <w:numFmt w:val="decimal"/>
      <w:isLgl/>
      <w:lvlText w:val="%1.%2.%3.%4.%5"/>
      <w:lvlJc w:val="left"/>
      <w:pPr>
        <w:ind w:left="1440" w:hanging="1440"/>
      </w:pPr>
      <w:rPr>
        <w:rFonts w:ascii="Times New Roman" w:hAnsi="Times New Roman" w:cs="Times New Roman" w:hint="default"/>
        <w:b w:val="0"/>
        <w:i w:val="0"/>
        <w:sz w:val="20"/>
      </w:rPr>
    </w:lvl>
    <w:lvl w:ilvl="5">
      <w:start w:val="1"/>
      <w:numFmt w:val="decimal"/>
      <w:isLgl/>
      <w:lvlText w:val="%1.%2.%3.%4.%5.%6"/>
      <w:lvlJc w:val="left"/>
      <w:pPr>
        <w:ind w:left="1440" w:hanging="1440"/>
      </w:pPr>
      <w:rPr>
        <w:rFonts w:ascii="Times New Roman" w:hAnsi="Times New Roman" w:cs="Times New Roman" w:hint="default"/>
        <w:b w:val="0"/>
        <w:i w:val="0"/>
        <w:sz w:val="20"/>
      </w:rPr>
    </w:lvl>
    <w:lvl w:ilvl="6">
      <w:start w:val="1"/>
      <w:numFmt w:val="decimal"/>
      <w:isLgl/>
      <w:lvlText w:val="%1.%2.%3.%4.%5.%6.%7"/>
      <w:lvlJc w:val="left"/>
      <w:pPr>
        <w:ind w:left="1800" w:hanging="1800"/>
      </w:pPr>
      <w:rPr>
        <w:rFonts w:ascii="Times New Roman" w:hAnsi="Times New Roman" w:cs="Times New Roman" w:hint="default"/>
        <w:b w:val="0"/>
        <w:i w:val="0"/>
        <w:sz w:val="20"/>
      </w:rPr>
    </w:lvl>
    <w:lvl w:ilvl="7">
      <w:start w:val="1"/>
      <w:numFmt w:val="decimal"/>
      <w:isLgl/>
      <w:lvlText w:val="%1.%2.%3.%4.%5.%6.%7.%8"/>
      <w:lvlJc w:val="left"/>
      <w:pPr>
        <w:ind w:left="2160" w:hanging="2160"/>
      </w:pPr>
      <w:rPr>
        <w:rFonts w:ascii="Times New Roman" w:hAnsi="Times New Roman" w:cs="Times New Roman" w:hint="default"/>
        <w:b w:val="0"/>
        <w:i w:val="0"/>
        <w:sz w:val="20"/>
      </w:rPr>
    </w:lvl>
    <w:lvl w:ilvl="8">
      <w:start w:val="1"/>
      <w:numFmt w:val="decimal"/>
      <w:isLgl/>
      <w:lvlText w:val="%1.%2.%3.%4.%5.%6.%7.%8.%9"/>
      <w:lvlJc w:val="left"/>
      <w:pPr>
        <w:ind w:left="2520" w:hanging="2520"/>
      </w:pPr>
      <w:rPr>
        <w:rFonts w:ascii="Times New Roman" w:hAnsi="Times New Roman" w:cs="Times New Roman" w:hint="default"/>
        <w:b w:val="0"/>
        <w:i w:val="0"/>
        <w:sz w:val="20"/>
      </w:rPr>
    </w:lvl>
  </w:abstractNum>
  <w:abstractNum w:abstractNumId="11">
    <w:nsid w:val="7E531B87"/>
    <w:multiLevelType w:val="hybridMultilevel"/>
    <w:tmpl w:val="A1B6633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6"/>
  </w:num>
  <w:num w:numId="2">
    <w:abstractNumId w:val="0"/>
  </w:num>
  <w:num w:numId="3">
    <w:abstractNumId w:val="5"/>
  </w:num>
  <w:num w:numId="4">
    <w:abstractNumId w:val="4"/>
  </w:num>
  <w:num w:numId="5">
    <w:abstractNumId w:val="10"/>
  </w:num>
  <w:num w:numId="6">
    <w:abstractNumId w:val="1"/>
  </w:num>
  <w:num w:numId="7">
    <w:abstractNumId w:val="2"/>
  </w:num>
  <w:num w:numId="8">
    <w:abstractNumId w:val="9"/>
  </w:num>
  <w:num w:numId="9">
    <w:abstractNumId w:val="8"/>
  </w:num>
  <w:num w:numId="10">
    <w:abstractNumId w:val="11"/>
  </w:num>
  <w:num w:numId="11">
    <w:abstractNumId w:val="7"/>
  </w:num>
  <w:num w:numId="12">
    <w:abstractNumId w:val="3"/>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GrammaticalErrors/>
  <w:defaultTabStop w:val="720"/>
  <w:autoHyphenation/>
  <w:hyphenationZone w:val="357"/>
  <w:drawingGridHorizontalSpacing w:val="100"/>
  <w:displayHorizontalDrawingGridEvery w:val="2"/>
  <w:characterSpacingControl w:val="doNotCompress"/>
  <w:footnotePr>
    <w:footnote w:id="-1"/>
    <w:footnote w:id="0"/>
  </w:footnotePr>
  <w:endnotePr>
    <w:endnote w:id="-1"/>
    <w:endnote w:id="0"/>
  </w:endnotePr>
  <w:compat/>
  <w:rsids>
    <w:rsidRoot w:val="00DF63B6"/>
    <w:rsid w:val="00001D11"/>
    <w:rsid w:val="00007531"/>
    <w:rsid w:val="00010163"/>
    <w:rsid w:val="00011DC6"/>
    <w:rsid w:val="00012E33"/>
    <w:rsid w:val="000210C9"/>
    <w:rsid w:val="00022BC0"/>
    <w:rsid w:val="00023610"/>
    <w:rsid w:val="00043032"/>
    <w:rsid w:val="0007608A"/>
    <w:rsid w:val="00077664"/>
    <w:rsid w:val="00084C8E"/>
    <w:rsid w:val="000B1D28"/>
    <w:rsid w:val="000B6769"/>
    <w:rsid w:val="000C0DB3"/>
    <w:rsid w:val="000D668C"/>
    <w:rsid w:val="000E13DF"/>
    <w:rsid w:val="000F339D"/>
    <w:rsid w:val="00114502"/>
    <w:rsid w:val="00135595"/>
    <w:rsid w:val="00140BB2"/>
    <w:rsid w:val="00141B93"/>
    <w:rsid w:val="00160F00"/>
    <w:rsid w:val="00182EFB"/>
    <w:rsid w:val="0018622C"/>
    <w:rsid w:val="001878B8"/>
    <w:rsid w:val="001B08D3"/>
    <w:rsid w:val="001B453C"/>
    <w:rsid w:val="001B73FD"/>
    <w:rsid w:val="001C45FA"/>
    <w:rsid w:val="00212EB2"/>
    <w:rsid w:val="00222C6C"/>
    <w:rsid w:val="002257C0"/>
    <w:rsid w:val="00227662"/>
    <w:rsid w:val="00240ED1"/>
    <w:rsid w:val="002421F1"/>
    <w:rsid w:val="0024376C"/>
    <w:rsid w:val="00295EC3"/>
    <w:rsid w:val="00297A83"/>
    <w:rsid w:val="002A5D2E"/>
    <w:rsid w:val="002B0C3A"/>
    <w:rsid w:val="002D2F6C"/>
    <w:rsid w:val="002D5118"/>
    <w:rsid w:val="002E25D8"/>
    <w:rsid w:val="00301E61"/>
    <w:rsid w:val="00305859"/>
    <w:rsid w:val="00307311"/>
    <w:rsid w:val="003133F2"/>
    <w:rsid w:val="00321AFB"/>
    <w:rsid w:val="003257F4"/>
    <w:rsid w:val="00335A2D"/>
    <w:rsid w:val="00344D33"/>
    <w:rsid w:val="00345522"/>
    <w:rsid w:val="00353B87"/>
    <w:rsid w:val="003614AA"/>
    <w:rsid w:val="00363D26"/>
    <w:rsid w:val="00390E74"/>
    <w:rsid w:val="00392E1D"/>
    <w:rsid w:val="00393238"/>
    <w:rsid w:val="003C1B9F"/>
    <w:rsid w:val="003C2DCF"/>
    <w:rsid w:val="003C4D61"/>
    <w:rsid w:val="003C572E"/>
    <w:rsid w:val="003F03C3"/>
    <w:rsid w:val="003F761B"/>
    <w:rsid w:val="00425199"/>
    <w:rsid w:val="004258BB"/>
    <w:rsid w:val="004351C0"/>
    <w:rsid w:val="00441317"/>
    <w:rsid w:val="00442549"/>
    <w:rsid w:val="0044716E"/>
    <w:rsid w:val="0047362B"/>
    <w:rsid w:val="0047570C"/>
    <w:rsid w:val="00483A18"/>
    <w:rsid w:val="00484643"/>
    <w:rsid w:val="004858C3"/>
    <w:rsid w:val="00487EF1"/>
    <w:rsid w:val="00491A7D"/>
    <w:rsid w:val="00491CCA"/>
    <w:rsid w:val="00492082"/>
    <w:rsid w:val="004A479D"/>
    <w:rsid w:val="004C4431"/>
    <w:rsid w:val="004C5DF9"/>
    <w:rsid w:val="004D6F5C"/>
    <w:rsid w:val="004E039A"/>
    <w:rsid w:val="004E4BCC"/>
    <w:rsid w:val="004E50A8"/>
    <w:rsid w:val="004F18DC"/>
    <w:rsid w:val="0050168E"/>
    <w:rsid w:val="00503E3E"/>
    <w:rsid w:val="00511991"/>
    <w:rsid w:val="00511B23"/>
    <w:rsid w:val="005140DA"/>
    <w:rsid w:val="005141AE"/>
    <w:rsid w:val="0052086F"/>
    <w:rsid w:val="005234A4"/>
    <w:rsid w:val="005404AF"/>
    <w:rsid w:val="00540673"/>
    <w:rsid w:val="005407C1"/>
    <w:rsid w:val="005454A3"/>
    <w:rsid w:val="0058019C"/>
    <w:rsid w:val="00584725"/>
    <w:rsid w:val="0059097A"/>
    <w:rsid w:val="00591211"/>
    <w:rsid w:val="00593407"/>
    <w:rsid w:val="00597A30"/>
    <w:rsid w:val="005B51F9"/>
    <w:rsid w:val="005C3069"/>
    <w:rsid w:val="005E10A8"/>
    <w:rsid w:val="005F0AB5"/>
    <w:rsid w:val="005F202F"/>
    <w:rsid w:val="006138DC"/>
    <w:rsid w:val="00617B6C"/>
    <w:rsid w:val="00624AD3"/>
    <w:rsid w:val="00632418"/>
    <w:rsid w:val="00634C01"/>
    <w:rsid w:val="00652F81"/>
    <w:rsid w:val="00660CF6"/>
    <w:rsid w:val="00664A6A"/>
    <w:rsid w:val="0066593B"/>
    <w:rsid w:val="0067415D"/>
    <w:rsid w:val="00690B78"/>
    <w:rsid w:val="0069710F"/>
    <w:rsid w:val="006B17B0"/>
    <w:rsid w:val="006B4C7C"/>
    <w:rsid w:val="006B56B6"/>
    <w:rsid w:val="006D44DC"/>
    <w:rsid w:val="006D6960"/>
    <w:rsid w:val="006D6FFC"/>
    <w:rsid w:val="006E72E1"/>
    <w:rsid w:val="006E79D8"/>
    <w:rsid w:val="006F3AA0"/>
    <w:rsid w:val="006F6D46"/>
    <w:rsid w:val="006F7A6B"/>
    <w:rsid w:val="00702E64"/>
    <w:rsid w:val="007168AA"/>
    <w:rsid w:val="0073051F"/>
    <w:rsid w:val="00761083"/>
    <w:rsid w:val="00761E18"/>
    <w:rsid w:val="0076390A"/>
    <w:rsid w:val="00774CD4"/>
    <w:rsid w:val="00776322"/>
    <w:rsid w:val="007811E0"/>
    <w:rsid w:val="0078142C"/>
    <w:rsid w:val="00783601"/>
    <w:rsid w:val="00784782"/>
    <w:rsid w:val="0079407A"/>
    <w:rsid w:val="007C3F35"/>
    <w:rsid w:val="007C7C32"/>
    <w:rsid w:val="007D023C"/>
    <w:rsid w:val="007E01E4"/>
    <w:rsid w:val="00814436"/>
    <w:rsid w:val="00814437"/>
    <w:rsid w:val="008154A1"/>
    <w:rsid w:val="0081681C"/>
    <w:rsid w:val="00824B57"/>
    <w:rsid w:val="00844A06"/>
    <w:rsid w:val="0087040B"/>
    <w:rsid w:val="00870FAD"/>
    <w:rsid w:val="008913ED"/>
    <w:rsid w:val="008C153B"/>
    <w:rsid w:val="008C32E0"/>
    <w:rsid w:val="008C3385"/>
    <w:rsid w:val="008D3430"/>
    <w:rsid w:val="008D4A55"/>
    <w:rsid w:val="008F2E1F"/>
    <w:rsid w:val="0090111A"/>
    <w:rsid w:val="009018F8"/>
    <w:rsid w:val="00903DD2"/>
    <w:rsid w:val="0091225B"/>
    <w:rsid w:val="00917F5B"/>
    <w:rsid w:val="00930031"/>
    <w:rsid w:val="009358D8"/>
    <w:rsid w:val="0093794F"/>
    <w:rsid w:val="00964DFC"/>
    <w:rsid w:val="0099621A"/>
    <w:rsid w:val="0099761D"/>
    <w:rsid w:val="009A0418"/>
    <w:rsid w:val="009A2AE6"/>
    <w:rsid w:val="009A5B85"/>
    <w:rsid w:val="009B3275"/>
    <w:rsid w:val="009C4885"/>
    <w:rsid w:val="009C55C0"/>
    <w:rsid w:val="009C6919"/>
    <w:rsid w:val="009C7B28"/>
    <w:rsid w:val="009D0868"/>
    <w:rsid w:val="009D6205"/>
    <w:rsid w:val="009F120C"/>
    <w:rsid w:val="009F5D2F"/>
    <w:rsid w:val="00A16836"/>
    <w:rsid w:val="00A219A6"/>
    <w:rsid w:val="00A2483E"/>
    <w:rsid w:val="00A36FCC"/>
    <w:rsid w:val="00A41BFF"/>
    <w:rsid w:val="00A436FA"/>
    <w:rsid w:val="00A43DFA"/>
    <w:rsid w:val="00A550B2"/>
    <w:rsid w:val="00A61884"/>
    <w:rsid w:val="00A676AC"/>
    <w:rsid w:val="00A72932"/>
    <w:rsid w:val="00A747F6"/>
    <w:rsid w:val="00A76FF4"/>
    <w:rsid w:val="00A852FF"/>
    <w:rsid w:val="00A95F16"/>
    <w:rsid w:val="00AB017A"/>
    <w:rsid w:val="00AB3753"/>
    <w:rsid w:val="00AC153D"/>
    <w:rsid w:val="00AE1766"/>
    <w:rsid w:val="00AE3BED"/>
    <w:rsid w:val="00AF38CC"/>
    <w:rsid w:val="00B0040D"/>
    <w:rsid w:val="00B02F97"/>
    <w:rsid w:val="00B056DC"/>
    <w:rsid w:val="00B06F39"/>
    <w:rsid w:val="00B07258"/>
    <w:rsid w:val="00B23173"/>
    <w:rsid w:val="00B251EB"/>
    <w:rsid w:val="00B26F5F"/>
    <w:rsid w:val="00B511B9"/>
    <w:rsid w:val="00B544CC"/>
    <w:rsid w:val="00B65D49"/>
    <w:rsid w:val="00B756BF"/>
    <w:rsid w:val="00B81D21"/>
    <w:rsid w:val="00B94A47"/>
    <w:rsid w:val="00BA1B31"/>
    <w:rsid w:val="00BA6377"/>
    <w:rsid w:val="00BC14CB"/>
    <w:rsid w:val="00BC23C9"/>
    <w:rsid w:val="00BD0EAA"/>
    <w:rsid w:val="00BD62DD"/>
    <w:rsid w:val="00BF54BA"/>
    <w:rsid w:val="00BF6289"/>
    <w:rsid w:val="00C05A1B"/>
    <w:rsid w:val="00C138A8"/>
    <w:rsid w:val="00C45FD3"/>
    <w:rsid w:val="00C50551"/>
    <w:rsid w:val="00C604EB"/>
    <w:rsid w:val="00C67C08"/>
    <w:rsid w:val="00C71491"/>
    <w:rsid w:val="00C71E68"/>
    <w:rsid w:val="00C747B5"/>
    <w:rsid w:val="00C80549"/>
    <w:rsid w:val="00C83B79"/>
    <w:rsid w:val="00C94589"/>
    <w:rsid w:val="00C97DAD"/>
    <w:rsid w:val="00CB7816"/>
    <w:rsid w:val="00CD29F4"/>
    <w:rsid w:val="00CE7B15"/>
    <w:rsid w:val="00CE7E88"/>
    <w:rsid w:val="00CF4BE6"/>
    <w:rsid w:val="00D035F0"/>
    <w:rsid w:val="00D06965"/>
    <w:rsid w:val="00D073F7"/>
    <w:rsid w:val="00D128A2"/>
    <w:rsid w:val="00D157E5"/>
    <w:rsid w:val="00D226C4"/>
    <w:rsid w:val="00D30E57"/>
    <w:rsid w:val="00D32F2F"/>
    <w:rsid w:val="00D34ACF"/>
    <w:rsid w:val="00D60C70"/>
    <w:rsid w:val="00D628C3"/>
    <w:rsid w:val="00D62DF3"/>
    <w:rsid w:val="00D65958"/>
    <w:rsid w:val="00D73DCF"/>
    <w:rsid w:val="00D8122A"/>
    <w:rsid w:val="00DC29A6"/>
    <w:rsid w:val="00DD1DC5"/>
    <w:rsid w:val="00DD74A7"/>
    <w:rsid w:val="00DE3F6E"/>
    <w:rsid w:val="00DE6EF4"/>
    <w:rsid w:val="00DF2DA7"/>
    <w:rsid w:val="00DF63B6"/>
    <w:rsid w:val="00E12141"/>
    <w:rsid w:val="00E16EF0"/>
    <w:rsid w:val="00E264D6"/>
    <w:rsid w:val="00E35647"/>
    <w:rsid w:val="00E54163"/>
    <w:rsid w:val="00E56664"/>
    <w:rsid w:val="00E57641"/>
    <w:rsid w:val="00E645CA"/>
    <w:rsid w:val="00E8075B"/>
    <w:rsid w:val="00E83273"/>
    <w:rsid w:val="00EA2458"/>
    <w:rsid w:val="00EB161D"/>
    <w:rsid w:val="00EB16F7"/>
    <w:rsid w:val="00EC6448"/>
    <w:rsid w:val="00ED171B"/>
    <w:rsid w:val="00ED1A74"/>
    <w:rsid w:val="00EE62BC"/>
    <w:rsid w:val="00EF7956"/>
    <w:rsid w:val="00EF7A8E"/>
    <w:rsid w:val="00F05031"/>
    <w:rsid w:val="00F23F59"/>
    <w:rsid w:val="00F24E04"/>
    <w:rsid w:val="00F312DE"/>
    <w:rsid w:val="00F401AE"/>
    <w:rsid w:val="00F440AF"/>
    <w:rsid w:val="00F44B74"/>
    <w:rsid w:val="00F450C5"/>
    <w:rsid w:val="00F52C28"/>
    <w:rsid w:val="00F56C98"/>
    <w:rsid w:val="00F57AF9"/>
    <w:rsid w:val="00F57C99"/>
    <w:rsid w:val="00F61B95"/>
    <w:rsid w:val="00F67DF5"/>
    <w:rsid w:val="00F70B14"/>
    <w:rsid w:val="00F92B92"/>
    <w:rsid w:val="00F97D09"/>
    <w:rsid w:val="00F97E27"/>
    <w:rsid w:val="00FA02FD"/>
    <w:rsid w:val="00FB1594"/>
    <w:rsid w:val="00FB2EFC"/>
    <w:rsid w:val="00FB70DD"/>
    <w:rsid w:val="00FD223A"/>
    <w:rsid w:val="00FD2D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FollowedHyperlink" w:uiPriority="0"/>
    <w:lsdException w:name="Strong" w:semiHidden="0" w:uiPriority="0" w:unhideWhenUsed="0" w:qFormat="1"/>
    <w:lsdException w:name="Emphasis" w:semiHidden="0" w:uiPriority="0" w:unhideWhenUsed="0" w:qFormat="1"/>
    <w:lsdException w:name="HTML Bottom of Form" w:uiPriority="0"/>
    <w:lsdException w:name="Normal (Web)" w:uiPriority="0"/>
    <w:lsdException w:name="annotation subject" w:uiPriority="0"/>
    <w:lsdException w:name="No List" w:uiPriority="0"/>
    <w:lsdException w:name="Outline List 1" w:uiPriority="0"/>
    <w:lsdException w:name="Table Simple 1" w:uiPriority="0"/>
    <w:lsdException w:name="Table Classic 1" w:uiPriority="0"/>
    <w:lsdException w:name="Table Classic 2" w:uiPriority="0"/>
    <w:lsdException w:name="Table Grid 7" w:uiPriority="0"/>
    <w:lsdException w:name="Table List 3" w:uiPriority="0"/>
    <w:lsdException w:name="Table Contemporary" w:uiPriority="0"/>
    <w:lsdException w:name="Table Web 1" w:uiPriority="0"/>
    <w:lsdException w:name="Table Web 2" w:uiPriority="0"/>
    <w:lsdException w:name="Table Web 3"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3B6"/>
    <w:pPr>
      <w:spacing w:after="0" w:line="240" w:lineRule="auto"/>
    </w:pPr>
    <w:rPr>
      <w:rFonts w:ascii="Times New Roman" w:eastAsia="Times New Roman" w:hAnsi="Times New Roman" w:cs="Times New Roman"/>
      <w:sz w:val="20"/>
      <w:szCs w:val="20"/>
      <w:lang w:eastAsia="el-GR"/>
    </w:rPr>
  </w:style>
  <w:style w:type="paragraph" w:styleId="Heading1">
    <w:name w:val="heading 1"/>
    <w:basedOn w:val="Normal"/>
    <w:next w:val="Normal"/>
    <w:link w:val="Heading1Char"/>
    <w:qFormat/>
    <w:rsid w:val="00DF63B6"/>
    <w:pPr>
      <w:keepNext/>
      <w:spacing w:before="120" w:after="120" w:line="360" w:lineRule="auto"/>
      <w:jc w:val="both"/>
      <w:outlineLvl w:val="0"/>
    </w:pPr>
    <w:rPr>
      <w:rFonts w:ascii="Tahoma" w:hAnsi="Tahoma"/>
      <w:i/>
      <w:sz w:val="24"/>
    </w:rPr>
  </w:style>
  <w:style w:type="paragraph" w:styleId="Heading2">
    <w:name w:val="heading 2"/>
    <w:basedOn w:val="Normal"/>
    <w:next w:val="Normal"/>
    <w:link w:val="Heading2Char"/>
    <w:qFormat/>
    <w:rsid w:val="00182EFB"/>
    <w:pPr>
      <w:keepNext/>
      <w:spacing w:after="60" w:line="360" w:lineRule="auto"/>
      <w:jc w:val="both"/>
      <w:outlineLvl w:val="1"/>
    </w:pPr>
    <w:rPr>
      <w:rFonts w:ascii="Tahoma" w:hAnsi="Tahoma"/>
      <w:b/>
      <w:bCs/>
      <w:szCs w:val="24"/>
    </w:rPr>
  </w:style>
  <w:style w:type="paragraph" w:styleId="Heading3">
    <w:name w:val="heading 3"/>
    <w:basedOn w:val="Normal"/>
    <w:next w:val="Normal"/>
    <w:link w:val="Heading3Char"/>
    <w:unhideWhenUsed/>
    <w:qFormat/>
    <w:rsid w:val="00182EF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DF63B6"/>
    <w:pPr>
      <w:keepNext/>
      <w:spacing w:before="240" w:after="60"/>
      <w:outlineLvl w:val="3"/>
    </w:pPr>
    <w:rPr>
      <w:b/>
      <w:bCs/>
      <w:sz w:val="28"/>
      <w:szCs w:val="28"/>
    </w:rPr>
  </w:style>
  <w:style w:type="paragraph" w:styleId="Heading5">
    <w:name w:val="heading 5"/>
    <w:basedOn w:val="Normal"/>
    <w:next w:val="Normal"/>
    <w:link w:val="Heading5Char"/>
    <w:unhideWhenUsed/>
    <w:qFormat/>
    <w:rsid w:val="00182EF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182EF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182EFB"/>
    <w:pPr>
      <w:keepNext/>
      <w:jc w:val="both"/>
      <w:outlineLvl w:val="6"/>
    </w:pPr>
    <w:rPr>
      <w:rFonts w:ascii="Tahoma" w:hAnsi="Tahoma" w:cs="Tahoma"/>
      <w:b/>
      <w:bCs/>
      <w:i/>
      <w:iCs/>
      <w:sz w:val="16"/>
      <w:szCs w:val="16"/>
    </w:rPr>
  </w:style>
  <w:style w:type="paragraph" w:styleId="Heading8">
    <w:name w:val="heading 8"/>
    <w:basedOn w:val="Normal"/>
    <w:next w:val="Normal"/>
    <w:link w:val="Heading8Char"/>
    <w:qFormat/>
    <w:rsid w:val="00182EFB"/>
    <w:pPr>
      <w:keepNext/>
      <w:outlineLvl w:val="7"/>
    </w:pPr>
    <w:rPr>
      <w:rFonts w:ascii="Tahoma" w:hAnsi="Tahoma" w:cs="Tahoma"/>
      <w:b/>
      <w:bCs/>
      <w:color w:val="000000"/>
      <w:sz w:val="16"/>
      <w:szCs w:val="18"/>
    </w:rPr>
  </w:style>
  <w:style w:type="paragraph" w:styleId="Heading9">
    <w:name w:val="heading 9"/>
    <w:basedOn w:val="Normal"/>
    <w:next w:val="Normal"/>
    <w:link w:val="Heading9Char"/>
    <w:qFormat/>
    <w:rsid w:val="00182EFB"/>
    <w:pPr>
      <w:keepNext/>
      <w:outlineLvl w:val="8"/>
    </w:pPr>
    <w:rPr>
      <w:rFonts w:ascii="Tahoma" w:hAnsi="Tahoma" w:cs="Tahoma"/>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63B6"/>
    <w:rPr>
      <w:rFonts w:ascii="Tahoma" w:eastAsia="Times New Roman" w:hAnsi="Tahoma" w:cs="Times New Roman"/>
      <w:i/>
      <w:sz w:val="24"/>
      <w:szCs w:val="20"/>
      <w:lang w:eastAsia="el-GR"/>
    </w:rPr>
  </w:style>
  <w:style w:type="character" w:customStyle="1" w:styleId="Heading4Char">
    <w:name w:val="Heading 4 Char"/>
    <w:basedOn w:val="DefaultParagraphFont"/>
    <w:link w:val="Heading4"/>
    <w:uiPriority w:val="99"/>
    <w:rsid w:val="00DF63B6"/>
    <w:rPr>
      <w:rFonts w:ascii="Times New Roman" w:eastAsia="Times New Roman" w:hAnsi="Times New Roman" w:cs="Times New Roman"/>
      <w:b/>
      <w:bCs/>
      <w:sz w:val="28"/>
      <w:szCs w:val="28"/>
      <w:lang w:eastAsia="el-GR"/>
    </w:rPr>
  </w:style>
  <w:style w:type="paragraph" w:styleId="BodyText">
    <w:name w:val="Body Text"/>
    <w:basedOn w:val="Normal"/>
    <w:link w:val="BodyTextChar1"/>
    <w:uiPriority w:val="99"/>
    <w:rsid w:val="00DF63B6"/>
    <w:pPr>
      <w:spacing w:line="288" w:lineRule="auto"/>
      <w:jc w:val="both"/>
    </w:pPr>
    <w:rPr>
      <w:sz w:val="24"/>
      <w:szCs w:val="24"/>
    </w:rPr>
  </w:style>
  <w:style w:type="character" w:customStyle="1" w:styleId="BodyTextChar1">
    <w:name w:val="Body Text Char1"/>
    <w:basedOn w:val="DefaultParagraphFont"/>
    <w:link w:val="BodyText"/>
    <w:uiPriority w:val="99"/>
    <w:rsid w:val="00DF63B6"/>
    <w:rPr>
      <w:rFonts w:ascii="Times New Roman" w:eastAsia="Times New Roman" w:hAnsi="Times New Roman" w:cs="Times New Roman"/>
      <w:sz w:val="24"/>
      <w:szCs w:val="24"/>
      <w:lang w:eastAsia="el-GR"/>
    </w:rPr>
  </w:style>
  <w:style w:type="paragraph" w:customStyle="1" w:styleId="9">
    <w:name w:val="Στυλ9"/>
    <w:basedOn w:val="Heading1"/>
    <w:link w:val="9Char"/>
    <w:rsid w:val="00DF63B6"/>
    <w:pPr>
      <w:spacing w:before="0" w:after="0"/>
      <w:jc w:val="left"/>
    </w:pPr>
    <w:rPr>
      <w:rFonts w:ascii="Times New Roman" w:hAnsi="Times New Roman"/>
      <w:b/>
      <w:i w:val="0"/>
      <w:lang w:val="en-US"/>
    </w:rPr>
  </w:style>
  <w:style w:type="paragraph" w:styleId="Header">
    <w:name w:val="header"/>
    <w:basedOn w:val="Normal"/>
    <w:link w:val="HeaderChar"/>
    <w:rsid w:val="00DF63B6"/>
    <w:pPr>
      <w:tabs>
        <w:tab w:val="center" w:pos="4153"/>
        <w:tab w:val="right" w:pos="8306"/>
      </w:tabs>
    </w:pPr>
  </w:style>
  <w:style w:type="character" w:customStyle="1" w:styleId="HeaderChar">
    <w:name w:val="Header Char"/>
    <w:basedOn w:val="DefaultParagraphFont"/>
    <w:link w:val="Header"/>
    <w:uiPriority w:val="99"/>
    <w:rsid w:val="00DF63B6"/>
    <w:rPr>
      <w:rFonts w:ascii="Times New Roman" w:eastAsia="Times New Roman" w:hAnsi="Times New Roman" w:cs="Times New Roman"/>
      <w:sz w:val="20"/>
      <w:szCs w:val="20"/>
      <w:lang w:eastAsia="el-GR"/>
    </w:rPr>
  </w:style>
  <w:style w:type="paragraph" w:styleId="Footer">
    <w:name w:val="footer"/>
    <w:basedOn w:val="Normal"/>
    <w:link w:val="FooterChar"/>
    <w:uiPriority w:val="99"/>
    <w:rsid w:val="00DF63B6"/>
    <w:pPr>
      <w:tabs>
        <w:tab w:val="center" w:pos="4153"/>
        <w:tab w:val="right" w:pos="8306"/>
      </w:tabs>
    </w:pPr>
  </w:style>
  <w:style w:type="character" w:customStyle="1" w:styleId="FooterChar">
    <w:name w:val="Footer Char"/>
    <w:basedOn w:val="DefaultParagraphFont"/>
    <w:link w:val="Footer"/>
    <w:uiPriority w:val="99"/>
    <w:rsid w:val="00DF63B6"/>
    <w:rPr>
      <w:rFonts w:ascii="Times New Roman" w:eastAsia="Times New Roman" w:hAnsi="Times New Roman" w:cs="Times New Roman"/>
      <w:sz w:val="20"/>
      <w:szCs w:val="20"/>
      <w:lang w:eastAsia="el-GR"/>
    </w:rPr>
  </w:style>
  <w:style w:type="character" w:styleId="PageNumber">
    <w:name w:val="page number"/>
    <w:basedOn w:val="DefaultParagraphFont"/>
    <w:rsid w:val="00DF63B6"/>
    <w:rPr>
      <w:rFonts w:cs="Times New Roman"/>
    </w:rPr>
  </w:style>
  <w:style w:type="paragraph" w:styleId="TOC1">
    <w:name w:val="toc 1"/>
    <w:basedOn w:val="Normal"/>
    <w:next w:val="Normal"/>
    <w:autoRedefine/>
    <w:uiPriority w:val="39"/>
    <w:rsid w:val="006F3AA0"/>
    <w:pPr>
      <w:tabs>
        <w:tab w:val="left" w:pos="180"/>
        <w:tab w:val="right" w:leader="dot" w:pos="9360"/>
      </w:tabs>
      <w:spacing w:before="240" w:after="120" w:line="312" w:lineRule="auto"/>
      <w:jc w:val="both"/>
    </w:pPr>
    <w:rPr>
      <w:rFonts w:ascii="Tahoma" w:hAnsi="Tahoma" w:cs="Tahoma"/>
      <w:iCs/>
      <w:noProof/>
      <w:color w:val="000000" w:themeColor="text1"/>
      <w:sz w:val="16"/>
      <w:szCs w:val="16"/>
    </w:rPr>
  </w:style>
  <w:style w:type="paragraph" w:styleId="TOC2">
    <w:name w:val="toc 2"/>
    <w:basedOn w:val="Normal"/>
    <w:next w:val="Normal"/>
    <w:autoRedefine/>
    <w:uiPriority w:val="39"/>
    <w:rsid w:val="001878B8"/>
    <w:pPr>
      <w:tabs>
        <w:tab w:val="left" w:pos="284"/>
        <w:tab w:val="left" w:pos="709"/>
        <w:tab w:val="right" w:leader="dot" w:pos="9360"/>
      </w:tabs>
      <w:ind w:left="360"/>
      <w:jc w:val="both"/>
    </w:pPr>
    <w:rPr>
      <w:rFonts w:ascii="Tahoma" w:hAnsi="Tahoma" w:cs="Tahoma"/>
      <w:b/>
      <w:noProof/>
      <w:sz w:val="18"/>
      <w:szCs w:val="22"/>
    </w:rPr>
  </w:style>
  <w:style w:type="paragraph" w:styleId="TOC3">
    <w:name w:val="toc 3"/>
    <w:basedOn w:val="Normal"/>
    <w:next w:val="Normal"/>
    <w:autoRedefine/>
    <w:uiPriority w:val="39"/>
    <w:rsid w:val="001878B8"/>
    <w:pPr>
      <w:tabs>
        <w:tab w:val="left" w:pos="709"/>
        <w:tab w:val="right" w:leader="dot" w:pos="9360"/>
      </w:tabs>
      <w:spacing w:line="288" w:lineRule="auto"/>
      <w:ind w:left="426"/>
    </w:pPr>
    <w:rPr>
      <w:rFonts w:ascii="Tahoma" w:hAnsi="Tahoma" w:cs="Tahoma"/>
      <w:noProof/>
    </w:rPr>
  </w:style>
  <w:style w:type="character" w:styleId="Hyperlink">
    <w:name w:val="Hyperlink"/>
    <w:basedOn w:val="DefaultParagraphFont"/>
    <w:uiPriority w:val="99"/>
    <w:rsid w:val="00DF63B6"/>
    <w:rPr>
      <w:rFonts w:cs="Times New Roman"/>
      <w:color w:val="0000FF"/>
      <w:u w:val="single"/>
    </w:rPr>
  </w:style>
  <w:style w:type="paragraph" w:customStyle="1" w:styleId="new2">
    <w:name w:val="new_Στυλ2"/>
    <w:basedOn w:val="Normal"/>
    <w:uiPriority w:val="99"/>
    <w:rsid w:val="00DF63B6"/>
    <w:pPr>
      <w:spacing w:before="120" w:after="240" w:line="288" w:lineRule="auto"/>
      <w:jc w:val="both"/>
    </w:pPr>
    <w:rPr>
      <w:rFonts w:ascii="Tahoma" w:hAnsi="Tahoma"/>
      <w:b/>
      <w:bCs/>
      <w:i/>
      <w:iCs/>
      <w:sz w:val="22"/>
      <w:szCs w:val="22"/>
    </w:rPr>
  </w:style>
  <w:style w:type="character" w:customStyle="1" w:styleId="9Char">
    <w:name w:val="Στυλ9 Char"/>
    <w:basedOn w:val="Heading1Char"/>
    <w:link w:val="9"/>
    <w:uiPriority w:val="99"/>
    <w:locked/>
    <w:rsid w:val="00DF63B6"/>
    <w:rPr>
      <w:rFonts w:ascii="Times New Roman" w:hAnsi="Times New Roman"/>
      <w:b/>
      <w:lang w:val="en-US"/>
    </w:rPr>
  </w:style>
  <w:style w:type="paragraph" w:styleId="BalloonText">
    <w:name w:val="Balloon Text"/>
    <w:basedOn w:val="Normal"/>
    <w:link w:val="BalloonTextChar"/>
    <w:semiHidden/>
    <w:unhideWhenUsed/>
    <w:rsid w:val="00DF63B6"/>
    <w:rPr>
      <w:rFonts w:ascii="Tahoma" w:hAnsi="Tahoma" w:cs="Tahoma"/>
      <w:sz w:val="16"/>
      <w:szCs w:val="16"/>
    </w:rPr>
  </w:style>
  <w:style w:type="character" w:customStyle="1" w:styleId="BalloonTextChar">
    <w:name w:val="Balloon Text Char"/>
    <w:basedOn w:val="DefaultParagraphFont"/>
    <w:link w:val="BalloonText"/>
    <w:uiPriority w:val="99"/>
    <w:semiHidden/>
    <w:rsid w:val="00DF63B6"/>
    <w:rPr>
      <w:rFonts w:ascii="Tahoma" w:eastAsia="Times New Roman" w:hAnsi="Tahoma" w:cs="Tahoma"/>
      <w:sz w:val="16"/>
      <w:szCs w:val="16"/>
      <w:lang w:eastAsia="el-GR"/>
    </w:rPr>
  </w:style>
  <w:style w:type="character" w:styleId="FootnoteReference">
    <w:name w:val="footnote reference"/>
    <w:aliases w:val="Footnote symbol,Footnote"/>
    <w:basedOn w:val="DefaultParagraphFont"/>
    <w:uiPriority w:val="99"/>
    <w:rsid w:val="00EC6448"/>
    <w:rPr>
      <w:rFonts w:ascii="Tahoma" w:hAnsi="Tahoma" w:cs="Times New Roman"/>
      <w:vertAlign w:val="superscript"/>
    </w:rPr>
  </w:style>
  <w:style w:type="paragraph" w:styleId="FootnoteText">
    <w:name w:val="footnote text"/>
    <w:basedOn w:val="Normal"/>
    <w:link w:val="FootnoteTextChar"/>
    <w:uiPriority w:val="99"/>
    <w:rsid w:val="003257F4"/>
    <w:pPr>
      <w:spacing w:before="120" w:after="120" w:line="360" w:lineRule="auto"/>
      <w:jc w:val="both"/>
    </w:pPr>
  </w:style>
  <w:style w:type="character" w:customStyle="1" w:styleId="FootnoteTextChar">
    <w:name w:val="Footnote Text Char"/>
    <w:basedOn w:val="DefaultParagraphFont"/>
    <w:link w:val="FootnoteText"/>
    <w:uiPriority w:val="99"/>
    <w:semiHidden/>
    <w:rsid w:val="003257F4"/>
    <w:rPr>
      <w:rFonts w:ascii="Times New Roman" w:eastAsia="Times New Roman" w:hAnsi="Times New Roman" w:cs="Times New Roman"/>
      <w:sz w:val="20"/>
      <w:szCs w:val="20"/>
      <w:lang w:eastAsia="el-GR"/>
    </w:rPr>
  </w:style>
  <w:style w:type="paragraph" w:customStyle="1" w:styleId="new3">
    <w:name w:val="new Στυλ3"/>
    <w:basedOn w:val="Normal"/>
    <w:rsid w:val="003257F4"/>
    <w:pPr>
      <w:pBdr>
        <w:bottom w:val="single" w:sz="4" w:space="1" w:color="auto"/>
      </w:pBdr>
      <w:spacing w:before="120" w:after="240" w:line="288" w:lineRule="auto"/>
      <w:ind w:left="720" w:hanging="720"/>
    </w:pPr>
    <w:rPr>
      <w:rFonts w:ascii="Tahoma" w:hAnsi="Tahoma"/>
      <w:b/>
      <w:bCs/>
      <w:sz w:val="22"/>
      <w:szCs w:val="22"/>
    </w:rPr>
  </w:style>
  <w:style w:type="paragraph" w:customStyle="1" w:styleId="new4">
    <w:name w:val="new Στυλ4"/>
    <w:basedOn w:val="Normal"/>
    <w:link w:val="new4Char"/>
    <w:uiPriority w:val="99"/>
    <w:rsid w:val="003257F4"/>
    <w:pPr>
      <w:spacing w:after="60" w:line="288" w:lineRule="auto"/>
      <w:jc w:val="center"/>
    </w:pPr>
    <w:rPr>
      <w:rFonts w:ascii="Tahoma" w:hAnsi="Tahoma"/>
      <w:b/>
      <w:bCs/>
    </w:rPr>
  </w:style>
  <w:style w:type="paragraph" w:styleId="NormalWeb">
    <w:name w:val="Normal (Web)"/>
    <w:basedOn w:val="Normal"/>
    <w:rsid w:val="003257F4"/>
    <w:pPr>
      <w:spacing w:before="75" w:after="100" w:afterAutospacing="1"/>
    </w:pPr>
    <w:rPr>
      <w:color w:val="333333"/>
    </w:rPr>
  </w:style>
  <w:style w:type="character" w:customStyle="1" w:styleId="new4Char">
    <w:name w:val="new Στυλ4 Char"/>
    <w:basedOn w:val="DefaultParagraphFont"/>
    <w:link w:val="new4"/>
    <w:uiPriority w:val="99"/>
    <w:locked/>
    <w:rsid w:val="003257F4"/>
    <w:rPr>
      <w:rFonts w:ascii="Tahoma" w:eastAsia="Times New Roman" w:hAnsi="Tahoma" w:cs="Times New Roman"/>
      <w:b/>
      <w:bCs/>
      <w:sz w:val="20"/>
      <w:szCs w:val="20"/>
      <w:lang w:eastAsia="el-GR"/>
    </w:rPr>
  </w:style>
  <w:style w:type="character" w:customStyle="1" w:styleId="apple-style-span">
    <w:name w:val="apple-style-span"/>
    <w:basedOn w:val="DefaultParagraphFont"/>
    <w:uiPriority w:val="99"/>
    <w:rsid w:val="003257F4"/>
    <w:rPr>
      <w:rFonts w:cs="Times New Roman"/>
    </w:rPr>
  </w:style>
  <w:style w:type="paragraph" w:customStyle="1" w:styleId="4">
    <w:name w:val="Στυλ4"/>
    <w:basedOn w:val="Normal"/>
    <w:link w:val="4Char"/>
    <w:uiPriority w:val="99"/>
    <w:rsid w:val="00761E18"/>
    <w:pPr>
      <w:spacing w:line="288" w:lineRule="auto"/>
      <w:jc w:val="center"/>
    </w:pPr>
    <w:rPr>
      <w:b/>
      <w:snapToGrid w:val="0"/>
      <w:sz w:val="22"/>
    </w:rPr>
  </w:style>
  <w:style w:type="character" w:customStyle="1" w:styleId="4Char">
    <w:name w:val="Στυλ4 Char"/>
    <w:basedOn w:val="DefaultParagraphFont"/>
    <w:link w:val="4"/>
    <w:uiPriority w:val="99"/>
    <w:rsid w:val="00761E18"/>
    <w:rPr>
      <w:rFonts w:ascii="Times New Roman" w:eastAsia="Times New Roman" w:hAnsi="Times New Roman" w:cs="Times New Roman"/>
      <w:b/>
      <w:snapToGrid w:val="0"/>
      <w:szCs w:val="20"/>
      <w:lang w:eastAsia="el-GR"/>
    </w:rPr>
  </w:style>
  <w:style w:type="paragraph" w:customStyle="1" w:styleId="new1">
    <w:name w:val="new_Στυλ1"/>
    <w:basedOn w:val="9"/>
    <w:rsid w:val="00761E18"/>
    <w:pPr>
      <w:pBdr>
        <w:bottom w:val="single" w:sz="12" w:space="1" w:color="auto"/>
      </w:pBdr>
      <w:spacing w:before="120" w:after="240" w:line="288" w:lineRule="auto"/>
      <w:ind w:left="720" w:hanging="720"/>
    </w:pPr>
    <w:rPr>
      <w:rFonts w:ascii="Tahoma" w:hAnsi="Tahoma"/>
      <w:bCs/>
      <w:caps/>
      <w:snapToGrid w:val="0"/>
      <w:sz w:val="22"/>
      <w:szCs w:val="22"/>
    </w:rPr>
  </w:style>
  <w:style w:type="paragraph" w:styleId="Caption">
    <w:name w:val="caption"/>
    <w:basedOn w:val="Normal"/>
    <w:next w:val="Normal"/>
    <w:uiPriority w:val="35"/>
    <w:qFormat/>
    <w:rsid w:val="00DC29A6"/>
    <w:pPr>
      <w:spacing w:after="200"/>
    </w:pPr>
    <w:rPr>
      <w:rFonts w:ascii="Calibri" w:hAnsi="Calibri"/>
      <w:b/>
      <w:bCs/>
      <w:color w:val="4F81BD"/>
      <w:sz w:val="18"/>
      <w:szCs w:val="18"/>
      <w:lang w:eastAsia="en-US"/>
    </w:rPr>
  </w:style>
  <w:style w:type="paragraph" w:customStyle="1" w:styleId="Default">
    <w:name w:val="Default"/>
    <w:rsid w:val="005140DA"/>
    <w:pPr>
      <w:autoSpaceDE w:val="0"/>
      <w:autoSpaceDN w:val="0"/>
      <w:adjustRightInd w:val="0"/>
      <w:spacing w:after="0" w:line="240" w:lineRule="auto"/>
    </w:pPr>
    <w:rPr>
      <w:rFonts w:ascii="Tahoma" w:eastAsia="Times New Roman" w:hAnsi="Tahoma" w:cs="Tahoma"/>
      <w:color w:val="000000"/>
      <w:sz w:val="24"/>
      <w:szCs w:val="24"/>
      <w:lang w:eastAsia="el-GR"/>
    </w:rPr>
  </w:style>
  <w:style w:type="character" w:customStyle="1" w:styleId="Heading3Char">
    <w:name w:val="Heading 3 Char"/>
    <w:basedOn w:val="DefaultParagraphFont"/>
    <w:link w:val="Heading3"/>
    <w:uiPriority w:val="9"/>
    <w:semiHidden/>
    <w:rsid w:val="00182EFB"/>
    <w:rPr>
      <w:rFonts w:asciiTheme="majorHAnsi" w:eastAsiaTheme="majorEastAsia" w:hAnsiTheme="majorHAnsi" w:cstheme="majorBidi"/>
      <w:b/>
      <w:bCs/>
      <w:color w:val="4F81BD" w:themeColor="accent1"/>
      <w:sz w:val="20"/>
      <w:szCs w:val="20"/>
      <w:lang w:eastAsia="el-GR"/>
    </w:rPr>
  </w:style>
  <w:style w:type="character" w:customStyle="1" w:styleId="Heading5Char">
    <w:name w:val="Heading 5 Char"/>
    <w:basedOn w:val="DefaultParagraphFont"/>
    <w:link w:val="Heading5"/>
    <w:uiPriority w:val="9"/>
    <w:semiHidden/>
    <w:rsid w:val="00182EFB"/>
    <w:rPr>
      <w:rFonts w:asciiTheme="majorHAnsi" w:eastAsiaTheme="majorEastAsia" w:hAnsiTheme="majorHAnsi" w:cstheme="majorBidi"/>
      <w:color w:val="243F60" w:themeColor="accent1" w:themeShade="7F"/>
      <w:sz w:val="20"/>
      <w:szCs w:val="20"/>
      <w:lang w:eastAsia="el-GR"/>
    </w:rPr>
  </w:style>
  <w:style w:type="character" w:customStyle="1" w:styleId="Heading6Char">
    <w:name w:val="Heading 6 Char"/>
    <w:basedOn w:val="DefaultParagraphFont"/>
    <w:link w:val="Heading6"/>
    <w:uiPriority w:val="9"/>
    <w:semiHidden/>
    <w:rsid w:val="00182EFB"/>
    <w:rPr>
      <w:rFonts w:asciiTheme="majorHAnsi" w:eastAsiaTheme="majorEastAsia" w:hAnsiTheme="majorHAnsi" w:cstheme="majorBidi"/>
      <w:i/>
      <w:iCs/>
      <w:color w:val="243F60" w:themeColor="accent1" w:themeShade="7F"/>
      <w:sz w:val="20"/>
      <w:szCs w:val="20"/>
      <w:lang w:eastAsia="el-GR"/>
    </w:rPr>
  </w:style>
  <w:style w:type="character" w:customStyle="1" w:styleId="Heading2Char">
    <w:name w:val="Heading 2 Char"/>
    <w:basedOn w:val="DefaultParagraphFont"/>
    <w:link w:val="Heading2"/>
    <w:rsid w:val="00182EFB"/>
    <w:rPr>
      <w:rFonts w:ascii="Tahoma" w:eastAsia="Times New Roman" w:hAnsi="Tahoma" w:cs="Times New Roman"/>
      <w:b/>
      <w:bCs/>
      <w:sz w:val="20"/>
      <w:szCs w:val="24"/>
      <w:lang w:eastAsia="el-GR"/>
    </w:rPr>
  </w:style>
  <w:style w:type="character" w:customStyle="1" w:styleId="Heading7Char">
    <w:name w:val="Heading 7 Char"/>
    <w:basedOn w:val="DefaultParagraphFont"/>
    <w:link w:val="Heading7"/>
    <w:rsid w:val="00182EFB"/>
    <w:rPr>
      <w:rFonts w:ascii="Tahoma" w:eastAsia="Times New Roman" w:hAnsi="Tahoma" w:cs="Tahoma"/>
      <w:b/>
      <w:bCs/>
      <w:i/>
      <w:iCs/>
      <w:sz w:val="16"/>
      <w:szCs w:val="16"/>
      <w:lang w:eastAsia="el-GR"/>
    </w:rPr>
  </w:style>
  <w:style w:type="character" w:customStyle="1" w:styleId="Heading8Char">
    <w:name w:val="Heading 8 Char"/>
    <w:basedOn w:val="DefaultParagraphFont"/>
    <w:link w:val="Heading8"/>
    <w:rsid w:val="00182EFB"/>
    <w:rPr>
      <w:rFonts w:ascii="Tahoma" w:eastAsia="Times New Roman" w:hAnsi="Tahoma" w:cs="Tahoma"/>
      <w:b/>
      <w:bCs/>
      <w:color w:val="000000"/>
      <w:sz w:val="16"/>
      <w:szCs w:val="18"/>
      <w:lang w:eastAsia="el-GR"/>
    </w:rPr>
  </w:style>
  <w:style w:type="character" w:customStyle="1" w:styleId="Heading9Char">
    <w:name w:val="Heading 9 Char"/>
    <w:basedOn w:val="DefaultParagraphFont"/>
    <w:link w:val="Heading9"/>
    <w:rsid w:val="00182EFB"/>
    <w:rPr>
      <w:rFonts w:ascii="Tahoma" w:eastAsia="Times New Roman" w:hAnsi="Tahoma" w:cs="Tahoma"/>
      <w:b/>
      <w:bCs/>
      <w:sz w:val="16"/>
      <w:szCs w:val="20"/>
      <w:lang w:eastAsia="el-GR"/>
    </w:rPr>
  </w:style>
  <w:style w:type="paragraph" w:customStyle="1" w:styleId="xl24">
    <w:name w:val="xl24"/>
    <w:basedOn w:val="Normal"/>
    <w:rsid w:val="00182EFB"/>
    <w:pPr>
      <w:pBdr>
        <w:left w:val="single" w:sz="4" w:space="0" w:color="auto"/>
        <w:right w:val="single" w:sz="4" w:space="0" w:color="auto"/>
      </w:pBdr>
      <w:spacing w:before="100" w:beforeAutospacing="1" w:after="100" w:afterAutospacing="1"/>
      <w:jc w:val="right"/>
    </w:pPr>
    <w:rPr>
      <w:rFonts w:ascii="Tahoma" w:eastAsia="Arial Unicode MS" w:hAnsi="Tahoma" w:cs="Tahoma"/>
      <w:color w:val="000000"/>
      <w:sz w:val="16"/>
      <w:szCs w:val="16"/>
    </w:rPr>
  </w:style>
  <w:style w:type="paragraph" w:customStyle="1" w:styleId="new5">
    <w:name w:val="new_στυλ5"/>
    <w:basedOn w:val="Normal"/>
    <w:rsid w:val="006F7A6B"/>
    <w:pPr>
      <w:spacing w:before="120" w:after="120"/>
      <w:jc w:val="center"/>
    </w:pPr>
    <w:rPr>
      <w:rFonts w:ascii="Bookman Old Style" w:hAnsi="Bookman Old Style"/>
      <w:bCs/>
      <w:smallCaps/>
      <w:sz w:val="36"/>
      <w:szCs w:val="36"/>
    </w:rPr>
  </w:style>
  <w:style w:type="paragraph" w:styleId="BodyText2">
    <w:name w:val="Body Text 2"/>
    <w:basedOn w:val="Normal"/>
    <w:link w:val="BodyText2Char"/>
    <w:rsid w:val="006F7A6B"/>
    <w:pPr>
      <w:tabs>
        <w:tab w:val="left" w:pos="662"/>
        <w:tab w:val="left" w:pos="6439"/>
        <w:tab w:val="left" w:pos="7910"/>
        <w:tab w:val="left" w:pos="9382"/>
        <w:tab w:val="left" w:pos="10853"/>
        <w:tab w:val="left" w:pos="12545"/>
        <w:tab w:val="left" w:pos="14237"/>
        <w:tab w:val="left" w:pos="15708"/>
        <w:tab w:val="left" w:pos="17179"/>
        <w:tab w:val="left" w:pos="18650"/>
        <w:tab w:val="left" w:pos="19178"/>
      </w:tabs>
      <w:spacing w:line="288" w:lineRule="auto"/>
    </w:pPr>
    <w:rPr>
      <w:color w:val="000000"/>
      <w:sz w:val="16"/>
    </w:rPr>
  </w:style>
  <w:style w:type="character" w:customStyle="1" w:styleId="BodyText2Char">
    <w:name w:val="Body Text 2 Char"/>
    <w:basedOn w:val="DefaultParagraphFont"/>
    <w:link w:val="BodyText2"/>
    <w:rsid w:val="006F7A6B"/>
    <w:rPr>
      <w:rFonts w:ascii="Times New Roman" w:eastAsia="Times New Roman" w:hAnsi="Times New Roman" w:cs="Times New Roman"/>
      <w:color w:val="000000"/>
      <w:sz w:val="16"/>
      <w:szCs w:val="20"/>
      <w:lang w:eastAsia="el-GR"/>
    </w:rPr>
  </w:style>
  <w:style w:type="paragraph" w:customStyle="1" w:styleId="Oooe41">
    <w:name w:val="Oooe41"/>
    <w:basedOn w:val="Normal"/>
    <w:rsid w:val="006F7A6B"/>
    <w:pPr>
      <w:spacing w:line="288" w:lineRule="auto"/>
      <w:jc w:val="center"/>
    </w:pPr>
    <w:rPr>
      <w:b/>
      <w:sz w:val="22"/>
    </w:rPr>
  </w:style>
  <w:style w:type="paragraph" w:customStyle="1" w:styleId="Oooe4">
    <w:name w:val="Oooe4"/>
    <w:basedOn w:val="Normal"/>
    <w:rsid w:val="006F7A6B"/>
    <w:pPr>
      <w:spacing w:before="120" w:after="120" w:line="360" w:lineRule="auto"/>
      <w:jc w:val="both"/>
    </w:pPr>
    <w:rPr>
      <w:sz w:val="22"/>
    </w:rPr>
  </w:style>
  <w:style w:type="paragraph" w:customStyle="1" w:styleId="1">
    <w:name w:val="Στυλ1"/>
    <w:basedOn w:val="Normal"/>
    <w:link w:val="1Char"/>
    <w:rsid w:val="006F7A6B"/>
    <w:pPr>
      <w:spacing w:line="288" w:lineRule="auto"/>
    </w:pPr>
    <w:rPr>
      <w:b/>
      <w:snapToGrid w:val="0"/>
      <w:sz w:val="24"/>
    </w:rPr>
  </w:style>
  <w:style w:type="character" w:customStyle="1" w:styleId="1Char">
    <w:name w:val="Στυλ1 Char"/>
    <w:basedOn w:val="DefaultParagraphFont"/>
    <w:link w:val="1"/>
    <w:rsid w:val="006F7A6B"/>
    <w:rPr>
      <w:rFonts w:ascii="Times New Roman" w:eastAsia="Times New Roman" w:hAnsi="Times New Roman" w:cs="Times New Roman"/>
      <w:b/>
      <w:snapToGrid w:val="0"/>
      <w:sz w:val="24"/>
      <w:szCs w:val="20"/>
      <w:lang w:eastAsia="el-GR"/>
    </w:rPr>
  </w:style>
  <w:style w:type="paragraph" w:customStyle="1" w:styleId="8">
    <w:name w:val="Στυλ8"/>
    <w:basedOn w:val="Normal"/>
    <w:link w:val="8Char"/>
    <w:rsid w:val="006F7A6B"/>
    <w:pPr>
      <w:spacing w:line="288" w:lineRule="auto"/>
      <w:jc w:val="both"/>
    </w:pPr>
    <w:rPr>
      <w:b/>
      <w:i/>
      <w:snapToGrid w:val="0"/>
      <w:sz w:val="24"/>
    </w:rPr>
  </w:style>
  <w:style w:type="paragraph" w:customStyle="1" w:styleId="xl29">
    <w:name w:val="xl29"/>
    <w:basedOn w:val="Normal"/>
    <w:rsid w:val="006F7A6B"/>
    <w:pPr>
      <w:pBdr>
        <w:left w:val="single" w:sz="4" w:space="0" w:color="auto"/>
        <w:bottom w:val="single" w:sz="4" w:space="0" w:color="auto"/>
        <w:right w:val="single" w:sz="4" w:space="0" w:color="auto"/>
      </w:pBdr>
      <w:spacing w:before="100" w:beforeAutospacing="1" w:after="100" w:afterAutospacing="1"/>
    </w:pPr>
    <w:rPr>
      <w:rFonts w:ascii="Tahoma" w:eastAsia="Arial Unicode MS" w:hAnsi="Tahoma" w:cs="Tahoma"/>
      <w:sz w:val="24"/>
      <w:szCs w:val="24"/>
      <w:lang w:val="en-GB" w:eastAsia="en-US"/>
    </w:rPr>
  </w:style>
  <w:style w:type="paragraph" w:styleId="BodyTextIndent">
    <w:name w:val="Body Text Indent"/>
    <w:basedOn w:val="Normal"/>
    <w:link w:val="BodyTextIndentChar"/>
    <w:rsid w:val="006F7A6B"/>
    <w:pPr>
      <w:spacing w:after="120"/>
      <w:ind w:left="283"/>
    </w:pPr>
    <w:rPr>
      <w:snapToGrid w:val="0"/>
    </w:rPr>
  </w:style>
  <w:style w:type="character" w:customStyle="1" w:styleId="BodyTextIndentChar">
    <w:name w:val="Body Text Indent Char"/>
    <w:basedOn w:val="DefaultParagraphFont"/>
    <w:link w:val="BodyTextIndent"/>
    <w:rsid w:val="006F7A6B"/>
    <w:rPr>
      <w:rFonts w:ascii="Times New Roman" w:eastAsia="Times New Roman" w:hAnsi="Times New Roman" w:cs="Times New Roman"/>
      <w:snapToGrid w:val="0"/>
      <w:sz w:val="20"/>
      <w:szCs w:val="20"/>
      <w:lang w:eastAsia="el-GR"/>
    </w:rPr>
  </w:style>
  <w:style w:type="table" w:styleId="TableGrid">
    <w:name w:val="Table Grid"/>
    <w:basedOn w:val="TableNormal"/>
    <w:rsid w:val="006F7A6B"/>
    <w:pPr>
      <w:spacing w:after="0" w:line="288" w:lineRule="auto"/>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Στυλ3"/>
    <w:basedOn w:val="BodyText"/>
    <w:link w:val="3Char"/>
    <w:rsid w:val="006F7A6B"/>
    <w:rPr>
      <w:i/>
      <w:snapToGrid w:val="0"/>
    </w:rPr>
  </w:style>
  <w:style w:type="character" w:customStyle="1" w:styleId="3Char">
    <w:name w:val="Στυλ3 Char"/>
    <w:basedOn w:val="DefaultParagraphFont"/>
    <w:link w:val="3"/>
    <w:rsid w:val="006F7A6B"/>
    <w:rPr>
      <w:rFonts w:ascii="Times New Roman" w:eastAsia="Times New Roman" w:hAnsi="Times New Roman" w:cs="Times New Roman"/>
      <w:i/>
      <w:snapToGrid w:val="0"/>
      <w:sz w:val="24"/>
      <w:szCs w:val="24"/>
      <w:lang w:eastAsia="el-GR"/>
    </w:rPr>
  </w:style>
  <w:style w:type="paragraph" w:styleId="Title">
    <w:name w:val="Title"/>
    <w:basedOn w:val="Normal"/>
    <w:link w:val="TitleChar"/>
    <w:qFormat/>
    <w:rsid w:val="006F7A6B"/>
    <w:pPr>
      <w:spacing w:before="240" w:after="60"/>
      <w:jc w:val="center"/>
      <w:outlineLvl w:val="0"/>
    </w:pPr>
    <w:rPr>
      <w:rFonts w:ascii="Arial" w:hAnsi="Arial" w:cs="Arial"/>
      <w:b/>
      <w:bCs/>
      <w:snapToGrid w:val="0"/>
      <w:kern w:val="28"/>
      <w:sz w:val="32"/>
      <w:szCs w:val="32"/>
    </w:rPr>
  </w:style>
  <w:style w:type="character" w:customStyle="1" w:styleId="TitleChar">
    <w:name w:val="Title Char"/>
    <w:basedOn w:val="DefaultParagraphFont"/>
    <w:link w:val="Title"/>
    <w:rsid w:val="006F7A6B"/>
    <w:rPr>
      <w:rFonts w:ascii="Arial" w:eastAsia="Times New Roman" w:hAnsi="Arial" w:cs="Arial"/>
      <w:b/>
      <w:bCs/>
      <w:snapToGrid w:val="0"/>
      <w:kern w:val="28"/>
      <w:sz w:val="32"/>
      <w:szCs w:val="32"/>
      <w:lang w:eastAsia="el-GR"/>
    </w:rPr>
  </w:style>
  <w:style w:type="paragraph" w:styleId="TOC4">
    <w:name w:val="toc 4"/>
    <w:basedOn w:val="Normal"/>
    <w:next w:val="Normal"/>
    <w:semiHidden/>
    <w:rsid w:val="006F7A6B"/>
    <w:pPr>
      <w:tabs>
        <w:tab w:val="left" w:pos="1800"/>
        <w:tab w:val="right" w:leader="dot" w:pos="9000"/>
      </w:tabs>
      <w:spacing w:line="360" w:lineRule="auto"/>
      <w:ind w:left="1800" w:right="790" w:hanging="1620"/>
    </w:pPr>
    <w:rPr>
      <w:rFonts w:ascii="Tahoma" w:hAnsi="Tahoma" w:cs="Tahoma"/>
      <w:noProof/>
      <w:snapToGrid w:val="0"/>
    </w:rPr>
  </w:style>
  <w:style w:type="paragraph" w:styleId="TOC5">
    <w:name w:val="toc 5"/>
    <w:basedOn w:val="Normal"/>
    <w:next w:val="Normal"/>
    <w:autoRedefine/>
    <w:semiHidden/>
    <w:rsid w:val="006F7A6B"/>
    <w:pPr>
      <w:tabs>
        <w:tab w:val="left" w:pos="1800"/>
        <w:tab w:val="left" w:pos="1980"/>
        <w:tab w:val="left" w:pos="2160"/>
        <w:tab w:val="left" w:pos="2340"/>
        <w:tab w:val="right" w:leader="dot" w:pos="9060"/>
      </w:tabs>
      <w:ind w:left="1800" w:hanging="1620"/>
    </w:pPr>
    <w:rPr>
      <w:noProof/>
      <w:sz w:val="22"/>
      <w:szCs w:val="22"/>
    </w:rPr>
  </w:style>
  <w:style w:type="paragraph" w:styleId="TOC6">
    <w:name w:val="toc 6"/>
    <w:basedOn w:val="Normal"/>
    <w:next w:val="Normal"/>
    <w:semiHidden/>
    <w:rsid w:val="006F7A6B"/>
    <w:pPr>
      <w:tabs>
        <w:tab w:val="left" w:pos="900"/>
        <w:tab w:val="right" w:leader="dot" w:pos="9060"/>
      </w:tabs>
      <w:spacing w:before="240" w:after="120" w:line="288" w:lineRule="auto"/>
    </w:pPr>
    <w:rPr>
      <w:rFonts w:ascii="Tahoma" w:hAnsi="Tahoma"/>
      <w:b/>
      <w:caps/>
      <w:noProof/>
      <w:sz w:val="24"/>
      <w:szCs w:val="24"/>
      <w:lang w:val="en-US"/>
    </w:rPr>
  </w:style>
  <w:style w:type="paragraph" w:styleId="TOC7">
    <w:name w:val="toc 7"/>
    <w:basedOn w:val="Normal"/>
    <w:next w:val="Normal"/>
    <w:autoRedefine/>
    <w:semiHidden/>
    <w:rsid w:val="006F7A6B"/>
    <w:pPr>
      <w:tabs>
        <w:tab w:val="left" w:pos="720"/>
        <w:tab w:val="right" w:leader="dot" w:pos="9180"/>
      </w:tabs>
      <w:spacing w:before="120" w:after="120" w:line="288" w:lineRule="auto"/>
      <w:ind w:left="720" w:hanging="720"/>
    </w:pPr>
    <w:rPr>
      <w:rFonts w:ascii="Tahoma" w:hAnsi="Tahoma" w:cs="Tahoma"/>
      <w:b/>
      <w:noProof/>
      <w:sz w:val="22"/>
      <w:szCs w:val="22"/>
      <w:lang w:val="en-US"/>
    </w:rPr>
  </w:style>
  <w:style w:type="paragraph" w:styleId="TOC8">
    <w:name w:val="toc 8"/>
    <w:basedOn w:val="Normal"/>
    <w:next w:val="Normal"/>
    <w:autoRedefine/>
    <w:semiHidden/>
    <w:rsid w:val="006F7A6B"/>
    <w:pPr>
      <w:tabs>
        <w:tab w:val="left" w:pos="1080"/>
        <w:tab w:val="right" w:leader="dot" w:pos="9180"/>
      </w:tabs>
      <w:spacing w:before="20" w:after="20" w:line="288" w:lineRule="auto"/>
      <w:ind w:left="890" w:hanging="720"/>
    </w:pPr>
    <w:rPr>
      <w:rFonts w:ascii="Tahoma" w:hAnsi="Tahoma"/>
      <w:noProof/>
      <w:sz w:val="22"/>
      <w:szCs w:val="22"/>
      <w:lang w:val="en-US"/>
    </w:rPr>
  </w:style>
  <w:style w:type="paragraph" w:styleId="TOC9">
    <w:name w:val="toc 9"/>
    <w:basedOn w:val="Normal"/>
    <w:next w:val="Normal"/>
    <w:autoRedefine/>
    <w:semiHidden/>
    <w:rsid w:val="006F7A6B"/>
    <w:pPr>
      <w:tabs>
        <w:tab w:val="left" w:pos="900"/>
        <w:tab w:val="left" w:pos="1800"/>
        <w:tab w:val="right" w:leader="dot" w:pos="9060"/>
      </w:tabs>
      <w:spacing w:before="20" w:after="20" w:line="288" w:lineRule="auto"/>
      <w:ind w:left="170"/>
    </w:pPr>
    <w:rPr>
      <w:rFonts w:ascii="Tahoma" w:hAnsi="Tahoma"/>
      <w:sz w:val="22"/>
      <w:szCs w:val="24"/>
    </w:rPr>
  </w:style>
  <w:style w:type="paragraph" w:customStyle="1" w:styleId="6">
    <w:name w:val="Στυλ6"/>
    <w:basedOn w:val="Normal"/>
    <w:rsid w:val="006F7A6B"/>
    <w:rPr>
      <w:b/>
      <w:smallCaps/>
      <w:snapToGrid w:val="0"/>
      <w:sz w:val="28"/>
    </w:rPr>
  </w:style>
  <w:style w:type="paragraph" w:customStyle="1" w:styleId="12">
    <w:name w:val="Στυλ12"/>
    <w:basedOn w:val="Normal"/>
    <w:rsid w:val="006F7A6B"/>
    <w:rPr>
      <w:b/>
      <w:snapToGrid w:val="0"/>
      <w:sz w:val="28"/>
    </w:rPr>
  </w:style>
  <w:style w:type="paragraph" w:customStyle="1" w:styleId="5">
    <w:name w:val="Στυλ5"/>
    <w:basedOn w:val="Normal"/>
    <w:rsid w:val="006F7A6B"/>
    <w:rPr>
      <w:b/>
      <w:snapToGrid w:val="0"/>
      <w:sz w:val="28"/>
    </w:rPr>
  </w:style>
  <w:style w:type="paragraph" w:customStyle="1" w:styleId="Toc70">
    <w:name w:val="Toc7"/>
    <w:basedOn w:val="Normal"/>
    <w:rsid w:val="006F7A6B"/>
    <w:pPr>
      <w:tabs>
        <w:tab w:val="left" w:pos="993"/>
      </w:tabs>
    </w:pPr>
    <w:rPr>
      <w:b/>
      <w:snapToGrid w:val="0"/>
      <w:sz w:val="28"/>
      <w:lang w:val="en-US"/>
    </w:rPr>
  </w:style>
  <w:style w:type="paragraph" w:customStyle="1" w:styleId="Toc60">
    <w:name w:val="Toc6"/>
    <w:basedOn w:val="Toc70"/>
    <w:rsid w:val="006F7A6B"/>
  </w:style>
  <w:style w:type="character" w:customStyle="1" w:styleId="CharChar1">
    <w:name w:val="Char Char1"/>
    <w:basedOn w:val="DefaultParagraphFont"/>
    <w:rsid w:val="006F7A6B"/>
    <w:rPr>
      <w:snapToGrid w:val="0"/>
      <w:sz w:val="24"/>
      <w:lang w:val="el-GR" w:eastAsia="el-GR" w:bidi="ar-SA"/>
    </w:rPr>
  </w:style>
  <w:style w:type="paragraph" w:customStyle="1" w:styleId="BodyText26">
    <w:name w:val="Body Text 26"/>
    <w:basedOn w:val="Normal"/>
    <w:rsid w:val="006F7A6B"/>
    <w:pPr>
      <w:spacing w:after="240" w:line="288" w:lineRule="auto"/>
      <w:jc w:val="both"/>
    </w:pPr>
    <w:rPr>
      <w:sz w:val="24"/>
      <w:szCs w:val="24"/>
    </w:rPr>
  </w:style>
  <w:style w:type="character" w:customStyle="1" w:styleId="CharChar">
    <w:name w:val="Char Char"/>
    <w:basedOn w:val="DefaultParagraphFont"/>
    <w:rsid w:val="006F7A6B"/>
    <w:rPr>
      <w:snapToGrid w:val="0"/>
      <w:sz w:val="24"/>
      <w:lang w:val="el-GR" w:eastAsia="el-GR" w:bidi="ar-SA"/>
    </w:rPr>
  </w:style>
  <w:style w:type="paragraph" w:customStyle="1" w:styleId="article1">
    <w:name w:val="article1"/>
    <w:basedOn w:val="Normal"/>
    <w:rsid w:val="006F7A6B"/>
    <w:pPr>
      <w:spacing w:before="100" w:beforeAutospacing="1" w:after="100" w:afterAutospacing="1"/>
    </w:pPr>
    <w:rPr>
      <w:sz w:val="18"/>
      <w:szCs w:val="18"/>
    </w:rPr>
  </w:style>
  <w:style w:type="character" w:customStyle="1" w:styleId="article">
    <w:name w:val="article"/>
    <w:basedOn w:val="DefaultParagraphFont"/>
    <w:rsid w:val="006F7A6B"/>
  </w:style>
  <w:style w:type="paragraph" w:customStyle="1" w:styleId="TableText">
    <w:name w:val="Table Text"/>
    <w:basedOn w:val="Normal"/>
    <w:rsid w:val="006F7A6B"/>
    <w:rPr>
      <w:bCs/>
      <w:sz w:val="18"/>
      <w:szCs w:val="24"/>
      <w:lang w:val="it-IT" w:eastAsia="de-DE"/>
    </w:rPr>
  </w:style>
  <w:style w:type="paragraph" w:customStyle="1" w:styleId="Normal12pt">
    <w:name w:val="Normal + 12 pt"/>
    <w:aliases w:val="Justified,Line spacing:  Multiple 1,2 li"/>
    <w:basedOn w:val="Normal"/>
    <w:link w:val="Normal12ptChar"/>
    <w:rsid w:val="006F7A6B"/>
    <w:pPr>
      <w:spacing w:line="288" w:lineRule="auto"/>
      <w:jc w:val="both"/>
    </w:pPr>
    <w:rPr>
      <w:snapToGrid w:val="0"/>
      <w:sz w:val="24"/>
      <w:szCs w:val="24"/>
    </w:rPr>
  </w:style>
  <w:style w:type="character" w:customStyle="1" w:styleId="Normal12ptChar">
    <w:name w:val="Normal + 12 pt Char"/>
    <w:aliases w:val="Justified Char,Line spacing:  Multiple 1 Char,2 li Char"/>
    <w:basedOn w:val="DefaultParagraphFont"/>
    <w:link w:val="Normal12pt"/>
    <w:rsid w:val="006F7A6B"/>
    <w:rPr>
      <w:rFonts w:ascii="Times New Roman" w:eastAsia="Times New Roman" w:hAnsi="Times New Roman" w:cs="Times New Roman"/>
      <w:snapToGrid w:val="0"/>
      <w:sz w:val="24"/>
      <w:szCs w:val="24"/>
      <w:lang w:eastAsia="el-GR"/>
    </w:rPr>
  </w:style>
  <w:style w:type="numbering" w:styleId="1ai">
    <w:name w:val="Outline List 1"/>
    <w:aliases w:val="a"/>
    <w:basedOn w:val="NoList"/>
    <w:rsid w:val="006F7A6B"/>
    <w:pPr>
      <w:numPr>
        <w:numId w:val="2"/>
      </w:numPr>
    </w:pPr>
  </w:style>
  <w:style w:type="paragraph" w:customStyle="1" w:styleId="Biblio-Entry">
    <w:name w:val="Biblio-Entry"/>
    <w:basedOn w:val="BodyText"/>
    <w:rsid w:val="006F7A6B"/>
    <w:pPr>
      <w:tabs>
        <w:tab w:val="left" w:pos="850"/>
        <w:tab w:val="left" w:pos="1191"/>
        <w:tab w:val="left" w:pos="1531"/>
        <w:tab w:val="left" w:pos="1576"/>
      </w:tabs>
      <w:spacing w:before="120" w:after="240" w:line="360" w:lineRule="exact"/>
      <w:ind w:left="567" w:hanging="567"/>
    </w:pPr>
    <w:rPr>
      <w:rFonts w:ascii="Times" w:hAnsi="Times" w:cs="Tahoma"/>
      <w:sz w:val="22"/>
      <w:lang w:val="en-GB"/>
    </w:rPr>
  </w:style>
  <w:style w:type="paragraph" w:styleId="BodyText3">
    <w:name w:val="Body Text 3"/>
    <w:basedOn w:val="Normal"/>
    <w:link w:val="BodyText3Char"/>
    <w:rsid w:val="006F7A6B"/>
    <w:pPr>
      <w:tabs>
        <w:tab w:val="left" w:pos="1576"/>
      </w:tabs>
      <w:jc w:val="both"/>
    </w:pPr>
    <w:rPr>
      <w:rFonts w:ascii="Tahoma" w:hAnsi="Tahoma" w:cs="Tahoma"/>
      <w:sz w:val="18"/>
    </w:rPr>
  </w:style>
  <w:style w:type="character" w:customStyle="1" w:styleId="BodyText3Char">
    <w:name w:val="Body Text 3 Char"/>
    <w:basedOn w:val="DefaultParagraphFont"/>
    <w:link w:val="BodyText3"/>
    <w:rsid w:val="006F7A6B"/>
    <w:rPr>
      <w:rFonts w:ascii="Tahoma" w:eastAsia="Times New Roman" w:hAnsi="Tahoma" w:cs="Tahoma"/>
      <w:sz w:val="18"/>
      <w:szCs w:val="20"/>
      <w:lang w:eastAsia="el-GR"/>
    </w:rPr>
  </w:style>
  <w:style w:type="character" w:styleId="CommentReference">
    <w:name w:val="annotation reference"/>
    <w:basedOn w:val="DefaultParagraphFont"/>
    <w:semiHidden/>
    <w:rsid w:val="006F7A6B"/>
    <w:rPr>
      <w:sz w:val="16"/>
      <w:szCs w:val="16"/>
    </w:rPr>
  </w:style>
  <w:style w:type="paragraph" w:styleId="CommentText">
    <w:name w:val="annotation text"/>
    <w:basedOn w:val="Normal"/>
    <w:link w:val="CommentTextChar"/>
    <w:semiHidden/>
    <w:rsid w:val="006F7A6B"/>
  </w:style>
  <w:style w:type="character" w:customStyle="1" w:styleId="CommentTextChar">
    <w:name w:val="Comment Text Char"/>
    <w:basedOn w:val="DefaultParagraphFont"/>
    <w:link w:val="CommentText"/>
    <w:semiHidden/>
    <w:rsid w:val="006F7A6B"/>
    <w:rPr>
      <w:rFonts w:ascii="Times New Roman" w:eastAsia="Times New Roman" w:hAnsi="Times New Roman" w:cs="Times New Roman"/>
      <w:sz w:val="20"/>
      <w:szCs w:val="20"/>
      <w:lang w:eastAsia="el-GR"/>
    </w:rPr>
  </w:style>
  <w:style w:type="paragraph" w:styleId="CommentSubject">
    <w:name w:val="annotation subject"/>
    <w:basedOn w:val="CommentText"/>
    <w:next w:val="CommentText"/>
    <w:link w:val="CommentSubjectChar"/>
    <w:semiHidden/>
    <w:rsid w:val="006F7A6B"/>
    <w:rPr>
      <w:b/>
      <w:bCs/>
    </w:rPr>
  </w:style>
  <w:style w:type="character" w:customStyle="1" w:styleId="CommentSubjectChar">
    <w:name w:val="Comment Subject Char"/>
    <w:basedOn w:val="CommentTextChar"/>
    <w:link w:val="CommentSubject"/>
    <w:semiHidden/>
    <w:rsid w:val="006F7A6B"/>
    <w:rPr>
      <w:b/>
      <w:bCs/>
    </w:rPr>
  </w:style>
  <w:style w:type="character" w:styleId="Emphasis">
    <w:name w:val="Emphasis"/>
    <w:basedOn w:val="DefaultParagraphFont"/>
    <w:qFormat/>
    <w:rsid w:val="006F7A6B"/>
    <w:rPr>
      <w:i/>
      <w:iCs/>
    </w:rPr>
  </w:style>
  <w:style w:type="character" w:styleId="FollowedHyperlink">
    <w:name w:val="FollowedHyperlink"/>
    <w:basedOn w:val="DefaultParagraphFont"/>
    <w:rsid w:val="006F7A6B"/>
    <w:rPr>
      <w:color w:val="800080"/>
      <w:u w:val="single"/>
    </w:rPr>
  </w:style>
  <w:style w:type="paragraph" w:customStyle="1" w:styleId="ManualNumPar1">
    <w:name w:val="Manual NumPar 1"/>
    <w:basedOn w:val="Normal"/>
    <w:next w:val="Normal"/>
    <w:rsid w:val="006F7A6B"/>
    <w:pPr>
      <w:spacing w:before="120" w:after="120"/>
      <w:ind w:left="850" w:hanging="850"/>
      <w:jc w:val="both"/>
    </w:pPr>
    <w:rPr>
      <w:sz w:val="24"/>
      <w:szCs w:val="24"/>
    </w:rPr>
  </w:style>
  <w:style w:type="character" w:styleId="Strong">
    <w:name w:val="Strong"/>
    <w:basedOn w:val="DefaultParagraphFont"/>
    <w:qFormat/>
    <w:rsid w:val="006F7A6B"/>
    <w:rPr>
      <w:b/>
      <w:bCs/>
    </w:rPr>
  </w:style>
  <w:style w:type="paragraph" w:customStyle="1" w:styleId="StyleHeading3NotItalicLeft0cmFirstline0cm">
    <w:name w:val="Style Heading 3 + Not Italic Left:  0 cm First line:  0 cm"/>
    <w:basedOn w:val="Heading3"/>
    <w:rsid w:val="006F7A6B"/>
    <w:pPr>
      <w:keepLines w:val="0"/>
      <w:spacing w:before="240" w:after="120"/>
    </w:pPr>
    <w:rPr>
      <w:rFonts w:ascii="Tahoma" w:eastAsia="Times New Roman" w:hAnsi="Tahoma" w:cs="Times New Roman"/>
      <w:color w:val="auto"/>
    </w:rPr>
  </w:style>
  <w:style w:type="numbering" w:customStyle="1" w:styleId="Style1">
    <w:name w:val="Style1"/>
    <w:rsid w:val="006F7A6B"/>
    <w:pPr>
      <w:numPr>
        <w:numId w:val="3"/>
      </w:numPr>
    </w:pPr>
  </w:style>
  <w:style w:type="table" w:styleId="TableClassic1">
    <w:name w:val="Table Classic 1"/>
    <w:basedOn w:val="TableNormal"/>
    <w:rsid w:val="006F7A6B"/>
    <w:pPr>
      <w:spacing w:after="0" w:line="240" w:lineRule="auto"/>
    </w:pPr>
    <w:rPr>
      <w:rFonts w:ascii="Times New Roman" w:eastAsia="Times New Roman" w:hAnsi="Times New Roman" w:cs="Times New Roman"/>
      <w:sz w:val="20"/>
      <w:szCs w:val="20"/>
      <w:lang w:eastAsia="el-G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4NotBold">
    <w:name w:val="Στυλ4 + Not Bold"/>
    <w:basedOn w:val="4"/>
    <w:rsid w:val="006F7A6B"/>
    <w:rPr>
      <w:b w:val="0"/>
    </w:rPr>
  </w:style>
  <w:style w:type="paragraph" w:customStyle="1" w:styleId="new6">
    <w:name w:val="new_Στυλ6"/>
    <w:basedOn w:val="Normal"/>
    <w:rsid w:val="006F7A6B"/>
    <w:pPr>
      <w:pBdr>
        <w:top w:val="single" w:sz="6" w:space="1" w:color="auto"/>
        <w:bottom w:val="single" w:sz="6" w:space="1" w:color="auto"/>
      </w:pBdr>
      <w:spacing w:before="120" w:after="120"/>
    </w:pPr>
    <w:rPr>
      <w:rFonts w:ascii="Bookman Old Style" w:hAnsi="Bookman Old Style"/>
      <w:b/>
      <w:smallCaps/>
      <w:snapToGrid w:val="0"/>
      <w:sz w:val="28"/>
      <w:szCs w:val="28"/>
    </w:rPr>
  </w:style>
  <w:style w:type="paragraph" w:customStyle="1" w:styleId="new1210pt">
    <w:name w:val="new_Στυλ12 + 10 pt"/>
    <w:aliases w:val="Not Bold,Auto,Not Emboss"/>
    <w:basedOn w:val="new12"/>
    <w:autoRedefine/>
    <w:rsid w:val="006F7A6B"/>
    <w:pPr>
      <w:ind w:left="964" w:right="48"/>
    </w:pPr>
    <w:rPr>
      <w:b w:val="0"/>
      <w:sz w:val="20"/>
      <w:szCs w:val="20"/>
    </w:rPr>
  </w:style>
  <w:style w:type="paragraph" w:customStyle="1" w:styleId="Style6NotBold">
    <w:name w:val="Style Στυλ6 + Not Bold"/>
    <w:basedOn w:val="new6"/>
    <w:autoRedefine/>
    <w:rsid w:val="006F7A6B"/>
    <w:rPr>
      <w:b w:val="0"/>
    </w:rPr>
  </w:style>
  <w:style w:type="paragraph" w:customStyle="1" w:styleId="new12">
    <w:name w:val="new_Στυλ12"/>
    <w:basedOn w:val="Normal"/>
    <w:rsid w:val="006F7A6B"/>
    <w:pPr>
      <w:tabs>
        <w:tab w:val="left" w:pos="851"/>
        <w:tab w:val="left" w:pos="993"/>
      </w:tabs>
    </w:pPr>
    <w:rPr>
      <w:rFonts w:ascii="Tahoma" w:hAnsi="Tahoma" w:cs="Tahoma"/>
      <w:b/>
      <w:snapToGrid w:val="0"/>
      <w:spacing w:val="16"/>
      <w:sz w:val="24"/>
      <w:szCs w:val="24"/>
    </w:rPr>
  </w:style>
  <w:style w:type="table" w:styleId="TableContemporary">
    <w:name w:val="Table Contemporary"/>
    <w:basedOn w:val="TableNormal"/>
    <w:rsid w:val="006F7A6B"/>
    <w:pPr>
      <w:spacing w:after="0" w:line="240" w:lineRule="auto"/>
    </w:pPr>
    <w:rPr>
      <w:rFonts w:ascii="Times New Roman" w:eastAsia="Times New Roman" w:hAnsi="Times New Roman" w:cs="Times New Roman"/>
      <w:sz w:val="20"/>
      <w:szCs w:val="20"/>
      <w:lang w:eastAsia="el-GR"/>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Web2">
    <w:name w:val="Table Web 2"/>
    <w:basedOn w:val="TableNormal"/>
    <w:rsid w:val="006F7A6B"/>
    <w:pPr>
      <w:spacing w:after="0" w:line="240" w:lineRule="auto"/>
    </w:pPr>
    <w:rPr>
      <w:rFonts w:ascii="Times New Roman" w:eastAsia="Times New Roman" w:hAnsi="Times New Roman" w:cs="Times New Roman"/>
      <w:sz w:val="20"/>
      <w:szCs w:val="20"/>
      <w:lang w:eastAsia="el-GR"/>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F7A6B"/>
    <w:pPr>
      <w:spacing w:after="0" w:line="240" w:lineRule="auto"/>
    </w:pPr>
    <w:rPr>
      <w:rFonts w:ascii="Times New Roman" w:eastAsia="Times New Roman" w:hAnsi="Times New Roman" w:cs="Times New Roman"/>
      <w:sz w:val="20"/>
      <w:szCs w:val="20"/>
      <w:lang w:eastAsia="el-GR"/>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Simple1">
    <w:name w:val="Table Simple 1"/>
    <w:aliases w:val="Fotini"/>
    <w:basedOn w:val="TableNormal"/>
    <w:rsid w:val="006F7A6B"/>
    <w:pPr>
      <w:spacing w:before="40" w:after="40" w:line="240" w:lineRule="auto"/>
      <w:jc w:val="center"/>
    </w:pPr>
    <w:rPr>
      <w:rFonts w:ascii="Tahoma" w:eastAsia="Times New Roman" w:hAnsi="Tahoma" w:cs="Times New Roman"/>
      <w:sz w:val="20"/>
      <w:szCs w:val="20"/>
      <w:lang w:eastAsia="el-GR"/>
    </w:rPr>
    <w:tblPr>
      <w:tblStyleRowBandSize w:val="1"/>
      <w:tblInd w:w="0" w:type="dxa"/>
      <w:tblBorders>
        <w:top w:val="single" w:sz="4" w:space="0" w:color="auto"/>
        <w:bottom w:val="single" w:sz="4" w:space="0" w:color="auto"/>
        <w:insideH w:val="dotted" w:sz="4" w:space="0" w:color="auto"/>
      </w:tblBorders>
      <w:tblCellMar>
        <w:top w:w="0" w:type="dxa"/>
        <w:left w:w="108" w:type="dxa"/>
        <w:bottom w:w="0" w:type="dxa"/>
        <w:right w:w="108" w:type="dxa"/>
      </w:tblCellMar>
    </w:tblPr>
    <w:tcPr>
      <w:shd w:val="clear" w:color="auto" w:fill="auto"/>
      <w:vAlign w:val="center"/>
    </w:tcPr>
    <w:tblStylePr w:type="firstRow">
      <w:rPr>
        <w:rFonts w:ascii="Cambria" w:hAnsi="Cambria"/>
        <w:b/>
        <w:sz w:val="20"/>
      </w:rPr>
      <w:tblPr/>
      <w:tcPr>
        <w:tcBorders>
          <w:top w:val="single" w:sz="12" w:space="0" w:color="auto"/>
          <w:left w:val="nil"/>
          <w:bottom w:val="single" w:sz="8" w:space="0" w:color="auto"/>
          <w:right w:val="nil"/>
          <w:insideV w:val="nil"/>
        </w:tcBorders>
        <w:shd w:val="clear" w:color="auto" w:fill="auto"/>
      </w:tcPr>
    </w:tblStylePr>
    <w:tblStylePr w:type="lastRow">
      <w:rPr>
        <w:rFonts w:ascii="Arial Unicode MS" w:hAnsi="Arial Unicode MS"/>
        <w:sz w:val="20"/>
        <w:szCs w:val="20"/>
      </w:rPr>
      <w:tblPr/>
      <w:tcPr>
        <w:tcBorders>
          <w:top w:val="nil"/>
          <w:left w:val="nil"/>
          <w:bottom w:val="single" w:sz="12" w:space="0" w:color="auto"/>
          <w:right w:val="nil"/>
          <w:insideV w:val="nil"/>
        </w:tcBorders>
        <w:shd w:val="clear" w:color="auto" w:fill="auto"/>
      </w:tcPr>
    </w:tblStylePr>
    <w:tblStylePr w:type="firstCol">
      <w:pPr>
        <w:jc w:val="left"/>
      </w:pPr>
      <w:rPr>
        <w:b/>
      </w:rPr>
      <w:tblPr/>
      <w:tcPr>
        <w:vAlign w:val="top"/>
      </w:tcPr>
    </w:tblStylePr>
    <w:tblStylePr w:type="band1Horz">
      <w:rPr>
        <w:rFonts w:ascii="Cambria" w:hAnsi="Cambria"/>
      </w:rPr>
      <w:tblPr/>
      <w:tcPr>
        <w:tcBorders>
          <w:top w:val="dotted" w:sz="4" w:space="0" w:color="auto"/>
          <w:left w:val="nil"/>
          <w:bottom w:val="dotted" w:sz="4" w:space="0" w:color="auto"/>
          <w:right w:val="nil"/>
          <w:insideH w:val="nil"/>
          <w:insideV w:val="nil"/>
          <w:tl2br w:val="nil"/>
          <w:tr2bl w:val="nil"/>
        </w:tcBorders>
        <w:shd w:val="clear" w:color="auto" w:fill="auto"/>
      </w:tcPr>
    </w:tblStylePr>
    <w:tblStylePr w:type="band2Horz">
      <w:tblPr/>
      <w:tcPr>
        <w:tcBorders>
          <w:top w:val="dotted" w:sz="4" w:space="0" w:color="auto"/>
          <w:left w:val="nil"/>
          <w:bottom w:val="dotted" w:sz="4" w:space="0" w:color="auto"/>
          <w:right w:val="nil"/>
          <w:insideH w:val="nil"/>
          <w:insideV w:val="nil"/>
          <w:tl2br w:val="nil"/>
          <w:tr2bl w:val="nil"/>
        </w:tcBorders>
      </w:tcPr>
    </w:tblStylePr>
  </w:style>
  <w:style w:type="paragraph" w:customStyle="1" w:styleId="12newLeft0cm">
    <w:name w:val="Στυλ12_new + Left:  0 cm"/>
    <w:aliases w:val="Hanging:  1,7 cm"/>
    <w:basedOn w:val="new12"/>
    <w:rsid w:val="006F7A6B"/>
    <w:pPr>
      <w:ind w:left="964" w:hanging="964"/>
    </w:pPr>
  </w:style>
  <w:style w:type="paragraph" w:customStyle="1" w:styleId="Style6newTahoma16ptCentered">
    <w:name w:val="Style Στυλ6_new + Tahoma 16 pt Centered"/>
    <w:basedOn w:val="new6"/>
    <w:rsid w:val="006F7A6B"/>
    <w:pPr>
      <w:pBdr>
        <w:top w:val="none" w:sz="0" w:space="0" w:color="auto"/>
        <w:bottom w:val="none" w:sz="0" w:space="0" w:color="auto"/>
      </w:pBdr>
      <w:jc w:val="center"/>
    </w:pPr>
    <w:rPr>
      <w:rFonts w:ascii="Tahoma" w:hAnsi="Tahoma"/>
      <w:bCs/>
      <w:sz w:val="32"/>
      <w:szCs w:val="20"/>
    </w:rPr>
  </w:style>
  <w:style w:type="paragraph" w:customStyle="1" w:styleId="Style12newLeft0cmHanging127cm">
    <w:name w:val="Style Στυλ12_new + Left:  0 cm Hanging:  127 cm"/>
    <w:basedOn w:val="new12"/>
    <w:rsid w:val="006F7A6B"/>
    <w:pPr>
      <w:spacing w:line="288" w:lineRule="auto"/>
      <w:ind w:left="720" w:hanging="720"/>
    </w:pPr>
    <w:rPr>
      <w:rFonts w:cs="Times New Roman"/>
      <w:bCs/>
      <w:szCs w:val="20"/>
    </w:rPr>
  </w:style>
  <w:style w:type="character" w:customStyle="1" w:styleId="BodyTextChar">
    <w:name w:val="Body Text Char"/>
    <w:basedOn w:val="DefaultParagraphFont"/>
    <w:rsid w:val="006F7A6B"/>
    <w:rPr>
      <w:snapToGrid w:val="0"/>
      <w:sz w:val="24"/>
      <w:szCs w:val="24"/>
      <w:lang w:val="el-GR" w:eastAsia="el-GR" w:bidi="ar-SA"/>
    </w:rPr>
  </w:style>
  <w:style w:type="table" w:styleId="TableGrid7">
    <w:name w:val="Table Grid 7"/>
    <w:basedOn w:val="TableNormal"/>
    <w:rsid w:val="006F7A6B"/>
    <w:pPr>
      <w:spacing w:after="0" w:line="240" w:lineRule="auto"/>
    </w:pPr>
    <w:rPr>
      <w:rFonts w:ascii="Times New Roman" w:eastAsia="Times New Roman" w:hAnsi="Times New Roman" w:cs="Times New Roman"/>
      <w:b/>
      <w:bCs/>
      <w:sz w:val="20"/>
      <w:szCs w:val="20"/>
      <w:lang w:eastAsia="el-G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8Char">
    <w:name w:val="Στυλ8 Char"/>
    <w:basedOn w:val="DefaultParagraphFont"/>
    <w:link w:val="8"/>
    <w:rsid w:val="006F7A6B"/>
    <w:rPr>
      <w:rFonts w:ascii="Times New Roman" w:eastAsia="Times New Roman" w:hAnsi="Times New Roman" w:cs="Times New Roman"/>
      <w:b/>
      <w:i/>
      <w:snapToGrid w:val="0"/>
      <w:sz w:val="24"/>
      <w:szCs w:val="20"/>
      <w:lang w:eastAsia="el-GR"/>
    </w:rPr>
  </w:style>
  <w:style w:type="table" w:styleId="TableList3">
    <w:name w:val="Table List 3"/>
    <w:basedOn w:val="TableNormal"/>
    <w:rsid w:val="006F7A6B"/>
    <w:pPr>
      <w:spacing w:after="0" w:line="240" w:lineRule="auto"/>
    </w:pPr>
    <w:rPr>
      <w:rFonts w:ascii="Times New Roman" w:eastAsia="Times New Roman" w:hAnsi="Times New Roman" w:cs="Times New Roman"/>
      <w:sz w:val="20"/>
      <w:szCs w:val="20"/>
      <w:lang w:eastAsia="el-GR"/>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Stylecaption">
    <w:name w:val="Style_caption"/>
    <w:basedOn w:val="Normal"/>
    <w:rsid w:val="006F7A6B"/>
    <w:pPr>
      <w:autoSpaceDE w:val="0"/>
      <w:autoSpaceDN w:val="0"/>
      <w:adjustRightInd w:val="0"/>
      <w:spacing w:before="120" w:after="120" w:line="360" w:lineRule="auto"/>
      <w:jc w:val="center"/>
    </w:pPr>
    <w:rPr>
      <w:rFonts w:ascii="Tahoma" w:hAnsi="Tahoma" w:cs="Tahoma"/>
      <w:b/>
      <w:bCs/>
      <w:i/>
      <w:iCs/>
      <w:color w:val="000000"/>
    </w:rPr>
  </w:style>
  <w:style w:type="table" w:styleId="TableClassic2">
    <w:name w:val="Table Classic 2"/>
    <w:basedOn w:val="TableNormal"/>
    <w:rsid w:val="006F7A6B"/>
    <w:pPr>
      <w:spacing w:after="0" w:line="240" w:lineRule="auto"/>
    </w:pPr>
    <w:rPr>
      <w:rFonts w:ascii="Times New Roman" w:eastAsia="Times New Roman" w:hAnsi="Times New Roman" w:cs="Times New Roman"/>
      <w:sz w:val="20"/>
      <w:szCs w:val="20"/>
      <w:lang w:eastAsia="el-G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Char1">
    <w:name w:val="Char1"/>
    <w:basedOn w:val="Normal"/>
    <w:rsid w:val="006F7A6B"/>
    <w:pPr>
      <w:spacing w:after="160" w:line="240" w:lineRule="exact"/>
    </w:pPr>
    <w:rPr>
      <w:rFonts w:ascii="Verdana" w:hAnsi="Verdana"/>
      <w:lang w:val="en-US" w:eastAsia="en-US"/>
    </w:rPr>
  </w:style>
  <w:style w:type="paragraph" w:styleId="z-BottomofForm">
    <w:name w:val="HTML Bottom of Form"/>
    <w:basedOn w:val="Normal"/>
    <w:next w:val="Normal"/>
    <w:link w:val="z-BottomofFormChar"/>
    <w:hidden/>
    <w:rsid w:val="006F7A6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6F7A6B"/>
    <w:rPr>
      <w:rFonts w:ascii="Arial" w:eastAsia="Times New Roman" w:hAnsi="Arial" w:cs="Arial"/>
      <w:vanish/>
      <w:sz w:val="16"/>
      <w:szCs w:val="16"/>
      <w:lang w:eastAsia="el-GR"/>
    </w:rPr>
  </w:style>
  <w:style w:type="paragraph" w:customStyle="1" w:styleId="CharChar2Char">
    <w:name w:val="Char Char2 Char"/>
    <w:basedOn w:val="Normal"/>
    <w:next w:val="Normal"/>
    <w:rsid w:val="006F7A6B"/>
    <w:pPr>
      <w:spacing w:after="160" w:line="240" w:lineRule="exact"/>
    </w:pPr>
    <w:rPr>
      <w:rFonts w:ascii="Tahoma" w:hAnsi="Tahoma"/>
      <w:sz w:val="24"/>
      <w:lang w:val="en-US" w:eastAsia="en-US"/>
    </w:rPr>
  </w:style>
  <w:style w:type="paragraph" w:styleId="BodyTextIndent2">
    <w:name w:val="Body Text Indent 2"/>
    <w:basedOn w:val="Normal"/>
    <w:link w:val="BodyTextIndent2Char"/>
    <w:rsid w:val="006F7A6B"/>
    <w:pPr>
      <w:spacing w:after="120" w:line="480" w:lineRule="auto"/>
      <w:ind w:left="360"/>
    </w:pPr>
    <w:rPr>
      <w:sz w:val="24"/>
      <w:szCs w:val="24"/>
    </w:rPr>
  </w:style>
  <w:style w:type="character" w:customStyle="1" w:styleId="BodyTextIndent2Char">
    <w:name w:val="Body Text Indent 2 Char"/>
    <w:basedOn w:val="DefaultParagraphFont"/>
    <w:link w:val="BodyTextIndent2"/>
    <w:rsid w:val="006F7A6B"/>
    <w:rPr>
      <w:rFonts w:ascii="Times New Roman" w:eastAsia="Times New Roman" w:hAnsi="Times New Roman" w:cs="Times New Roman"/>
      <w:sz w:val="24"/>
      <w:szCs w:val="24"/>
      <w:lang w:eastAsia="el-GR"/>
    </w:rPr>
  </w:style>
  <w:style w:type="paragraph" w:customStyle="1" w:styleId="Char">
    <w:name w:val="Char"/>
    <w:basedOn w:val="Normal"/>
    <w:rsid w:val="006F7A6B"/>
    <w:pPr>
      <w:spacing w:after="160" w:line="240" w:lineRule="exact"/>
    </w:pPr>
    <w:rPr>
      <w:rFonts w:ascii="Verdana" w:hAnsi="Verdana"/>
      <w:lang w:val="en-US" w:eastAsia="en-US"/>
    </w:rPr>
  </w:style>
  <w:style w:type="character" w:customStyle="1" w:styleId="suitecelltext">
    <w:name w:val="suitecelltext"/>
    <w:basedOn w:val="DefaultParagraphFont"/>
    <w:rsid w:val="006F7A6B"/>
  </w:style>
  <w:style w:type="table" w:styleId="TableWeb1">
    <w:name w:val="Table Web 1"/>
    <w:basedOn w:val="TableNormal"/>
    <w:rsid w:val="006F7A6B"/>
    <w:pPr>
      <w:spacing w:after="0" w:line="240" w:lineRule="auto"/>
    </w:pPr>
    <w:rPr>
      <w:rFonts w:ascii="Times New Roman" w:eastAsia="Times New Roman" w:hAnsi="Times New Roman" w:cs="Times New Roman"/>
      <w:sz w:val="20"/>
      <w:szCs w:val="20"/>
      <w:lang w:eastAsia="el-GR"/>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0">
    <w:name w:val="Χωρίς διάστιχο1"/>
    <w:rsid w:val="006F7A6B"/>
    <w:pPr>
      <w:widowControl w:val="0"/>
      <w:overflowPunct w:val="0"/>
      <w:adjustRightInd w:val="0"/>
      <w:spacing w:after="0" w:line="240" w:lineRule="auto"/>
    </w:pPr>
    <w:rPr>
      <w:rFonts w:ascii="Calibri" w:eastAsia="Times New Roman" w:hAnsi="Calibri" w:cs="Calibri"/>
      <w:kern w:val="28"/>
      <w:lang w:eastAsia="el-GR"/>
    </w:rPr>
  </w:style>
  <w:style w:type="paragraph" w:customStyle="1" w:styleId="NoSpacing1">
    <w:name w:val="No Spacing1"/>
    <w:rsid w:val="006F7A6B"/>
    <w:pPr>
      <w:widowControl w:val="0"/>
      <w:overflowPunct w:val="0"/>
      <w:adjustRightInd w:val="0"/>
      <w:spacing w:after="0" w:line="240" w:lineRule="auto"/>
    </w:pPr>
    <w:rPr>
      <w:rFonts w:ascii="Calibri" w:eastAsia="Times New Roman" w:hAnsi="Calibri" w:cs="Calibri"/>
      <w:kern w:val="28"/>
      <w:lang w:eastAsia="el-GR"/>
    </w:rPr>
  </w:style>
  <w:style w:type="paragraph" w:customStyle="1" w:styleId="diagram">
    <w:name w:val="diagram"/>
    <w:basedOn w:val="Normal"/>
    <w:next w:val="Heading3"/>
    <w:rsid w:val="006F7A6B"/>
    <w:pPr>
      <w:spacing w:before="120" w:line="360" w:lineRule="auto"/>
      <w:jc w:val="center"/>
    </w:pPr>
    <w:rPr>
      <w:rFonts w:ascii="Tahoma" w:hAnsi="Tahoma"/>
      <w:b/>
      <w:noProof/>
      <w:snapToGrid w:val="0"/>
      <w:color w:val="666699"/>
      <w:sz w:val="22"/>
      <w:szCs w:val="22"/>
    </w:rPr>
  </w:style>
  <w:style w:type="paragraph" w:styleId="IntenseQuote">
    <w:name w:val="Intense Quote"/>
    <w:basedOn w:val="Normal"/>
    <w:next w:val="Normal"/>
    <w:link w:val="IntenseQuoteChar"/>
    <w:qFormat/>
    <w:rsid w:val="006F7A6B"/>
    <w:pPr>
      <w:pBdr>
        <w:bottom w:val="single" w:sz="4" w:space="4" w:color="4F81BD"/>
      </w:pBdr>
      <w:spacing w:before="200" w:after="280"/>
      <w:ind w:left="936" w:right="936"/>
    </w:pPr>
    <w:rPr>
      <w:b/>
      <w:bCs/>
      <w:i/>
      <w:iCs/>
      <w:color w:val="4F81BD"/>
      <w:sz w:val="24"/>
      <w:szCs w:val="24"/>
    </w:rPr>
  </w:style>
  <w:style w:type="character" w:customStyle="1" w:styleId="IntenseQuoteChar">
    <w:name w:val="Intense Quote Char"/>
    <w:basedOn w:val="DefaultParagraphFont"/>
    <w:link w:val="IntenseQuote"/>
    <w:rsid w:val="006F7A6B"/>
    <w:rPr>
      <w:rFonts w:ascii="Times New Roman" w:eastAsia="Times New Roman" w:hAnsi="Times New Roman" w:cs="Times New Roman"/>
      <w:b/>
      <w:bCs/>
      <w:i/>
      <w:iCs/>
      <w:color w:val="4F81BD"/>
      <w:sz w:val="24"/>
      <w:szCs w:val="24"/>
      <w:lang w:eastAsia="el-GR"/>
    </w:rPr>
  </w:style>
  <w:style w:type="character" w:customStyle="1" w:styleId="listtitle1">
    <w:name w:val="list_title1"/>
    <w:basedOn w:val="DefaultParagraphFont"/>
    <w:rsid w:val="006F7A6B"/>
    <w:rPr>
      <w:rFonts w:ascii="Tahoma" w:hAnsi="Tahoma" w:cs="Tahoma" w:hint="default"/>
      <w:color w:val="000000"/>
      <w:sz w:val="18"/>
      <w:szCs w:val="18"/>
    </w:rPr>
  </w:style>
  <w:style w:type="paragraph" w:styleId="ListParagraph">
    <w:name w:val="List Paragraph"/>
    <w:basedOn w:val="Normal"/>
    <w:uiPriority w:val="34"/>
    <w:qFormat/>
    <w:rsid w:val="009C4885"/>
    <w:pPr>
      <w:ind w:left="720"/>
      <w:contextualSpacing/>
    </w:pPr>
  </w:style>
  <w:style w:type="character" w:customStyle="1" w:styleId="CharChar11">
    <w:name w:val="Char Char11"/>
    <w:basedOn w:val="DefaultParagraphFont"/>
    <w:rsid w:val="00652F81"/>
    <w:rPr>
      <w:snapToGrid w:val="0"/>
      <w:sz w:val="24"/>
      <w:lang w:val="el-GR" w:eastAsia="el-GR" w:bidi="ar-SA"/>
    </w:rPr>
  </w:style>
  <w:style w:type="character" w:customStyle="1" w:styleId="CharChar2">
    <w:name w:val="Char Char2"/>
    <w:basedOn w:val="DefaultParagraphFont"/>
    <w:rsid w:val="00652F81"/>
    <w:rPr>
      <w:snapToGrid w:val="0"/>
      <w:sz w:val="24"/>
      <w:lang w:val="el-GR" w:eastAsia="el-GR" w:bidi="ar-SA"/>
    </w:rPr>
  </w:style>
  <w:style w:type="paragraph" w:customStyle="1" w:styleId="CharChar2Char1">
    <w:name w:val="Char Char2 Char1"/>
    <w:basedOn w:val="Normal"/>
    <w:next w:val="Normal"/>
    <w:rsid w:val="00652F81"/>
    <w:pPr>
      <w:spacing w:after="160" w:line="240" w:lineRule="exact"/>
    </w:pPr>
    <w:rPr>
      <w:rFonts w:ascii="Tahoma" w:hAnsi="Tahoma"/>
      <w:sz w:val="24"/>
      <w:lang w:val="en-US" w:eastAsia="en-US"/>
    </w:rPr>
  </w:style>
  <w:style w:type="paragraph" w:customStyle="1" w:styleId="Char11">
    <w:name w:val="Char11"/>
    <w:basedOn w:val="Normal"/>
    <w:rsid w:val="00652F81"/>
    <w:pPr>
      <w:spacing w:after="160" w:line="240" w:lineRule="exact"/>
    </w:pPr>
    <w:rPr>
      <w:rFonts w:ascii="Verdana" w:hAnsi="Verdana"/>
      <w:lang w:val="en-US" w:eastAsia="en-US"/>
    </w:rPr>
  </w:style>
  <w:style w:type="paragraph" w:customStyle="1" w:styleId="Char2">
    <w:name w:val="Char2"/>
    <w:basedOn w:val="Normal"/>
    <w:rsid w:val="00652F81"/>
    <w:pPr>
      <w:spacing w:after="160" w:line="240" w:lineRule="exact"/>
    </w:pPr>
    <w:rPr>
      <w:rFonts w:ascii="Verdana" w:hAnsi="Verdana"/>
      <w:lang w:val="en-US" w:eastAsia="en-US"/>
    </w:rPr>
  </w:style>
  <w:style w:type="paragraph" w:customStyle="1" w:styleId="2">
    <w:name w:val="Χωρίς διάστιχο2"/>
    <w:rsid w:val="00652F81"/>
    <w:pPr>
      <w:widowControl w:val="0"/>
      <w:overflowPunct w:val="0"/>
      <w:adjustRightInd w:val="0"/>
      <w:spacing w:after="0" w:line="240" w:lineRule="auto"/>
    </w:pPr>
    <w:rPr>
      <w:rFonts w:ascii="Calibri" w:eastAsia="Times New Roman" w:hAnsi="Calibri" w:cs="Calibri"/>
      <w:kern w:val="28"/>
      <w:lang w:eastAsia="el-GR"/>
    </w:rPr>
  </w:style>
  <w:style w:type="paragraph" w:customStyle="1" w:styleId="CharChar1CharCharCharChar">
    <w:name w:val="Char Char1 Char Char Char Char"/>
    <w:basedOn w:val="Normal"/>
    <w:rsid w:val="00D30E57"/>
    <w:pPr>
      <w:spacing w:after="160" w:line="240" w:lineRule="exact"/>
    </w:pPr>
    <w:rPr>
      <w:rFonts w:ascii="Tahoma" w:hAnsi="Tahoma"/>
      <w:lang w:val="en-US" w:eastAsia="en-US"/>
    </w:rPr>
  </w:style>
  <w:style w:type="paragraph" w:customStyle="1" w:styleId="CharChar1CharChar">
    <w:name w:val="Char Char1 Char Char"/>
    <w:basedOn w:val="Normal"/>
    <w:rsid w:val="00D30E57"/>
    <w:pPr>
      <w:spacing w:after="160" w:line="240" w:lineRule="exact"/>
    </w:pPr>
    <w:rPr>
      <w:rFonts w:ascii="Tahoma" w:hAnsi="Tahoma"/>
      <w:lang w:val="en-US" w:eastAsia="en-US"/>
    </w:rPr>
  </w:style>
  <w:style w:type="paragraph" w:styleId="TOCHeading">
    <w:name w:val="TOC Heading"/>
    <w:basedOn w:val="Heading1"/>
    <w:next w:val="Normal"/>
    <w:uiPriority w:val="39"/>
    <w:semiHidden/>
    <w:unhideWhenUsed/>
    <w:qFormat/>
    <w:rsid w:val="001878B8"/>
    <w:pPr>
      <w:keepLines/>
      <w:spacing w:before="480" w:after="0" w:line="276" w:lineRule="auto"/>
      <w:jc w:val="left"/>
      <w:outlineLvl w:val="9"/>
    </w:pPr>
    <w:rPr>
      <w:rFonts w:asciiTheme="majorHAnsi" w:eastAsiaTheme="majorEastAsia" w:hAnsiTheme="majorHAnsi" w:cstheme="majorBidi"/>
      <w:b/>
      <w:bCs/>
      <w:i w:val="0"/>
      <w:color w:val="365F91" w:themeColor="accent1" w:themeShade="BF"/>
      <w:sz w:val="28"/>
      <w:szCs w:val="28"/>
      <w:lang w:eastAsia="en-US"/>
    </w:rPr>
  </w:style>
  <w:style w:type="character" w:customStyle="1" w:styleId="fnorgcountry-name">
    <w:name w:val="fn org country-name"/>
    <w:basedOn w:val="DefaultParagraphFont"/>
    <w:uiPriority w:val="99"/>
    <w:rsid w:val="0069710F"/>
    <w:rPr>
      <w:rFonts w:cs="Times New Roman"/>
    </w:rPr>
  </w:style>
</w:styles>
</file>

<file path=word/webSettings.xml><?xml version="1.0" encoding="utf-8"?>
<w:webSettings xmlns:r="http://schemas.openxmlformats.org/officeDocument/2006/relationships" xmlns:w="http://schemas.openxmlformats.org/wordprocessingml/2006/main">
  <w:divs>
    <w:div w:id="182673102">
      <w:bodyDiv w:val="1"/>
      <w:marLeft w:val="0"/>
      <w:marRight w:val="0"/>
      <w:marTop w:val="0"/>
      <w:marBottom w:val="0"/>
      <w:divBdr>
        <w:top w:val="none" w:sz="0" w:space="0" w:color="auto"/>
        <w:left w:val="none" w:sz="0" w:space="0" w:color="auto"/>
        <w:bottom w:val="none" w:sz="0" w:space="0" w:color="auto"/>
        <w:right w:val="none" w:sz="0" w:space="0" w:color="auto"/>
      </w:divBdr>
    </w:div>
    <w:div w:id="447285055">
      <w:bodyDiv w:val="1"/>
      <w:marLeft w:val="0"/>
      <w:marRight w:val="0"/>
      <w:marTop w:val="0"/>
      <w:marBottom w:val="0"/>
      <w:divBdr>
        <w:top w:val="none" w:sz="0" w:space="0" w:color="auto"/>
        <w:left w:val="none" w:sz="0" w:space="0" w:color="auto"/>
        <w:bottom w:val="none" w:sz="0" w:space="0" w:color="auto"/>
        <w:right w:val="none" w:sz="0" w:space="0" w:color="auto"/>
      </w:divBdr>
    </w:div>
    <w:div w:id="823280764">
      <w:bodyDiv w:val="1"/>
      <w:marLeft w:val="0"/>
      <w:marRight w:val="0"/>
      <w:marTop w:val="0"/>
      <w:marBottom w:val="0"/>
      <w:divBdr>
        <w:top w:val="none" w:sz="0" w:space="0" w:color="auto"/>
        <w:left w:val="none" w:sz="0" w:space="0" w:color="auto"/>
        <w:bottom w:val="none" w:sz="0" w:space="0" w:color="auto"/>
        <w:right w:val="none" w:sz="0" w:space="0" w:color="auto"/>
      </w:divBdr>
    </w:div>
    <w:div w:id="1550073640">
      <w:bodyDiv w:val="1"/>
      <w:marLeft w:val="0"/>
      <w:marRight w:val="0"/>
      <w:marTop w:val="0"/>
      <w:marBottom w:val="0"/>
      <w:divBdr>
        <w:top w:val="none" w:sz="0" w:space="0" w:color="auto"/>
        <w:left w:val="none" w:sz="0" w:space="0" w:color="auto"/>
        <w:bottom w:val="none" w:sz="0" w:space="0" w:color="auto"/>
        <w:right w:val="none" w:sz="0" w:space="0" w:color="auto"/>
      </w:divBdr>
    </w:div>
    <w:div w:id="1880509977">
      <w:bodyDiv w:val="1"/>
      <w:marLeft w:val="0"/>
      <w:marRight w:val="0"/>
      <w:marTop w:val="0"/>
      <w:marBottom w:val="0"/>
      <w:divBdr>
        <w:top w:val="none" w:sz="0" w:space="0" w:color="auto"/>
        <w:left w:val="none" w:sz="0" w:space="0" w:color="auto"/>
        <w:bottom w:val="none" w:sz="0" w:space="0" w:color="auto"/>
        <w:right w:val="none" w:sz="0" w:space="0" w:color="auto"/>
      </w:divBdr>
    </w:div>
    <w:div w:id="206047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117" Type="http://schemas.openxmlformats.org/officeDocument/2006/relationships/footer" Target="footer30.xml"/><Relationship Id="rId21" Type="http://schemas.openxmlformats.org/officeDocument/2006/relationships/header" Target="header7.xml"/><Relationship Id="rId42" Type="http://schemas.openxmlformats.org/officeDocument/2006/relationships/image" Target="media/image11.emf"/><Relationship Id="rId47" Type="http://schemas.openxmlformats.org/officeDocument/2006/relationships/image" Target="media/image16.emf"/><Relationship Id="rId63" Type="http://schemas.openxmlformats.org/officeDocument/2006/relationships/image" Target="media/image25.wmf"/><Relationship Id="rId68" Type="http://schemas.openxmlformats.org/officeDocument/2006/relationships/image" Target="media/image29.wmf"/><Relationship Id="rId84" Type="http://schemas.openxmlformats.org/officeDocument/2006/relationships/image" Target="media/image36.emf"/><Relationship Id="rId89" Type="http://schemas.openxmlformats.org/officeDocument/2006/relationships/footer" Target="footer17.xml"/><Relationship Id="rId112" Type="http://schemas.openxmlformats.org/officeDocument/2006/relationships/image" Target="media/image49.emf"/><Relationship Id="rId133" Type="http://schemas.openxmlformats.org/officeDocument/2006/relationships/footer" Target="footer38.xml"/><Relationship Id="rId16" Type="http://schemas.openxmlformats.org/officeDocument/2006/relationships/header" Target="header4.xml"/><Relationship Id="rId107" Type="http://schemas.openxmlformats.org/officeDocument/2006/relationships/footer" Target="footer25.xml"/><Relationship Id="rId11" Type="http://schemas.openxmlformats.org/officeDocument/2006/relationships/header" Target="header2.xml"/><Relationship Id="rId32" Type="http://schemas.openxmlformats.org/officeDocument/2006/relationships/chart" Target="charts/chart1.xml"/><Relationship Id="rId37" Type="http://schemas.openxmlformats.org/officeDocument/2006/relationships/chart" Target="charts/chart6.xml"/><Relationship Id="rId53" Type="http://schemas.openxmlformats.org/officeDocument/2006/relationships/image" Target="media/image20.emf"/><Relationship Id="rId58" Type="http://schemas.openxmlformats.org/officeDocument/2006/relationships/chart" Target="charts/chart11.xml"/><Relationship Id="rId74" Type="http://schemas.openxmlformats.org/officeDocument/2006/relationships/header" Target="header13.xml"/><Relationship Id="rId79" Type="http://schemas.openxmlformats.org/officeDocument/2006/relationships/footer" Target="footer12.xml"/><Relationship Id="rId102" Type="http://schemas.openxmlformats.org/officeDocument/2006/relationships/footer" Target="footer23.xml"/><Relationship Id="rId123" Type="http://schemas.openxmlformats.org/officeDocument/2006/relationships/footer" Target="footer33.xml"/><Relationship Id="rId128" Type="http://schemas.openxmlformats.org/officeDocument/2006/relationships/image" Target="media/image57.emf"/><Relationship Id="rId5" Type="http://schemas.openxmlformats.org/officeDocument/2006/relationships/webSettings" Target="webSettings.xml"/><Relationship Id="rId90" Type="http://schemas.openxmlformats.org/officeDocument/2006/relationships/image" Target="media/image39.emf"/><Relationship Id="rId95" Type="http://schemas.openxmlformats.org/officeDocument/2006/relationships/footer" Target="footer20.xml"/><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image" Target="media/image4.emf"/><Relationship Id="rId30" Type="http://schemas.openxmlformats.org/officeDocument/2006/relationships/image" Target="media/image7.emf"/><Relationship Id="rId35" Type="http://schemas.openxmlformats.org/officeDocument/2006/relationships/chart" Target="charts/chart4.xml"/><Relationship Id="rId43" Type="http://schemas.openxmlformats.org/officeDocument/2006/relationships/image" Target="media/image12.emf"/><Relationship Id="rId48" Type="http://schemas.openxmlformats.org/officeDocument/2006/relationships/image" Target="media/image17.emf"/><Relationship Id="rId56" Type="http://schemas.openxmlformats.org/officeDocument/2006/relationships/chart" Target="charts/chart9.xml"/><Relationship Id="rId64" Type="http://schemas.openxmlformats.org/officeDocument/2006/relationships/header" Target="header11.xml"/><Relationship Id="rId69" Type="http://schemas.openxmlformats.org/officeDocument/2006/relationships/image" Target="media/image30.wmf"/><Relationship Id="rId77" Type="http://schemas.openxmlformats.org/officeDocument/2006/relationships/footer" Target="footer11.xml"/><Relationship Id="rId100" Type="http://schemas.openxmlformats.org/officeDocument/2006/relationships/image" Target="media/image44.emf"/><Relationship Id="rId105" Type="http://schemas.openxmlformats.org/officeDocument/2006/relationships/footer" Target="footer24.xml"/><Relationship Id="rId113" Type="http://schemas.openxmlformats.org/officeDocument/2006/relationships/footer" Target="footer28.xml"/><Relationship Id="rId118" Type="http://schemas.openxmlformats.org/officeDocument/2006/relationships/image" Target="media/image52.emf"/><Relationship Id="rId126" Type="http://schemas.openxmlformats.org/officeDocument/2006/relationships/image" Target="media/image56.emf"/><Relationship Id="rId134" Type="http://schemas.openxmlformats.org/officeDocument/2006/relationships/image" Target="media/image60.emf"/><Relationship Id="rId8" Type="http://schemas.openxmlformats.org/officeDocument/2006/relationships/image" Target="media/image1.png"/><Relationship Id="rId51" Type="http://schemas.openxmlformats.org/officeDocument/2006/relationships/footer" Target="footer8.xml"/><Relationship Id="rId72" Type="http://schemas.openxmlformats.org/officeDocument/2006/relationships/footer" Target="footer10.xml"/><Relationship Id="rId80" Type="http://schemas.openxmlformats.org/officeDocument/2006/relationships/image" Target="media/image34.emf"/><Relationship Id="rId85" Type="http://schemas.openxmlformats.org/officeDocument/2006/relationships/footer" Target="footer15.xml"/><Relationship Id="rId93" Type="http://schemas.openxmlformats.org/officeDocument/2006/relationships/footer" Target="footer19.xml"/><Relationship Id="rId98" Type="http://schemas.openxmlformats.org/officeDocument/2006/relationships/image" Target="media/image43.emf"/><Relationship Id="rId12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3.emf"/><Relationship Id="rId33" Type="http://schemas.openxmlformats.org/officeDocument/2006/relationships/chart" Target="charts/chart2.xml"/><Relationship Id="rId38" Type="http://schemas.openxmlformats.org/officeDocument/2006/relationships/chart" Target="charts/chart7.xml"/><Relationship Id="rId46" Type="http://schemas.openxmlformats.org/officeDocument/2006/relationships/image" Target="media/image15.emf"/><Relationship Id="rId59" Type="http://schemas.openxmlformats.org/officeDocument/2006/relationships/chart" Target="charts/chart12.xml"/><Relationship Id="rId67" Type="http://schemas.openxmlformats.org/officeDocument/2006/relationships/image" Target="media/image28.emf"/><Relationship Id="rId103" Type="http://schemas.openxmlformats.org/officeDocument/2006/relationships/image" Target="media/image45.emf"/><Relationship Id="rId108" Type="http://schemas.openxmlformats.org/officeDocument/2006/relationships/image" Target="media/image47.emf"/><Relationship Id="rId116" Type="http://schemas.openxmlformats.org/officeDocument/2006/relationships/image" Target="media/image51.emf"/><Relationship Id="rId124" Type="http://schemas.openxmlformats.org/officeDocument/2006/relationships/image" Target="media/image55.emf"/><Relationship Id="rId129" Type="http://schemas.openxmlformats.org/officeDocument/2006/relationships/footer" Target="footer36.xml"/><Relationship Id="rId137" Type="http://schemas.openxmlformats.org/officeDocument/2006/relationships/theme" Target="theme/theme1.xml"/><Relationship Id="rId20" Type="http://schemas.openxmlformats.org/officeDocument/2006/relationships/footer" Target="footer5.xml"/><Relationship Id="rId41" Type="http://schemas.openxmlformats.org/officeDocument/2006/relationships/image" Target="media/image10.emf"/><Relationship Id="rId54" Type="http://schemas.openxmlformats.org/officeDocument/2006/relationships/image" Target="media/image21.emf"/><Relationship Id="rId62" Type="http://schemas.openxmlformats.org/officeDocument/2006/relationships/chart" Target="charts/chart14.xml"/><Relationship Id="rId70" Type="http://schemas.openxmlformats.org/officeDocument/2006/relationships/footer" Target="footer9.xml"/><Relationship Id="rId75" Type="http://schemas.openxmlformats.org/officeDocument/2006/relationships/image" Target="media/image32.emf"/><Relationship Id="rId83" Type="http://schemas.openxmlformats.org/officeDocument/2006/relationships/footer" Target="footer14.xml"/><Relationship Id="rId88" Type="http://schemas.openxmlformats.org/officeDocument/2006/relationships/image" Target="media/image38.emf"/><Relationship Id="rId91" Type="http://schemas.openxmlformats.org/officeDocument/2006/relationships/footer" Target="footer18.xml"/><Relationship Id="rId96" Type="http://schemas.openxmlformats.org/officeDocument/2006/relationships/image" Target="media/image42.emf"/><Relationship Id="rId111" Type="http://schemas.openxmlformats.org/officeDocument/2006/relationships/footer" Target="footer27.xml"/><Relationship Id="rId132" Type="http://schemas.openxmlformats.org/officeDocument/2006/relationships/image" Target="media/image59.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5.emf"/><Relationship Id="rId36" Type="http://schemas.openxmlformats.org/officeDocument/2006/relationships/chart" Target="charts/chart5.xml"/><Relationship Id="rId49" Type="http://schemas.openxmlformats.org/officeDocument/2006/relationships/image" Target="media/image18.emf"/><Relationship Id="rId57" Type="http://schemas.openxmlformats.org/officeDocument/2006/relationships/chart" Target="charts/chart10.xml"/><Relationship Id="rId106" Type="http://schemas.openxmlformats.org/officeDocument/2006/relationships/image" Target="media/image46.emf"/><Relationship Id="rId114" Type="http://schemas.openxmlformats.org/officeDocument/2006/relationships/image" Target="media/image50.emf"/><Relationship Id="rId119" Type="http://schemas.openxmlformats.org/officeDocument/2006/relationships/footer" Target="footer31.xml"/><Relationship Id="rId127" Type="http://schemas.openxmlformats.org/officeDocument/2006/relationships/footer" Target="footer35.xml"/><Relationship Id="rId10" Type="http://schemas.openxmlformats.org/officeDocument/2006/relationships/header" Target="header1.xml"/><Relationship Id="rId31" Type="http://schemas.openxmlformats.org/officeDocument/2006/relationships/image" Target="media/image8.emf"/><Relationship Id="rId44" Type="http://schemas.openxmlformats.org/officeDocument/2006/relationships/image" Target="media/image13.emf"/><Relationship Id="rId52" Type="http://schemas.openxmlformats.org/officeDocument/2006/relationships/image" Target="media/image19.emf"/><Relationship Id="rId60" Type="http://schemas.openxmlformats.org/officeDocument/2006/relationships/header" Target="header10.xml"/><Relationship Id="rId65" Type="http://schemas.openxmlformats.org/officeDocument/2006/relationships/image" Target="media/image26.wmf"/><Relationship Id="rId73" Type="http://schemas.openxmlformats.org/officeDocument/2006/relationships/image" Target="media/image31.emf"/><Relationship Id="rId78" Type="http://schemas.openxmlformats.org/officeDocument/2006/relationships/image" Target="media/image33.emf"/><Relationship Id="rId81" Type="http://schemas.openxmlformats.org/officeDocument/2006/relationships/footer" Target="footer13.xml"/><Relationship Id="rId86" Type="http://schemas.openxmlformats.org/officeDocument/2006/relationships/image" Target="media/image37.emf"/><Relationship Id="rId94" Type="http://schemas.openxmlformats.org/officeDocument/2006/relationships/image" Target="media/image41.emf"/><Relationship Id="rId99" Type="http://schemas.openxmlformats.org/officeDocument/2006/relationships/footer" Target="footer22.xml"/><Relationship Id="rId101" Type="http://schemas.openxmlformats.org/officeDocument/2006/relationships/header" Target="header15.xml"/><Relationship Id="rId122" Type="http://schemas.openxmlformats.org/officeDocument/2006/relationships/image" Target="media/image54.emf"/><Relationship Id="rId130" Type="http://schemas.openxmlformats.org/officeDocument/2006/relationships/image" Target="media/image58.emf"/><Relationship Id="rId135"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chart" Target="charts/chart8.xml"/><Relationship Id="rId109" Type="http://schemas.openxmlformats.org/officeDocument/2006/relationships/footer" Target="footer26.xml"/><Relationship Id="rId34" Type="http://schemas.openxmlformats.org/officeDocument/2006/relationships/chart" Target="charts/chart3.xml"/><Relationship Id="rId50" Type="http://schemas.openxmlformats.org/officeDocument/2006/relationships/header" Target="header9.xml"/><Relationship Id="rId55" Type="http://schemas.openxmlformats.org/officeDocument/2006/relationships/image" Target="media/image22.emf"/><Relationship Id="rId76" Type="http://schemas.openxmlformats.org/officeDocument/2006/relationships/header" Target="header14.xml"/><Relationship Id="rId97" Type="http://schemas.openxmlformats.org/officeDocument/2006/relationships/footer" Target="footer21.xml"/><Relationship Id="rId104" Type="http://schemas.openxmlformats.org/officeDocument/2006/relationships/header" Target="header16.xml"/><Relationship Id="rId120" Type="http://schemas.openxmlformats.org/officeDocument/2006/relationships/image" Target="media/image53.emf"/><Relationship Id="rId125" Type="http://schemas.openxmlformats.org/officeDocument/2006/relationships/footer" Target="footer34.xml"/><Relationship Id="rId7" Type="http://schemas.openxmlformats.org/officeDocument/2006/relationships/endnotes" Target="endnotes.xml"/><Relationship Id="rId71" Type="http://schemas.openxmlformats.org/officeDocument/2006/relationships/header" Target="header12.xml"/><Relationship Id="rId92" Type="http://schemas.openxmlformats.org/officeDocument/2006/relationships/image" Target="media/image40.emf"/><Relationship Id="rId2" Type="http://schemas.openxmlformats.org/officeDocument/2006/relationships/numbering" Target="numbering.xml"/><Relationship Id="rId29" Type="http://schemas.openxmlformats.org/officeDocument/2006/relationships/image" Target="media/image6.emf"/><Relationship Id="rId24" Type="http://schemas.openxmlformats.org/officeDocument/2006/relationships/image" Target="media/image2.png"/><Relationship Id="rId40" Type="http://schemas.openxmlformats.org/officeDocument/2006/relationships/image" Target="media/image9.emf"/><Relationship Id="rId45" Type="http://schemas.openxmlformats.org/officeDocument/2006/relationships/image" Target="media/image14.emf"/><Relationship Id="rId66" Type="http://schemas.openxmlformats.org/officeDocument/2006/relationships/image" Target="media/image27.wmf"/><Relationship Id="rId87" Type="http://schemas.openxmlformats.org/officeDocument/2006/relationships/footer" Target="footer16.xml"/><Relationship Id="rId110" Type="http://schemas.openxmlformats.org/officeDocument/2006/relationships/image" Target="media/image48.emf"/><Relationship Id="rId115" Type="http://schemas.openxmlformats.org/officeDocument/2006/relationships/footer" Target="footer29.xml"/><Relationship Id="rId131" Type="http://schemas.openxmlformats.org/officeDocument/2006/relationships/footer" Target="footer37.xml"/><Relationship Id="rId136" Type="http://schemas.openxmlformats.org/officeDocument/2006/relationships/fontTable" Target="fontTable.xml"/><Relationship Id="rId61" Type="http://schemas.openxmlformats.org/officeDocument/2006/relationships/chart" Target="charts/chart13.xml"/><Relationship Id="rId82" Type="http://schemas.openxmlformats.org/officeDocument/2006/relationships/image" Target="media/image35.emf"/><Relationship Id="rId19" Type="http://schemas.openxmlformats.org/officeDocument/2006/relationships/header" Target="header6.xml"/></Relationships>
</file>

<file path=word/_rels/footnotes.xml.rels><?xml version="1.0" encoding="UTF-8" standalone="yes"?>
<Relationships xmlns="http://schemas.openxmlformats.org/package/2006/relationships"><Relationship Id="rId2" Type="http://schemas.openxmlformats.org/officeDocument/2006/relationships/hyperlink" Target="http://www.bloomberg.com/news/2012-03-13/greece-upgraded-from-selective-default-by-fitch-after-debt-swap.html" TargetMode="External"/><Relationship Id="rId1" Type="http://schemas.openxmlformats.org/officeDocument/2006/relationships/hyperlink" Target="http://consilium.europa.eu/uedocs/cms_data/docs/pressdata/en/ecofin/128075.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demian.IOBE\My%20Documents\Dropbox\Triminiaia\_&#932;&#961;&#953;&#956;&#951;&#957;&#953;&#945;&#943;&#945;%2001_12\&#914;&#953;&#959;&#956;&#951;&#967;&#945;&#957;&#943;&#945;\&#916;&#953;&#940;&#947;&#961;&#945;&#956;&#956;&#945;%203.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ropbox\IOBE%20Documents\&#932;&#961;&#953;&#956;&#951;&#957;&#953;&#945;&#943;&#945;%20&#904;&#954;&#952;&#949;&#963;&#951;\1st%20Quarter%202012\&#921;&#963;&#959;&#950;&#965;&#947;&#943;&#959;%20&#928;&#955;&#951;&#961;&#969;&#956;&#974;&#957;%20(&#917;&#964;&#942;&#963;&#953;&#945;).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Dropbox\IOBE%20Documents\&#932;&#961;&#953;&#956;&#951;&#957;&#953;&#945;&#943;&#945;%20&#904;&#954;&#952;&#949;&#963;&#951;\1st%20Quarter%202012\&#921;&#963;&#959;&#950;&#965;&#947;&#943;&#959;%20&#928;&#955;&#951;&#961;&#969;&#956;&#974;&#957;%20(&#917;&#964;&#942;&#963;&#953;&#945;).xlsx" TargetMode="External"/></Relationships>
</file>

<file path=word/charts/_rels/chart12.xml.rels><?xml version="1.0" encoding="UTF-8" standalone="yes"?>
<Relationships xmlns="http://schemas.openxmlformats.org/package/2006/relationships"><Relationship Id="rId2" Type="http://schemas.openxmlformats.org/officeDocument/2006/relationships/oleObject" Target="file:///C:\Dropbox\IOBE%20Documents\&#932;&#961;&#953;&#956;&#951;&#957;&#953;&#945;&#943;&#945;%20&#904;&#954;&#952;&#949;&#963;&#951;\1st%20Quarter%202012\&#916;&#914;&#928;.xlsx" TargetMode="External"/><Relationship Id="rId1" Type="http://schemas.openxmlformats.org/officeDocument/2006/relationships/themeOverride" Target="../theme/themeOverride2.xm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Documents%20and%20Settings\demian\Local%20Settings\Temporary%20Internet%20Files\Content.Outlook\N7GBAW9M\&#959;&#955;&#949;.xlsx"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Documents%20and%20Settings\demian\Local%20Settings\Temporary%20Internet%20Files\Content.Outlook\N7GBAW9M\&#959;&#955;&#94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demian.IOBE\My%20Documents\Dropbox\Triminiaia\_&#932;&#961;&#953;&#956;&#951;&#957;&#953;&#945;&#943;&#945;%2001_12\&#922;&#945;&#964;&#945;&#963;&#954;&#949;&#965;&#941;&#962;\&#922;&#945;&#964;&#945;&#963;&#954;&#949;&#965;&#941;&#962;_&#916;&#953;&#940;&#947;&#961;&#945;&#956;&#956;&#945;%203.2_p%206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demian.IOBE\My%20Documents\Dropbox\Triminiaia\_&#932;&#961;&#953;&#956;&#951;&#957;&#953;&#945;&#943;&#945;%2001_12\&#917;&#956;&#960;&#972;&#961;&#953;&#959;\&#923;&#953;&#945;&#957;&#953;&#954;&#972;%20&#917;&#956;&#960;&#972;&#961;&#953;&#959;_2005100_ev.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demian.IOBE\My%20Documents\Dropbox\Triminiaia\_&#932;&#961;&#953;&#956;&#951;&#957;&#953;&#945;&#943;&#945;%2001_12\&#933;&#960;&#951;&#961;&#949;&#963;&#943;&#949;&#962;\3.3-3.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demian.IOBE\My%20Documents\Dropbox\Triminiaia\_&#932;&#961;&#953;&#956;&#951;&#957;&#953;&#945;&#943;&#945;%2001_12\&#933;&#960;&#951;&#961;&#949;&#963;&#943;&#949;&#962;\3.3-3.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demian.IOBE\My%20Documents\Dropbox\Triminiaia\_&#932;&#961;&#953;&#956;&#951;&#957;&#953;&#945;&#943;&#945;%2001_12\&#933;&#960;&#951;&#961;&#949;&#963;&#943;&#949;&#962;\3.3-3.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demian.IOBE\My%20Documents\Dropbox\Triminiaia\_&#932;&#961;&#953;&#956;&#951;&#957;&#953;&#945;&#943;&#945;%2001_12\&#933;&#960;&#951;&#961;&#949;&#963;&#943;&#949;&#962;\3.3-3.9.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demian.IOBE\My%20Documents\Dropbox\Triminiaia\_&#932;&#961;&#953;&#956;&#951;&#957;&#953;&#945;&#943;&#945;%2001_12\&#933;&#960;&#951;&#961;&#949;&#963;&#943;&#949;&#962;\3.3-3.9.xlsx" TargetMode="External"/></Relationships>
</file>

<file path=word/charts/_rels/chart9.xml.rels><?xml version="1.0" encoding="UTF-8" standalone="yes"?>
<Relationships xmlns="http://schemas.openxmlformats.org/package/2006/relationships"><Relationship Id="rId2" Type="http://schemas.openxmlformats.org/officeDocument/2006/relationships/oleObject" Target="file:///C:\Dropbox\IOBE%20Documents\&#932;&#961;&#953;&#956;&#951;&#957;&#953;&#945;&#943;&#945;%20&#904;&#954;&#952;&#949;&#963;&#951;\1st%20Quarter%202012\&#921;&#963;&#959;&#950;&#965;&#947;&#943;&#959;%20&#928;&#955;&#951;&#961;&#969;&#956;&#974;&#957;%20(&#917;&#964;&#942;&#963;&#953;&#945;).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8.1237987750457027E-2"/>
          <c:y val="5.0314619922551373E-2"/>
          <c:w val="0.90715752988010157"/>
          <c:h val="0.73585131636730772"/>
        </c:manualLayout>
      </c:layout>
      <c:lineChart>
        <c:grouping val="standard"/>
        <c:ser>
          <c:idx val="0"/>
          <c:order val="0"/>
          <c:tx>
            <c:strRef>
              <c:f>'2010'!$G$18</c:f>
              <c:strCache>
                <c:ptCount val="1"/>
                <c:pt idx="0">
                  <c:v>Ευρωζώνη-17 
(ετήσια μεταβολή)</c:v>
                </c:pt>
              </c:strCache>
            </c:strRef>
          </c:tx>
          <c:spPr>
            <a:ln w="25400">
              <a:solidFill>
                <a:srgbClr val="000000"/>
              </a:solidFill>
              <a:prstDash val="solid"/>
            </a:ln>
          </c:spPr>
          <c:marker>
            <c:symbol val="diamond"/>
            <c:size val="4"/>
            <c:spPr>
              <a:solidFill>
                <a:srgbClr val="000000"/>
              </a:solidFill>
              <a:ln>
                <a:solidFill>
                  <a:srgbClr val="000000"/>
                </a:solidFill>
                <a:prstDash val="solid"/>
              </a:ln>
            </c:spPr>
          </c:marker>
          <c:cat>
            <c:strRef>
              <c:f>'2010'!$A$23:$A$50</c:f>
              <c:strCache>
                <c:ptCount val="28"/>
                <c:pt idx="0">
                  <c:v>α' τριμ. '05</c:v>
                </c:pt>
                <c:pt idx="1">
                  <c:v>β' τριμ. '05</c:v>
                </c:pt>
                <c:pt idx="2">
                  <c:v>γ' τριμ. '05</c:v>
                </c:pt>
                <c:pt idx="3">
                  <c:v>δ' τριμ. '05</c:v>
                </c:pt>
                <c:pt idx="4">
                  <c:v>α' τριμ. '06</c:v>
                </c:pt>
                <c:pt idx="5">
                  <c:v>β' τριμ. '06</c:v>
                </c:pt>
                <c:pt idx="6">
                  <c:v>γ' τριμ. '06</c:v>
                </c:pt>
                <c:pt idx="7">
                  <c:v>δ' τριμ. '06</c:v>
                </c:pt>
                <c:pt idx="8">
                  <c:v>α' τριμ. '07</c:v>
                </c:pt>
                <c:pt idx="9">
                  <c:v>β' τριμ. '07</c:v>
                </c:pt>
                <c:pt idx="10">
                  <c:v>γ' τριμ. '07</c:v>
                </c:pt>
                <c:pt idx="11">
                  <c:v>δ' τριμ. '07</c:v>
                </c:pt>
                <c:pt idx="12">
                  <c:v>α' τριμ. '08</c:v>
                </c:pt>
                <c:pt idx="13">
                  <c:v>β' τριμ. '08</c:v>
                </c:pt>
                <c:pt idx="14">
                  <c:v>γ' τριμ. '08</c:v>
                </c:pt>
                <c:pt idx="15">
                  <c:v>δ' τριμ. '08</c:v>
                </c:pt>
                <c:pt idx="16">
                  <c:v>α' τριμ. '09</c:v>
                </c:pt>
                <c:pt idx="17">
                  <c:v>β' τριμ. '09</c:v>
                </c:pt>
                <c:pt idx="18">
                  <c:v>γ' τριμ. '09</c:v>
                </c:pt>
                <c:pt idx="19">
                  <c:v>δ' τριμ. '09</c:v>
                </c:pt>
                <c:pt idx="20">
                  <c:v>α' τριμ. '10</c:v>
                </c:pt>
                <c:pt idx="21">
                  <c:v>β' τριμ. '10</c:v>
                </c:pt>
                <c:pt idx="22">
                  <c:v>γ'  τριμ.'10</c:v>
                </c:pt>
                <c:pt idx="23">
                  <c:v>δ' τριμ. '10</c:v>
                </c:pt>
                <c:pt idx="24">
                  <c:v>α' τριμ. '11</c:v>
                </c:pt>
                <c:pt idx="25">
                  <c:v>β' τριμ. '11</c:v>
                </c:pt>
                <c:pt idx="26">
                  <c:v>γ'  τριμ.'11</c:v>
                </c:pt>
                <c:pt idx="27">
                  <c:v>δ' τριμ. '11</c:v>
                </c:pt>
              </c:strCache>
            </c:strRef>
          </c:cat>
          <c:val>
            <c:numRef>
              <c:f>'2010'!$G$23:$G$50</c:f>
              <c:numCache>
                <c:formatCode>0.0%</c:formatCode>
                <c:ptCount val="28"/>
                <c:pt idx="0">
                  <c:v>1.1961967079030801E-2</c:v>
                </c:pt>
                <c:pt idx="1">
                  <c:v>7.4967075270997224E-3</c:v>
                </c:pt>
                <c:pt idx="2">
                  <c:v>1.5697792181486842E-2</c:v>
                </c:pt>
                <c:pt idx="3">
                  <c:v>2.7128251847352777E-2</c:v>
                </c:pt>
                <c:pt idx="4">
                  <c:v>3.3845221256819692E-2</c:v>
                </c:pt>
                <c:pt idx="5">
                  <c:v>4.6153846153846184E-2</c:v>
                </c:pt>
                <c:pt idx="6">
                  <c:v>4.576727490278254E-2</c:v>
                </c:pt>
                <c:pt idx="7">
                  <c:v>4.3165467625899227E-2</c:v>
                </c:pt>
                <c:pt idx="8">
                  <c:v>4.5636665689436508E-2</c:v>
                </c:pt>
                <c:pt idx="9">
                  <c:v>3.5755478662053343E-2</c:v>
                </c:pt>
                <c:pt idx="10">
                  <c:v>3.9569031273836798E-2</c:v>
                </c:pt>
                <c:pt idx="11">
                  <c:v>3.4010392064242091E-2</c:v>
                </c:pt>
                <c:pt idx="12">
                  <c:v>3.1028037383177696E-2</c:v>
                </c:pt>
                <c:pt idx="13">
                  <c:v>1.2620638455827823E-2</c:v>
                </c:pt>
                <c:pt idx="14">
                  <c:v>-1.7426396404659338E-2</c:v>
                </c:pt>
                <c:pt idx="15">
                  <c:v>-8.972133394244089E-2</c:v>
                </c:pt>
                <c:pt idx="16">
                  <c:v>-0.18192530819434549</c:v>
                </c:pt>
                <c:pt idx="17">
                  <c:v>-0.18475073313783197</c:v>
                </c:pt>
                <c:pt idx="18">
                  <c:v>-0.14589750770092424</c:v>
                </c:pt>
                <c:pt idx="19">
                  <c:v>-7.1464418347887124E-2</c:v>
                </c:pt>
                <c:pt idx="20">
                  <c:v>4.9861495844876098E-2</c:v>
                </c:pt>
                <c:pt idx="21">
                  <c:v>9.2963129496403007E-2</c:v>
                </c:pt>
                <c:pt idx="22">
                  <c:v>7.213114754098357E-2</c:v>
                </c:pt>
                <c:pt idx="23">
                  <c:v>8.020754513025756E-2</c:v>
                </c:pt>
                <c:pt idx="24">
                  <c:v>6.5540897097625422E-2</c:v>
                </c:pt>
                <c:pt idx="25">
                  <c:v>4.2168055127018433E-2</c:v>
                </c:pt>
                <c:pt idx="26">
                  <c:v>4.2609582059123532E-2</c:v>
                </c:pt>
                <c:pt idx="27">
                  <c:v>1.2008405884118044E-3</c:v>
                </c:pt>
              </c:numCache>
            </c:numRef>
          </c:val>
          <c:smooth val="1"/>
        </c:ser>
        <c:ser>
          <c:idx val="1"/>
          <c:order val="1"/>
          <c:tx>
            <c:strRef>
              <c:f>'2010'!$H$18</c:f>
              <c:strCache>
                <c:ptCount val="1"/>
                <c:pt idx="0">
                  <c:v>Ελλάδα 
(ετήσια μεταβολή)</c:v>
                </c:pt>
              </c:strCache>
            </c:strRef>
          </c:tx>
          <c:spPr>
            <a:ln w="25400">
              <a:solidFill>
                <a:srgbClr val="0000FF"/>
              </a:solidFill>
              <a:prstDash val="solid"/>
            </a:ln>
          </c:spPr>
          <c:marker>
            <c:symbol val="square"/>
            <c:size val="4"/>
            <c:spPr>
              <a:solidFill>
                <a:srgbClr val="0000FF"/>
              </a:solidFill>
              <a:ln>
                <a:solidFill>
                  <a:srgbClr val="0000FF"/>
                </a:solidFill>
                <a:prstDash val="solid"/>
              </a:ln>
            </c:spPr>
          </c:marker>
          <c:cat>
            <c:strRef>
              <c:f>'2010'!$A$23:$A$50</c:f>
              <c:strCache>
                <c:ptCount val="28"/>
                <c:pt idx="0">
                  <c:v>α' τριμ. '05</c:v>
                </c:pt>
                <c:pt idx="1">
                  <c:v>β' τριμ. '05</c:v>
                </c:pt>
                <c:pt idx="2">
                  <c:v>γ' τριμ. '05</c:v>
                </c:pt>
                <c:pt idx="3">
                  <c:v>δ' τριμ. '05</c:v>
                </c:pt>
                <c:pt idx="4">
                  <c:v>α' τριμ. '06</c:v>
                </c:pt>
                <c:pt idx="5">
                  <c:v>β' τριμ. '06</c:v>
                </c:pt>
                <c:pt idx="6">
                  <c:v>γ' τριμ. '06</c:v>
                </c:pt>
                <c:pt idx="7">
                  <c:v>δ' τριμ. '06</c:v>
                </c:pt>
                <c:pt idx="8">
                  <c:v>α' τριμ. '07</c:v>
                </c:pt>
                <c:pt idx="9">
                  <c:v>β' τριμ. '07</c:v>
                </c:pt>
                <c:pt idx="10">
                  <c:v>γ' τριμ. '07</c:v>
                </c:pt>
                <c:pt idx="11">
                  <c:v>δ' τριμ. '07</c:v>
                </c:pt>
                <c:pt idx="12">
                  <c:v>α' τριμ. '08</c:v>
                </c:pt>
                <c:pt idx="13">
                  <c:v>β' τριμ. '08</c:v>
                </c:pt>
                <c:pt idx="14">
                  <c:v>γ' τριμ. '08</c:v>
                </c:pt>
                <c:pt idx="15">
                  <c:v>δ' τριμ. '08</c:v>
                </c:pt>
                <c:pt idx="16">
                  <c:v>α' τριμ. '09</c:v>
                </c:pt>
                <c:pt idx="17">
                  <c:v>β' τριμ. '09</c:v>
                </c:pt>
                <c:pt idx="18">
                  <c:v>γ' τριμ. '09</c:v>
                </c:pt>
                <c:pt idx="19">
                  <c:v>δ' τριμ. '09</c:v>
                </c:pt>
                <c:pt idx="20">
                  <c:v>α' τριμ. '10</c:v>
                </c:pt>
                <c:pt idx="21">
                  <c:v>β' τριμ. '10</c:v>
                </c:pt>
                <c:pt idx="22">
                  <c:v>γ'  τριμ.'10</c:v>
                </c:pt>
                <c:pt idx="23">
                  <c:v>δ' τριμ. '10</c:v>
                </c:pt>
                <c:pt idx="24">
                  <c:v>α' τριμ. '11</c:v>
                </c:pt>
                <c:pt idx="25">
                  <c:v>β' τριμ. '11</c:v>
                </c:pt>
                <c:pt idx="26">
                  <c:v>γ'  τριμ.'11</c:v>
                </c:pt>
                <c:pt idx="27">
                  <c:v>δ' τριμ. '11</c:v>
                </c:pt>
              </c:strCache>
            </c:strRef>
          </c:cat>
          <c:val>
            <c:numRef>
              <c:f>'2010'!$H$23:$H$50</c:f>
              <c:numCache>
                <c:formatCode>0.0%</c:formatCode>
                <c:ptCount val="28"/>
                <c:pt idx="0">
                  <c:v>-1.4634645561847359E-2</c:v>
                </c:pt>
                <c:pt idx="1">
                  <c:v>-4.0127907705812323E-2</c:v>
                </c:pt>
                <c:pt idx="2">
                  <c:v>-5.6069975329212009E-3</c:v>
                </c:pt>
                <c:pt idx="3">
                  <c:v>-2.641202763104361E-3</c:v>
                </c:pt>
                <c:pt idx="4">
                  <c:v>9.520512376666122E-3</c:v>
                </c:pt>
                <c:pt idx="5">
                  <c:v>2.6846952772878952E-2</c:v>
                </c:pt>
                <c:pt idx="6">
                  <c:v>-3.9309189328520511E-3</c:v>
                </c:pt>
                <c:pt idx="7">
                  <c:v>4.4136619813951391E-4</c:v>
                </c:pt>
                <c:pt idx="8">
                  <c:v>2.6268861454046596E-2</c:v>
                </c:pt>
                <c:pt idx="9">
                  <c:v>1.0178117048346157E-2</c:v>
                </c:pt>
                <c:pt idx="10">
                  <c:v>3.0277544154751812E-2</c:v>
                </c:pt>
                <c:pt idx="11">
                  <c:v>2.5146774357756141E-2</c:v>
                </c:pt>
                <c:pt idx="12">
                  <c:v>-4.1168214930161554E-2</c:v>
                </c:pt>
                <c:pt idx="13">
                  <c:v>-2.2921914357682708E-2</c:v>
                </c:pt>
                <c:pt idx="14">
                  <c:v>-3.1271585557300106E-2</c:v>
                </c:pt>
                <c:pt idx="15">
                  <c:v>-7.5244968220338992E-2</c:v>
                </c:pt>
                <c:pt idx="16">
                  <c:v>-8.1027392486235292E-2</c:v>
                </c:pt>
                <c:pt idx="17">
                  <c:v>-0.11310904872389814</c:v>
                </c:pt>
                <c:pt idx="18">
                  <c:v>-9.8723018085175765E-2</c:v>
                </c:pt>
                <c:pt idx="19">
                  <c:v>-7.1809557902273183E-2</c:v>
                </c:pt>
                <c:pt idx="20">
                  <c:v>-7.2281846107171185E-2</c:v>
                </c:pt>
                <c:pt idx="21">
                  <c:v>-6.5293219969479024E-2</c:v>
                </c:pt>
                <c:pt idx="22">
                  <c:v>-3.9952531645569618E-2</c:v>
                </c:pt>
                <c:pt idx="23">
                  <c:v>-5.3569362489876295E-2</c:v>
                </c:pt>
                <c:pt idx="24">
                  <c:v>-5.3264113150472144E-2</c:v>
                </c:pt>
                <c:pt idx="25">
                  <c:v>-0.10192419825072882</c:v>
                </c:pt>
                <c:pt idx="26">
                  <c:v>-6.9221260815822194E-2</c:v>
                </c:pt>
                <c:pt idx="27">
                  <c:v>-0.14058679706601471</c:v>
                </c:pt>
              </c:numCache>
            </c:numRef>
          </c:val>
          <c:smooth val="1"/>
        </c:ser>
        <c:marker val="1"/>
        <c:axId val="138448256"/>
        <c:axId val="138458624"/>
      </c:lineChart>
      <c:catAx>
        <c:axId val="138448256"/>
        <c:scaling>
          <c:orientation val="minMax"/>
        </c:scaling>
        <c:axPos val="b"/>
        <c:numFmt formatCode="General" sourceLinked="1"/>
        <c:tickLblPos val="low"/>
        <c:spPr>
          <a:ln w="3175">
            <a:solidFill>
              <a:srgbClr val="000000"/>
            </a:solidFill>
            <a:prstDash val="solid"/>
          </a:ln>
        </c:spPr>
        <c:txPr>
          <a:bodyPr rot="-5400000" vert="horz"/>
          <a:lstStyle/>
          <a:p>
            <a:pPr>
              <a:defRPr sz="700" b="1" i="0" u="none" strike="noStrike" baseline="0">
                <a:solidFill>
                  <a:srgbClr val="000000"/>
                </a:solidFill>
                <a:latin typeface="Tahoma"/>
                <a:ea typeface="Tahoma"/>
                <a:cs typeface="Tahoma"/>
              </a:defRPr>
            </a:pPr>
            <a:endParaRPr lang="en-US"/>
          </a:p>
        </c:txPr>
        <c:crossAx val="138458624"/>
        <c:crosses val="autoZero"/>
        <c:auto val="1"/>
        <c:lblAlgn val="ctr"/>
        <c:lblOffset val="100"/>
        <c:tickLblSkip val="1"/>
        <c:tickMarkSkip val="1"/>
      </c:catAx>
      <c:valAx>
        <c:axId val="138458624"/>
        <c:scaling>
          <c:orientation val="minMax"/>
          <c:max val="0.2"/>
          <c:min val="-0.2"/>
        </c:scaling>
        <c:axPos val="l"/>
        <c:majorGridlines>
          <c:spPr>
            <a:ln w="3175">
              <a:solidFill>
                <a:srgbClr val="C0C0C0"/>
              </a:solidFill>
              <a:prstDash val="sysDash"/>
            </a:ln>
          </c:spPr>
        </c:majorGridlines>
        <c:numFmt formatCode="0%" sourceLinked="0"/>
        <c:tickLblPos val="nextTo"/>
        <c:spPr>
          <a:ln w="3175">
            <a:solidFill>
              <a:srgbClr val="000000"/>
            </a:solidFill>
            <a:prstDash val="solid"/>
          </a:ln>
        </c:spPr>
        <c:txPr>
          <a:bodyPr rot="0" vert="horz"/>
          <a:lstStyle/>
          <a:p>
            <a:pPr>
              <a:defRPr sz="800" b="0" i="0" u="none" strike="noStrike" baseline="0">
                <a:solidFill>
                  <a:srgbClr val="000000"/>
                </a:solidFill>
                <a:latin typeface="Tahoma"/>
                <a:ea typeface="Tahoma"/>
                <a:cs typeface="Tahoma"/>
              </a:defRPr>
            </a:pPr>
            <a:endParaRPr lang="en-US"/>
          </a:p>
        </c:txPr>
        <c:crossAx val="138448256"/>
        <c:crosses val="autoZero"/>
        <c:crossBetween val="between"/>
        <c:majorUnit val="5.0000000000000114E-2"/>
      </c:valAx>
      <c:spPr>
        <a:solidFill>
          <a:srgbClr val="FFFFFF"/>
        </a:solidFill>
        <a:ln w="25400">
          <a:noFill/>
        </a:ln>
      </c:spPr>
    </c:plotArea>
    <c:legend>
      <c:legendPos val="r"/>
      <c:layout>
        <c:manualLayout>
          <c:xMode val="edge"/>
          <c:yMode val="edge"/>
          <c:x val="0.11218588972316565"/>
          <c:y val="6.6038065996467429E-2"/>
          <c:w val="0.32495205023937201"/>
          <c:h val="6.9182720084518673E-2"/>
        </c:manualLayout>
      </c:layout>
      <c:spPr>
        <a:solidFill>
          <a:srgbClr val="FFFFFF"/>
        </a:solidFill>
        <a:ln w="25400">
          <a:noFill/>
        </a:ln>
      </c:spPr>
      <c:txPr>
        <a:bodyPr/>
        <a:lstStyle/>
        <a:p>
          <a:pPr>
            <a:defRPr sz="735" b="0" i="0" u="none" strike="noStrike" baseline="0">
              <a:solidFill>
                <a:srgbClr val="000000"/>
              </a:solidFill>
              <a:latin typeface="Tahoma"/>
              <a:ea typeface="Tahoma"/>
              <a:cs typeface="Tahoma"/>
            </a:defRPr>
          </a:pPr>
          <a:endParaRPr lang="en-US"/>
        </a:p>
      </c:txPr>
    </c:legend>
    <c:plotVisOnly val="1"/>
    <c:dispBlanksAs val="gap"/>
  </c:chart>
  <c:spPr>
    <a:solidFill>
      <a:srgbClr val="FFFFFF"/>
    </a:solidFill>
    <a:ln w="9525">
      <a:noFill/>
    </a:ln>
  </c:spPr>
  <c:txPr>
    <a:bodyPr/>
    <a:lstStyle/>
    <a:p>
      <a:pPr>
        <a:defRPr sz="750" b="0" i="0" u="none" strike="noStrike" baseline="0">
          <a:solidFill>
            <a:srgbClr val="000000"/>
          </a:solidFill>
          <a:latin typeface="Tahoma"/>
          <a:ea typeface="Tahoma"/>
          <a:cs typeface="Tahoma"/>
        </a:defRPr>
      </a:pPr>
      <a:endParaRPr lang="en-U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9.4834937299504235E-2"/>
          <c:y val="3.5330213794875012E-2"/>
          <c:w val="0.8181819772528437"/>
          <c:h val="0.81013110831313162"/>
        </c:manualLayout>
      </c:layout>
      <c:barChart>
        <c:barDir val="col"/>
        <c:grouping val="clustered"/>
        <c:ser>
          <c:idx val="1"/>
          <c:order val="1"/>
          <c:tx>
            <c:strRef>
              <c:f>'data isozygio'!$A$4</c:f>
              <c:strCache>
                <c:ptCount val="1"/>
                <c:pt idx="0">
                  <c:v>Π.Μ. %</c:v>
                </c:pt>
              </c:strCache>
            </c:strRef>
          </c:tx>
          <c:spPr>
            <a:solidFill>
              <a:schemeClr val="bg1">
                <a:lumMod val="50000"/>
              </a:schemeClr>
            </a:solidFill>
            <a:ln>
              <a:noFill/>
            </a:ln>
          </c:spPr>
          <c:dLbls>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noFill/>
                <a:prstDash val="solid"/>
              </a:ln>
              <a:effectLst>
                <a:outerShdw blurRad="40000" dist="20000" dir="5400000" rotWithShape="0">
                  <a:srgbClr val="000000">
                    <a:alpha val="38000"/>
                  </a:srgbClr>
                </a:outerShdw>
              </a:effectLst>
            </c:spPr>
            <c:showVal val="1"/>
          </c:dLbls>
          <c:cat>
            <c:numRef>
              <c:f>'data isozygio'!$B$2:$L$2</c:f>
              <c:numCache>
                <c:formatCode>General</c:formatCode>
                <c:ptCount val="11"/>
                <c:pt idx="0">
                  <c:v>2001</c:v>
                </c:pt>
                <c:pt idx="1">
                  <c:v>2002</c:v>
                </c:pt>
                <c:pt idx="2">
                  <c:v>2003</c:v>
                </c:pt>
                <c:pt idx="3">
                  <c:v>2004</c:v>
                </c:pt>
                <c:pt idx="4">
                  <c:v>2005</c:v>
                </c:pt>
                <c:pt idx="5">
                  <c:v>2006</c:v>
                </c:pt>
                <c:pt idx="6">
                  <c:v>2007</c:v>
                </c:pt>
                <c:pt idx="7">
                  <c:v>2008</c:v>
                </c:pt>
                <c:pt idx="8">
                  <c:v>2009</c:v>
                </c:pt>
                <c:pt idx="9">
                  <c:v>2010</c:v>
                </c:pt>
                <c:pt idx="10">
                  <c:v>2011</c:v>
                </c:pt>
              </c:numCache>
            </c:numRef>
          </c:cat>
          <c:val>
            <c:numRef>
              <c:f>'data isozygio'!$B$4:$L$4</c:f>
              <c:numCache>
                <c:formatCode>0.0%</c:formatCode>
                <c:ptCount val="11"/>
                <c:pt idx="1">
                  <c:v>4.9000000000000113E-2</c:v>
                </c:pt>
                <c:pt idx="2">
                  <c:v>9.0000000000000028E-3</c:v>
                </c:pt>
                <c:pt idx="3">
                  <c:v>0.23900000000000021</c:v>
                </c:pt>
                <c:pt idx="4">
                  <c:v>0.36600000000000038</c:v>
                </c:pt>
                <c:pt idx="5">
                  <c:v>0.61500000000000365</c:v>
                </c:pt>
                <c:pt idx="6">
                  <c:v>0.37900000000000206</c:v>
                </c:pt>
                <c:pt idx="7">
                  <c:v>6.7000000000000004E-2</c:v>
                </c:pt>
                <c:pt idx="8">
                  <c:v>-0.25800000000000001</c:v>
                </c:pt>
                <c:pt idx="9">
                  <c:v>-0.11</c:v>
                </c:pt>
                <c:pt idx="10">
                  <c:v>-8.3000000000000046E-2</c:v>
                </c:pt>
              </c:numCache>
            </c:numRef>
          </c:val>
        </c:ser>
        <c:axId val="148565376"/>
        <c:axId val="148563456"/>
      </c:barChart>
      <c:lineChart>
        <c:grouping val="standard"/>
        <c:ser>
          <c:idx val="0"/>
          <c:order val="0"/>
          <c:tx>
            <c:strRef>
              <c:f>'data isozygio'!$A$3</c:f>
              <c:strCache>
                <c:ptCount val="1"/>
                <c:pt idx="0">
                  <c:v>Ισοζύγιο Τρεχουσών Συναλλαγών</c:v>
                </c:pt>
              </c:strCache>
            </c:strRef>
          </c:tx>
          <c:dLbls>
            <c:numFmt formatCode="#,##0" sourceLinked="0"/>
            <c:spPr>
              <a:solidFill>
                <a:schemeClr val="bg1"/>
              </a:solidFill>
            </c:spPr>
            <c:dLblPos val="b"/>
            <c:showVal val="1"/>
          </c:dLbls>
          <c:cat>
            <c:numRef>
              <c:f>'data isozygio'!$B$2:$L$2</c:f>
              <c:numCache>
                <c:formatCode>General</c:formatCode>
                <c:ptCount val="11"/>
                <c:pt idx="0">
                  <c:v>2001</c:v>
                </c:pt>
                <c:pt idx="1">
                  <c:v>2002</c:v>
                </c:pt>
                <c:pt idx="2">
                  <c:v>2003</c:v>
                </c:pt>
                <c:pt idx="3">
                  <c:v>2004</c:v>
                </c:pt>
                <c:pt idx="4">
                  <c:v>2005</c:v>
                </c:pt>
                <c:pt idx="5">
                  <c:v>2006</c:v>
                </c:pt>
                <c:pt idx="6">
                  <c:v>2007</c:v>
                </c:pt>
                <c:pt idx="7">
                  <c:v>2008</c:v>
                </c:pt>
                <c:pt idx="8">
                  <c:v>2009</c:v>
                </c:pt>
                <c:pt idx="9">
                  <c:v>2010</c:v>
                </c:pt>
                <c:pt idx="10">
                  <c:v>2011</c:v>
                </c:pt>
              </c:numCache>
            </c:numRef>
          </c:cat>
          <c:val>
            <c:numRef>
              <c:f>'data isozygio'!$B$3:$L$3</c:f>
              <c:numCache>
                <c:formatCode>#,##0.0</c:formatCode>
                <c:ptCount val="11"/>
                <c:pt idx="0">
                  <c:v>-8169.3</c:v>
                </c:pt>
                <c:pt idx="1">
                  <c:v>-8571.2999999999811</c:v>
                </c:pt>
                <c:pt idx="2">
                  <c:v>-8647.5</c:v>
                </c:pt>
                <c:pt idx="3">
                  <c:v>-10717.1</c:v>
                </c:pt>
                <c:pt idx="4">
                  <c:v>-14637.5</c:v>
                </c:pt>
                <c:pt idx="5">
                  <c:v>-23640.3</c:v>
                </c:pt>
                <c:pt idx="6">
                  <c:v>-32602.2</c:v>
                </c:pt>
                <c:pt idx="7">
                  <c:v>-34797.599999999999</c:v>
                </c:pt>
                <c:pt idx="8">
                  <c:v>-25818.7</c:v>
                </c:pt>
                <c:pt idx="9">
                  <c:v>-22975.599999999897</c:v>
                </c:pt>
                <c:pt idx="10">
                  <c:v>-21069.8</c:v>
                </c:pt>
              </c:numCache>
            </c:numRef>
          </c:val>
        </c:ser>
        <c:marker val="1"/>
        <c:axId val="148551552"/>
        <c:axId val="148553088"/>
      </c:lineChart>
      <c:catAx>
        <c:axId val="148551552"/>
        <c:scaling>
          <c:orientation val="minMax"/>
        </c:scaling>
        <c:axPos val="b"/>
        <c:numFmt formatCode="General" sourceLinked="1"/>
        <c:tickLblPos val="low"/>
        <c:crossAx val="148553088"/>
        <c:crosses val="autoZero"/>
        <c:auto val="1"/>
        <c:lblAlgn val="ctr"/>
        <c:lblOffset val="100"/>
      </c:catAx>
      <c:valAx>
        <c:axId val="148553088"/>
        <c:scaling>
          <c:orientation val="minMax"/>
          <c:max val="40000"/>
          <c:min val="-40000"/>
        </c:scaling>
        <c:axPos val="l"/>
        <c:majorGridlines>
          <c:spPr>
            <a:ln>
              <a:solidFill>
                <a:schemeClr val="bg1">
                  <a:lumMod val="65000"/>
                </a:schemeClr>
              </a:solidFill>
              <a:prstDash val="sysDash"/>
            </a:ln>
          </c:spPr>
        </c:majorGridlines>
        <c:title>
          <c:tx>
            <c:rich>
              <a:bodyPr rot="-5400000" vert="horz"/>
              <a:lstStyle/>
              <a:p>
                <a:pPr>
                  <a:defRPr/>
                </a:pPr>
                <a:r>
                  <a:rPr lang="el-GR"/>
                  <a:t>εκ. ευρώ</a:t>
                </a:r>
                <a:endParaRPr lang="en-US"/>
              </a:p>
            </c:rich>
          </c:tx>
        </c:title>
        <c:numFmt formatCode="#,##0" sourceLinked="0"/>
        <c:tickLblPos val="nextTo"/>
        <c:crossAx val="148551552"/>
        <c:crosses val="autoZero"/>
        <c:crossBetween val="between"/>
        <c:majorUnit val="5000"/>
      </c:valAx>
      <c:valAx>
        <c:axId val="148563456"/>
        <c:scaling>
          <c:orientation val="minMax"/>
          <c:max val="0.70000000000000062"/>
          <c:min val="-0.70000000000000062"/>
        </c:scaling>
        <c:axPos val="r"/>
        <c:title>
          <c:tx>
            <c:rich>
              <a:bodyPr rot="-5400000" vert="horz"/>
              <a:lstStyle/>
              <a:p>
                <a:pPr>
                  <a:defRPr/>
                </a:pPr>
                <a:r>
                  <a:rPr lang="el-GR"/>
                  <a:t>Ποσοστιαία Μεταβολή %</a:t>
                </a:r>
                <a:endParaRPr lang="en-US"/>
              </a:p>
            </c:rich>
          </c:tx>
        </c:title>
        <c:numFmt formatCode="0%" sourceLinked="0"/>
        <c:tickLblPos val="nextTo"/>
        <c:crossAx val="148565376"/>
        <c:crosses val="max"/>
        <c:crossBetween val="between"/>
      </c:valAx>
      <c:catAx>
        <c:axId val="148565376"/>
        <c:scaling>
          <c:orientation val="minMax"/>
        </c:scaling>
        <c:delete val="1"/>
        <c:axPos val="b"/>
        <c:numFmt formatCode="General" sourceLinked="1"/>
        <c:tickLblPos val="none"/>
        <c:crossAx val="148563456"/>
        <c:crosses val="autoZero"/>
        <c:auto val="1"/>
        <c:lblAlgn val="ctr"/>
        <c:lblOffset val="100"/>
      </c:catAx>
    </c:plotArea>
    <c:legend>
      <c:legendPos val="b"/>
    </c:legend>
    <c:plotVisOnly val="1"/>
    <c:dispBlanksAs val="gap"/>
  </c:chart>
  <c:spPr>
    <a:ln>
      <a:noFill/>
    </a:ln>
  </c:spPr>
  <c:txPr>
    <a:bodyPr/>
    <a:lstStyle/>
    <a:p>
      <a:pPr>
        <a:defRPr sz="800">
          <a:latin typeface="Tahoma" pitchFamily="34" charset="0"/>
          <a:ea typeface="Tahoma" pitchFamily="34" charset="0"/>
          <a:cs typeface="Tahoma" pitchFamily="34" charset="0"/>
        </a:defRPr>
      </a:pPr>
      <a:endParaRPr lang="en-U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
          <c:y val="3.9162326931355788E-2"/>
          <c:w val="0.89648061764791254"/>
          <c:h val="0.7839533947145495"/>
        </c:manualLayout>
      </c:layout>
      <c:barChart>
        <c:barDir val="col"/>
        <c:grouping val="clustered"/>
        <c:ser>
          <c:idx val="2"/>
          <c:order val="2"/>
          <c:tx>
            <c:strRef>
              <c:f>'data emporiko'!$A$14</c:f>
              <c:strCache>
                <c:ptCount val="1"/>
                <c:pt idx="0">
                  <c:v>Εμπορικό Ισοζύγιο (χωρίς καύσιμα)</c:v>
                </c:pt>
              </c:strCache>
            </c:strRef>
          </c:tx>
          <c:spPr>
            <a:solidFill>
              <a:schemeClr val="bg1">
                <a:lumMod val="65000"/>
              </a:schemeClr>
            </a:solidFill>
          </c:spPr>
          <c:dLbls>
            <c:spPr>
              <a:solidFill>
                <a:schemeClr val="bg1">
                  <a:lumMod val="65000"/>
                </a:schemeClr>
              </a:solidFill>
            </c:spPr>
            <c:dLblPos val="outEnd"/>
            <c:showVal val="1"/>
          </c:dLbls>
          <c:cat>
            <c:numRef>
              <c:f>'data emporiko'!$B$11:$L$11</c:f>
              <c:numCache>
                <c:formatCode>General</c:formatCode>
                <c:ptCount val="11"/>
                <c:pt idx="0">
                  <c:v>2001</c:v>
                </c:pt>
                <c:pt idx="1">
                  <c:v>2002</c:v>
                </c:pt>
                <c:pt idx="2">
                  <c:v>2003</c:v>
                </c:pt>
                <c:pt idx="3">
                  <c:v>2004</c:v>
                </c:pt>
                <c:pt idx="4">
                  <c:v>2005</c:v>
                </c:pt>
                <c:pt idx="5">
                  <c:v>2006</c:v>
                </c:pt>
                <c:pt idx="6">
                  <c:v>2007</c:v>
                </c:pt>
                <c:pt idx="7">
                  <c:v>2008</c:v>
                </c:pt>
                <c:pt idx="8">
                  <c:v>2009</c:v>
                </c:pt>
                <c:pt idx="9">
                  <c:v>2010</c:v>
                </c:pt>
                <c:pt idx="10">
                  <c:v>2011</c:v>
                </c:pt>
              </c:numCache>
            </c:numRef>
          </c:cat>
          <c:val>
            <c:numRef>
              <c:f>'data emporiko'!$B$14:$L$14</c:f>
              <c:numCache>
                <c:formatCode>#,##0</c:formatCode>
                <c:ptCount val="11"/>
                <c:pt idx="0">
                  <c:v>-18614</c:v>
                </c:pt>
                <c:pt idx="1">
                  <c:v>-19204</c:v>
                </c:pt>
                <c:pt idx="2">
                  <c:v>-18608</c:v>
                </c:pt>
                <c:pt idx="3">
                  <c:v>-20925</c:v>
                </c:pt>
                <c:pt idx="4">
                  <c:v>-20930</c:v>
                </c:pt>
                <c:pt idx="5">
                  <c:v>-26525</c:v>
                </c:pt>
                <c:pt idx="6">
                  <c:v>-32280</c:v>
                </c:pt>
                <c:pt idx="7">
                  <c:v>-31894</c:v>
                </c:pt>
                <c:pt idx="8">
                  <c:v>-23171</c:v>
                </c:pt>
                <c:pt idx="9">
                  <c:v>-19652</c:v>
                </c:pt>
                <c:pt idx="10">
                  <c:v>-16094</c:v>
                </c:pt>
              </c:numCache>
            </c:numRef>
          </c:val>
        </c:ser>
        <c:axId val="148212352"/>
        <c:axId val="148230528"/>
      </c:barChart>
      <c:lineChart>
        <c:grouping val="standard"/>
        <c:ser>
          <c:idx val="0"/>
          <c:order val="0"/>
          <c:tx>
            <c:strRef>
              <c:f>'data emporiko'!$A$12</c:f>
              <c:strCache>
                <c:ptCount val="1"/>
                <c:pt idx="0">
                  <c:v>Εξαγωγές αγαθών (χωρίς καύσιμα)</c:v>
                </c:pt>
              </c:strCache>
            </c:strRef>
          </c:tx>
          <c:spPr>
            <a:ln>
              <a:solidFill>
                <a:schemeClr val="tx1"/>
              </a:solidFill>
            </a:ln>
          </c:spPr>
          <c:marker>
            <c:symbol val="diamond"/>
            <c:size val="5"/>
            <c:spPr>
              <a:solidFill>
                <a:schemeClr val="tx1"/>
              </a:solidFill>
            </c:spPr>
          </c:marker>
          <c:dLbls>
            <c:dLbl>
              <c:idx val="6"/>
              <c:layout>
                <c:manualLayout>
                  <c:x val="-2.8712427097353069E-2"/>
                  <c:y val="-7.0546737213403904E-2"/>
                </c:manualLayout>
              </c:layou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showSerName val="1"/>
            </c:dLbl>
            <c:delete val="1"/>
          </c:dLbls>
          <c:cat>
            <c:numRef>
              <c:f>'data emporiko'!$B$11:$L$11</c:f>
              <c:numCache>
                <c:formatCode>General</c:formatCode>
                <c:ptCount val="11"/>
                <c:pt idx="0">
                  <c:v>2001</c:v>
                </c:pt>
                <c:pt idx="1">
                  <c:v>2002</c:v>
                </c:pt>
                <c:pt idx="2">
                  <c:v>2003</c:v>
                </c:pt>
                <c:pt idx="3">
                  <c:v>2004</c:v>
                </c:pt>
                <c:pt idx="4">
                  <c:v>2005</c:v>
                </c:pt>
                <c:pt idx="5">
                  <c:v>2006</c:v>
                </c:pt>
                <c:pt idx="6">
                  <c:v>2007</c:v>
                </c:pt>
                <c:pt idx="7">
                  <c:v>2008</c:v>
                </c:pt>
                <c:pt idx="8">
                  <c:v>2009</c:v>
                </c:pt>
                <c:pt idx="9">
                  <c:v>2010</c:v>
                </c:pt>
                <c:pt idx="10">
                  <c:v>2011</c:v>
                </c:pt>
              </c:numCache>
            </c:numRef>
          </c:cat>
          <c:val>
            <c:numRef>
              <c:f>'data emporiko'!$B$12:$L$12</c:f>
              <c:numCache>
                <c:formatCode>#,##0</c:formatCode>
                <c:ptCount val="11"/>
                <c:pt idx="0">
                  <c:v>9895</c:v>
                </c:pt>
                <c:pt idx="1">
                  <c:v>9312</c:v>
                </c:pt>
                <c:pt idx="2">
                  <c:v>9833</c:v>
                </c:pt>
                <c:pt idx="3">
                  <c:v>11109</c:v>
                </c:pt>
                <c:pt idx="4">
                  <c:v>11943</c:v>
                </c:pt>
                <c:pt idx="5">
                  <c:v>13215</c:v>
                </c:pt>
                <c:pt idx="6">
                  <c:v>14408</c:v>
                </c:pt>
                <c:pt idx="7">
                  <c:v>15558</c:v>
                </c:pt>
                <c:pt idx="8">
                  <c:v>12255</c:v>
                </c:pt>
                <c:pt idx="9">
                  <c:v>12132</c:v>
                </c:pt>
                <c:pt idx="10">
                  <c:v>14045</c:v>
                </c:pt>
              </c:numCache>
            </c:numRef>
          </c:val>
        </c:ser>
        <c:ser>
          <c:idx val="1"/>
          <c:order val="1"/>
          <c:tx>
            <c:strRef>
              <c:f>'data emporiko'!$A$13</c:f>
              <c:strCache>
                <c:ptCount val="1"/>
                <c:pt idx="0">
                  <c:v>Εισαγωγές αγαθών (χωρίς καύσιμα)</c:v>
                </c:pt>
              </c:strCache>
            </c:strRef>
          </c:tx>
          <c:spPr>
            <a:ln>
              <a:solidFill>
                <a:srgbClr val="0070C0"/>
              </a:solidFill>
            </a:ln>
          </c:spPr>
          <c:marker>
            <c:symbol val="square"/>
            <c:size val="5"/>
            <c:spPr>
              <a:solidFill>
                <a:srgbClr val="0070C0"/>
              </a:solidFill>
            </c:spPr>
          </c:marker>
          <c:dLbls>
            <c:dLbl>
              <c:idx val="7"/>
              <c:layout>
                <c:manualLayout>
                  <c:x val="8.9726334679228748E-3"/>
                  <c:y val="-1.4109347442680775E-2"/>
                </c:manualLayout>
              </c:layou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en-US"/>
                </a:p>
              </c:txPr>
              <c:showSerName val="1"/>
            </c:dLbl>
            <c:delete val="1"/>
          </c:dLbls>
          <c:cat>
            <c:numRef>
              <c:f>'data emporiko'!$B$11:$L$11</c:f>
              <c:numCache>
                <c:formatCode>General</c:formatCode>
                <c:ptCount val="11"/>
                <c:pt idx="0">
                  <c:v>2001</c:v>
                </c:pt>
                <c:pt idx="1">
                  <c:v>2002</c:v>
                </c:pt>
                <c:pt idx="2">
                  <c:v>2003</c:v>
                </c:pt>
                <c:pt idx="3">
                  <c:v>2004</c:v>
                </c:pt>
                <c:pt idx="4">
                  <c:v>2005</c:v>
                </c:pt>
                <c:pt idx="5">
                  <c:v>2006</c:v>
                </c:pt>
                <c:pt idx="6">
                  <c:v>2007</c:v>
                </c:pt>
                <c:pt idx="7">
                  <c:v>2008</c:v>
                </c:pt>
                <c:pt idx="8">
                  <c:v>2009</c:v>
                </c:pt>
                <c:pt idx="9">
                  <c:v>2010</c:v>
                </c:pt>
                <c:pt idx="10">
                  <c:v>2011</c:v>
                </c:pt>
              </c:numCache>
            </c:numRef>
          </c:cat>
          <c:val>
            <c:numRef>
              <c:f>'data emporiko'!$B$13:$L$13</c:f>
              <c:numCache>
                <c:formatCode>#,##0</c:formatCode>
                <c:ptCount val="11"/>
                <c:pt idx="0">
                  <c:v>28510</c:v>
                </c:pt>
                <c:pt idx="1">
                  <c:v>28516</c:v>
                </c:pt>
                <c:pt idx="2">
                  <c:v>28441</c:v>
                </c:pt>
                <c:pt idx="3">
                  <c:v>32033</c:v>
                </c:pt>
                <c:pt idx="4">
                  <c:v>32873</c:v>
                </c:pt>
                <c:pt idx="5">
                  <c:v>39740</c:v>
                </c:pt>
                <c:pt idx="6">
                  <c:v>46688</c:v>
                </c:pt>
                <c:pt idx="7">
                  <c:v>47453</c:v>
                </c:pt>
                <c:pt idx="8">
                  <c:v>35426</c:v>
                </c:pt>
                <c:pt idx="9">
                  <c:v>31784</c:v>
                </c:pt>
                <c:pt idx="10">
                  <c:v>30140</c:v>
                </c:pt>
              </c:numCache>
            </c:numRef>
          </c:val>
        </c:ser>
        <c:marker val="1"/>
        <c:axId val="148212352"/>
        <c:axId val="148230528"/>
      </c:lineChart>
      <c:catAx>
        <c:axId val="148212352"/>
        <c:scaling>
          <c:orientation val="minMax"/>
        </c:scaling>
        <c:axPos val="b"/>
        <c:numFmt formatCode="General" sourceLinked="1"/>
        <c:tickLblPos val="low"/>
        <c:crossAx val="148230528"/>
        <c:crosses val="autoZero"/>
        <c:auto val="1"/>
        <c:lblAlgn val="ctr"/>
        <c:lblOffset val="100"/>
      </c:catAx>
      <c:valAx>
        <c:axId val="148230528"/>
        <c:scaling>
          <c:orientation val="minMax"/>
          <c:max val="50000"/>
          <c:min val="-50000"/>
        </c:scaling>
        <c:axPos val="l"/>
        <c:majorGridlines>
          <c:spPr>
            <a:ln>
              <a:solidFill>
                <a:schemeClr val="bg1">
                  <a:lumMod val="65000"/>
                </a:schemeClr>
              </a:solidFill>
              <a:prstDash val="sysDash"/>
            </a:ln>
          </c:spPr>
        </c:majorGridlines>
        <c:title>
          <c:tx>
            <c:rich>
              <a:bodyPr rot="-5400000" vert="horz"/>
              <a:lstStyle/>
              <a:p>
                <a:pPr>
                  <a:defRPr b="1"/>
                </a:pPr>
                <a:r>
                  <a:rPr lang="el-GR" b="1"/>
                  <a:t>εκ. ευρώ</a:t>
                </a:r>
                <a:endParaRPr lang="en-US" b="1"/>
              </a:p>
            </c:rich>
          </c:tx>
          <c:layout>
            <c:manualLayout>
              <c:xMode val="edge"/>
              <c:yMode val="edge"/>
              <c:x val="0.97145799902974217"/>
              <c:y val="0.35484488351999827"/>
            </c:manualLayout>
          </c:layout>
        </c:title>
        <c:numFmt formatCode="#,##0" sourceLinked="1"/>
        <c:tickLblPos val="high"/>
        <c:crossAx val="148212352"/>
        <c:crosses val="autoZero"/>
        <c:crossBetween val="between"/>
        <c:majorUnit val="10000"/>
      </c:valAx>
    </c:plotArea>
    <c:legend>
      <c:legendPos val="b"/>
      <c:layout>
        <c:manualLayout>
          <c:xMode val="edge"/>
          <c:yMode val="edge"/>
          <c:x val="5.0228660852117593E-2"/>
          <c:y val="0.90946798316877053"/>
          <c:w val="0.92466591070463433"/>
          <c:h val="6.9367995667209012E-2"/>
        </c:manualLayout>
      </c:layout>
    </c:legend>
    <c:plotVisOnly val="1"/>
    <c:dispBlanksAs val="gap"/>
  </c:chart>
  <c:spPr>
    <a:ln>
      <a:noFill/>
    </a:ln>
  </c:spPr>
  <c:txPr>
    <a:bodyPr/>
    <a:lstStyle/>
    <a:p>
      <a:pPr>
        <a:defRPr sz="800">
          <a:latin typeface="Tahoma" pitchFamily="34" charset="0"/>
          <a:ea typeface="Tahoma" pitchFamily="34" charset="0"/>
          <a:cs typeface="Tahoma" pitchFamily="34" charset="0"/>
        </a:defRPr>
      </a:pPr>
      <a:endParaRPr lang="en-US"/>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lineChart>
        <c:grouping val="standard"/>
        <c:ser>
          <c:idx val="2"/>
          <c:order val="1"/>
          <c:tx>
            <c:strRef>
              <c:f>Sheet1!$D$1</c:f>
              <c:strCache>
                <c:ptCount val="1"/>
                <c:pt idx="0">
                  <c:v>Εισαγωγές Αγαθών</c:v>
                </c:pt>
              </c:strCache>
            </c:strRef>
          </c:tx>
          <c:spPr>
            <a:ln>
              <a:solidFill>
                <a:srgbClr val="00B050"/>
              </a:solidFill>
            </a:ln>
          </c:spPr>
          <c:marker>
            <c:symbol val="none"/>
          </c:marker>
          <c:trendline>
            <c:name>Τάση Εισαγωγών</c:name>
            <c:spPr>
              <a:ln w="15875">
                <a:prstDash val="dash"/>
              </a:ln>
            </c:spPr>
            <c:trendlineType val="poly"/>
            <c:order val="2"/>
          </c:trendline>
          <c:cat>
            <c:numRef>
              <c:f>Sheet1!$A$2:$A$109</c:f>
              <c:numCache>
                <c:formatCode>mmm\-yy</c:formatCode>
                <c:ptCount val="108"/>
                <c:pt idx="0">
                  <c:v>37622</c:v>
                </c:pt>
                <c:pt idx="1">
                  <c:v>37653</c:v>
                </c:pt>
                <c:pt idx="2">
                  <c:v>37681</c:v>
                </c:pt>
                <c:pt idx="3">
                  <c:v>37712</c:v>
                </c:pt>
                <c:pt idx="4">
                  <c:v>37742</c:v>
                </c:pt>
                <c:pt idx="5">
                  <c:v>37773</c:v>
                </c:pt>
                <c:pt idx="6">
                  <c:v>37803</c:v>
                </c:pt>
                <c:pt idx="7">
                  <c:v>37834</c:v>
                </c:pt>
                <c:pt idx="8">
                  <c:v>37865</c:v>
                </c:pt>
                <c:pt idx="9">
                  <c:v>37895</c:v>
                </c:pt>
                <c:pt idx="10">
                  <c:v>37926</c:v>
                </c:pt>
                <c:pt idx="11">
                  <c:v>37956</c:v>
                </c:pt>
                <c:pt idx="12">
                  <c:v>37987</c:v>
                </c:pt>
                <c:pt idx="13">
                  <c:v>38018</c:v>
                </c:pt>
                <c:pt idx="14">
                  <c:v>38047</c:v>
                </c:pt>
                <c:pt idx="15">
                  <c:v>38078</c:v>
                </c:pt>
                <c:pt idx="16">
                  <c:v>38108</c:v>
                </c:pt>
                <c:pt idx="17">
                  <c:v>38139</c:v>
                </c:pt>
                <c:pt idx="18">
                  <c:v>38169</c:v>
                </c:pt>
                <c:pt idx="19">
                  <c:v>38200</c:v>
                </c:pt>
                <c:pt idx="20">
                  <c:v>38231</c:v>
                </c:pt>
                <c:pt idx="21">
                  <c:v>38261</c:v>
                </c:pt>
                <c:pt idx="22">
                  <c:v>38292</c:v>
                </c:pt>
                <c:pt idx="23">
                  <c:v>38322</c:v>
                </c:pt>
                <c:pt idx="24">
                  <c:v>38353</c:v>
                </c:pt>
                <c:pt idx="25">
                  <c:v>38384</c:v>
                </c:pt>
                <c:pt idx="26">
                  <c:v>38412</c:v>
                </c:pt>
                <c:pt idx="27">
                  <c:v>38443</c:v>
                </c:pt>
                <c:pt idx="28">
                  <c:v>38473</c:v>
                </c:pt>
                <c:pt idx="29">
                  <c:v>38504</c:v>
                </c:pt>
                <c:pt idx="30">
                  <c:v>38534</c:v>
                </c:pt>
                <c:pt idx="31">
                  <c:v>38565</c:v>
                </c:pt>
                <c:pt idx="32">
                  <c:v>38596</c:v>
                </c:pt>
                <c:pt idx="33">
                  <c:v>38626</c:v>
                </c:pt>
                <c:pt idx="34">
                  <c:v>38657</c:v>
                </c:pt>
                <c:pt idx="35">
                  <c:v>38687</c:v>
                </c:pt>
                <c:pt idx="36">
                  <c:v>38718</c:v>
                </c:pt>
                <c:pt idx="37">
                  <c:v>38749</c:v>
                </c:pt>
                <c:pt idx="38">
                  <c:v>38777</c:v>
                </c:pt>
                <c:pt idx="39">
                  <c:v>38808</c:v>
                </c:pt>
                <c:pt idx="40">
                  <c:v>38838</c:v>
                </c:pt>
                <c:pt idx="41">
                  <c:v>38869</c:v>
                </c:pt>
                <c:pt idx="42">
                  <c:v>38899</c:v>
                </c:pt>
                <c:pt idx="43">
                  <c:v>38930</c:v>
                </c:pt>
                <c:pt idx="44">
                  <c:v>38961</c:v>
                </c:pt>
                <c:pt idx="45">
                  <c:v>38991</c:v>
                </c:pt>
                <c:pt idx="46">
                  <c:v>39022</c:v>
                </c:pt>
                <c:pt idx="47">
                  <c:v>39052</c:v>
                </c:pt>
                <c:pt idx="48">
                  <c:v>39083</c:v>
                </c:pt>
                <c:pt idx="49">
                  <c:v>39114</c:v>
                </c:pt>
                <c:pt idx="50">
                  <c:v>39142</c:v>
                </c:pt>
                <c:pt idx="51">
                  <c:v>39173</c:v>
                </c:pt>
                <c:pt idx="52">
                  <c:v>39203</c:v>
                </c:pt>
                <c:pt idx="53">
                  <c:v>39234</c:v>
                </c:pt>
                <c:pt idx="54">
                  <c:v>39264</c:v>
                </c:pt>
                <c:pt idx="55">
                  <c:v>39295</c:v>
                </c:pt>
                <c:pt idx="56">
                  <c:v>39326</c:v>
                </c:pt>
                <c:pt idx="57">
                  <c:v>39356</c:v>
                </c:pt>
                <c:pt idx="58">
                  <c:v>39387</c:v>
                </c:pt>
                <c:pt idx="59">
                  <c:v>39417</c:v>
                </c:pt>
                <c:pt idx="60">
                  <c:v>39448</c:v>
                </c:pt>
                <c:pt idx="61">
                  <c:v>39479</c:v>
                </c:pt>
                <c:pt idx="62">
                  <c:v>39508</c:v>
                </c:pt>
                <c:pt idx="63">
                  <c:v>39539</c:v>
                </c:pt>
                <c:pt idx="64">
                  <c:v>39569</c:v>
                </c:pt>
                <c:pt idx="65">
                  <c:v>39600</c:v>
                </c:pt>
                <c:pt idx="66">
                  <c:v>39630</c:v>
                </c:pt>
                <c:pt idx="67">
                  <c:v>39661</c:v>
                </c:pt>
                <c:pt idx="68">
                  <c:v>39692</c:v>
                </c:pt>
                <c:pt idx="69">
                  <c:v>39722</c:v>
                </c:pt>
                <c:pt idx="70">
                  <c:v>39753</c:v>
                </c:pt>
                <c:pt idx="71">
                  <c:v>39783</c:v>
                </c:pt>
                <c:pt idx="72">
                  <c:v>39814</c:v>
                </c:pt>
                <c:pt idx="73">
                  <c:v>39845</c:v>
                </c:pt>
                <c:pt idx="74">
                  <c:v>39873</c:v>
                </c:pt>
                <c:pt idx="75">
                  <c:v>39904</c:v>
                </c:pt>
                <c:pt idx="76">
                  <c:v>39934</c:v>
                </c:pt>
                <c:pt idx="77">
                  <c:v>39965</c:v>
                </c:pt>
                <c:pt idx="78">
                  <c:v>39995</c:v>
                </c:pt>
                <c:pt idx="79">
                  <c:v>40026</c:v>
                </c:pt>
                <c:pt idx="80">
                  <c:v>40057</c:v>
                </c:pt>
                <c:pt idx="81">
                  <c:v>40087</c:v>
                </c:pt>
                <c:pt idx="82">
                  <c:v>40118</c:v>
                </c:pt>
                <c:pt idx="83">
                  <c:v>40148</c:v>
                </c:pt>
                <c:pt idx="84">
                  <c:v>40179</c:v>
                </c:pt>
                <c:pt idx="85">
                  <c:v>40210</c:v>
                </c:pt>
                <c:pt idx="86">
                  <c:v>40238</c:v>
                </c:pt>
                <c:pt idx="87">
                  <c:v>40269</c:v>
                </c:pt>
                <c:pt idx="88">
                  <c:v>40299</c:v>
                </c:pt>
                <c:pt idx="89">
                  <c:v>40330</c:v>
                </c:pt>
                <c:pt idx="90">
                  <c:v>40360</c:v>
                </c:pt>
                <c:pt idx="91">
                  <c:v>40391</c:v>
                </c:pt>
                <c:pt idx="92">
                  <c:v>40422</c:v>
                </c:pt>
                <c:pt idx="93">
                  <c:v>40452</c:v>
                </c:pt>
                <c:pt idx="94">
                  <c:v>40483</c:v>
                </c:pt>
                <c:pt idx="95">
                  <c:v>40513</c:v>
                </c:pt>
                <c:pt idx="96">
                  <c:v>40544</c:v>
                </c:pt>
                <c:pt idx="97">
                  <c:v>40575</c:v>
                </c:pt>
                <c:pt idx="98">
                  <c:v>40603</c:v>
                </c:pt>
                <c:pt idx="99">
                  <c:v>40634</c:v>
                </c:pt>
                <c:pt idx="100">
                  <c:v>40664</c:v>
                </c:pt>
                <c:pt idx="101">
                  <c:v>40695</c:v>
                </c:pt>
                <c:pt idx="102">
                  <c:v>40725</c:v>
                </c:pt>
                <c:pt idx="103">
                  <c:v>40756</c:v>
                </c:pt>
                <c:pt idx="104">
                  <c:v>40787</c:v>
                </c:pt>
                <c:pt idx="105">
                  <c:v>40817</c:v>
                </c:pt>
                <c:pt idx="106">
                  <c:v>40848</c:v>
                </c:pt>
                <c:pt idx="107">
                  <c:v>40878</c:v>
                </c:pt>
              </c:numCache>
            </c:numRef>
          </c:cat>
          <c:val>
            <c:numRef>
              <c:f>Sheet1!$D$2:$D$109</c:f>
              <c:numCache>
                <c:formatCode>#,##0.0</c:formatCode>
                <c:ptCount val="108"/>
                <c:pt idx="0">
                  <c:v>2325.6</c:v>
                </c:pt>
                <c:pt idx="1">
                  <c:v>2163.9</c:v>
                </c:pt>
                <c:pt idx="2">
                  <c:v>2199.4</c:v>
                </c:pt>
                <c:pt idx="3">
                  <c:v>2244</c:v>
                </c:pt>
                <c:pt idx="4">
                  <c:v>2384.6999999999998</c:v>
                </c:pt>
                <c:pt idx="5">
                  <c:v>2484.6</c:v>
                </c:pt>
                <c:pt idx="6">
                  <c:v>2568</c:v>
                </c:pt>
                <c:pt idx="7">
                  <c:v>1878.1</c:v>
                </c:pt>
                <c:pt idx="8">
                  <c:v>2503.1999999999998</c:v>
                </c:pt>
                <c:pt idx="9">
                  <c:v>2494.8000000000002</c:v>
                </c:pt>
                <c:pt idx="10">
                  <c:v>2277.8000000000002</c:v>
                </c:pt>
                <c:pt idx="11">
                  <c:v>2792.3</c:v>
                </c:pt>
                <c:pt idx="12">
                  <c:v>2425.9</c:v>
                </c:pt>
                <c:pt idx="13">
                  <c:v>2339.9</c:v>
                </c:pt>
                <c:pt idx="14">
                  <c:v>2709.7</c:v>
                </c:pt>
                <c:pt idx="15">
                  <c:v>2601.8000000000002</c:v>
                </c:pt>
                <c:pt idx="16">
                  <c:v>2464.5</c:v>
                </c:pt>
                <c:pt idx="17">
                  <c:v>2816.9</c:v>
                </c:pt>
                <c:pt idx="18">
                  <c:v>2837.6</c:v>
                </c:pt>
                <c:pt idx="19">
                  <c:v>2205.1</c:v>
                </c:pt>
                <c:pt idx="20">
                  <c:v>2701.5</c:v>
                </c:pt>
                <c:pt idx="21">
                  <c:v>2345.4</c:v>
                </c:pt>
                <c:pt idx="22">
                  <c:v>2663.1</c:v>
                </c:pt>
                <c:pt idx="23">
                  <c:v>2766.2</c:v>
                </c:pt>
                <c:pt idx="24">
                  <c:v>2289.3000000000002</c:v>
                </c:pt>
                <c:pt idx="25">
                  <c:v>2325.6</c:v>
                </c:pt>
                <c:pt idx="26">
                  <c:v>2746.3</c:v>
                </c:pt>
                <c:pt idx="27">
                  <c:v>2486.1</c:v>
                </c:pt>
                <c:pt idx="28">
                  <c:v>2571.6</c:v>
                </c:pt>
                <c:pt idx="29">
                  <c:v>2409.6</c:v>
                </c:pt>
                <c:pt idx="30">
                  <c:v>2680.4</c:v>
                </c:pt>
                <c:pt idx="31">
                  <c:v>2392.9</c:v>
                </c:pt>
                <c:pt idx="32">
                  <c:v>2641.9</c:v>
                </c:pt>
                <c:pt idx="33">
                  <c:v>2501.6999999999998</c:v>
                </c:pt>
                <c:pt idx="34">
                  <c:v>2727.3</c:v>
                </c:pt>
                <c:pt idx="35">
                  <c:v>2775.1</c:v>
                </c:pt>
                <c:pt idx="36">
                  <c:v>2683.8</c:v>
                </c:pt>
                <c:pt idx="37">
                  <c:v>2610.1</c:v>
                </c:pt>
                <c:pt idx="38">
                  <c:v>3466.5</c:v>
                </c:pt>
                <c:pt idx="39">
                  <c:v>2483.8000000000002</c:v>
                </c:pt>
                <c:pt idx="40">
                  <c:v>3024.4</c:v>
                </c:pt>
                <c:pt idx="41">
                  <c:v>2990.4</c:v>
                </c:pt>
                <c:pt idx="42">
                  <c:v>2798.2</c:v>
                </c:pt>
                <c:pt idx="43">
                  <c:v>2568.1999999999998</c:v>
                </c:pt>
                <c:pt idx="44">
                  <c:v>2928.7</c:v>
                </c:pt>
                <c:pt idx="45">
                  <c:v>3131.3</c:v>
                </c:pt>
                <c:pt idx="46">
                  <c:v>2997.7</c:v>
                </c:pt>
                <c:pt idx="47">
                  <c:v>3034</c:v>
                </c:pt>
                <c:pt idx="48">
                  <c:v>3015.1</c:v>
                </c:pt>
                <c:pt idx="49">
                  <c:v>2787</c:v>
                </c:pt>
                <c:pt idx="50">
                  <c:v>3133.6</c:v>
                </c:pt>
                <c:pt idx="51">
                  <c:v>3302.8</c:v>
                </c:pt>
                <c:pt idx="52">
                  <c:v>3209</c:v>
                </c:pt>
                <c:pt idx="53">
                  <c:v>3245.1</c:v>
                </c:pt>
                <c:pt idx="54">
                  <c:v>3670.8</c:v>
                </c:pt>
                <c:pt idx="55">
                  <c:v>3013.3</c:v>
                </c:pt>
                <c:pt idx="56">
                  <c:v>3337.2</c:v>
                </c:pt>
                <c:pt idx="57">
                  <c:v>3456.9</c:v>
                </c:pt>
                <c:pt idx="58">
                  <c:v>3295.6</c:v>
                </c:pt>
                <c:pt idx="59">
                  <c:v>3425.7</c:v>
                </c:pt>
                <c:pt idx="60">
                  <c:v>3427.2</c:v>
                </c:pt>
                <c:pt idx="61">
                  <c:v>3375.7</c:v>
                </c:pt>
                <c:pt idx="62">
                  <c:v>3011.5</c:v>
                </c:pt>
                <c:pt idx="63">
                  <c:v>3384.4</c:v>
                </c:pt>
                <c:pt idx="64">
                  <c:v>3686.9</c:v>
                </c:pt>
                <c:pt idx="65">
                  <c:v>3914.6</c:v>
                </c:pt>
                <c:pt idx="66">
                  <c:v>3827.5</c:v>
                </c:pt>
                <c:pt idx="67">
                  <c:v>2814.9</c:v>
                </c:pt>
                <c:pt idx="68">
                  <c:v>3587.5</c:v>
                </c:pt>
                <c:pt idx="69">
                  <c:v>3833.9</c:v>
                </c:pt>
                <c:pt idx="70">
                  <c:v>2977.2</c:v>
                </c:pt>
                <c:pt idx="71">
                  <c:v>3324.4</c:v>
                </c:pt>
                <c:pt idx="72">
                  <c:v>2620.4</c:v>
                </c:pt>
                <c:pt idx="73">
                  <c:v>2550.6</c:v>
                </c:pt>
                <c:pt idx="74">
                  <c:v>2518.6847300000004</c:v>
                </c:pt>
                <c:pt idx="75">
                  <c:v>2575.4440010000008</c:v>
                </c:pt>
                <c:pt idx="76">
                  <c:v>2577.9569230000002</c:v>
                </c:pt>
                <c:pt idx="77">
                  <c:v>2677.8206930000001</c:v>
                </c:pt>
                <c:pt idx="78">
                  <c:v>2823.1739680000001</c:v>
                </c:pt>
                <c:pt idx="79">
                  <c:v>2157.6978629999999</c:v>
                </c:pt>
                <c:pt idx="80">
                  <c:v>2883.2414539999991</c:v>
                </c:pt>
                <c:pt idx="81">
                  <c:v>2498.1</c:v>
                </c:pt>
                <c:pt idx="82">
                  <c:v>2500.9</c:v>
                </c:pt>
                <c:pt idx="83">
                  <c:v>2912.9</c:v>
                </c:pt>
                <c:pt idx="84">
                  <c:v>2410.6999999999998</c:v>
                </c:pt>
                <c:pt idx="85">
                  <c:v>2163</c:v>
                </c:pt>
                <c:pt idx="86">
                  <c:v>2614.5818180000001</c:v>
                </c:pt>
                <c:pt idx="87">
                  <c:v>2467.2279639999997</c:v>
                </c:pt>
                <c:pt idx="88">
                  <c:v>2261.7171090000002</c:v>
                </c:pt>
                <c:pt idx="89">
                  <c:v>2247.8125770000147</c:v>
                </c:pt>
                <c:pt idx="90">
                  <c:v>2357.1881559999997</c:v>
                </c:pt>
                <c:pt idx="91">
                  <c:v>1981.4840529999999</c:v>
                </c:pt>
                <c:pt idx="92">
                  <c:v>2210.2788669999882</c:v>
                </c:pt>
                <c:pt idx="93">
                  <c:v>2143.6999999999998</c:v>
                </c:pt>
                <c:pt idx="94">
                  <c:v>2216.6</c:v>
                </c:pt>
                <c:pt idx="95">
                  <c:v>2289.8000000000002</c:v>
                </c:pt>
                <c:pt idx="96">
                  <c:v>2146.8000000000002</c:v>
                </c:pt>
                <c:pt idx="97">
                  <c:v>2044.7141449999926</c:v>
                </c:pt>
                <c:pt idx="98">
                  <c:v>2365.1717090000002</c:v>
                </c:pt>
                <c:pt idx="99">
                  <c:v>2003.0553929999996</c:v>
                </c:pt>
                <c:pt idx="100">
                  <c:v>2299.0189070000006</c:v>
                </c:pt>
                <c:pt idx="101">
                  <c:v>2265.4664669999993</c:v>
                </c:pt>
                <c:pt idx="102">
                  <c:v>2184.5198749999995</c:v>
                </c:pt>
                <c:pt idx="103">
                  <c:v>2065.2229740000007</c:v>
                </c:pt>
                <c:pt idx="104">
                  <c:v>2396.3258809999998</c:v>
                </c:pt>
                <c:pt idx="105">
                  <c:v>2111.6907130000022</c:v>
                </c:pt>
                <c:pt idx="106">
                  <c:v>2153.1725320000132</c:v>
                </c:pt>
                <c:pt idx="107">
                  <c:v>2088.5296380000004</c:v>
                </c:pt>
              </c:numCache>
            </c:numRef>
          </c:val>
          <c:smooth val="1"/>
        </c:ser>
        <c:marker val="1"/>
        <c:axId val="148286848"/>
        <c:axId val="148292736"/>
      </c:lineChart>
      <c:lineChart>
        <c:grouping val="standard"/>
        <c:ser>
          <c:idx val="0"/>
          <c:order val="0"/>
          <c:tx>
            <c:strRef>
              <c:f>Sheet1!$B$1</c:f>
              <c:strCache>
                <c:ptCount val="1"/>
                <c:pt idx="0">
                  <c:v>Δείκτης Βιομηχανικής Παραγωγής (Μεταποίηση)</c:v>
                </c:pt>
              </c:strCache>
            </c:strRef>
          </c:tx>
          <c:spPr>
            <a:ln>
              <a:solidFill>
                <a:srgbClr val="00B0F0"/>
              </a:solidFill>
            </a:ln>
          </c:spPr>
          <c:marker>
            <c:symbol val="none"/>
          </c:marker>
          <c:trendline>
            <c:name>Τάση ΔΒΠ Μεταποίησης</c:name>
            <c:trendlineType val="poly"/>
            <c:order val="2"/>
          </c:trendline>
          <c:cat>
            <c:numRef>
              <c:f>Sheet1!$A$2:$A$109</c:f>
              <c:numCache>
                <c:formatCode>mmm\-yy</c:formatCode>
                <c:ptCount val="108"/>
                <c:pt idx="0">
                  <c:v>37622</c:v>
                </c:pt>
                <c:pt idx="1">
                  <c:v>37653</c:v>
                </c:pt>
                <c:pt idx="2">
                  <c:v>37681</c:v>
                </c:pt>
                <c:pt idx="3">
                  <c:v>37712</c:v>
                </c:pt>
                <c:pt idx="4">
                  <c:v>37742</c:v>
                </c:pt>
                <c:pt idx="5">
                  <c:v>37773</c:v>
                </c:pt>
                <c:pt idx="6">
                  <c:v>37803</c:v>
                </c:pt>
                <c:pt idx="7">
                  <c:v>37834</c:v>
                </c:pt>
                <c:pt idx="8">
                  <c:v>37865</c:v>
                </c:pt>
                <c:pt idx="9">
                  <c:v>37895</c:v>
                </c:pt>
                <c:pt idx="10">
                  <c:v>37926</c:v>
                </c:pt>
                <c:pt idx="11">
                  <c:v>37956</c:v>
                </c:pt>
                <c:pt idx="12">
                  <c:v>37987</c:v>
                </c:pt>
                <c:pt idx="13">
                  <c:v>38018</c:v>
                </c:pt>
                <c:pt idx="14">
                  <c:v>38047</c:v>
                </c:pt>
                <c:pt idx="15">
                  <c:v>38078</c:v>
                </c:pt>
                <c:pt idx="16">
                  <c:v>38108</c:v>
                </c:pt>
                <c:pt idx="17">
                  <c:v>38139</c:v>
                </c:pt>
                <c:pt idx="18">
                  <c:v>38169</c:v>
                </c:pt>
                <c:pt idx="19">
                  <c:v>38200</c:v>
                </c:pt>
                <c:pt idx="20">
                  <c:v>38231</c:v>
                </c:pt>
                <c:pt idx="21">
                  <c:v>38261</c:v>
                </c:pt>
                <c:pt idx="22">
                  <c:v>38292</c:v>
                </c:pt>
                <c:pt idx="23">
                  <c:v>38322</c:v>
                </c:pt>
                <c:pt idx="24">
                  <c:v>38353</c:v>
                </c:pt>
                <c:pt idx="25">
                  <c:v>38384</c:v>
                </c:pt>
                <c:pt idx="26">
                  <c:v>38412</c:v>
                </c:pt>
                <c:pt idx="27">
                  <c:v>38443</c:v>
                </c:pt>
                <c:pt idx="28">
                  <c:v>38473</c:v>
                </c:pt>
                <c:pt idx="29">
                  <c:v>38504</c:v>
                </c:pt>
                <c:pt idx="30">
                  <c:v>38534</c:v>
                </c:pt>
                <c:pt idx="31">
                  <c:v>38565</c:v>
                </c:pt>
                <c:pt idx="32">
                  <c:v>38596</c:v>
                </c:pt>
                <c:pt idx="33">
                  <c:v>38626</c:v>
                </c:pt>
                <c:pt idx="34">
                  <c:v>38657</c:v>
                </c:pt>
                <c:pt idx="35">
                  <c:v>38687</c:v>
                </c:pt>
                <c:pt idx="36">
                  <c:v>38718</c:v>
                </c:pt>
                <c:pt idx="37">
                  <c:v>38749</c:v>
                </c:pt>
                <c:pt idx="38">
                  <c:v>38777</c:v>
                </c:pt>
                <c:pt idx="39">
                  <c:v>38808</c:v>
                </c:pt>
                <c:pt idx="40">
                  <c:v>38838</c:v>
                </c:pt>
                <c:pt idx="41">
                  <c:v>38869</c:v>
                </c:pt>
                <c:pt idx="42">
                  <c:v>38899</c:v>
                </c:pt>
                <c:pt idx="43">
                  <c:v>38930</c:v>
                </c:pt>
                <c:pt idx="44">
                  <c:v>38961</c:v>
                </c:pt>
                <c:pt idx="45">
                  <c:v>38991</c:v>
                </c:pt>
                <c:pt idx="46">
                  <c:v>39022</c:v>
                </c:pt>
                <c:pt idx="47">
                  <c:v>39052</c:v>
                </c:pt>
                <c:pt idx="48">
                  <c:v>39083</c:v>
                </c:pt>
                <c:pt idx="49">
                  <c:v>39114</c:v>
                </c:pt>
                <c:pt idx="50">
                  <c:v>39142</c:v>
                </c:pt>
                <c:pt idx="51">
                  <c:v>39173</c:v>
                </c:pt>
                <c:pt idx="52">
                  <c:v>39203</c:v>
                </c:pt>
                <c:pt idx="53">
                  <c:v>39234</c:v>
                </c:pt>
                <c:pt idx="54">
                  <c:v>39264</c:v>
                </c:pt>
                <c:pt idx="55">
                  <c:v>39295</c:v>
                </c:pt>
                <c:pt idx="56">
                  <c:v>39326</c:v>
                </c:pt>
                <c:pt idx="57">
                  <c:v>39356</c:v>
                </c:pt>
                <c:pt idx="58">
                  <c:v>39387</c:v>
                </c:pt>
                <c:pt idx="59">
                  <c:v>39417</c:v>
                </c:pt>
                <c:pt idx="60">
                  <c:v>39448</c:v>
                </c:pt>
                <c:pt idx="61">
                  <c:v>39479</c:v>
                </c:pt>
                <c:pt idx="62">
                  <c:v>39508</c:v>
                </c:pt>
                <c:pt idx="63">
                  <c:v>39539</c:v>
                </c:pt>
                <c:pt idx="64">
                  <c:v>39569</c:v>
                </c:pt>
                <c:pt idx="65">
                  <c:v>39600</c:v>
                </c:pt>
                <c:pt idx="66">
                  <c:v>39630</c:v>
                </c:pt>
                <c:pt idx="67">
                  <c:v>39661</c:v>
                </c:pt>
                <c:pt idx="68">
                  <c:v>39692</c:v>
                </c:pt>
                <c:pt idx="69">
                  <c:v>39722</c:v>
                </c:pt>
                <c:pt idx="70">
                  <c:v>39753</c:v>
                </c:pt>
                <c:pt idx="71">
                  <c:v>39783</c:v>
                </c:pt>
                <c:pt idx="72">
                  <c:v>39814</c:v>
                </c:pt>
                <c:pt idx="73">
                  <c:v>39845</c:v>
                </c:pt>
                <c:pt idx="74">
                  <c:v>39873</c:v>
                </c:pt>
                <c:pt idx="75">
                  <c:v>39904</c:v>
                </c:pt>
                <c:pt idx="76">
                  <c:v>39934</c:v>
                </c:pt>
                <c:pt idx="77">
                  <c:v>39965</c:v>
                </c:pt>
                <c:pt idx="78">
                  <c:v>39995</c:v>
                </c:pt>
                <c:pt idx="79">
                  <c:v>40026</c:v>
                </c:pt>
                <c:pt idx="80">
                  <c:v>40057</c:v>
                </c:pt>
                <c:pt idx="81">
                  <c:v>40087</c:v>
                </c:pt>
                <c:pt idx="82">
                  <c:v>40118</c:v>
                </c:pt>
                <c:pt idx="83">
                  <c:v>40148</c:v>
                </c:pt>
                <c:pt idx="84">
                  <c:v>40179</c:v>
                </c:pt>
                <c:pt idx="85">
                  <c:v>40210</c:v>
                </c:pt>
                <c:pt idx="86">
                  <c:v>40238</c:v>
                </c:pt>
                <c:pt idx="87">
                  <c:v>40269</c:v>
                </c:pt>
                <c:pt idx="88">
                  <c:v>40299</c:v>
                </c:pt>
                <c:pt idx="89">
                  <c:v>40330</c:v>
                </c:pt>
                <c:pt idx="90">
                  <c:v>40360</c:v>
                </c:pt>
                <c:pt idx="91">
                  <c:v>40391</c:v>
                </c:pt>
                <c:pt idx="92">
                  <c:v>40422</c:v>
                </c:pt>
                <c:pt idx="93">
                  <c:v>40452</c:v>
                </c:pt>
                <c:pt idx="94">
                  <c:v>40483</c:v>
                </c:pt>
                <c:pt idx="95">
                  <c:v>40513</c:v>
                </c:pt>
                <c:pt idx="96">
                  <c:v>40544</c:v>
                </c:pt>
                <c:pt idx="97">
                  <c:v>40575</c:v>
                </c:pt>
                <c:pt idx="98">
                  <c:v>40603</c:v>
                </c:pt>
                <c:pt idx="99">
                  <c:v>40634</c:v>
                </c:pt>
                <c:pt idx="100">
                  <c:v>40664</c:v>
                </c:pt>
                <c:pt idx="101">
                  <c:v>40695</c:v>
                </c:pt>
                <c:pt idx="102">
                  <c:v>40725</c:v>
                </c:pt>
                <c:pt idx="103">
                  <c:v>40756</c:v>
                </c:pt>
                <c:pt idx="104">
                  <c:v>40787</c:v>
                </c:pt>
                <c:pt idx="105">
                  <c:v>40817</c:v>
                </c:pt>
                <c:pt idx="106">
                  <c:v>40848</c:v>
                </c:pt>
                <c:pt idx="107">
                  <c:v>40878</c:v>
                </c:pt>
              </c:numCache>
            </c:numRef>
          </c:cat>
          <c:val>
            <c:numRef>
              <c:f>Sheet1!$B$2:$B$109</c:f>
              <c:numCache>
                <c:formatCode>#,##0.0</c:formatCode>
                <c:ptCount val="108"/>
                <c:pt idx="0">
                  <c:v>88.86999999999999</c:v>
                </c:pt>
                <c:pt idx="1">
                  <c:v>95.55</c:v>
                </c:pt>
                <c:pt idx="2">
                  <c:v>101.41000000000012</c:v>
                </c:pt>
                <c:pt idx="3">
                  <c:v>103.61999999999999</c:v>
                </c:pt>
                <c:pt idx="4">
                  <c:v>106.36</c:v>
                </c:pt>
                <c:pt idx="5">
                  <c:v>109.83</c:v>
                </c:pt>
                <c:pt idx="6">
                  <c:v>110.4</c:v>
                </c:pt>
                <c:pt idx="7">
                  <c:v>83.02</c:v>
                </c:pt>
                <c:pt idx="8">
                  <c:v>110.88</c:v>
                </c:pt>
                <c:pt idx="9">
                  <c:v>103.83315588644331</c:v>
                </c:pt>
                <c:pt idx="10">
                  <c:v>100.03</c:v>
                </c:pt>
                <c:pt idx="11">
                  <c:v>98.85</c:v>
                </c:pt>
                <c:pt idx="12">
                  <c:v>84.710000000000022</c:v>
                </c:pt>
                <c:pt idx="13">
                  <c:v>98.48</c:v>
                </c:pt>
                <c:pt idx="14">
                  <c:v>106.1</c:v>
                </c:pt>
                <c:pt idx="15">
                  <c:v>107.2</c:v>
                </c:pt>
                <c:pt idx="16">
                  <c:v>111.53</c:v>
                </c:pt>
                <c:pt idx="17">
                  <c:v>110.81</c:v>
                </c:pt>
                <c:pt idx="18">
                  <c:v>113.25</c:v>
                </c:pt>
                <c:pt idx="19">
                  <c:v>84.14</c:v>
                </c:pt>
                <c:pt idx="20">
                  <c:v>110.6</c:v>
                </c:pt>
                <c:pt idx="21">
                  <c:v>97.336321582138552</c:v>
                </c:pt>
                <c:pt idx="22">
                  <c:v>101.23</c:v>
                </c:pt>
                <c:pt idx="23">
                  <c:v>95.66</c:v>
                </c:pt>
                <c:pt idx="24">
                  <c:v>87.179999999999978</c:v>
                </c:pt>
                <c:pt idx="25">
                  <c:v>98.55</c:v>
                </c:pt>
                <c:pt idx="26">
                  <c:v>99.61999999999999</c:v>
                </c:pt>
                <c:pt idx="27">
                  <c:v>99.75</c:v>
                </c:pt>
                <c:pt idx="28">
                  <c:v>106.92</c:v>
                </c:pt>
                <c:pt idx="29">
                  <c:v>106.07</c:v>
                </c:pt>
                <c:pt idx="30">
                  <c:v>106.2</c:v>
                </c:pt>
                <c:pt idx="31">
                  <c:v>87.64</c:v>
                </c:pt>
                <c:pt idx="32">
                  <c:v>110.44000000000032</c:v>
                </c:pt>
                <c:pt idx="33">
                  <c:v>102.01092490592939</c:v>
                </c:pt>
                <c:pt idx="34">
                  <c:v>101.09</c:v>
                </c:pt>
                <c:pt idx="35">
                  <c:v>94.54</c:v>
                </c:pt>
                <c:pt idx="36">
                  <c:v>84.69</c:v>
                </c:pt>
                <c:pt idx="37">
                  <c:v>98.710000000000022</c:v>
                </c:pt>
                <c:pt idx="38">
                  <c:v>107.13</c:v>
                </c:pt>
                <c:pt idx="39">
                  <c:v>105.96000000000002</c:v>
                </c:pt>
                <c:pt idx="40">
                  <c:v>108.78</c:v>
                </c:pt>
                <c:pt idx="41">
                  <c:v>111.71000000000002</c:v>
                </c:pt>
                <c:pt idx="42">
                  <c:v>109.48</c:v>
                </c:pt>
                <c:pt idx="43">
                  <c:v>89.3</c:v>
                </c:pt>
                <c:pt idx="44">
                  <c:v>107.46000000000002</c:v>
                </c:pt>
                <c:pt idx="45">
                  <c:v>103.96191780461373</c:v>
                </c:pt>
                <c:pt idx="46">
                  <c:v>97.76</c:v>
                </c:pt>
                <c:pt idx="47">
                  <c:v>98.5</c:v>
                </c:pt>
                <c:pt idx="48">
                  <c:v>93.56</c:v>
                </c:pt>
                <c:pt idx="49">
                  <c:v>104.45</c:v>
                </c:pt>
                <c:pt idx="50">
                  <c:v>104.83</c:v>
                </c:pt>
                <c:pt idx="51">
                  <c:v>105.17999999999998</c:v>
                </c:pt>
                <c:pt idx="52">
                  <c:v>111.29</c:v>
                </c:pt>
                <c:pt idx="53">
                  <c:v>112.36</c:v>
                </c:pt>
                <c:pt idx="54">
                  <c:v>112.39</c:v>
                </c:pt>
                <c:pt idx="55">
                  <c:v>90.38</c:v>
                </c:pt>
                <c:pt idx="56">
                  <c:v>110.31</c:v>
                </c:pt>
                <c:pt idx="57">
                  <c:v>103.56757253637724</c:v>
                </c:pt>
                <c:pt idx="58">
                  <c:v>103.49000000000002</c:v>
                </c:pt>
                <c:pt idx="59">
                  <c:v>98.51</c:v>
                </c:pt>
                <c:pt idx="60">
                  <c:v>91.07</c:v>
                </c:pt>
                <c:pt idx="61">
                  <c:v>96.55</c:v>
                </c:pt>
                <c:pt idx="62">
                  <c:v>103.82</c:v>
                </c:pt>
                <c:pt idx="63">
                  <c:v>106.93</c:v>
                </c:pt>
                <c:pt idx="64">
                  <c:v>102.45</c:v>
                </c:pt>
                <c:pt idx="65">
                  <c:v>110.73</c:v>
                </c:pt>
                <c:pt idx="66">
                  <c:v>108.86999999999999</c:v>
                </c:pt>
                <c:pt idx="67">
                  <c:v>86.51</c:v>
                </c:pt>
                <c:pt idx="68">
                  <c:v>104.9</c:v>
                </c:pt>
                <c:pt idx="69">
                  <c:v>97.423734606643009</c:v>
                </c:pt>
                <c:pt idx="70">
                  <c:v>93.06</c:v>
                </c:pt>
                <c:pt idx="71">
                  <c:v>89.72</c:v>
                </c:pt>
                <c:pt idx="72">
                  <c:v>75.13</c:v>
                </c:pt>
                <c:pt idx="73">
                  <c:v>88.679999999999978</c:v>
                </c:pt>
                <c:pt idx="74">
                  <c:v>90.01</c:v>
                </c:pt>
                <c:pt idx="75">
                  <c:v>89.72</c:v>
                </c:pt>
                <c:pt idx="76">
                  <c:v>93.03</c:v>
                </c:pt>
                <c:pt idx="77">
                  <c:v>95.56</c:v>
                </c:pt>
                <c:pt idx="78">
                  <c:v>97.490000000000023</c:v>
                </c:pt>
                <c:pt idx="79">
                  <c:v>77.25</c:v>
                </c:pt>
                <c:pt idx="80">
                  <c:v>93.75</c:v>
                </c:pt>
                <c:pt idx="81">
                  <c:v>85.697800451378043</c:v>
                </c:pt>
                <c:pt idx="82">
                  <c:v>88.5</c:v>
                </c:pt>
                <c:pt idx="83">
                  <c:v>83.93</c:v>
                </c:pt>
                <c:pt idx="84">
                  <c:v>72.64</c:v>
                </c:pt>
                <c:pt idx="85">
                  <c:v>81.099999999999994</c:v>
                </c:pt>
                <c:pt idx="86">
                  <c:v>88.79</c:v>
                </c:pt>
                <c:pt idx="87">
                  <c:v>84.72</c:v>
                </c:pt>
                <c:pt idx="88">
                  <c:v>88.98</c:v>
                </c:pt>
                <c:pt idx="89">
                  <c:v>92.97</c:v>
                </c:pt>
                <c:pt idx="90">
                  <c:v>88.64</c:v>
                </c:pt>
                <c:pt idx="91">
                  <c:v>76.040000000000006</c:v>
                </c:pt>
                <c:pt idx="92">
                  <c:v>84.98</c:v>
                </c:pt>
                <c:pt idx="93">
                  <c:v>83.153338948127697</c:v>
                </c:pt>
                <c:pt idx="94">
                  <c:v>82.32</c:v>
                </c:pt>
                <c:pt idx="95">
                  <c:v>80.86999999999999</c:v>
                </c:pt>
                <c:pt idx="96">
                  <c:v>69.989999999999995</c:v>
                </c:pt>
                <c:pt idx="97">
                  <c:v>75.97</c:v>
                </c:pt>
                <c:pt idx="98">
                  <c:v>79.3</c:v>
                </c:pt>
                <c:pt idx="99">
                  <c:v>75.099999999999994</c:v>
                </c:pt>
                <c:pt idx="100">
                  <c:v>79.410000000000025</c:v>
                </c:pt>
                <c:pt idx="101">
                  <c:v>80.75</c:v>
                </c:pt>
                <c:pt idx="102">
                  <c:v>86.7</c:v>
                </c:pt>
                <c:pt idx="103">
                  <c:v>67.709999999999994</c:v>
                </c:pt>
                <c:pt idx="104">
                  <c:v>83.84</c:v>
                </c:pt>
                <c:pt idx="105">
                  <c:v>71.290831938886129</c:v>
                </c:pt>
                <c:pt idx="106">
                  <c:v>71.47</c:v>
                </c:pt>
                <c:pt idx="107">
                  <c:v>67.05</c:v>
                </c:pt>
              </c:numCache>
            </c:numRef>
          </c:val>
          <c:smooth val="1"/>
        </c:ser>
        <c:marker val="1"/>
        <c:axId val="148300160"/>
        <c:axId val="148294272"/>
      </c:lineChart>
      <c:dateAx>
        <c:axId val="148286848"/>
        <c:scaling>
          <c:orientation val="minMax"/>
        </c:scaling>
        <c:axPos val="b"/>
        <c:numFmt formatCode="mmm\-yy" sourceLinked="1"/>
        <c:tickLblPos val="nextTo"/>
        <c:txPr>
          <a:bodyPr/>
          <a:lstStyle/>
          <a:p>
            <a:pPr>
              <a:defRPr sz="700"/>
            </a:pPr>
            <a:endParaRPr lang="en-US"/>
          </a:p>
        </c:txPr>
        <c:crossAx val="148292736"/>
        <c:crosses val="autoZero"/>
        <c:auto val="1"/>
        <c:lblOffset val="100"/>
        <c:majorUnit val="3"/>
        <c:majorTimeUnit val="months"/>
      </c:dateAx>
      <c:valAx>
        <c:axId val="148292736"/>
        <c:scaling>
          <c:orientation val="minMax"/>
          <c:max val="4000"/>
          <c:min val="1500"/>
        </c:scaling>
        <c:axPos val="l"/>
        <c:majorGridlines>
          <c:spPr>
            <a:ln>
              <a:solidFill>
                <a:schemeClr val="bg1">
                  <a:lumMod val="65000"/>
                </a:schemeClr>
              </a:solidFill>
              <a:prstDash val="sysDash"/>
            </a:ln>
          </c:spPr>
        </c:majorGridlines>
        <c:numFmt formatCode="#,##0" sourceLinked="0"/>
        <c:tickLblPos val="nextTo"/>
        <c:crossAx val="148286848"/>
        <c:crosses val="autoZero"/>
        <c:crossBetween val="between"/>
      </c:valAx>
      <c:valAx>
        <c:axId val="148294272"/>
        <c:scaling>
          <c:orientation val="minMax"/>
          <c:min val="50"/>
        </c:scaling>
        <c:axPos val="r"/>
        <c:numFmt formatCode="#,##0" sourceLinked="0"/>
        <c:tickLblPos val="nextTo"/>
        <c:crossAx val="148300160"/>
        <c:crosses val="max"/>
        <c:crossBetween val="between"/>
      </c:valAx>
      <c:dateAx>
        <c:axId val="148300160"/>
        <c:scaling>
          <c:orientation val="minMax"/>
        </c:scaling>
        <c:delete val="1"/>
        <c:axPos val="b"/>
        <c:numFmt formatCode="mmm\-yy" sourceLinked="1"/>
        <c:tickLblPos val="none"/>
        <c:crossAx val="148294272"/>
        <c:crosses val="autoZero"/>
        <c:auto val="1"/>
        <c:lblOffset val="100"/>
        <c:majorUnit val="1"/>
        <c:minorUnit val="1"/>
      </c:dateAx>
    </c:plotArea>
    <c:legend>
      <c:legendPos val="b"/>
      <c:layout>
        <c:manualLayout>
          <c:xMode val="edge"/>
          <c:yMode val="edge"/>
          <c:x val="1.7193778379512594E-3"/>
          <c:y val="0.85842607662869486"/>
          <c:w val="0.99656108597284387"/>
          <c:h val="0.11922755465622679"/>
        </c:manualLayout>
      </c:layout>
      <c:txPr>
        <a:bodyPr/>
        <a:lstStyle/>
        <a:p>
          <a:pPr>
            <a:defRPr sz="900"/>
          </a:pPr>
          <a:endParaRPr lang="en-US"/>
        </a:p>
      </c:txPr>
    </c:legend>
    <c:plotVisOnly val="1"/>
  </c:chart>
  <c:spPr>
    <a:ln>
      <a:noFill/>
    </a:ln>
  </c:spPr>
  <c:txPr>
    <a:bodyPr/>
    <a:lstStyle/>
    <a:p>
      <a:pPr>
        <a:defRPr>
          <a:latin typeface="Tahoma" pitchFamily="34" charset="0"/>
          <a:cs typeface="Tahoma" pitchFamily="34" charset="0"/>
        </a:defRPr>
      </a:pPr>
      <a:endParaRPr lang="en-US"/>
    </a:p>
  </c:txPr>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l-GR" sz="600"/>
              <a:t>Συνολικό Δημόσιο Χρέος 2011</a:t>
            </a:r>
          </a:p>
          <a:p>
            <a:pPr>
              <a:defRPr/>
            </a:pPr>
            <a:r>
              <a:rPr lang="el-GR" sz="600"/>
              <a:t>€ 3</a:t>
            </a:r>
            <a:r>
              <a:rPr lang="en-US" sz="600"/>
              <a:t>55,8</a:t>
            </a:r>
            <a:r>
              <a:rPr lang="el-GR" sz="600"/>
              <a:t> δισ. </a:t>
            </a:r>
          </a:p>
          <a:p>
            <a:pPr>
              <a:defRPr/>
            </a:pPr>
            <a:r>
              <a:rPr lang="el-GR" sz="600"/>
              <a:t>(16</a:t>
            </a:r>
            <a:r>
              <a:rPr lang="en-US" sz="600"/>
              <a:t>5</a:t>
            </a:r>
            <a:r>
              <a:rPr lang="el-GR" sz="600"/>
              <a:t>% του ΑΕΠ)</a:t>
            </a:r>
            <a:endParaRPr lang="en-US" sz="600"/>
          </a:p>
        </c:rich>
      </c:tx>
      <c:layout>
        <c:manualLayout>
          <c:xMode val="edge"/>
          <c:yMode val="edge"/>
          <c:x val="1.7479585885099805E-4"/>
          <c:y val="0.87899373384624635"/>
        </c:manualLayout>
      </c:layout>
      <c:overlay val="1"/>
    </c:title>
    <c:plotArea>
      <c:layout>
        <c:manualLayout>
          <c:layoutTarget val="inner"/>
          <c:xMode val="edge"/>
          <c:yMode val="edge"/>
          <c:x val="0.24496176778246687"/>
          <c:y val="0.14654016628863969"/>
          <c:w val="0.4191791487708158"/>
          <c:h val="0.70969127986881908"/>
        </c:manualLayout>
      </c:layout>
      <c:pieChart>
        <c:varyColors val="1"/>
        <c:ser>
          <c:idx val="0"/>
          <c:order val="0"/>
          <c:dPt>
            <c:idx val="0"/>
            <c:spPr>
              <a:solidFill>
                <a:schemeClr val="accent1"/>
              </a:solidFill>
            </c:spPr>
          </c:dPt>
          <c:dPt>
            <c:idx val="1"/>
            <c:spPr>
              <a:solidFill>
                <a:schemeClr val="accent1">
                  <a:lumMod val="60000"/>
                  <a:lumOff val="40000"/>
                </a:schemeClr>
              </a:solidFill>
            </c:spPr>
          </c:dPt>
          <c:dPt>
            <c:idx val="2"/>
            <c:spPr>
              <a:solidFill>
                <a:srgbClr val="0070C0"/>
              </a:solidFill>
            </c:spPr>
          </c:dPt>
          <c:dPt>
            <c:idx val="3"/>
            <c:spPr>
              <a:solidFill>
                <a:schemeClr val="accent2"/>
              </a:solidFill>
              <a:ln w="34925">
                <a:solidFill>
                  <a:srgbClr val="C00000"/>
                </a:solidFill>
              </a:ln>
            </c:spPr>
          </c:dPt>
          <c:dLbls>
            <c:dLbl>
              <c:idx val="0"/>
              <c:layout>
                <c:manualLayout>
                  <c:x val="-0.13981126268506891"/>
                  <c:y val="0.13757619103534421"/>
                </c:manualLayout>
              </c:layout>
              <c:tx>
                <c:rich>
                  <a:bodyPr/>
                  <a:lstStyle/>
                  <a:p>
                    <a:r>
                      <a:rPr lang="en-US" sz="700" b="0">
                        <a:solidFill>
                          <a:schemeClr val="bg1"/>
                        </a:solidFill>
                      </a:rPr>
                      <a:t> </a:t>
                    </a:r>
                    <a:r>
                      <a:rPr lang="el-GR" sz="700" b="0">
                        <a:solidFill>
                          <a:schemeClr val="bg1"/>
                        </a:solidFill>
                      </a:rPr>
                      <a:t>€ </a:t>
                    </a:r>
                    <a:r>
                      <a:rPr lang="en-US" sz="700" b="0">
                        <a:solidFill>
                          <a:schemeClr val="bg1"/>
                        </a:solidFill>
                      </a:rPr>
                      <a:t>107</a:t>
                    </a:r>
                    <a:r>
                      <a:rPr lang="el-GR" sz="700" b="0">
                        <a:solidFill>
                          <a:schemeClr val="bg1"/>
                        </a:solidFill>
                      </a:rPr>
                      <a:t> δισ.</a:t>
                    </a:r>
                  </a:p>
                  <a:p>
                    <a:r>
                      <a:rPr lang="el-GR" sz="700" b="0">
                        <a:solidFill>
                          <a:schemeClr val="bg1"/>
                        </a:solidFill>
                      </a:rPr>
                      <a:t>(31%</a:t>
                    </a:r>
                    <a:r>
                      <a:rPr lang="el-GR" sz="700" b="0" baseline="0">
                        <a:solidFill>
                          <a:schemeClr val="bg1"/>
                        </a:solidFill>
                      </a:rPr>
                      <a:t> του Χρέους, </a:t>
                    </a:r>
                  </a:p>
                  <a:p>
                    <a:r>
                      <a:rPr lang="el-GR" sz="700" b="0" baseline="0">
                        <a:solidFill>
                          <a:schemeClr val="bg1"/>
                        </a:solidFill>
                      </a:rPr>
                      <a:t>49% του ΑΕΠ)</a:t>
                    </a:r>
                    <a:endParaRPr lang="en-US" sz="700" b="0">
                      <a:solidFill>
                        <a:schemeClr val="bg1"/>
                      </a:solidFill>
                    </a:endParaRPr>
                  </a:p>
                </c:rich>
              </c:tx>
              <c:showVal val="1"/>
            </c:dLbl>
            <c:dLbl>
              <c:idx val="1"/>
              <c:layout>
                <c:manualLayout>
                  <c:x val="-0.1183251312335963"/>
                  <c:y val="-0.22839078559836604"/>
                </c:manualLayout>
              </c:layout>
              <c:tx>
                <c:rich>
                  <a:bodyPr/>
                  <a:lstStyle/>
                  <a:p>
                    <a:r>
                      <a:rPr lang="el-GR" sz="700" b="0">
                        <a:solidFill>
                          <a:schemeClr val="bg1"/>
                        </a:solidFill>
                      </a:rPr>
                      <a:t>€ </a:t>
                    </a:r>
                    <a:r>
                      <a:rPr lang="en-US" sz="700" b="0">
                        <a:solidFill>
                          <a:schemeClr val="bg1"/>
                        </a:solidFill>
                      </a:rPr>
                      <a:t> 6</a:t>
                    </a:r>
                    <a:r>
                      <a:rPr lang="el-GR" sz="700" b="0">
                        <a:solidFill>
                          <a:schemeClr val="bg1"/>
                        </a:solidFill>
                      </a:rPr>
                      <a:t>6 δισ.</a:t>
                    </a:r>
                  </a:p>
                  <a:p>
                    <a:r>
                      <a:rPr lang="el-GR" sz="700" b="0">
                        <a:solidFill>
                          <a:schemeClr val="bg1"/>
                        </a:solidFill>
                      </a:rPr>
                      <a:t>(19%</a:t>
                    </a:r>
                    <a:r>
                      <a:rPr lang="el-GR" sz="700" b="0" baseline="0">
                        <a:solidFill>
                          <a:schemeClr val="bg1"/>
                        </a:solidFill>
                      </a:rPr>
                      <a:t> του Χρέους, </a:t>
                    </a:r>
                  </a:p>
                  <a:p>
                    <a:r>
                      <a:rPr lang="el-GR" sz="700" b="0" baseline="0">
                        <a:solidFill>
                          <a:schemeClr val="bg1"/>
                        </a:solidFill>
                      </a:rPr>
                      <a:t>29% του ΑΕΠ)</a:t>
                    </a:r>
                    <a:r>
                      <a:rPr lang="en-US" sz="700" b="0">
                        <a:solidFill>
                          <a:schemeClr val="bg1"/>
                        </a:solidFill>
                      </a:rPr>
                      <a:t> </a:t>
                    </a:r>
                  </a:p>
                </c:rich>
              </c:tx>
              <c:showVal val="1"/>
            </c:dLbl>
            <c:dLbl>
              <c:idx val="2"/>
              <c:layout>
                <c:manualLayout>
                  <c:x val="4.5205711325954877E-2"/>
                  <c:y val="-0.15836704775527938"/>
                </c:manualLayout>
              </c:layout>
              <c:tx>
                <c:rich>
                  <a:bodyPr/>
                  <a:lstStyle/>
                  <a:p>
                    <a:r>
                      <a:rPr lang="en-US" sz="700" b="0">
                        <a:solidFill>
                          <a:schemeClr val="bg1"/>
                        </a:solidFill>
                      </a:rPr>
                      <a:t> </a:t>
                    </a:r>
                    <a:r>
                      <a:rPr lang="el-GR" sz="700" b="0">
                        <a:solidFill>
                          <a:schemeClr val="bg1"/>
                        </a:solidFill>
                      </a:rPr>
                      <a:t>€ </a:t>
                    </a:r>
                    <a:r>
                      <a:rPr lang="en-US" sz="700" b="0">
                        <a:solidFill>
                          <a:schemeClr val="bg1"/>
                        </a:solidFill>
                      </a:rPr>
                      <a:t>3</a:t>
                    </a:r>
                    <a:r>
                      <a:rPr lang="el-GR" sz="700" b="0">
                        <a:solidFill>
                          <a:schemeClr val="bg1"/>
                        </a:solidFill>
                      </a:rPr>
                      <a:t>2 δισ. </a:t>
                    </a:r>
                  </a:p>
                  <a:p>
                    <a:r>
                      <a:rPr lang="el-GR" sz="700" b="0">
                        <a:solidFill>
                          <a:schemeClr val="bg1"/>
                        </a:solidFill>
                      </a:rPr>
                      <a:t>(9% του Χρέους, </a:t>
                    </a:r>
                  </a:p>
                  <a:p>
                    <a:r>
                      <a:rPr lang="el-GR" sz="700" b="0">
                        <a:solidFill>
                          <a:schemeClr val="bg1"/>
                        </a:solidFill>
                      </a:rPr>
                      <a:t>13,8% του </a:t>
                    </a:r>
                  </a:p>
                  <a:p>
                    <a:r>
                      <a:rPr lang="el-GR" sz="700" b="0">
                        <a:solidFill>
                          <a:schemeClr val="bg1"/>
                        </a:solidFill>
                      </a:rPr>
                      <a:t>ΑΕΠ)</a:t>
                    </a:r>
                    <a:r>
                      <a:rPr lang="en-US" sz="700" b="0">
                        <a:solidFill>
                          <a:schemeClr val="bg1"/>
                        </a:solidFill>
                      </a:rPr>
                      <a:t> </a:t>
                    </a:r>
                  </a:p>
                </c:rich>
              </c:tx>
              <c:showVal val="1"/>
            </c:dLbl>
            <c:dLbl>
              <c:idx val="3"/>
              <c:layout>
                <c:manualLayout>
                  <c:x val="0.16185376900581117"/>
                  <c:y val="2.0811600465917589E-2"/>
                </c:manualLayout>
              </c:layout>
              <c:tx>
                <c:rich>
                  <a:bodyPr/>
                  <a:lstStyle/>
                  <a:p>
                    <a:pPr>
                      <a:defRPr sz="700" b="0">
                        <a:solidFill>
                          <a:schemeClr val="bg1"/>
                        </a:solidFill>
                      </a:defRPr>
                    </a:pPr>
                    <a:r>
                      <a:rPr lang="en-US" sz="700" b="0">
                        <a:solidFill>
                          <a:schemeClr val="bg1"/>
                        </a:solidFill>
                      </a:rPr>
                      <a:t> </a:t>
                    </a:r>
                    <a:r>
                      <a:rPr lang="el-GR" sz="700" b="0">
                        <a:solidFill>
                          <a:schemeClr val="bg1"/>
                        </a:solidFill>
                      </a:rPr>
                      <a:t>€ </a:t>
                    </a:r>
                    <a:r>
                      <a:rPr lang="en-US" sz="700" b="0">
                        <a:solidFill>
                          <a:schemeClr val="bg1"/>
                        </a:solidFill>
                      </a:rPr>
                      <a:t>151</a:t>
                    </a:r>
                    <a:r>
                      <a:rPr lang="el-GR" sz="700" b="0">
                        <a:solidFill>
                          <a:schemeClr val="bg1"/>
                        </a:solidFill>
                      </a:rPr>
                      <a:t> δισ. </a:t>
                    </a:r>
                  </a:p>
                  <a:p>
                    <a:pPr>
                      <a:defRPr sz="700" b="0">
                        <a:solidFill>
                          <a:schemeClr val="bg1"/>
                        </a:solidFill>
                      </a:defRPr>
                    </a:pPr>
                    <a:r>
                      <a:rPr lang="el-GR" sz="700" b="0">
                        <a:solidFill>
                          <a:schemeClr val="bg1"/>
                        </a:solidFill>
                      </a:rPr>
                      <a:t>(4</a:t>
                    </a:r>
                    <a:r>
                      <a:rPr lang="en-US" sz="700" b="0">
                        <a:solidFill>
                          <a:schemeClr val="bg1"/>
                        </a:solidFill>
                      </a:rPr>
                      <a:t>1</a:t>
                    </a:r>
                    <a:r>
                      <a:rPr lang="el-GR" sz="700" b="0">
                        <a:solidFill>
                          <a:schemeClr val="bg1"/>
                        </a:solidFill>
                      </a:rPr>
                      <a:t>% του Χρέους)</a:t>
                    </a:r>
                    <a:r>
                      <a:rPr lang="en-US" sz="700" b="0">
                        <a:solidFill>
                          <a:schemeClr val="bg1"/>
                        </a:solidFill>
                      </a:rPr>
                      <a:t> </a:t>
                    </a:r>
                  </a:p>
                </c:rich>
              </c:tx>
              <c:spPr>
                <a:solidFill>
                  <a:schemeClr val="accent2"/>
                </a:solidFill>
              </c:spPr>
              <c:showVal val="1"/>
            </c:dLbl>
            <c:txPr>
              <a:bodyPr/>
              <a:lstStyle/>
              <a:p>
                <a:pPr>
                  <a:defRPr sz="700" b="0"/>
                </a:pPr>
                <a:endParaRPr lang="en-US"/>
              </a:p>
            </c:txPr>
            <c:showVal val="1"/>
            <c:showLeaderLines val="1"/>
          </c:dLbls>
          <c:val>
            <c:numRef>
              <c:f>Sheet4!$C$2:$C$5</c:f>
              <c:numCache>
                <c:formatCode>_-* #,##0_-;\-* #,##0_-;_-* "-"??_-;_-@_-</c:formatCode>
                <c:ptCount val="4"/>
                <c:pt idx="0">
                  <c:v>107</c:v>
                </c:pt>
                <c:pt idx="1">
                  <c:v>63</c:v>
                </c:pt>
                <c:pt idx="2">
                  <c:v>30</c:v>
                </c:pt>
                <c:pt idx="3">
                  <c:v>147.20399999999998</c:v>
                </c:pt>
              </c:numCache>
            </c:numRef>
          </c:val>
        </c:ser>
        <c:firstSliceAng val="0"/>
      </c:pieChart>
    </c:plotArea>
    <c:plotVisOnly val="1"/>
  </c:chart>
  <c:spPr>
    <a:ln>
      <a:noFill/>
    </a:ln>
  </c:spPr>
  <c:txPr>
    <a:bodyPr/>
    <a:lstStyle/>
    <a:p>
      <a:pPr>
        <a:defRPr>
          <a:latin typeface="Tahoma" pitchFamily="34" charset="0"/>
          <a:cs typeface="Tahoma" pitchFamily="34" charset="0"/>
        </a:defRPr>
      </a:pPr>
      <a:endParaRPr lang="en-US"/>
    </a:p>
  </c:txPr>
  <c:externalData r:id="rId1"/>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style val="3"/>
  <c:chart>
    <c:title>
      <c:tx>
        <c:rich>
          <a:bodyPr/>
          <a:lstStyle/>
          <a:p>
            <a:pPr>
              <a:defRPr/>
            </a:pPr>
            <a:r>
              <a:rPr lang="el-GR" sz="1400" b="1">
                <a:latin typeface="+mn-lt"/>
                <a:cs typeface="Tahoma" pitchFamily="34" charset="0"/>
              </a:rPr>
              <a:t>2011</a:t>
            </a:r>
            <a:endParaRPr lang="en-US" sz="2000" b="1">
              <a:latin typeface="+mn-lt"/>
              <a:cs typeface="Tahoma" pitchFamily="34" charset="0"/>
            </a:endParaRPr>
          </a:p>
        </c:rich>
      </c:tx>
      <c:layout>
        <c:manualLayout>
          <c:xMode val="edge"/>
          <c:yMode val="edge"/>
          <c:x val="1.7578121395562588E-2"/>
          <c:y val="2.7777777777778258E-2"/>
        </c:manualLayout>
      </c:layout>
      <c:overlay val="1"/>
    </c:title>
    <c:plotArea>
      <c:layout>
        <c:manualLayout>
          <c:layoutTarget val="inner"/>
          <c:xMode val="edge"/>
          <c:yMode val="edge"/>
          <c:x val="9.4937763749140744E-2"/>
          <c:y val="0.10013998250218721"/>
          <c:w val="0.40557160318823782"/>
          <c:h val="0.72101633129191856"/>
        </c:manualLayout>
      </c:layout>
      <c:pieChart>
        <c:varyColors val="1"/>
        <c:ser>
          <c:idx val="0"/>
          <c:order val="0"/>
          <c:dPt>
            <c:idx val="0"/>
            <c:spPr>
              <a:solidFill>
                <a:schemeClr val="accent3">
                  <a:lumMod val="75000"/>
                </a:schemeClr>
              </a:solidFill>
            </c:spPr>
          </c:dPt>
          <c:dPt>
            <c:idx val="1"/>
            <c:spPr>
              <a:solidFill>
                <a:schemeClr val="accent6">
                  <a:lumMod val="75000"/>
                </a:schemeClr>
              </a:solidFill>
            </c:spPr>
          </c:dPt>
          <c:dLbls>
            <c:dLbl>
              <c:idx val="0"/>
              <c:layout>
                <c:manualLayout>
                  <c:x val="-0.1143633746215876"/>
                  <c:y val="-1.1254009915427281E-2"/>
                </c:manualLayout>
              </c:layout>
              <c:tx>
                <c:rich>
                  <a:bodyPr/>
                  <a:lstStyle/>
                  <a:p>
                    <a:pPr>
                      <a:defRPr sz="1200"/>
                    </a:pPr>
                    <a:r>
                      <a:rPr lang="en-US" sz="1200" b="1"/>
                      <a:t>49%</a:t>
                    </a:r>
                  </a:p>
                </c:rich>
              </c:tx>
              <c:spPr/>
              <c:showVal val="1"/>
            </c:dLbl>
            <c:dLbl>
              <c:idx val="1"/>
              <c:layout>
                <c:manualLayout>
                  <c:x val="0.15638801399825022"/>
                  <c:y val="-2.8426655001458153E-3"/>
                </c:manualLayout>
              </c:layout>
              <c:tx>
                <c:rich>
                  <a:bodyPr/>
                  <a:lstStyle/>
                  <a:p>
                    <a:pPr>
                      <a:defRPr sz="1200"/>
                    </a:pPr>
                    <a:r>
                      <a:rPr lang="en-US" sz="1200" b="1"/>
                      <a:t>51%</a:t>
                    </a:r>
                  </a:p>
                </c:rich>
              </c:tx>
              <c:spPr/>
              <c:showVal val="1"/>
            </c:dLbl>
            <c:showVal val="1"/>
            <c:showLeaderLines val="1"/>
          </c:dLbls>
          <c:cat>
            <c:strRef>
              <c:f>Sheet4!$B$35:$B$36</c:f>
              <c:strCache>
                <c:ptCount val="2"/>
                <c:pt idx="0">
                  <c:v>Διεθνείς Οργανισμοί (Δάνεια ΔΝΤ- ΕΕ)</c:v>
                </c:pt>
                <c:pt idx="1">
                  <c:v>Ιδιωτικός Τομέας </c:v>
                </c:pt>
              </c:strCache>
            </c:strRef>
          </c:cat>
          <c:val>
            <c:numRef>
              <c:f>Sheet4!$C$35:$C$36</c:f>
              <c:numCache>
                <c:formatCode>0%</c:formatCode>
                <c:ptCount val="2"/>
                <c:pt idx="0">
                  <c:v>0.49000000000000032</c:v>
                </c:pt>
                <c:pt idx="1">
                  <c:v>0.51</c:v>
                </c:pt>
              </c:numCache>
            </c:numRef>
          </c:val>
        </c:ser>
        <c:firstSliceAng val="0"/>
      </c:pieChart>
    </c:plotArea>
    <c:legend>
      <c:legendPos val="b"/>
      <c:txPr>
        <a:bodyPr/>
        <a:lstStyle/>
        <a:p>
          <a:pPr rtl="0">
            <a:defRPr sz="900">
              <a:latin typeface="Tahoma" pitchFamily="34" charset="0"/>
              <a:cs typeface="Tahoma" pitchFamily="34" charset="0"/>
            </a:defRPr>
          </a:pPr>
          <a:endParaRPr lang="en-US"/>
        </a:p>
      </c:txPr>
    </c:legend>
    <c:plotVisOnly val="1"/>
  </c:chart>
  <c:spPr>
    <a:ln>
      <a:noFill/>
    </a:ln>
  </c:sp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5.6057915681788681E-2"/>
          <c:y val="4.0579825010827075E-2"/>
          <c:w val="0.86980185299809187"/>
          <c:h val="0.64637864124389999"/>
        </c:manualLayout>
      </c:layout>
      <c:lineChart>
        <c:grouping val="standard"/>
        <c:ser>
          <c:idx val="0"/>
          <c:order val="0"/>
          <c:tx>
            <c:strRef>
              <c:f>'Παρ. Κατασκευών-Επίπ.Εργασιών '!$H$2</c:f>
              <c:strCache>
                <c:ptCount val="1"/>
                <c:pt idx="0">
                  <c:v>Επίπεδο Εργασιών_Ελλάδα</c:v>
                </c:pt>
              </c:strCache>
            </c:strRef>
          </c:tx>
          <c:spPr>
            <a:ln w="25400">
              <a:solidFill>
                <a:srgbClr val="000000"/>
              </a:solidFill>
              <a:prstDash val="solid"/>
            </a:ln>
          </c:spPr>
          <c:marker>
            <c:symbol val="diamond"/>
            <c:size val="3"/>
            <c:spPr>
              <a:solidFill>
                <a:srgbClr val="000000"/>
              </a:solidFill>
              <a:ln>
                <a:solidFill>
                  <a:srgbClr val="000000"/>
                </a:solidFill>
                <a:prstDash val="solid"/>
              </a:ln>
            </c:spPr>
          </c:marker>
          <c:cat>
            <c:strRef>
              <c:f>'Παρ. Κατασκευών-Επίπ.Εργασιών '!$G$11:$G$35</c:f>
              <c:strCache>
                <c:ptCount val="25"/>
                <c:pt idx="0">
                  <c:v>α' τριμ. '06</c:v>
                </c:pt>
                <c:pt idx="1">
                  <c:v>β' τριμ. '06</c:v>
                </c:pt>
                <c:pt idx="2">
                  <c:v>γ' τριμ. '06</c:v>
                </c:pt>
                <c:pt idx="3">
                  <c:v>δ' τριμ. '06</c:v>
                </c:pt>
                <c:pt idx="4">
                  <c:v>α' τριμ. '07</c:v>
                </c:pt>
                <c:pt idx="5">
                  <c:v>β' τριμ. '07</c:v>
                </c:pt>
                <c:pt idx="6">
                  <c:v>γ' τριμ. '07</c:v>
                </c:pt>
                <c:pt idx="7">
                  <c:v>δ' τριμ. '07</c:v>
                </c:pt>
                <c:pt idx="8">
                  <c:v>α' τριμ. '08</c:v>
                </c:pt>
                <c:pt idx="9">
                  <c:v>β' τριμ. '08</c:v>
                </c:pt>
                <c:pt idx="10">
                  <c:v>γ' τριμ. '08</c:v>
                </c:pt>
                <c:pt idx="11">
                  <c:v>δ' τριμ. '08</c:v>
                </c:pt>
                <c:pt idx="12">
                  <c:v>α' τριμ. '09</c:v>
                </c:pt>
                <c:pt idx="13">
                  <c:v>β' τριμ. '09</c:v>
                </c:pt>
                <c:pt idx="14">
                  <c:v>γ' τριμ. '09</c:v>
                </c:pt>
                <c:pt idx="15">
                  <c:v>δ' τριμ. '09</c:v>
                </c:pt>
                <c:pt idx="16">
                  <c:v>α' τρίμ. '10</c:v>
                </c:pt>
                <c:pt idx="17">
                  <c:v>β' τρίμ. '10</c:v>
                </c:pt>
                <c:pt idx="18">
                  <c:v>γ' τρίμ. '10</c:v>
                </c:pt>
                <c:pt idx="19">
                  <c:v>δ' τριμ. '10</c:v>
                </c:pt>
                <c:pt idx="20">
                  <c:v>α' τρίμ. '11</c:v>
                </c:pt>
                <c:pt idx="21">
                  <c:v>β' τρίμ.'11</c:v>
                </c:pt>
                <c:pt idx="22">
                  <c:v>γ' τρίμ. '11</c:v>
                </c:pt>
                <c:pt idx="23">
                  <c:v>δ' τρίμ. '11</c:v>
                </c:pt>
                <c:pt idx="24">
                  <c:v>Ιαν-Φεβ.'12</c:v>
                </c:pt>
              </c:strCache>
            </c:strRef>
          </c:cat>
          <c:val>
            <c:numRef>
              <c:f>'Παρ. Κατασκευών-Επίπ.Εργασιών '!$H$11:$H$35</c:f>
              <c:numCache>
                <c:formatCode>0.00</c:formatCode>
                <c:ptCount val="25"/>
                <c:pt idx="0">
                  <c:v>-56.47</c:v>
                </c:pt>
                <c:pt idx="1">
                  <c:v>-54.643333333333338</c:v>
                </c:pt>
                <c:pt idx="2">
                  <c:v>-37.25</c:v>
                </c:pt>
                <c:pt idx="3">
                  <c:v>-31.383333333333002</c:v>
                </c:pt>
                <c:pt idx="4">
                  <c:v>-36.17</c:v>
                </c:pt>
                <c:pt idx="5">
                  <c:v>-19.02</c:v>
                </c:pt>
                <c:pt idx="6">
                  <c:v>-39.526666666666124</c:v>
                </c:pt>
                <c:pt idx="7">
                  <c:v>-38.173333333333339</c:v>
                </c:pt>
                <c:pt idx="8">
                  <c:v>-31.686666666666667</c:v>
                </c:pt>
                <c:pt idx="9">
                  <c:v>-30.8</c:v>
                </c:pt>
                <c:pt idx="10">
                  <c:v>-20.503333333333025</c:v>
                </c:pt>
                <c:pt idx="11">
                  <c:v>-32.21</c:v>
                </c:pt>
                <c:pt idx="12">
                  <c:v>-43.333333333333336</c:v>
                </c:pt>
                <c:pt idx="13">
                  <c:v>-47.02</c:v>
                </c:pt>
                <c:pt idx="14">
                  <c:v>-43.690000000000012</c:v>
                </c:pt>
                <c:pt idx="15">
                  <c:v>-38.216666666666022</c:v>
                </c:pt>
                <c:pt idx="16">
                  <c:v>-58.966666666666022</c:v>
                </c:pt>
                <c:pt idx="17">
                  <c:v>-67.72</c:v>
                </c:pt>
                <c:pt idx="18">
                  <c:v>-70.83</c:v>
                </c:pt>
                <c:pt idx="19">
                  <c:v>-55.186666666665978</c:v>
                </c:pt>
                <c:pt idx="20">
                  <c:v>-71.413333333333341</c:v>
                </c:pt>
                <c:pt idx="21">
                  <c:v>-69.59</c:v>
                </c:pt>
                <c:pt idx="22">
                  <c:v>-66.183333333332499</c:v>
                </c:pt>
                <c:pt idx="23">
                  <c:v>-62.333333333333336</c:v>
                </c:pt>
                <c:pt idx="24">
                  <c:v>-71.5</c:v>
                </c:pt>
              </c:numCache>
            </c:numRef>
          </c:val>
        </c:ser>
        <c:marker val="1"/>
        <c:axId val="138476544"/>
        <c:axId val="147985536"/>
      </c:lineChart>
      <c:lineChart>
        <c:grouping val="standard"/>
        <c:ser>
          <c:idx val="1"/>
          <c:order val="1"/>
          <c:tx>
            <c:strRef>
              <c:f>'Παρ. Κατασκευών-Επίπ.Εργασιών '!$I$2</c:f>
              <c:strCache>
                <c:ptCount val="1"/>
                <c:pt idx="0">
                  <c:v>Δείκτης Παραγωγής_Ελλάδα</c:v>
                </c:pt>
              </c:strCache>
            </c:strRef>
          </c:tx>
          <c:spPr>
            <a:ln w="25400">
              <a:solidFill>
                <a:srgbClr val="0000FF"/>
              </a:solidFill>
              <a:prstDash val="solid"/>
            </a:ln>
          </c:spPr>
          <c:marker>
            <c:symbol val="square"/>
            <c:size val="3"/>
            <c:spPr>
              <a:solidFill>
                <a:srgbClr val="0000FF"/>
              </a:solidFill>
              <a:ln>
                <a:solidFill>
                  <a:srgbClr val="0000FF"/>
                </a:solidFill>
                <a:prstDash val="solid"/>
              </a:ln>
            </c:spPr>
          </c:marker>
          <c:cat>
            <c:strRef>
              <c:f>'Παρ. Κατασκευών-Επίπ.Εργασιών '!$G$11:$G$33</c:f>
              <c:strCache>
                <c:ptCount val="23"/>
                <c:pt idx="0">
                  <c:v>α' τριμ. '06</c:v>
                </c:pt>
                <c:pt idx="1">
                  <c:v>β' τριμ. '06</c:v>
                </c:pt>
                <c:pt idx="2">
                  <c:v>γ' τριμ. '06</c:v>
                </c:pt>
                <c:pt idx="3">
                  <c:v>δ' τριμ. '06</c:v>
                </c:pt>
                <c:pt idx="4">
                  <c:v>α' τριμ. '07</c:v>
                </c:pt>
                <c:pt idx="5">
                  <c:v>β' τριμ. '07</c:v>
                </c:pt>
                <c:pt idx="6">
                  <c:v>γ' τριμ. '07</c:v>
                </c:pt>
                <c:pt idx="7">
                  <c:v>δ' τριμ. '07</c:v>
                </c:pt>
                <c:pt idx="8">
                  <c:v>α' τριμ. '08</c:v>
                </c:pt>
                <c:pt idx="9">
                  <c:v>β' τριμ. '08</c:v>
                </c:pt>
                <c:pt idx="10">
                  <c:v>γ' τριμ. '08</c:v>
                </c:pt>
                <c:pt idx="11">
                  <c:v>δ' τριμ. '08</c:v>
                </c:pt>
                <c:pt idx="12">
                  <c:v>α' τριμ. '09</c:v>
                </c:pt>
                <c:pt idx="13">
                  <c:v>β' τριμ. '09</c:v>
                </c:pt>
                <c:pt idx="14">
                  <c:v>γ' τριμ. '09</c:v>
                </c:pt>
                <c:pt idx="15">
                  <c:v>δ' τριμ. '09</c:v>
                </c:pt>
                <c:pt idx="16">
                  <c:v>α' τρίμ. '10</c:v>
                </c:pt>
                <c:pt idx="17">
                  <c:v>β' τρίμ. '10</c:v>
                </c:pt>
                <c:pt idx="18">
                  <c:v>γ' τρίμ. '10</c:v>
                </c:pt>
                <c:pt idx="19">
                  <c:v>δ' τριμ. '10</c:v>
                </c:pt>
                <c:pt idx="20">
                  <c:v>α' τρίμ. '11</c:v>
                </c:pt>
                <c:pt idx="21">
                  <c:v>β' τρίμ.'11</c:v>
                </c:pt>
                <c:pt idx="22">
                  <c:v>γ' τρίμ. '11</c:v>
                </c:pt>
              </c:strCache>
            </c:strRef>
          </c:cat>
          <c:val>
            <c:numRef>
              <c:f>'Παρ. Κατασκευών-Επίπ.Εργασιών '!$J$11:$J$34</c:f>
              <c:numCache>
                <c:formatCode>0.0%</c:formatCode>
                <c:ptCount val="24"/>
                <c:pt idx="0">
                  <c:v>0.2264284701545442</c:v>
                </c:pt>
                <c:pt idx="1">
                  <c:v>-7.5757575757575801E-2</c:v>
                </c:pt>
                <c:pt idx="2">
                  <c:v>4.6720835751596038E-2</c:v>
                </c:pt>
                <c:pt idx="3">
                  <c:v>1.056751467710368E-2</c:v>
                </c:pt>
                <c:pt idx="4">
                  <c:v>3.3872832369942284E-2</c:v>
                </c:pt>
                <c:pt idx="5">
                  <c:v>0.13851908900869306</c:v>
                </c:pt>
                <c:pt idx="6">
                  <c:v>0.13150355789668242</c:v>
                </c:pt>
                <c:pt idx="7">
                  <c:v>0.22734314484895429</c:v>
                </c:pt>
                <c:pt idx="8">
                  <c:v>0.14905512691490547</c:v>
                </c:pt>
                <c:pt idx="9">
                  <c:v>0.24642442984151541</c:v>
                </c:pt>
                <c:pt idx="10">
                  <c:v>3.3077425677883042E-2</c:v>
                </c:pt>
                <c:pt idx="11">
                  <c:v>-3.799305774692361E-2</c:v>
                </c:pt>
                <c:pt idx="12">
                  <c:v>-0.13779680809653574</c:v>
                </c:pt>
                <c:pt idx="13">
                  <c:v>-0.13940145759032699</c:v>
                </c:pt>
                <c:pt idx="14">
                  <c:v>-0.20713099849790625</c:v>
                </c:pt>
                <c:pt idx="15">
                  <c:v>-0.30158105359837312</c:v>
                </c:pt>
                <c:pt idx="16">
                  <c:v>-0.21399548532731699</c:v>
                </c:pt>
                <c:pt idx="17">
                  <c:v>-0.18333333333333487</c:v>
                </c:pt>
                <c:pt idx="18">
                  <c:v>-0.36883039186359817</c:v>
                </c:pt>
                <c:pt idx="19">
                  <c:v>-0.25305278978019918</c:v>
                </c:pt>
                <c:pt idx="20">
                  <c:v>-0.33802412406663124</c:v>
                </c:pt>
                <c:pt idx="21">
                  <c:v>-0.48891340319912047</c:v>
                </c:pt>
                <c:pt idx="22">
                  <c:v>-8.751974723538701E-2</c:v>
                </c:pt>
                <c:pt idx="23">
                  <c:v>-0.3456991951710261</c:v>
                </c:pt>
              </c:numCache>
            </c:numRef>
          </c:val>
        </c:ser>
        <c:ser>
          <c:idx val="2"/>
          <c:order val="2"/>
          <c:tx>
            <c:strRef>
              <c:f>'Παρ. Κατασκευών-Επίπ.Εργασιών '!$K$2</c:f>
              <c:strCache>
                <c:ptCount val="1"/>
                <c:pt idx="0">
                  <c:v>Δείκτης Παραγωγής_Eυρωζώνη-17</c:v>
                </c:pt>
              </c:strCache>
            </c:strRef>
          </c:tx>
          <c:spPr>
            <a:ln w="25400">
              <a:solidFill>
                <a:srgbClr val="FF6600"/>
              </a:solidFill>
              <a:prstDash val="solid"/>
            </a:ln>
          </c:spPr>
          <c:marker>
            <c:symbol val="circle"/>
            <c:size val="3"/>
            <c:spPr>
              <a:solidFill>
                <a:srgbClr val="FF6600"/>
              </a:solidFill>
              <a:ln>
                <a:solidFill>
                  <a:srgbClr val="FF6600"/>
                </a:solidFill>
                <a:prstDash val="solid"/>
              </a:ln>
            </c:spPr>
          </c:marker>
          <c:val>
            <c:numRef>
              <c:f>'Παρ. Κατασκευών-Επίπ.Εργασιών '!$L$11:$L$34</c:f>
              <c:numCache>
                <c:formatCode>0.0%</c:formatCode>
                <c:ptCount val="24"/>
                <c:pt idx="0">
                  <c:v>2.9225826510519456E-2</c:v>
                </c:pt>
                <c:pt idx="1">
                  <c:v>3.7792742989245252E-2</c:v>
                </c:pt>
                <c:pt idx="2">
                  <c:v>3.4428331853605554E-2</c:v>
                </c:pt>
                <c:pt idx="3">
                  <c:v>6.0881461936871675E-2</c:v>
                </c:pt>
                <c:pt idx="4">
                  <c:v>6.5250226563286717E-2</c:v>
                </c:pt>
                <c:pt idx="5">
                  <c:v>2.5181598062954006E-2</c:v>
                </c:pt>
                <c:pt idx="6">
                  <c:v>8.4875071523936724E-3</c:v>
                </c:pt>
                <c:pt idx="7">
                  <c:v>-2.5976418570376195E-2</c:v>
                </c:pt>
                <c:pt idx="8">
                  <c:v>-1.2004915398430949E-2</c:v>
                </c:pt>
                <c:pt idx="9">
                  <c:v>-4.6386395843174333E-2</c:v>
                </c:pt>
                <c:pt idx="10">
                  <c:v>-5.7777777777777782E-2</c:v>
                </c:pt>
                <c:pt idx="11">
                  <c:v>-9.0126725931530247E-2</c:v>
                </c:pt>
                <c:pt idx="12">
                  <c:v>-9.2900880214313017E-2</c:v>
                </c:pt>
                <c:pt idx="13">
                  <c:v>-7.4103427778878933E-2</c:v>
                </c:pt>
                <c:pt idx="14">
                  <c:v>-8.5106382978723707E-2</c:v>
                </c:pt>
                <c:pt idx="15">
                  <c:v>-5.7686311194262527E-2</c:v>
                </c:pt>
                <c:pt idx="16">
                  <c:v>-9.6825229406180865E-2</c:v>
                </c:pt>
                <c:pt idx="17">
                  <c:v>-4.8683928953562987E-2</c:v>
                </c:pt>
                <c:pt idx="18">
                  <c:v>-8.3698990785434052E-2</c:v>
                </c:pt>
                <c:pt idx="19">
                  <c:v>-9.0447827046106349E-2</c:v>
                </c:pt>
                <c:pt idx="20">
                  <c:v>-2.4524115380123852E-2</c:v>
                </c:pt>
                <c:pt idx="21">
                  <c:v>-5.7698796535822834E-2</c:v>
                </c:pt>
                <c:pt idx="22">
                  <c:v>7.4224829402610394E-3</c:v>
                </c:pt>
                <c:pt idx="23">
                  <c:v>6.9124423963135076E-3</c:v>
                </c:pt>
              </c:numCache>
            </c:numRef>
          </c:val>
        </c:ser>
        <c:marker val="1"/>
        <c:axId val="147987072"/>
        <c:axId val="147988864"/>
      </c:lineChart>
      <c:catAx>
        <c:axId val="138476544"/>
        <c:scaling>
          <c:orientation val="minMax"/>
        </c:scaling>
        <c:axPos val="b"/>
        <c:numFmt formatCode="General" sourceLinked="1"/>
        <c:tickLblPos val="low"/>
        <c:spPr>
          <a:ln w="12700">
            <a:solidFill>
              <a:srgbClr val="000000"/>
            </a:solidFill>
            <a:prstDash val="solid"/>
          </a:ln>
        </c:spPr>
        <c:txPr>
          <a:bodyPr rot="-5400000" vert="horz"/>
          <a:lstStyle/>
          <a:p>
            <a:pPr>
              <a:defRPr sz="700" b="1" i="0" u="none" strike="noStrike" baseline="0">
                <a:solidFill>
                  <a:srgbClr val="000000"/>
                </a:solidFill>
                <a:latin typeface="Tahoma"/>
                <a:ea typeface="Tahoma"/>
                <a:cs typeface="Tahoma"/>
              </a:defRPr>
            </a:pPr>
            <a:endParaRPr lang="en-US"/>
          </a:p>
        </c:txPr>
        <c:crossAx val="147985536"/>
        <c:crosses val="autoZero"/>
        <c:auto val="1"/>
        <c:lblAlgn val="ctr"/>
        <c:lblOffset val="100"/>
        <c:tickLblSkip val="1"/>
        <c:tickMarkSkip val="1"/>
      </c:catAx>
      <c:valAx>
        <c:axId val="147985536"/>
        <c:scaling>
          <c:orientation val="minMax"/>
          <c:max val="80"/>
          <c:min val="-80"/>
        </c:scaling>
        <c:axPos val="l"/>
        <c:majorGridlines>
          <c:spPr>
            <a:ln w="3175">
              <a:solidFill>
                <a:srgbClr val="C0C0C0"/>
              </a:solidFill>
              <a:prstDash val="sysDash"/>
            </a:ln>
          </c:spPr>
        </c:majorGridlines>
        <c:numFmt formatCode="0" sourceLinked="0"/>
        <c:tickLblPos val="nextTo"/>
        <c:spPr>
          <a:ln w="3175">
            <a:solidFill>
              <a:srgbClr val="000000"/>
            </a:solidFill>
            <a:prstDash val="solid"/>
          </a:ln>
        </c:spPr>
        <c:txPr>
          <a:bodyPr rot="0" vert="horz"/>
          <a:lstStyle/>
          <a:p>
            <a:pPr>
              <a:defRPr sz="800" b="0" i="0" u="none" strike="noStrike" baseline="0">
                <a:solidFill>
                  <a:srgbClr val="000000"/>
                </a:solidFill>
                <a:latin typeface="Tahoma"/>
                <a:ea typeface="Tahoma"/>
                <a:cs typeface="Tahoma"/>
              </a:defRPr>
            </a:pPr>
            <a:endParaRPr lang="en-US"/>
          </a:p>
        </c:txPr>
        <c:crossAx val="138476544"/>
        <c:crosses val="autoZero"/>
        <c:crossBetween val="between"/>
        <c:majorUnit val="20"/>
      </c:valAx>
      <c:catAx>
        <c:axId val="147987072"/>
        <c:scaling>
          <c:orientation val="minMax"/>
        </c:scaling>
        <c:delete val="1"/>
        <c:axPos val="t"/>
        <c:tickLblPos val="none"/>
        <c:crossAx val="147988864"/>
        <c:crosses val="max"/>
        <c:auto val="1"/>
        <c:lblAlgn val="ctr"/>
        <c:lblOffset val="100"/>
      </c:catAx>
      <c:valAx>
        <c:axId val="147988864"/>
        <c:scaling>
          <c:orientation val="minMax"/>
          <c:max val="0.30000000000000032"/>
          <c:min val="-0.60000000000000064"/>
        </c:scaling>
        <c:axPos val="r"/>
        <c:numFmt formatCode="0%" sourceLinked="0"/>
        <c:majorTickMark val="cross"/>
        <c:tickLblPos val="nextTo"/>
        <c:spPr>
          <a:ln w="3175">
            <a:solidFill>
              <a:srgbClr val="000000"/>
            </a:solidFill>
            <a:prstDash val="solid"/>
          </a:ln>
        </c:spPr>
        <c:txPr>
          <a:bodyPr rot="0" vert="horz"/>
          <a:lstStyle/>
          <a:p>
            <a:pPr>
              <a:defRPr sz="800" b="0" i="0" u="none" strike="noStrike" baseline="0">
                <a:solidFill>
                  <a:srgbClr val="000000"/>
                </a:solidFill>
                <a:latin typeface="Tahoma"/>
                <a:ea typeface="Tahoma"/>
                <a:cs typeface="Tahoma"/>
              </a:defRPr>
            </a:pPr>
            <a:endParaRPr lang="en-US"/>
          </a:p>
        </c:txPr>
        <c:crossAx val="147987072"/>
        <c:crosses val="max"/>
        <c:crossBetween val="between"/>
      </c:valAx>
      <c:spPr>
        <a:solidFill>
          <a:srgbClr val="FFFFFF"/>
        </a:solidFill>
        <a:ln w="25400">
          <a:noFill/>
        </a:ln>
      </c:spPr>
    </c:plotArea>
    <c:legend>
      <c:legendPos val="b"/>
      <c:layout>
        <c:manualLayout>
          <c:xMode val="edge"/>
          <c:yMode val="edge"/>
          <c:x val="3.9783001808318265E-2"/>
          <c:y val="0.93913317357069492"/>
          <c:w val="0.86076025306963744"/>
          <c:h val="5.2173913043478522E-2"/>
        </c:manualLayout>
      </c:layout>
      <c:spPr>
        <a:solidFill>
          <a:srgbClr val="FFFFFF"/>
        </a:solidFill>
        <a:ln w="25400">
          <a:noFill/>
        </a:ln>
      </c:spPr>
      <c:txPr>
        <a:bodyPr/>
        <a:lstStyle/>
        <a:p>
          <a:pPr>
            <a:defRPr sz="600" b="0" i="0" u="none" strike="noStrike" baseline="0">
              <a:solidFill>
                <a:srgbClr val="000000"/>
              </a:solidFill>
              <a:latin typeface="Tahoma"/>
              <a:ea typeface="Tahoma"/>
              <a:cs typeface="Tahoma"/>
            </a:defRPr>
          </a:pPr>
          <a:endParaRPr lang="en-US"/>
        </a:p>
      </c:txPr>
    </c:legend>
    <c:plotVisOnly val="1"/>
    <c:dispBlanksAs val="gap"/>
  </c:chart>
  <c:spPr>
    <a:solidFill>
      <a:srgbClr val="FFFFFF"/>
    </a:solidFill>
    <a:ln w="9525">
      <a:noFill/>
    </a:ln>
  </c:spPr>
  <c:txPr>
    <a:bodyPr/>
    <a:lstStyle/>
    <a:p>
      <a:pPr>
        <a:defRPr sz="800" b="0" i="0" u="none" strike="noStrike" baseline="0">
          <a:solidFill>
            <a:srgbClr val="000000"/>
          </a:solidFill>
          <a:latin typeface="Tahoma"/>
          <a:ea typeface="Tahoma"/>
          <a:cs typeface="Tahoma"/>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5.9034040832228379E-2"/>
          <c:y val="4.0462484847032312E-2"/>
          <c:w val="0.88372170215516765"/>
          <c:h val="0.67052117746509277"/>
        </c:manualLayout>
      </c:layout>
      <c:barChart>
        <c:barDir val="col"/>
        <c:grouping val="clustered"/>
        <c:ser>
          <c:idx val="0"/>
          <c:order val="0"/>
          <c:tx>
            <c:v>Δείκτης Όγκου Λιανικού Εμπορίου (αριστερή κλίμακα)</c:v>
          </c:tx>
          <c:spPr>
            <a:solidFill>
              <a:srgbClr val="9999FF"/>
            </a:solidFill>
            <a:ln w="25400">
              <a:noFill/>
            </a:ln>
          </c:spPr>
          <c:cat>
            <c:strRef>
              <c:f>'Δείκτης Όγκου_Λιανικό Εμπόριο'!$A$116:$A$144</c:f>
              <c:strCache>
                <c:ptCount val="29"/>
                <c:pt idx="0">
                  <c:v>α' τριμ. '05</c:v>
                </c:pt>
                <c:pt idx="1">
                  <c:v>β' τριμ. '05</c:v>
                </c:pt>
                <c:pt idx="2">
                  <c:v>γ' τριμ. '05</c:v>
                </c:pt>
                <c:pt idx="3">
                  <c:v>δ' τριμ. '05</c:v>
                </c:pt>
                <c:pt idx="4">
                  <c:v>α' τριμ. '06</c:v>
                </c:pt>
                <c:pt idx="5">
                  <c:v>β' τριμ. '06</c:v>
                </c:pt>
                <c:pt idx="6">
                  <c:v>γ' τριμ. '06</c:v>
                </c:pt>
                <c:pt idx="7">
                  <c:v>δ' τριμ. '06</c:v>
                </c:pt>
                <c:pt idx="8">
                  <c:v>α' τριμ. '07</c:v>
                </c:pt>
                <c:pt idx="9">
                  <c:v>β' τριμ. '07</c:v>
                </c:pt>
                <c:pt idx="10">
                  <c:v>γ' τριμ. '07</c:v>
                </c:pt>
                <c:pt idx="11">
                  <c:v>δ' τριμ. '07</c:v>
                </c:pt>
                <c:pt idx="12">
                  <c:v>α' τριμ. '08</c:v>
                </c:pt>
                <c:pt idx="13">
                  <c:v>β' τριμ. '08</c:v>
                </c:pt>
                <c:pt idx="14">
                  <c:v>γ' τριμ. '08</c:v>
                </c:pt>
                <c:pt idx="15">
                  <c:v>δ' τριμ. '08</c:v>
                </c:pt>
                <c:pt idx="16">
                  <c:v>α' τριμ. '09</c:v>
                </c:pt>
                <c:pt idx="17">
                  <c:v>β' τριμ. '09</c:v>
                </c:pt>
                <c:pt idx="18">
                  <c:v>γ' τριμ. '09</c:v>
                </c:pt>
                <c:pt idx="19">
                  <c:v>δ' τριμ. '09</c:v>
                </c:pt>
                <c:pt idx="20">
                  <c:v>α' τριμ. '10</c:v>
                </c:pt>
                <c:pt idx="21">
                  <c:v>β' τριμ. '10</c:v>
                </c:pt>
                <c:pt idx="22">
                  <c:v>γ' τριμ. '10</c:v>
                </c:pt>
                <c:pt idx="23">
                  <c:v>δ' τριμ. '10</c:v>
                </c:pt>
                <c:pt idx="24">
                  <c:v>α'τριμ. '11</c:v>
                </c:pt>
                <c:pt idx="25">
                  <c:v>β' τριμ. '11</c:v>
                </c:pt>
                <c:pt idx="26">
                  <c:v>γ' τριμ. '11</c:v>
                </c:pt>
                <c:pt idx="27">
                  <c:v>δ' τριμ. '11</c:v>
                </c:pt>
                <c:pt idx="28">
                  <c:v>Ιαν.- Φεβ. '12</c:v>
                </c:pt>
              </c:strCache>
            </c:strRef>
          </c:cat>
          <c:val>
            <c:numRef>
              <c:f>'Δείκτης Όγκου_Λιανικό Εμπόριο'!$B$116:$B$144</c:f>
              <c:numCache>
                <c:formatCode>0.0</c:formatCode>
                <c:ptCount val="29"/>
                <c:pt idx="0">
                  <c:v>93.333333333333258</c:v>
                </c:pt>
                <c:pt idx="1">
                  <c:v>96.100000000000009</c:v>
                </c:pt>
                <c:pt idx="2">
                  <c:v>99.066666666666663</c:v>
                </c:pt>
                <c:pt idx="3">
                  <c:v>111.46666666666682</c:v>
                </c:pt>
                <c:pt idx="4">
                  <c:v>100.43333333333334</c:v>
                </c:pt>
                <c:pt idx="5">
                  <c:v>105.83333333333285</c:v>
                </c:pt>
                <c:pt idx="6">
                  <c:v>109.23333333333331</c:v>
                </c:pt>
                <c:pt idx="7">
                  <c:v>120.5</c:v>
                </c:pt>
                <c:pt idx="8">
                  <c:v>107.46666666666682</c:v>
                </c:pt>
                <c:pt idx="9">
                  <c:v>108.73333333333335</c:v>
                </c:pt>
                <c:pt idx="10">
                  <c:v>108.56666666666666</c:v>
                </c:pt>
                <c:pt idx="11">
                  <c:v>120.76666666666669</c:v>
                </c:pt>
                <c:pt idx="12">
                  <c:v>113.16666666666667</c:v>
                </c:pt>
                <c:pt idx="13">
                  <c:v>113.60000000000001</c:v>
                </c:pt>
                <c:pt idx="14">
                  <c:v>106.23333333333331</c:v>
                </c:pt>
                <c:pt idx="15">
                  <c:v>118.16666666666667</c:v>
                </c:pt>
                <c:pt idx="16">
                  <c:v>96.966666666666697</c:v>
                </c:pt>
                <c:pt idx="17">
                  <c:v>97</c:v>
                </c:pt>
                <c:pt idx="18">
                  <c:v>97.833333333333258</c:v>
                </c:pt>
                <c:pt idx="19">
                  <c:v>108.23333333333331</c:v>
                </c:pt>
                <c:pt idx="20">
                  <c:v>102.6</c:v>
                </c:pt>
                <c:pt idx="21">
                  <c:v>91.466666666666697</c:v>
                </c:pt>
                <c:pt idx="22">
                  <c:v>87.766666666666666</c:v>
                </c:pt>
                <c:pt idx="23">
                  <c:v>93.266666666666666</c:v>
                </c:pt>
                <c:pt idx="24">
                  <c:v>87.56</c:v>
                </c:pt>
                <c:pt idx="25">
                  <c:v>81.966666666666697</c:v>
                </c:pt>
                <c:pt idx="26">
                  <c:v>83.86666666666666</c:v>
                </c:pt>
                <c:pt idx="27">
                  <c:v>83.133333333332743</c:v>
                </c:pt>
              </c:numCache>
            </c:numRef>
          </c:val>
        </c:ser>
        <c:gapWidth val="80"/>
        <c:axId val="148001920"/>
        <c:axId val="148003840"/>
      </c:barChart>
      <c:lineChart>
        <c:grouping val="standard"/>
        <c:ser>
          <c:idx val="1"/>
          <c:order val="1"/>
          <c:tx>
            <c:v>Δείκτης Επιχειρηματικών Προσδοκιών (δεξιά κλίμακα)</c:v>
          </c:tx>
          <c:spPr>
            <a:ln w="25400">
              <a:solidFill>
                <a:srgbClr val="000000"/>
              </a:solidFill>
              <a:prstDash val="solid"/>
            </a:ln>
          </c:spPr>
          <c:marker>
            <c:symbol val="circle"/>
            <c:size val="4"/>
            <c:spPr>
              <a:solidFill>
                <a:srgbClr val="000000"/>
              </a:solidFill>
              <a:ln>
                <a:solidFill>
                  <a:srgbClr val="000000"/>
                </a:solidFill>
                <a:prstDash val="solid"/>
              </a:ln>
            </c:spPr>
          </c:marker>
          <c:cat>
            <c:strRef>
              <c:f>'Δείκτης Όγκου_Λιανικό Εμπόριο'!$A$116:$A$144</c:f>
              <c:strCache>
                <c:ptCount val="29"/>
                <c:pt idx="0">
                  <c:v>α' τριμ. '05</c:v>
                </c:pt>
                <c:pt idx="1">
                  <c:v>β' τριμ. '05</c:v>
                </c:pt>
                <c:pt idx="2">
                  <c:v>γ' τριμ. '05</c:v>
                </c:pt>
                <c:pt idx="3">
                  <c:v>δ' τριμ. '05</c:v>
                </c:pt>
                <c:pt idx="4">
                  <c:v>α' τριμ. '06</c:v>
                </c:pt>
                <c:pt idx="5">
                  <c:v>β' τριμ. '06</c:v>
                </c:pt>
                <c:pt idx="6">
                  <c:v>γ' τριμ. '06</c:v>
                </c:pt>
                <c:pt idx="7">
                  <c:v>δ' τριμ. '06</c:v>
                </c:pt>
                <c:pt idx="8">
                  <c:v>α' τριμ. '07</c:v>
                </c:pt>
                <c:pt idx="9">
                  <c:v>β' τριμ. '07</c:v>
                </c:pt>
                <c:pt idx="10">
                  <c:v>γ' τριμ. '07</c:v>
                </c:pt>
                <c:pt idx="11">
                  <c:v>δ' τριμ. '07</c:v>
                </c:pt>
                <c:pt idx="12">
                  <c:v>α' τριμ. '08</c:v>
                </c:pt>
                <c:pt idx="13">
                  <c:v>β' τριμ. '08</c:v>
                </c:pt>
                <c:pt idx="14">
                  <c:v>γ' τριμ. '08</c:v>
                </c:pt>
                <c:pt idx="15">
                  <c:v>δ' τριμ. '08</c:v>
                </c:pt>
                <c:pt idx="16">
                  <c:v>α' τριμ. '09</c:v>
                </c:pt>
                <c:pt idx="17">
                  <c:v>β' τριμ. '09</c:v>
                </c:pt>
                <c:pt idx="18">
                  <c:v>γ' τριμ. '09</c:v>
                </c:pt>
                <c:pt idx="19">
                  <c:v>δ' τριμ. '09</c:v>
                </c:pt>
                <c:pt idx="20">
                  <c:v>α' τριμ. '10</c:v>
                </c:pt>
                <c:pt idx="21">
                  <c:v>β' τριμ. '10</c:v>
                </c:pt>
                <c:pt idx="22">
                  <c:v>γ' τριμ. '10</c:v>
                </c:pt>
                <c:pt idx="23">
                  <c:v>δ' τριμ. '10</c:v>
                </c:pt>
                <c:pt idx="24">
                  <c:v>α'τριμ. '11</c:v>
                </c:pt>
                <c:pt idx="25">
                  <c:v>β' τριμ. '11</c:v>
                </c:pt>
                <c:pt idx="26">
                  <c:v>γ' τριμ. '11</c:v>
                </c:pt>
                <c:pt idx="27">
                  <c:v>δ' τριμ. '11</c:v>
                </c:pt>
                <c:pt idx="28">
                  <c:v>Ιαν.- Φεβ. '12</c:v>
                </c:pt>
              </c:strCache>
            </c:strRef>
          </c:cat>
          <c:val>
            <c:numRef>
              <c:f>'Δείκτης Όγκου_Λιανικό Εμπόριο'!$N$116:$N$144</c:f>
              <c:numCache>
                <c:formatCode>0.0</c:formatCode>
                <c:ptCount val="29"/>
                <c:pt idx="0">
                  <c:v>97.63666666666667</c:v>
                </c:pt>
                <c:pt idx="1">
                  <c:v>97.816666666666663</c:v>
                </c:pt>
                <c:pt idx="2">
                  <c:v>93.796666666666667</c:v>
                </c:pt>
                <c:pt idx="3">
                  <c:v>97.8</c:v>
                </c:pt>
                <c:pt idx="4">
                  <c:v>108.54666666666672</c:v>
                </c:pt>
                <c:pt idx="5">
                  <c:v>109.74666666666734</c:v>
                </c:pt>
                <c:pt idx="6">
                  <c:v>112.21333333333331</c:v>
                </c:pt>
                <c:pt idx="7">
                  <c:v>112.64333333333325</c:v>
                </c:pt>
                <c:pt idx="8">
                  <c:v>119.19666666666666</c:v>
                </c:pt>
                <c:pt idx="9">
                  <c:v>122.21333333333331</c:v>
                </c:pt>
                <c:pt idx="10">
                  <c:v>123.64333333333325</c:v>
                </c:pt>
                <c:pt idx="11">
                  <c:v>118.06</c:v>
                </c:pt>
                <c:pt idx="12">
                  <c:v>118.74333333333334</c:v>
                </c:pt>
                <c:pt idx="13">
                  <c:v>116.13</c:v>
                </c:pt>
                <c:pt idx="14">
                  <c:v>97.82</c:v>
                </c:pt>
                <c:pt idx="15">
                  <c:v>77.42</c:v>
                </c:pt>
                <c:pt idx="16" formatCode="General">
                  <c:v>62.4</c:v>
                </c:pt>
                <c:pt idx="17">
                  <c:v>78.52</c:v>
                </c:pt>
                <c:pt idx="18">
                  <c:v>90.42</c:v>
                </c:pt>
                <c:pt idx="19">
                  <c:v>90.360000000000014</c:v>
                </c:pt>
                <c:pt idx="20">
                  <c:v>67.12333333333244</c:v>
                </c:pt>
                <c:pt idx="21">
                  <c:v>60.526666666666173</c:v>
                </c:pt>
                <c:pt idx="22">
                  <c:v>52.46</c:v>
                </c:pt>
                <c:pt idx="23">
                  <c:v>56.7</c:v>
                </c:pt>
                <c:pt idx="24">
                  <c:v>63.03</c:v>
                </c:pt>
                <c:pt idx="25">
                  <c:v>56.6</c:v>
                </c:pt>
                <c:pt idx="26">
                  <c:v>57.1</c:v>
                </c:pt>
                <c:pt idx="27">
                  <c:v>63.96</c:v>
                </c:pt>
                <c:pt idx="28">
                  <c:v>59.05</c:v>
                </c:pt>
              </c:numCache>
            </c:numRef>
          </c:val>
        </c:ser>
        <c:marker val="1"/>
        <c:axId val="148017920"/>
        <c:axId val="148019456"/>
      </c:lineChart>
      <c:catAx>
        <c:axId val="148001920"/>
        <c:scaling>
          <c:orientation val="minMax"/>
        </c:scaling>
        <c:axPos val="b"/>
        <c:numFmt formatCode="General" sourceLinked="1"/>
        <c:tickLblPos val="nextTo"/>
        <c:spPr>
          <a:ln w="3175">
            <a:solidFill>
              <a:srgbClr val="000000"/>
            </a:solidFill>
            <a:prstDash val="solid"/>
          </a:ln>
        </c:spPr>
        <c:txPr>
          <a:bodyPr rot="-5340000" vert="horz"/>
          <a:lstStyle/>
          <a:p>
            <a:pPr>
              <a:defRPr sz="675" b="1" i="0" u="none" strike="noStrike" baseline="0">
                <a:solidFill>
                  <a:srgbClr val="000000"/>
                </a:solidFill>
                <a:latin typeface="Tahoma"/>
                <a:ea typeface="Tahoma"/>
                <a:cs typeface="Tahoma"/>
              </a:defRPr>
            </a:pPr>
            <a:endParaRPr lang="en-US"/>
          </a:p>
        </c:txPr>
        <c:crossAx val="148003840"/>
        <c:crosses val="autoZero"/>
        <c:auto val="1"/>
        <c:lblAlgn val="ctr"/>
        <c:lblOffset val="100"/>
        <c:tickLblSkip val="1"/>
        <c:tickMarkSkip val="1"/>
      </c:catAx>
      <c:valAx>
        <c:axId val="148003840"/>
        <c:scaling>
          <c:orientation val="minMax"/>
          <c:min val="80"/>
        </c:scaling>
        <c:axPos val="l"/>
        <c:majorGridlines>
          <c:spPr>
            <a:ln w="3175">
              <a:solidFill>
                <a:srgbClr val="C0C0C0"/>
              </a:solidFill>
              <a:prstDash val="sysDash"/>
            </a:ln>
          </c:spPr>
        </c:majorGridlines>
        <c:numFmt formatCode="0" sourceLinked="0"/>
        <c:tickLblPos val="nextTo"/>
        <c:spPr>
          <a:ln w="3175">
            <a:solidFill>
              <a:srgbClr val="000000"/>
            </a:solidFill>
            <a:prstDash val="solid"/>
          </a:ln>
        </c:spPr>
        <c:txPr>
          <a:bodyPr rot="0" vert="horz"/>
          <a:lstStyle/>
          <a:p>
            <a:pPr>
              <a:defRPr sz="800" b="0" i="0" u="none" strike="noStrike" baseline="0">
                <a:solidFill>
                  <a:srgbClr val="000000"/>
                </a:solidFill>
                <a:latin typeface="Tahoma"/>
                <a:ea typeface="Tahoma"/>
                <a:cs typeface="Tahoma"/>
              </a:defRPr>
            </a:pPr>
            <a:endParaRPr lang="en-US"/>
          </a:p>
        </c:txPr>
        <c:crossAx val="148001920"/>
        <c:crosses val="autoZero"/>
        <c:crossBetween val="between"/>
        <c:majorUnit val="5"/>
      </c:valAx>
      <c:catAx>
        <c:axId val="148017920"/>
        <c:scaling>
          <c:orientation val="minMax"/>
        </c:scaling>
        <c:delete val="1"/>
        <c:axPos val="b"/>
        <c:tickLblPos val="none"/>
        <c:crossAx val="148019456"/>
        <c:crosses val="autoZero"/>
        <c:auto val="1"/>
        <c:lblAlgn val="ctr"/>
        <c:lblOffset val="100"/>
      </c:catAx>
      <c:valAx>
        <c:axId val="148019456"/>
        <c:scaling>
          <c:orientation val="minMax"/>
          <c:min val="40"/>
        </c:scaling>
        <c:axPos val="r"/>
        <c:numFmt formatCode="0" sourceLinked="0"/>
        <c:majorTickMark val="cross"/>
        <c:tickLblPos val="nextTo"/>
        <c:spPr>
          <a:ln w="3175">
            <a:solidFill>
              <a:srgbClr val="000000"/>
            </a:solidFill>
            <a:prstDash val="solid"/>
          </a:ln>
        </c:spPr>
        <c:txPr>
          <a:bodyPr rot="0" vert="horz"/>
          <a:lstStyle/>
          <a:p>
            <a:pPr>
              <a:defRPr sz="800" b="0" i="0" u="none" strike="noStrike" baseline="0">
                <a:solidFill>
                  <a:srgbClr val="000000"/>
                </a:solidFill>
                <a:latin typeface="Tahoma"/>
                <a:ea typeface="Tahoma"/>
                <a:cs typeface="Tahoma"/>
              </a:defRPr>
            </a:pPr>
            <a:endParaRPr lang="en-US"/>
          </a:p>
        </c:txPr>
        <c:crossAx val="148017920"/>
        <c:crosses val="max"/>
        <c:crossBetween val="between"/>
        <c:majorUnit val="10"/>
      </c:valAx>
      <c:spPr>
        <a:solidFill>
          <a:srgbClr val="FFFFFF"/>
        </a:solidFill>
        <a:ln w="25400">
          <a:noFill/>
        </a:ln>
      </c:spPr>
    </c:plotArea>
    <c:legend>
      <c:legendPos val="b"/>
      <c:layout>
        <c:manualLayout>
          <c:xMode val="edge"/>
          <c:yMode val="edge"/>
          <c:x val="3.5778175313059282E-2"/>
          <c:y val="0.93930757210262006"/>
          <c:w val="0.8998218603712107"/>
          <c:h val="5.2023121387283384E-2"/>
        </c:manualLayout>
      </c:layout>
      <c:spPr>
        <a:solidFill>
          <a:srgbClr val="FFFFFF"/>
        </a:solidFill>
        <a:ln w="25400">
          <a:noFill/>
        </a:ln>
      </c:spPr>
      <c:txPr>
        <a:bodyPr/>
        <a:lstStyle/>
        <a:p>
          <a:pPr>
            <a:defRPr sz="640" b="0" i="0" u="none" strike="noStrike" baseline="0">
              <a:solidFill>
                <a:srgbClr val="000000"/>
              </a:solidFill>
              <a:latin typeface="Tahoma"/>
              <a:ea typeface="Tahoma"/>
              <a:cs typeface="Tahoma"/>
            </a:defRPr>
          </a:pPr>
          <a:endParaRPr lang="en-US"/>
        </a:p>
      </c:txPr>
    </c:legend>
    <c:plotVisOnly val="1"/>
    <c:dispBlanksAs val="gap"/>
  </c:chart>
  <c:spPr>
    <a:solidFill>
      <a:srgbClr val="FFFFFF"/>
    </a:solidFill>
    <a:ln w="9525">
      <a:noFill/>
    </a:ln>
  </c:spPr>
  <c:txPr>
    <a:bodyPr/>
    <a:lstStyle/>
    <a:p>
      <a:pPr>
        <a:defRPr sz="900" b="0" i="0" u="none" strike="noStrike" baseline="0">
          <a:solidFill>
            <a:srgbClr val="000000"/>
          </a:solidFill>
          <a:latin typeface="Tahoma"/>
          <a:ea typeface="Tahoma"/>
          <a:cs typeface="Tahoma"/>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4598540145985556"/>
          <c:y val="4.8780487804879015E-2"/>
          <c:w val="0.8175182481751827"/>
          <c:h val="0.73867595818816656"/>
        </c:manualLayout>
      </c:layout>
      <c:lineChart>
        <c:grouping val="standard"/>
        <c:ser>
          <c:idx val="0"/>
          <c:order val="0"/>
          <c:tx>
            <c:strRef>
              <c:f>'Διαγρ. 3.3, 3.5'!$C$2</c:f>
              <c:strCache>
                <c:ptCount val="1"/>
                <c:pt idx="0">
                  <c:v>Δείκτης</c:v>
                </c:pt>
              </c:strCache>
            </c:strRef>
          </c:tx>
          <c:spPr>
            <a:ln w="25400">
              <a:solidFill>
                <a:srgbClr val="000080"/>
              </a:solidFill>
              <a:prstDash val="solid"/>
            </a:ln>
          </c:spPr>
          <c:marker>
            <c:symbol val="diamond"/>
            <c:size val="5"/>
            <c:spPr>
              <a:solidFill>
                <a:srgbClr val="000080"/>
              </a:solidFill>
              <a:ln>
                <a:solidFill>
                  <a:srgbClr val="000080"/>
                </a:solidFill>
                <a:prstDash val="solid"/>
              </a:ln>
            </c:spPr>
          </c:marker>
          <c:cat>
            <c:multiLvlStrRef>
              <c:f>'Διαγρ. 3.3, 3.5'!$A$11:$B$30</c:f>
              <c:multiLvlStrCache>
                <c:ptCount val="20"/>
                <c:lvl>
                  <c:pt idx="0">
                    <c:v>A</c:v>
                  </c:pt>
                  <c:pt idx="1">
                    <c:v>B</c:v>
                  </c:pt>
                  <c:pt idx="2">
                    <c:v>Γ</c:v>
                  </c:pt>
                  <c:pt idx="3">
                    <c:v>Δ</c:v>
                  </c:pt>
                  <c:pt idx="4">
                    <c:v>A</c:v>
                  </c:pt>
                  <c:pt idx="5">
                    <c:v>B</c:v>
                  </c:pt>
                  <c:pt idx="6">
                    <c:v>Γ</c:v>
                  </c:pt>
                  <c:pt idx="7">
                    <c:v>Δ</c:v>
                  </c:pt>
                  <c:pt idx="8">
                    <c:v>A</c:v>
                  </c:pt>
                  <c:pt idx="9">
                    <c:v>Β</c:v>
                  </c:pt>
                  <c:pt idx="10">
                    <c:v>Γ</c:v>
                  </c:pt>
                  <c:pt idx="11">
                    <c:v>Δ</c:v>
                  </c:pt>
                  <c:pt idx="12">
                    <c:v>A</c:v>
                  </c:pt>
                  <c:pt idx="13">
                    <c:v>Β</c:v>
                  </c:pt>
                  <c:pt idx="14">
                    <c:v>Γ</c:v>
                  </c:pt>
                  <c:pt idx="15">
                    <c:v>Δ</c:v>
                  </c:pt>
                  <c:pt idx="16">
                    <c:v>A</c:v>
                  </c:pt>
                  <c:pt idx="17">
                    <c:v>Β</c:v>
                  </c:pt>
                  <c:pt idx="18">
                    <c:v>Γ</c:v>
                  </c:pt>
                  <c:pt idx="19">
                    <c:v>Δ</c:v>
                  </c:pt>
                </c:lvl>
                <c:lvl>
                  <c:pt idx="0">
                    <c:v>2007</c:v>
                  </c:pt>
                  <c:pt idx="4">
                    <c:v>2008</c:v>
                  </c:pt>
                  <c:pt idx="8">
                    <c:v>2009</c:v>
                  </c:pt>
                  <c:pt idx="12">
                    <c:v>2010</c:v>
                  </c:pt>
                  <c:pt idx="16">
                    <c:v>2011</c:v>
                  </c:pt>
                </c:lvl>
              </c:multiLvlStrCache>
            </c:multiLvlStrRef>
          </c:cat>
          <c:val>
            <c:numRef>
              <c:f>'Διαγρ. 3.3, 3.5'!$C$11:$C$30</c:f>
              <c:numCache>
                <c:formatCode>0</c:formatCode>
                <c:ptCount val="20"/>
                <c:pt idx="0">
                  <c:v>117.1</c:v>
                </c:pt>
                <c:pt idx="1">
                  <c:v>130.1</c:v>
                </c:pt>
                <c:pt idx="2">
                  <c:v>118</c:v>
                </c:pt>
                <c:pt idx="3">
                  <c:v>131.1</c:v>
                </c:pt>
                <c:pt idx="4">
                  <c:v>125.2</c:v>
                </c:pt>
                <c:pt idx="5">
                  <c:v>146.6</c:v>
                </c:pt>
                <c:pt idx="6">
                  <c:v>135</c:v>
                </c:pt>
                <c:pt idx="7">
                  <c:v>136.4</c:v>
                </c:pt>
                <c:pt idx="8">
                  <c:v>114</c:v>
                </c:pt>
                <c:pt idx="9">
                  <c:v>124.8</c:v>
                </c:pt>
                <c:pt idx="10">
                  <c:v>125.2</c:v>
                </c:pt>
                <c:pt idx="11">
                  <c:v>130.80000000000001</c:v>
                </c:pt>
                <c:pt idx="12">
                  <c:v>119.9</c:v>
                </c:pt>
                <c:pt idx="13">
                  <c:v>118.4</c:v>
                </c:pt>
                <c:pt idx="14">
                  <c:v>106.8</c:v>
                </c:pt>
                <c:pt idx="15">
                  <c:v>120.5</c:v>
                </c:pt>
                <c:pt idx="16">
                  <c:v>103.9</c:v>
                </c:pt>
                <c:pt idx="17">
                  <c:v>106.7</c:v>
                </c:pt>
                <c:pt idx="18">
                  <c:v>96.4</c:v>
                </c:pt>
                <c:pt idx="19">
                  <c:v>96</c:v>
                </c:pt>
              </c:numCache>
            </c:numRef>
          </c:val>
        </c:ser>
        <c:marker val="1"/>
        <c:axId val="148029824"/>
        <c:axId val="148031744"/>
      </c:lineChart>
      <c:catAx>
        <c:axId val="148029824"/>
        <c:scaling>
          <c:orientation val="minMax"/>
        </c:scaling>
        <c:axPos val="b"/>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Tahoma"/>
                <a:ea typeface="Tahoma"/>
                <a:cs typeface="Tahoma"/>
              </a:defRPr>
            </a:pPr>
            <a:endParaRPr lang="en-US"/>
          </a:p>
        </c:txPr>
        <c:crossAx val="148031744"/>
        <c:crosses val="autoZero"/>
        <c:auto val="1"/>
        <c:lblAlgn val="ctr"/>
        <c:lblOffset val="100"/>
        <c:tickMarkSkip val="1"/>
      </c:catAx>
      <c:valAx>
        <c:axId val="148031744"/>
        <c:scaling>
          <c:orientation val="minMax"/>
          <c:max val="160"/>
          <c:min val="90"/>
        </c:scaling>
        <c:axPos val="l"/>
        <c:majorGridlines>
          <c:spPr>
            <a:ln w="3175">
              <a:solidFill>
                <a:srgbClr val="C0C0C0"/>
              </a:solidFill>
              <a:prstDash val="sysDash"/>
            </a:ln>
          </c:spPr>
        </c:majorGridlines>
        <c:numFmt formatCode="0" sourceLinked="1"/>
        <c:tickLblPos val="nextTo"/>
        <c:spPr>
          <a:ln w="3175">
            <a:solidFill>
              <a:srgbClr val="000000"/>
            </a:solidFill>
            <a:prstDash val="solid"/>
          </a:ln>
        </c:spPr>
        <c:txPr>
          <a:bodyPr rot="0" vert="horz"/>
          <a:lstStyle/>
          <a:p>
            <a:pPr>
              <a:defRPr sz="800" b="0" i="0" u="none" strike="noStrike" baseline="0">
                <a:solidFill>
                  <a:srgbClr val="000000"/>
                </a:solidFill>
                <a:latin typeface="Tahoma"/>
                <a:ea typeface="Tahoma"/>
                <a:cs typeface="Tahoma"/>
              </a:defRPr>
            </a:pPr>
            <a:endParaRPr lang="en-US"/>
          </a:p>
        </c:txPr>
        <c:crossAx val="148029824"/>
        <c:crosses val="autoZero"/>
        <c:crossBetween val="between"/>
        <c:majorUnit val="10"/>
      </c:valAx>
      <c:dTable>
        <c:showHorzBorder val="1"/>
        <c:showVertBorder val="1"/>
        <c:showOutline val="1"/>
        <c:showKeys val="1"/>
        <c:spPr>
          <a:ln w="3175">
            <a:solidFill>
              <a:srgbClr val="C0C0C0"/>
            </a:solidFill>
            <a:prstDash val="solid"/>
          </a:ln>
        </c:spPr>
        <c:txPr>
          <a:bodyPr/>
          <a:lstStyle/>
          <a:p>
            <a:pPr rtl="0">
              <a:defRPr sz="800" b="0" i="0" u="none" strike="noStrike" baseline="0">
                <a:solidFill>
                  <a:srgbClr val="000000"/>
                </a:solidFill>
                <a:latin typeface="Tahoma"/>
                <a:ea typeface="Tahoma"/>
                <a:cs typeface="Tahoma"/>
              </a:defRPr>
            </a:pPr>
            <a:endParaRPr lang="en-US"/>
          </a:p>
        </c:txPr>
      </c:dTable>
      <c:spPr>
        <a:solidFill>
          <a:srgbClr val="FFFFFF"/>
        </a:solidFill>
        <a:ln w="25400">
          <a:noFill/>
        </a:ln>
      </c:spPr>
    </c:plotArea>
    <c:plotVisOnly val="1"/>
    <c:dispBlanksAs val="gap"/>
  </c:chart>
  <c:spPr>
    <a:solidFill>
      <a:srgbClr val="FFFFFF"/>
    </a:solidFill>
    <a:ln w="9525">
      <a:noFill/>
    </a:ln>
  </c:spPr>
  <c:txPr>
    <a:bodyPr/>
    <a:lstStyle/>
    <a:p>
      <a:pPr>
        <a:defRPr sz="800" b="0" i="0" u="none" strike="noStrike" baseline="0">
          <a:solidFill>
            <a:srgbClr val="000000"/>
          </a:solidFill>
          <a:latin typeface="Tahoma"/>
          <a:ea typeface="Tahoma"/>
          <a:cs typeface="Tahoma"/>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1257035647279548"/>
          <c:y val="4.5016077170418785E-2"/>
          <c:w val="0.87992495309569418"/>
          <c:h val="0.74919614147909963"/>
        </c:manualLayout>
      </c:layout>
      <c:barChart>
        <c:barDir val="col"/>
        <c:grouping val="clustered"/>
        <c:ser>
          <c:idx val="0"/>
          <c:order val="0"/>
          <c:tx>
            <c:strRef>
              <c:f>'Διαγρ. 3.6-3.9'!$C$116</c:f>
              <c:strCache>
                <c:ptCount val="1"/>
                <c:pt idx="0">
                  <c:v>Δείκτης</c:v>
                </c:pt>
              </c:strCache>
            </c:strRef>
          </c:tx>
          <c:spPr>
            <a:solidFill>
              <a:srgbClr val="9999FF"/>
            </a:solidFill>
            <a:ln w="25400">
              <a:noFill/>
            </a:ln>
          </c:spPr>
          <c:cat>
            <c:multiLvlStrRef>
              <c:f>'Διαγρ. 3.6-3.9'!$A$163:$B$186</c:f>
              <c:multiLvlStrCache>
                <c:ptCount val="24"/>
                <c:lvl>
                  <c:pt idx="0">
                    <c:v>A</c:v>
                  </c:pt>
                  <c:pt idx="1">
                    <c:v>B</c:v>
                  </c:pt>
                  <c:pt idx="2">
                    <c:v>Γ</c:v>
                  </c:pt>
                  <c:pt idx="3">
                    <c:v>Δ</c:v>
                  </c:pt>
                  <c:pt idx="4">
                    <c:v>A</c:v>
                  </c:pt>
                  <c:pt idx="5">
                    <c:v>B</c:v>
                  </c:pt>
                  <c:pt idx="6">
                    <c:v>Γ</c:v>
                  </c:pt>
                  <c:pt idx="7">
                    <c:v>Δ</c:v>
                  </c:pt>
                  <c:pt idx="8">
                    <c:v>A</c:v>
                  </c:pt>
                  <c:pt idx="9">
                    <c:v>Β</c:v>
                  </c:pt>
                  <c:pt idx="10">
                    <c:v>Γ</c:v>
                  </c:pt>
                  <c:pt idx="11">
                    <c:v>Δ</c:v>
                  </c:pt>
                  <c:pt idx="12">
                    <c:v>Α</c:v>
                  </c:pt>
                  <c:pt idx="13">
                    <c:v>Β</c:v>
                  </c:pt>
                  <c:pt idx="14">
                    <c:v>Γ</c:v>
                  </c:pt>
                  <c:pt idx="15">
                    <c:v>Δ</c:v>
                  </c:pt>
                  <c:pt idx="16">
                    <c:v>Α</c:v>
                  </c:pt>
                  <c:pt idx="17">
                    <c:v>Β</c:v>
                  </c:pt>
                  <c:pt idx="18">
                    <c:v>Γ</c:v>
                  </c:pt>
                  <c:pt idx="19">
                    <c:v>Δ</c:v>
                  </c:pt>
                  <c:pt idx="20">
                    <c:v>Α</c:v>
                  </c:pt>
                  <c:pt idx="21">
                    <c:v>Β</c:v>
                  </c:pt>
                  <c:pt idx="22">
                    <c:v>Γ</c:v>
                  </c:pt>
                  <c:pt idx="23">
                    <c:v>Δ</c:v>
                  </c:pt>
                </c:lvl>
                <c:lvl>
                  <c:pt idx="0">
                    <c:v>2006</c:v>
                  </c:pt>
                  <c:pt idx="4">
                    <c:v>2007</c:v>
                  </c:pt>
                  <c:pt idx="8">
                    <c:v>2008</c:v>
                  </c:pt>
                  <c:pt idx="12">
                    <c:v>2009</c:v>
                  </c:pt>
                  <c:pt idx="16">
                    <c:v>2010</c:v>
                  </c:pt>
                  <c:pt idx="20">
                    <c:v>2011</c:v>
                  </c:pt>
                </c:lvl>
              </c:multiLvlStrCache>
            </c:multiLvlStrRef>
          </c:cat>
          <c:val>
            <c:numRef>
              <c:f>'Διαγρ. 3.6-3.9'!$C$163:$C$186</c:f>
              <c:numCache>
                <c:formatCode>0</c:formatCode>
                <c:ptCount val="24"/>
                <c:pt idx="0">
                  <c:v>73</c:v>
                </c:pt>
                <c:pt idx="1">
                  <c:v>112.8</c:v>
                </c:pt>
                <c:pt idx="2">
                  <c:v>70.8</c:v>
                </c:pt>
                <c:pt idx="3">
                  <c:v>130.69999999999999</c:v>
                </c:pt>
                <c:pt idx="4">
                  <c:v>81.599999999999994</c:v>
                </c:pt>
                <c:pt idx="5">
                  <c:v>113.6</c:v>
                </c:pt>
                <c:pt idx="6">
                  <c:v>79.5</c:v>
                </c:pt>
                <c:pt idx="7">
                  <c:v>131</c:v>
                </c:pt>
                <c:pt idx="8">
                  <c:v>86.1</c:v>
                </c:pt>
                <c:pt idx="9">
                  <c:v>128.69999999999999</c:v>
                </c:pt>
                <c:pt idx="10">
                  <c:v>82.9</c:v>
                </c:pt>
                <c:pt idx="11">
                  <c:v>118.3</c:v>
                </c:pt>
                <c:pt idx="12">
                  <c:v>70.400000000000006</c:v>
                </c:pt>
                <c:pt idx="13">
                  <c:v>94.3</c:v>
                </c:pt>
                <c:pt idx="14">
                  <c:v>65.099999999999994</c:v>
                </c:pt>
                <c:pt idx="15">
                  <c:v>109.8</c:v>
                </c:pt>
                <c:pt idx="16">
                  <c:v>65</c:v>
                </c:pt>
                <c:pt idx="17">
                  <c:v>81</c:v>
                </c:pt>
                <c:pt idx="18">
                  <c:v>43.4</c:v>
                </c:pt>
                <c:pt idx="19">
                  <c:v>68.5</c:v>
                </c:pt>
                <c:pt idx="20">
                  <c:v>55.2</c:v>
                </c:pt>
                <c:pt idx="21">
                  <c:v>59.1</c:v>
                </c:pt>
                <c:pt idx="22">
                  <c:v>42.7</c:v>
                </c:pt>
                <c:pt idx="23">
                  <c:v>57</c:v>
                </c:pt>
              </c:numCache>
            </c:numRef>
          </c:val>
        </c:ser>
        <c:axId val="148040704"/>
        <c:axId val="148374272"/>
      </c:barChart>
      <c:catAx>
        <c:axId val="148040704"/>
        <c:scaling>
          <c:orientation val="minMax"/>
        </c:scaling>
        <c:axPos val="b"/>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Tahoma"/>
                <a:ea typeface="Tahoma"/>
                <a:cs typeface="Tahoma"/>
              </a:defRPr>
            </a:pPr>
            <a:endParaRPr lang="en-US"/>
          </a:p>
        </c:txPr>
        <c:crossAx val="148374272"/>
        <c:crosses val="autoZero"/>
        <c:auto val="1"/>
        <c:lblAlgn val="ctr"/>
        <c:lblOffset val="100"/>
        <c:tickMarkSkip val="1"/>
      </c:catAx>
      <c:valAx>
        <c:axId val="148374272"/>
        <c:scaling>
          <c:orientation val="minMax"/>
        </c:scaling>
        <c:axPos val="l"/>
        <c:majorGridlines>
          <c:spPr>
            <a:ln w="3175">
              <a:solidFill>
                <a:srgbClr val="C0C0C0"/>
              </a:solidFill>
              <a:prstDash val="sysDash"/>
            </a:ln>
          </c:spPr>
        </c:majorGridlines>
        <c:numFmt formatCode="0" sourceLinked="1"/>
        <c:tickLblPos val="nextTo"/>
        <c:spPr>
          <a:ln w="3175">
            <a:solidFill>
              <a:srgbClr val="000000"/>
            </a:solidFill>
            <a:prstDash val="solid"/>
          </a:ln>
        </c:spPr>
        <c:txPr>
          <a:bodyPr rot="0" vert="horz"/>
          <a:lstStyle/>
          <a:p>
            <a:pPr>
              <a:defRPr sz="800" b="0" i="0" u="none" strike="noStrike" baseline="0">
                <a:solidFill>
                  <a:srgbClr val="000000"/>
                </a:solidFill>
                <a:latin typeface="Tahoma"/>
                <a:ea typeface="Tahoma"/>
                <a:cs typeface="Tahoma"/>
              </a:defRPr>
            </a:pPr>
            <a:endParaRPr lang="en-US"/>
          </a:p>
        </c:txPr>
        <c:crossAx val="148040704"/>
        <c:crosses val="autoZero"/>
        <c:crossBetween val="between"/>
      </c:valAx>
      <c:dTable>
        <c:showHorzBorder val="1"/>
        <c:showVertBorder val="1"/>
        <c:showOutline val="1"/>
        <c:showKeys val="1"/>
        <c:spPr>
          <a:ln w="3175">
            <a:solidFill>
              <a:srgbClr val="C0C0C0"/>
            </a:solidFill>
            <a:prstDash val="solid"/>
          </a:ln>
        </c:spPr>
        <c:txPr>
          <a:bodyPr/>
          <a:lstStyle/>
          <a:p>
            <a:pPr rtl="0">
              <a:defRPr sz="800" b="0" i="0" u="none" strike="noStrike" baseline="0">
                <a:solidFill>
                  <a:srgbClr val="000000"/>
                </a:solidFill>
                <a:latin typeface="Tahoma"/>
                <a:ea typeface="Tahoma"/>
                <a:cs typeface="Tahoma"/>
              </a:defRPr>
            </a:pPr>
            <a:endParaRPr lang="en-US"/>
          </a:p>
        </c:txPr>
      </c:dTable>
      <c:spPr>
        <a:solidFill>
          <a:srgbClr val="FFFFFF"/>
        </a:solidFill>
        <a:ln w="25400">
          <a:noFill/>
        </a:ln>
      </c:spPr>
    </c:plotArea>
    <c:plotVisOnly val="1"/>
    <c:dispBlanksAs val="gap"/>
  </c:chart>
  <c:spPr>
    <a:solidFill>
      <a:srgbClr val="FFFFFF"/>
    </a:solidFill>
    <a:ln w="9525">
      <a:noFill/>
    </a:ln>
  </c:spPr>
  <c:txPr>
    <a:bodyPr/>
    <a:lstStyle/>
    <a:p>
      <a:pPr>
        <a:defRPr sz="800" b="0" i="0" u="none" strike="noStrike" baseline="0">
          <a:solidFill>
            <a:srgbClr val="000000"/>
          </a:solidFill>
          <a:latin typeface="Tahoma"/>
          <a:ea typeface="Tahoma"/>
          <a:cs typeface="Tahoma"/>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476014760147602"/>
          <c:y val="4.7619205792961396E-2"/>
          <c:w val="0.84501845018450994"/>
          <c:h val="0.74490043347562018"/>
        </c:manualLayout>
      </c:layout>
      <c:barChart>
        <c:barDir val="col"/>
        <c:grouping val="clustered"/>
        <c:ser>
          <c:idx val="0"/>
          <c:order val="0"/>
          <c:tx>
            <c:strRef>
              <c:f>'Διαγρ. 3.6-3.9'!$C$32</c:f>
              <c:strCache>
                <c:ptCount val="1"/>
                <c:pt idx="0">
                  <c:v>Δείκτης</c:v>
                </c:pt>
              </c:strCache>
            </c:strRef>
          </c:tx>
          <c:spPr>
            <a:solidFill>
              <a:srgbClr val="9999FF"/>
            </a:solidFill>
            <a:ln w="25400">
              <a:noFill/>
              <a:prstDash val="solid"/>
            </a:ln>
          </c:spPr>
          <c:cat>
            <c:multiLvlStrRef>
              <c:f>'Διαγρ. 3.6-3.9'!$A$37:$B$60</c:f>
              <c:multiLvlStrCache>
                <c:ptCount val="24"/>
                <c:lvl>
                  <c:pt idx="0">
                    <c:v>A</c:v>
                  </c:pt>
                  <c:pt idx="1">
                    <c:v>B</c:v>
                  </c:pt>
                  <c:pt idx="2">
                    <c:v>Γ</c:v>
                  </c:pt>
                  <c:pt idx="3">
                    <c:v>Δ</c:v>
                  </c:pt>
                  <c:pt idx="4">
                    <c:v>A</c:v>
                  </c:pt>
                  <c:pt idx="5">
                    <c:v>B</c:v>
                  </c:pt>
                  <c:pt idx="6">
                    <c:v>Γ</c:v>
                  </c:pt>
                  <c:pt idx="7">
                    <c:v>Δ</c:v>
                  </c:pt>
                  <c:pt idx="8">
                    <c:v>A</c:v>
                  </c:pt>
                  <c:pt idx="9">
                    <c:v>Β</c:v>
                  </c:pt>
                  <c:pt idx="10">
                    <c:v>Γ</c:v>
                  </c:pt>
                  <c:pt idx="11">
                    <c:v>Δ</c:v>
                  </c:pt>
                  <c:pt idx="12">
                    <c:v>Α</c:v>
                  </c:pt>
                  <c:pt idx="13">
                    <c:v>Β</c:v>
                  </c:pt>
                  <c:pt idx="14">
                    <c:v>Γ</c:v>
                  </c:pt>
                  <c:pt idx="15">
                    <c:v>Δ</c:v>
                  </c:pt>
                  <c:pt idx="16">
                    <c:v>Α</c:v>
                  </c:pt>
                  <c:pt idx="17">
                    <c:v>Β</c:v>
                  </c:pt>
                  <c:pt idx="18">
                    <c:v>Γ</c:v>
                  </c:pt>
                  <c:pt idx="19">
                    <c:v>Δ</c:v>
                  </c:pt>
                  <c:pt idx="20">
                    <c:v>Α</c:v>
                  </c:pt>
                  <c:pt idx="21">
                    <c:v>Β</c:v>
                  </c:pt>
                  <c:pt idx="22">
                    <c:v>Γ</c:v>
                  </c:pt>
                  <c:pt idx="23">
                    <c:v>Δ</c:v>
                  </c:pt>
                </c:lvl>
                <c:lvl>
                  <c:pt idx="0">
                    <c:v>2006</c:v>
                  </c:pt>
                  <c:pt idx="4">
                    <c:v>2007</c:v>
                  </c:pt>
                  <c:pt idx="8">
                    <c:v>2008</c:v>
                  </c:pt>
                  <c:pt idx="12">
                    <c:v>2009</c:v>
                  </c:pt>
                  <c:pt idx="16">
                    <c:v>2010</c:v>
                  </c:pt>
                  <c:pt idx="20">
                    <c:v>2011</c:v>
                  </c:pt>
                </c:lvl>
              </c:multiLvlStrCache>
            </c:multiLvlStrRef>
          </c:cat>
          <c:val>
            <c:numRef>
              <c:f>'Διαγρ. 3.6-3.9'!$C$37:$C$60</c:f>
              <c:numCache>
                <c:formatCode>0</c:formatCode>
                <c:ptCount val="24"/>
                <c:pt idx="0">
                  <c:v>104.7</c:v>
                </c:pt>
                <c:pt idx="1">
                  <c:v>108.6</c:v>
                </c:pt>
                <c:pt idx="2">
                  <c:v>107.2</c:v>
                </c:pt>
                <c:pt idx="3">
                  <c:v>117</c:v>
                </c:pt>
                <c:pt idx="4">
                  <c:v>101.3</c:v>
                </c:pt>
                <c:pt idx="5">
                  <c:v>109</c:v>
                </c:pt>
                <c:pt idx="6">
                  <c:v>112.8</c:v>
                </c:pt>
                <c:pt idx="7">
                  <c:v>107.7</c:v>
                </c:pt>
                <c:pt idx="8">
                  <c:v>104.5</c:v>
                </c:pt>
                <c:pt idx="9">
                  <c:v>108.6</c:v>
                </c:pt>
                <c:pt idx="10">
                  <c:v>110.8</c:v>
                </c:pt>
                <c:pt idx="11">
                  <c:v>102.6</c:v>
                </c:pt>
                <c:pt idx="12">
                  <c:v>97.5</c:v>
                </c:pt>
                <c:pt idx="13">
                  <c:v>95.8</c:v>
                </c:pt>
                <c:pt idx="14">
                  <c:v>97.9</c:v>
                </c:pt>
                <c:pt idx="15">
                  <c:v>97.2</c:v>
                </c:pt>
                <c:pt idx="16">
                  <c:v>91.2</c:v>
                </c:pt>
                <c:pt idx="17">
                  <c:v>87.7</c:v>
                </c:pt>
                <c:pt idx="18">
                  <c:v>90</c:v>
                </c:pt>
                <c:pt idx="19">
                  <c:v>75</c:v>
                </c:pt>
                <c:pt idx="20">
                  <c:v>79</c:v>
                </c:pt>
                <c:pt idx="21">
                  <c:v>77.900000000000006</c:v>
                </c:pt>
                <c:pt idx="22">
                  <c:v>81</c:v>
                </c:pt>
                <c:pt idx="23">
                  <c:v>75.5</c:v>
                </c:pt>
              </c:numCache>
            </c:numRef>
          </c:val>
        </c:ser>
        <c:axId val="148399232"/>
        <c:axId val="148400768"/>
      </c:barChart>
      <c:catAx>
        <c:axId val="148399232"/>
        <c:scaling>
          <c:orientation val="minMax"/>
        </c:scaling>
        <c:axPos val="b"/>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Tahoma"/>
                <a:ea typeface="Tahoma"/>
                <a:cs typeface="Tahoma"/>
              </a:defRPr>
            </a:pPr>
            <a:endParaRPr lang="en-US"/>
          </a:p>
        </c:txPr>
        <c:crossAx val="148400768"/>
        <c:crosses val="autoZero"/>
        <c:auto val="1"/>
        <c:lblAlgn val="ctr"/>
        <c:lblOffset val="100"/>
        <c:tickMarkSkip val="1"/>
      </c:catAx>
      <c:valAx>
        <c:axId val="148400768"/>
        <c:scaling>
          <c:orientation val="minMax"/>
          <c:min val="65"/>
        </c:scaling>
        <c:axPos val="l"/>
        <c:majorGridlines>
          <c:spPr>
            <a:ln w="3175">
              <a:solidFill>
                <a:srgbClr val="C0C0C0"/>
              </a:solidFill>
              <a:prstDash val="sysDash"/>
            </a:ln>
          </c:spPr>
        </c:majorGridlines>
        <c:numFmt formatCode="0" sourceLinked="1"/>
        <c:tickLblPos val="nextTo"/>
        <c:spPr>
          <a:ln w="3175">
            <a:solidFill>
              <a:srgbClr val="000000"/>
            </a:solidFill>
            <a:prstDash val="solid"/>
          </a:ln>
        </c:spPr>
        <c:txPr>
          <a:bodyPr rot="0" vert="horz"/>
          <a:lstStyle/>
          <a:p>
            <a:pPr>
              <a:defRPr sz="800" b="0" i="0" u="none" strike="noStrike" baseline="0">
                <a:solidFill>
                  <a:srgbClr val="000000"/>
                </a:solidFill>
                <a:latin typeface="Tahoma"/>
                <a:ea typeface="Tahoma"/>
                <a:cs typeface="Tahoma"/>
              </a:defRPr>
            </a:pPr>
            <a:endParaRPr lang="en-US"/>
          </a:p>
        </c:txPr>
        <c:crossAx val="148399232"/>
        <c:crosses val="autoZero"/>
        <c:crossBetween val="between"/>
        <c:majorUnit val="5"/>
      </c:valAx>
      <c:dTable>
        <c:showHorzBorder val="1"/>
        <c:showVertBorder val="1"/>
        <c:showOutline val="1"/>
        <c:showKeys val="1"/>
        <c:spPr>
          <a:ln w="3175">
            <a:solidFill>
              <a:srgbClr val="C0C0C0"/>
            </a:solidFill>
            <a:prstDash val="solid"/>
          </a:ln>
        </c:spPr>
        <c:txPr>
          <a:bodyPr/>
          <a:lstStyle/>
          <a:p>
            <a:pPr rtl="0">
              <a:defRPr sz="800" b="0" i="0" u="none" strike="noStrike" baseline="0">
                <a:solidFill>
                  <a:srgbClr val="000000"/>
                </a:solidFill>
                <a:latin typeface="Tahoma"/>
                <a:ea typeface="Tahoma"/>
                <a:cs typeface="Tahoma"/>
              </a:defRPr>
            </a:pPr>
            <a:endParaRPr lang="en-US"/>
          </a:p>
        </c:txPr>
      </c:dTable>
      <c:spPr>
        <a:solidFill>
          <a:srgbClr val="FFFFFF"/>
        </a:solidFill>
        <a:ln w="25400">
          <a:noFill/>
        </a:ln>
      </c:spPr>
    </c:plotArea>
    <c:plotVisOnly val="1"/>
    <c:dispBlanksAs val="gap"/>
  </c:chart>
  <c:spPr>
    <a:solidFill>
      <a:srgbClr val="FFFFFF"/>
    </a:solidFill>
    <a:ln w="9525">
      <a:noFill/>
    </a:ln>
  </c:spPr>
  <c:txPr>
    <a:bodyPr/>
    <a:lstStyle/>
    <a:p>
      <a:pPr>
        <a:defRPr sz="800" b="0" i="0" u="none" strike="noStrike" baseline="0">
          <a:solidFill>
            <a:srgbClr val="000000"/>
          </a:solidFill>
          <a:latin typeface="Tahoma"/>
          <a:ea typeface="Tahoma"/>
          <a:cs typeface="Tahoma"/>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1299455809086265"/>
          <c:y val="4.6052705548265231E-2"/>
          <c:w val="0.87005809729965"/>
          <c:h val="0.74671172567544364"/>
        </c:manualLayout>
      </c:layout>
      <c:barChart>
        <c:barDir val="col"/>
        <c:grouping val="clustered"/>
        <c:ser>
          <c:idx val="0"/>
          <c:order val="0"/>
          <c:tx>
            <c:strRef>
              <c:f>'Διαγρ. 3.6-3.9'!$C$116</c:f>
              <c:strCache>
                <c:ptCount val="1"/>
                <c:pt idx="0">
                  <c:v>Δείκτης</c:v>
                </c:pt>
              </c:strCache>
            </c:strRef>
          </c:tx>
          <c:spPr>
            <a:solidFill>
              <a:srgbClr val="9999FF"/>
            </a:solidFill>
            <a:ln w="25400">
              <a:noFill/>
            </a:ln>
          </c:spPr>
          <c:cat>
            <c:multiLvlStrRef>
              <c:f>'Διαγρ. 3.6-3.9'!$A$121:$B$144</c:f>
              <c:multiLvlStrCache>
                <c:ptCount val="24"/>
                <c:lvl>
                  <c:pt idx="0">
                    <c:v>A</c:v>
                  </c:pt>
                  <c:pt idx="1">
                    <c:v>B</c:v>
                  </c:pt>
                  <c:pt idx="2">
                    <c:v>Γ</c:v>
                  </c:pt>
                  <c:pt idx="3">
                    <c:v>Δ</c:v>
                  </c:pt>
                  <c:pt idx="4">
                    <c:v>A</c:v>
                  </c:pt>
                  <c:pt idx="5">
                    <c:v>B</c:v>
                  </c:pt>
                  <c:pt idx="6">
                    <c:v>Γ</c:v>
                  </c:pt>
                  <c:pt idx="7">
                    <c:v>Δ</c:v>
                  </c:pt>
                  <c:pt idx="8">
                    <c:v>A</c:v>
                  </c:pt>
                  <c:pt idx="9">
                    <c:v>Β</c:v>
                  </c:pt>
                  <c:pt idx="10">
                    <c:v>Γ</c:v>
                  </c:pt>
                  <c:pt idx="11">
                    <c:v>Δ</c:v>
                  </c:pt>
                  <c:pt idx="12">
                    <c:v>Α</c:v>
                  </c:pt>
                  <c:pt idx="13">
                    <c:v>Β</c:v>
                  </c:pt>
                  <c:pt idx="14">
                    <c:v>Γ</c:v>
                  </c:pt>
                  <c:pt idx="15">
                    <c:v>Δ</c:v>
                  </c:pt>
                  <c:pt idx="16">
                    <c:v>Α</c:v>
                  </c:pt>
                  <c:pt idx="17">
                    <c:v>Β</c:v>
                  </c:pt>
                  <c:pt idx="18">
                    <c:v>Γ</c:v>
                  </c:pt>
                  <c:pt idx="19">
                    <c:v>Δ</c:v>
                  </c:pt>
                  <c:pt idx="20">
                    <c:v>Α</c:v>
                  </c:pt>
                  <c:pt idx="21">
                    <c:v>Β</c:v>
                  </c:pt>
                  <c:pt idx="22">
                    <c:v>Γ</c:v>
                  </c:pt>
                  <c:pt idx="23">
                    <c:v>Δ</c:v>
                  </c:pt>
                </c:lvl>
                <c:lvl>
                  <c:pt idx="0">
                    <c:v>2006</c:v>
                  </c:pt>
                  <c:pt idx="4">
                    <c:v>2007</c:v>
                  </c:pt>
                  <c:pt idx="8">
                    <c:v>2008</c:v>
                  </c:pt>
                  <c:pt idx="12">
                    <c:v>2009</c:v>
                  </c:pt>
                  <c:pt idx="16">
                    <c:v>2010</c:v>
                  </c:pt>
                  <c:pt idx="20">
                    <c:v>2011</c:v>
                  </c:pt>
                </c:lvl>
              </c:multiLvlStrCache>
            </c:multiLvlStrRef>
          </c:cat>
          <c:val>
            <c:numRef>
              <c:f>'Διαγρ. 3.6-3.9'!$C$121:$C$144</c:f>
              <c:numCache>
                <c:formatCode>0</c:formatCode>
                <c:ptCount val="24"/>
                <c:pt idx="0">
                  <c:v>79.5</c:v>
                </c:pt>
                <c:pt idx="1">
                  <c:v>83.5</c:v>
                </c:pt>
                <c:pt idx="2">
                  <c:v>85.9</c:v>
                </c:pt>
                <c:pt idx="3">
                  <c:v>178.3</c:v>
                </c:pt>
                <c:pt idx="4">
                  <c:v>89.9</c:v>
                </c:pt>
                <c:pt idx="5">
                  <c:v>104</c:v>
                </c:pt>
                <c:pt idx="6">
                  <c:v>97.9</c:v>
                </c:pt>
                <c:pt idx="7">
                  <c:v>185.5</c:v>
                </c:pt>
                <c:pt idx="8">
                  <c:v>98.6</c:v>
                </c:pt>
                <c:pt idx="9">
                  <c:v>121.8</c:v>
                </c:pt>
                <c:pt idx="10">
                  <c:v>106.4</c:v>
                </c:pt>
                <c:pt idx="11">
                  <c:v>202.3</c:v>
                </c:pt>
                <c:pt idx="12">
                  <c:v>88.8</c:v>
                </c:pt>
                <c:pt idx="13">
                  <c:v>134.9</c:v>
                </c:pt>
                <c:pt idx="14">
                  <c:v>84.4</c:v>
                </c:pt>
                <c:pt idx="15">
                  <c:v>155.69999999999999</c:v>
                </c:pt>
                <c:pt idx="16">
                  <c:v>95.4</c:v>
                </c:pt>
                <c:pt idx="17">
                  <c:v>112.4</c:v>
                </c:pt>
                <c:pt idx="18">
                  <c:v>91</c:v>
                </c:pt>
                <c:pt idx="19">
                  <c:v>142.4</c:v>
                </c:pt>
                <c:pt idx="20">
                  <c:v>85.2</c:v>
                </c:pt>
                <c:pt idx="21">
                  <c:v>122.8</c:v>
                </c:pt>
                <c:pt idx="22">
                  <c:v>77.400000000000006</c:v>
                </c:pt>
                <c:pt idx="23">
                  <c:v>131.30000000000001</c:v>
                </c:pt>
              </c:numCache>
            </c:numRef>
          </c:val>
        </c:ser>
        <c:axId val="148421632"/>
        <c:axId val="148443904"/>
      </c:barChart>
      <c:catAx>
        <c:axId val="148421632"/>
        <c:scaling>
          <c:orientation val="minMax"/>
        </c:scaling>
        <c:axPos val="b"/>
        <c:numFmt formatCode="General" sourceLinked="1"/>
        <c:tickLblPos val="nextTo"/>
        <c:spPr>
          <a:ln w="3175">
            <a:solidFill>
              <a:srgbClr val="000000"/>
            </a:solidFill>
            <a:prstDash val="solid"/>
          </a:ln>
        </c:spPr>
        <c:txPr>
          <a:bodyPr rot="0" vert="horz"/>
          <a:lstStyle/>
          <a:p>
            <a:pPr>
              <a:defRPr sz="625" b="0" i="0" u="none" strike="noStrike" baseline="0">
                <a:solidFill>
                  <a:srgbClr val="000000"/>
                </a:solidFill>
                <a:latin typeface="Tahoma"/>
                <a:ea typeface="Tahoma"/>
                <a:cs typeface="Tahoma"/>
              </a:defRPr>
            </a:pPr>
            <a:endParaRPr lang="en-US"/>
          </a:p>
        </c:txPr>
        <c:crossAx val="148443904"/>
        <c:crosses val="autoZero"/>
        <c:auto val="1"/>
        <c:lblAlgn val="ctr"/>
        <c:lblOffset val="100"/>
        <c:tickMarkSkip val="1"/>
      </c:catAx>
      <c:valAx>
        <c:axId val="148443904"/>
        <c:scaling>
          <c:orientation val="minMax"/>
        </c:scaling>
        <c:axPos val="l"/>
        <c:majorGridlines>
          <c:spPr>
            <a:ln w="3175">
              <a:solidFill>
                <a:srgbClr val="C0C0C0"/>
              </a:solidFill>
              <a:prstDash val="sysDash"/>
            </a:ln>
          </c:spPr>
        </c:majorGridlines>
        <c:numFmt formatCode="0" sourceLinked="1"/>
        <c:tickLblPos val="nextTo"/>
        <c:spPr>
          <a:ln w="3175">
            <a:solidFill>
              <a:srgbClr val="000000"/>
            </a:solidFill>
            <a:prstDash val="solid"/>
          </a:ln>
        </c:spPr>
        <c:txPr>
          <a:bodyPr rot="0" vert="horz"/>
          <a:lstStyle/>
          <a:p>
            <a:pPr>
              <a:defRPr sz="800" b="0" i="0" u="none" strike="noStrike" baseline="0">
                <a:solidFill>
                  <a:srgbClr val="000000"/>
                </a:solidFill>
                <a:latin typeface="Tahoma"/>
                <a:ea typeface="Tahoma"/>
                <a:cs typeface="Tahoma"/>
              </a:defRPr>
            </a:pPr>
            <a:endParaRPr lang="en-US"/>
          </a:p>
        </c:txPr>
        <c:crossAx val="148421632"/>
        <c:crosses val="autoZero"/>
        <c:crossBetween val="between"/>
        <c:majorUnit val="40"/>
      </c:valAx>
      <c:dTable>
        <c:showHorzBorder val="1"/>
        <c:showVertBorder val="1"/>
        <c:showOutline val="1"/>
        <c:showKeys val="1"/>
        <c:spPr>
          <a:ln w="3175">
            <a:solidFill>
              <a:srgbClr val="C0C0C0"/>
            </a:solidFill>
            <a:prstDash val="solid"/>
          </a:ln>
        </c:spPr>
        <c:txPr>
          <a:bodyPr/>
          <a:lstStyle/>
          <a:p>
            <a:pPr rtl="0">
              <a:defRPr sz="800" b="0" i="0" u="none" strike="noStrike" baseline="0">
                <a:solidFill>
                  <a:srgbClr val="000000"/>
                </a:solidFill>
                <a:latin typeface="Tahoma"/>
                <a:ea typeface="Tahoma"/>
                <a:cs typeface="Tahoma"/>
              </a:defRPr>
            </a:pPr>
            <a:endParaRPr lang="en-US"/>
          </a:p>
        </c:txPr>
      </c:dTable>
      <c:spPr>
        <a:solidFill>
          <a:srgbClr val="FFFFFF"/>
        </a:solidFill>
        <a:ln w="25400">
          <a:noFill/>
        </a:ln>
      </c:spPr>
    </c:plotArea>
    <c:plotVisOnly val="1"/>
    <c:dispBlanksAs val="gap"/>
  </c:chart>
  <c:spPr>
    <a:solidFill>
      <a:srgbClr val="FFFFFF"/>
    </a:solidFill>
    <a:ln w="9525">
      <a:noFill/>
    </a:ln>
  </c:spPr>
  <c:txPr>
    <a:bodyPr/>
    <a:lstStyle/>
    <a:p>
      <a:pPr>
        <a:defRPr sz="700" b="0" i="0" u="none" strike="noStrike" baseline="0">
          <a:solidFill>
            <a:srgbClr val="000000"/>
          </a:solidFill>
          <a:latin typeface="Tahoma"/>
          <a:ea typeface="Tahoma"/>
          <a:cs typeface="Tahoma"/>
        </a:defRPr>
      </a:pPr>
      <a:endParaRPr lang="en-U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1049743629401958"/>
          <c:y val="6.0402783535392114E-2"/>
          <c:w val="0.8729297467227547"/>
          <c:h val="0.73825624321033978"/>
        </c:manualLayout>
      </c:layout>
      <c:barChart>
        <c:barDir val="col"/>
        <c:grouping val="clustered"/>
        <c:ser>
          <c:idx val="0"/>
          <c:order val="0"/>
          <c:tx>
            <c:strRef>
              <c:f>'Διαγρ. 3.6-3.9'!$C$199</c:f>
              <c:strCache>
                <c:ptCount val="1"/>
                <c:pt idx="0">
                  <c:v>Δείκτης</c:v>
                </c:pt>
              </c:strCache>
            </c:strRef>
          </c:tx>
          <c:spPr>
            <a:solidFill>
              <a:srgbClr val="9999FF"/>
            </a:solidFill>
            <a:ln w="25400">
              <a:noFill/>
            </a:ln>
          </c:spPr>
          <c:cat>
            <c:multiLvlStrRef>
              <c:f>'Διαγρ. 3.6-3.9'!$A$204:$B$227</c:f>
              <c:multiLvlStrCache>
                <c:ptCount val="24"/>
                <c:lvl>
                  <c:pt idx="0">
                    <c:v>A</c:v>
                  </c:pt>
                  <c:pt idx="1">
                    <c:v>B</c:v>
                  </c:pt>
                  <c:pt idx="2">
                    <c:v>Γ</c:v>
                  </c:pt>
                  <c:pt idx="3">
                    <c:v>Δ</c:v>
                  </c:pt>
                  <c:pt idx="4">
                    <c:v>A</c:v>
                  </c:pt>
                  <c:pt idx="5">
                    <c:v>B</c:v>
                  </c:pt>
                  <c:pt idx="6">
                    <c:v>Γ</c:v>
                  </c:pt>
                  <c:pt idx="7">
                    <c:v>Δ</c:v>
                  </c:pt>
                  <c:pt idx="8">
                    <c:v>A</c:v>
                  </c:pt>
                  <c:pt idx="9">
                    <c:v>Β</c:v>
                  </c:pt>
                  <c:pt idx="10">
                    <c:v>Γ</c:v>
                  </c:pt>
                  <c:pt idx="11">
                    <c:v>Δ</c:v>
                  </c:pt>
                  <c:pt idx="12">
                    <c:v>Α</c:v>
                  </c:pt>
                  <c:pt idx="13">
                    <c:v>Β</c:v>
                  </c:pt>
                  <c:pt idx="14">
                    <c:v>Γ</c:v>
                  </c:pt>
                  <c:pt idx="15">
                    <c:v>Δ</c:v>
                  </c:pt>
                  <c:pt idx="16">
                    <c:v>Α</c:v>
                  </c:pt>
                  <c:pt idx="17">
                    <c:v>Β</c:v>
                  </c:pt>
                  <c:pt idx="18">
                    <c:v>Γ</c:v>
                  </c:pt>
                  <c:pt idx="19">
                    <c:v>Δ</c:v>
                  </c:pt>
                  <c:pt idx="20">
                    <c:v>Α</c:v>
                  </c:pt>
                  <c:pt idx="21">
                    <c:v>Β</c:v>
                  </c:pt>
                  <c:pt idx="22">
                    <c:v>Γ</c:v>
                  </c:pt>
                  <c:pt idx="23">
                    <c:v>Δ</c:v>
                  </c:pt>
                </c:lvl>
                <c:lvl>
                  <c:pt idx="0">
                    <c:v>2006</c:v>
                  </c:pt>
                  <c:pt idx="4">
                    <c:v>2007</c:v>
                  </c:pt>
                  <c:pt idx="8">
                    <c:v>2008</c:v>
                  </c:pt>
                  <c:pt idx="12">
                    <c:v>2009</c:v>
                  </c:pt>
                  <c:pt idx="16">
                    <c:v>2010</c:v>
                  </c:pt>
                  <c:pt idx="20">
                    <c:v>2011</c:v>
                  </c:pt>
                </c:lvl>
              </c:multiLvlStrCache>
            </c:multiLvlStrRef>
          </c:cat>
          <c:val>
            <c:numRef>
              <c:f>'Διαγρ. 3.6-3.9'!$C$204:$C$227</c:f>
              <c:numCache>
                <c:formatCode>0</c:formatCode>
                <c:ptCount val="24"/>
                <c:pt idx="0">
                  <c:v>64.099999999999994</c:v>
                </c:pt>
                <c:pt idx="1">
                  <c:v>105.9</c:v>
                </c:pt>
                <c:pt idx="2">
                  <c:v>159.9</c:v>
                </c:pt>
                <c:pt idx="3">
                  <c:v>84.9</c:v>
                </c:pt>
                <c:pt idx="4">
                  <c:v>70.5</c:v>
                </c:pt>
                <c:pt idx="5">
                  <c:v>111.6</c:v>
                </c:pt>
                <c:pt idx="6">
                  <c:v>165.8</c:v>
                </c:pt>
                <c:pt idx="7">
                  <c:v>93.5</c:v>
                </c:pt>
                <c:pt idx="8">
                  <c:v>73.900000000000006</c:v>
                </c:pt>
                <c:pt idx="9">
                  <c:v>114.7</c:v>
                </c:pt>
                <c:pt idx="10">
                  <c:v>175.3</c:v>
                </c:pt>
                <c:pt idx="11">
                  <c:v>91.9</c:v>
                </c:pt>
                <c:pt idx="12">
                  <c:v>59.1</c:v>
                </c:pt>
                <c:pt idx="13">
                  <c:v>109.4</c:v>
                </c:pt>
                <c:pt idx="14">
                  <c:v>171.2</c:v>
                </c:pt>
                <c:pt idx="15">
                  <c:v>74.599999999999994</c:v>
                </c:pt>
                <c:pt idx="16">
                  <c:v>60.8</c:v>
                </c:pt>
                <c:pt idx="17">
                  <c:v>98.2</c:v>
                </c:pt>
                <c:pt idx="18">
                  <c:v>158.4</c:v>
                </c:pt>
                <c:pt idx="19">
                  <c:v>62.8</c:v>
                </c:pt>
                <c:pt idx="20">
                  <c:v>48.3</c:v>
                </c:pt>
                <c:pt idx="21">
                  <c:v>96</c:v>
                </c:pt>
                <c:pt idx="22">
                  <c:v>156.69999999999999</c:v>
                </c:pt>
                <c:pt idx="23">
                  <c:v>51.4</c:v>
                </c:pt>
              </c:numCache>
            </c:numRef>
          </c:val>
        </c:ser>
        <c:axId val="148456576"/>
        <c:axId val="148458112"/>
      </c:barChart>
      <c:catAx>
        <c:axId val="148456576"/>
        <c:scaling>
          <c:orientation val="minMax"/>
        </c:scaling>
        <c:axPos val="b"/>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Tahoma"/>
                <a:ea typeface="Tahoma"/>
                <a:cs typeface="Tahoma"/>
              </a:defRPr>
            </a:pPr>
            <a:endParaRPr lang="en-US"/>
          </a:p>
        </c:txPr>
        <c:crossAx val="148458112"/>
        <c:crosses val="autoZero"/>
        <c:auto val="1"/>
        <c:lblAlgn val="ctr"/>
        <c:lblOffset val="100"/>
        <c:tickMarkSkip val="1"/>
      </c:catAx>
      <c:valAx>
        <c:axId val="148458112"/>
        <c:scaling>
          <c:orientation val="minMax"/>
        </c:scaling>
        <c:axPos val="l"/>
        <c:majorGridlines>
          <c:spPr>
            <a:ln w="3175">
              <a:solidFill>
                <a:srgbClr val="C0C0C0"/>
              </a:solidFill>
              <a:prstDash val="sysDash"/>
            </a:ln>
          </c:spPr>
        </c:majorGridlines>
        <c:numFmt formatCode="0" sourceLinked="1"/>
        <c:tickLblPos val="nextTo"/>
        <c:spPr>
          <a:ln w="3175">
            <a:solidFill>
              <a:srgbClr val="000000"/>
            </a:solidFill>
            <a:prstDash val="solid"/>
          </a:ln>
        </c:spPr>
        <c:txPr>
          <a:bodyPr rot="0" vert="horz"/>
          <a:lstStyle/>
          <a:p>
            <a:pPr>
              <a:defRPr sz="800" b="0" i="0" u="none" strike="noStrike" baseline="0">
                <a:solidFill>
                  <a:srgbClr val="000000"/>
                </a:solidFill>
                <a:latin typeface="Tahoma"/>
                <a:ea typeface="Tahoma"/>
                <a:cs typeface="Tahoma"/>
              </a:defRPr>
            </a:pPr>
            <a:endParaRPr lang="en-US"/>
          </a:p>
        </c:txPr>
        <c:crossAx val="148456576"/>
        <c:crosses val="autoZero"/>
        <c:crossBetween val="between"/>
      </c:valAx>
      <c:dTable>
        <c:showHorzBorder val="1"/>
        <c:showVertBorder val="1"/>
        <c:showOutline val="1"/>
        <c:showKeys val="1"/>
        <c:spPr>
          <a:ln w="3175">
            <a:solidFill>
              <a:srgbClr val="C0C0C0"/>
            </a:solidFill>
            <a:prstDash val="solid"/>
          </a:ln>
        </c:spPr>
        <c:txPr>
          <a:bodyPr/>
          <a:lstStyle/>
          <a:p>
            <a:pPr rtl="0">
              <a:defRPr sz="800" b="0" i="0" u="none" strike="noStrike" baseline="0">
                <a:solidFill>
                  <a:srgbClr val="000000"/>
                </a:solidFill>
                <a:latin typeface="Tahoma"/>
                <a:ea typeface="Tahoma"/>
                <a:cs typeface="Tahoma"/>
              </a:defRPr>
            </a:pPr>
            <a:endParaRPr lang="en-US"/>
          </a:p>
        </c:txPr>
      </c:dTable>
      <c:spPr>
        <a:solidFill>
          <a:srgbClr val="FFFFFF"/>
        </a:solidFill>
        <a:ln w="25400">
          <a:noFill/>
        </a:ln>
      </c:spPr>
    </c:plotArea>
    <c:plotVisOnly val="1"/>
    <c:dispBlanksAs val="gap"/>
  </c:chart>
  <c:spPr>
    <a:solidFill>
      <a:srgbClr val="FFFFFF"/>
    </a:solidFill>
    <a:ln w="9525">
      <a:noFill/>
    </a:ln>
  </c:spPr>
  <c:txPr>
    <a:bodyPr/>
    <a:lstStyle/>
    <a:p>
      <a:pPr>
        <a:defRPr sz="800" b="0" i="0" u="none" strike="noStrike" baseline="0">
          <a:solidFill>
            <a:srgbClr val="000000"/>
          </a:solidFill>
          <a:latin typeface="Tahoma"/>
          <a:ea typeface="Tahoma"/>
          <a:cs typeface="Tahoma"/>
        </a:defRPr>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manualLayout>
          <c:layoutTarget val="inner"/>
          <c:xMode val="edge"/>
          <c:yMode val="edge"/>
          <c:x val="1.3029253696229181E-3"/>
          <c:y val="3.9235415573054072E-2"/>
          <c:w val="0.90878890138732649"/>
          <c:h val="0.80351168693413999"/>
        </c:manualLayout>
      </c:layout>
      <c:barChart>
        <c:barDir val="col"/>
        <c:grouping val="clustered"/>
        <c:ser>
          <c:idx val="2"/>
          <c:order val="2"/>
          <c:tx>
            <c:strRef>
              <c:f>'data emporiko'!$A$5</c:f>
              <c:strCache>
                <c:ptCount val="1"/>
                <c:pt idx="0">
                  <c:v>Εμπορικό Ισοζύγιο</c:v>
                </c:pt>
              </c:strCache>
            </c:strRef>
          </c:tx>
          <c:spPr>
            <a:solidFill>
              <a:schemeClr val="bg1">
                <a:lumMod val="65000"/>
              </a:schemeClr>
            </a:solidFill>
          </c:spPr>
          <c:dLbls>
            <c:numFmt formatCode="#,##0" sourceLinked="0"/>
            <c:spPr>
              <a:solidFill>
                <a:schemeClr val="bg1">
                  <a:lumMod val="65000"/>
                </a:schemeClr>
              </a:solidFill>
            </c:spPr>
            <c:dLblPos val="outEnd"/>
            <c:showVal val="1"/>
          </c:dLbls>
          <c:cat>
            <c:numRef>
              <c:f>'data emporiko'!$B$2:$L$2</c:f>
              <c:numCache>
                <c:formatCode>General</c:formatCode>
                <c:ptCount val="11"/>
                <c:pt idx="0">
                  <c:v>2001</c:v>
                </c:pt>
                <c:pt idx="1">
                  <c:v>2002</c:v>
                </c:pt>
                <c:pt idx="2">
                  <c:v>2003</c:v>
                </c:pt>
                <c:pt idx="3">
                  <c:v>2004</c:v>
                </c:pt>
                <c:pt idx="4">
                  <c:v>2005</c:v>
                </c:pt>
                <c:pt idx="5">
                  <c:v>2006</c:v>
                </c:pt>
                <c:pt idx="6">
                  <c:v>2007</c:v>
                </c:pt>
                <c:pt idx="7">
                  <c:v>2008</c:v>
                </c:pt>
                <c:pt idx="8">
                  <c:v>2009</c:v>
                </c:pt>
                <c:pt idx="9">
                  <c:v>2010</c:v>
                </c:pt>
                <c:pt idx="10">
                  <c:v>2011</c:v>
                </c:pt>
              </c:numCache>
            </c:numRef>
          </c:cat>
          <c:val>
            <c:numRef>
              <c:f>'data emporiko'!$B$5:$L$5</c:f>
              <c:numCache>
                <c:formatCode>#,##0.0</c:formatCode>
                <c:ptCount val="11"/>
                <c:pt idx="0">
                  <c:v>-21610.9</c:v>
                </c:pt>
                <c:pt idx="1">
                  <c:v>-22708.7</c:v>
                </c:pt>
                <c:pt idx="2">
                  <c:v>-22643.5</c:v>
                </c:pt>
                <c:pt idx="3">
                  <c:v>-25435.8</c:v>
                </c:pt>
                <c:pt idx="4">
                  <c:v>-27558.9</c:v>
                </c:pt>
                <c:pt idx="5">
                  <c:v>-35286.300000000003</c:v>
                </c:pt>
                <c:pt idx="6">
                  <c:v>-41499.199999999997</c:v>
                </c:pt>
                <c:pt idx="7">
                  <c:v>-44048.800000000003</c:v>
                </c:pt>
                <c:pt idx="8">
                  <c:v>-30767.3</c:v>
                </c:pt>
                <c:pt idx="9">
                  <c:v>-28279.599999999897</c:v>
                </c:pt>
                <c:pt idx="10">
                  <c:v>-27221.200000000001</c:v>
                </c:pt>
              </c:numCache>
            </c:numRef>
          </c:val>
        </c:ser>
        <c:axId val="148510592"/>
        <c:axId val="148512128"/>
      </c:barChart>
      <c:lineChart>
        <c:grouping val="standard"/>
        <c:ser>
          <c:idx val="0"/>
          <c:order val="0"/>
          <c:tx>
            <c:strRef>
              <c:f>'data emporiko'!$A$3</c:f>
              <c:strCache>
                <c:ptCount val="1"/>
                <c:pt idx="0">
                  <c:v>Εξαγωγές αγαθών</c:v>
                </c:pt>
              </c:strCache>
            </c:strRef>
          </c:tx>
          <c:spPr>
            <a:ln>
              <a:solidFill>
                <a:schemeClr val="tx1"/>
              </a:solidFill>
            </a:ln>
          </c:spPr>
          <c:marker>
            <c:spPr>
              <a:solidFill>
                <a:schemeClr val="tx1"/>
              </a:solidFill>
            </c:spPr>
          </c:marker>
          <c:dLbls>
            <c:dLbl>
              <c:idx val="6"/>
              <c:layout>
                <c:manualLayout>
                  <c:x val="-1.6129032258064543E-2"/>
                  <c:y val="-5.6888888888888892E-2"/>
                </c:manualLayout>
              </c:layout>
              <c:showSerName val="1"/>
            </c:dLbl>
            <c:delete val="1"/>
          </c:dLbls>
          <c:cat>
            <c:numRef>
              <c:f>'data emporiko'!$B$2:$L$2</c:f>
              <c:numCache>
                <c:formatCode>General</c:formatCode>
                <c:ptCount val="11"/>
                <c:pt idx="0">
                  <c:v>2001</c:v>
                </c:pt>
                <c:pt idx="1">
                  <c:v>2002</c:v>
                </c:pt>
                <c:pt idx="2">
                  <c:v>2003</c:v>
                </c:pt>
                <c:pt idx="3">
                  <c:v>2004</c:v>
                </c:pt>
                <c:pt idx="4">
                  <c:v>2005</c:v>
                </c:pt>
                <c:pt idx="5">
                  <c:v>2006</c:v>
                </c:pt>
                <c:pt idx="6">
                  <c:v>2007</c:v>
                </c:pt>
                <c:pt idx="7">
                  <c:v>2008</c:v>
                </c:pt>
                <c:pt idx="8">
                  <c:v>2009</c:v>
                </c:pt>
                <c:pt idx="9">
                  <c:v>2010</c:v>
                </c:pt>
                <c:pt idx="10">
                  <c:v>2011</c:v>
                </c:pt>
              </c:numCache>
            </c:numRef>
          </c:cat>
          <c:val>
            <c:numRef>
              <c:f>'data emporiko'!$B$3:$L$3</c:f>
              <c:numCache>
                <c:formatCode>#,##0.0</c:formatCode>
                <c:ptCount val="11"/>
                <c:pt idx="0">
                  <c:v>11545.4</c:v>
                </c:pt>
                <c:pt idx="1">
                  <c:v>10433.6</c:v>
                </c:pt>
                <c:pt idx="2">
                  <c:v>11113.6</c:v>
                </c:pt>
                <c:pt idx="3">
                  <c:v>12653.3</c:v>
                </c:pt>
                <c:pt idx="4">
                  <c:v>14200.9</c:v>
                </c:pt>
                <c:pt idx="5">
                  <c:v>16154.3</c:v>
                </c:pt>
                <c:pt idx="6">
                  <c:v>17445.5</c:v>
                </c:pt>
                <c:pt idx="7">
                  <c:v>19812.900000000001</c:v>
                </c:pt>
                <c:pt idx="8">
                  <c:v>15318</c:v>
                </c:pt>
                <c:pt idx="9">
                  <c:v>17081.5</c:v>
                </c:pt>
                <c:pt idx="10">
                  <c:v>20233</c:v>
                </c:pt>
              </c:numCache>
            </c:numRef>
          </c:val>
        </c:ser>
        <c:ser>
          <c:idx val="1"/>
          <c:order val="1"/>
          <c:tx>
            <c:strRef>
              <c:f>'data emporiko'!$A$4</c:f>
              <c:strCache>
                <c:ptCount val="1"/>
                <c:pt idx="0">
                  <c:v>Εισαγωγές αγαθών</c:v>
                </c:pt>
              </c:strCache>
            </c:strRef>
          </c:tx>
          <c:spPr>
            <a:ln>
              <a:solidFill>
                <a:srgbClr val="0070C0"/>
              </a:solidFill>
            </a:ln>
          </c:spPr>
          <c:marker>
            <c:symbol val="square"/>
            <c:size val="5"/>
            <c:spPr>
              <a:solidFill>
                <a:srgbClr val="0070C0"/>
              </a:solidFill>
            </c:spPr>
          </c:marker>
          <c:dLbls>
            <c:dLbl>
              <c:idx val="7"/>
              <c:showSerName val="1"/>
            </c:dLbl>
            <c:delete val="1"/>
          </c:dLbls>
          <c:cat>
            <c:numRef>
              <c:f>'data emporiko'!$B$2:$L$2</c:f>
              <c:numCache>
                <c:formatCode>General</c:formatCode>
                <c:ptCount val="11"/>
                <c:pt idx="0">
                  <c:v>2001</c:v>
                </c:pt>
                <c:pt idx="1">
                  <c:v>2002</c:v>
                </c:pt>
                <c:pt idx="2">
                  <c:v>2003</c:v>
                </c:pt>
                <c:pt idx="3">
                  <c:v>2004</c:v>
                </c:pt>
                <c:pt idx="4">
                  <c:v>2005</c:v>
                </c:pt>
                <c:pt idx="5">
                  <c:v>2006</c:v>
                </c:pt>
                <c:pt idx="6">
                  <c:v>2007</c:v>
                </c:pt>
                <c:pt idx="7">
                  <c:v>2008</c:v>
                </c:pt>
                <c:pt idx="8">
                  <c:v>2009</c:v>
                </c:pt>
                <c:pt idx="9">
                  <c:v>2010</c:v>
                </c:pt>
                <c:pt idx="10">
                  <c:v>2011</c:v>
                </c:pt>
              </c:numCache>
            </c:numRef>
          </c:cat>
          <c:val>
            <c:numRef>
              <c:f>'data emporiko'!$B$4:$L$4</c:f>
              <c:numCache>
                <c:formatCode>#,##0.0</c:formatCode>
                <c:ptCount val="11"/>
                <c:pt idx="0">
                  <c:v>33156.300000000003</c:v>
                </c:pt>
                <c:pt idx="1">
                  <c:v>33142.300000000003</c:v>
                </c:pt>
                <c:pt idx="2">
                  <c:v>33757.1</c:v>
                </c:pt>
                <c:pt idx="3">
                  <c:v>38089</c:v>
                </c:pt>
                <c:pt idx="4">
                  <c:v>41759.800000000003</c:v>
                </c:pt>
                <c:pt idx="5">
                  <c:v>51440.6</c:v>
                </c:pt>
                <c:pt idx="6">
                  <c:v>58944.800000000003</c:v>
                </c:pt>
                <c:pt idx="7">
                  <c:v>63861.7</c:v>
                </c:pt>
                <c:pt idx="8">
                  <c:v>46085.3</c:v>
                </c:pt>
                <c:pt idx="9">
                  <c:v>45361</c:v>
                </c:pt>
                <c:pt idx="10">
                  <c:v>47454.1</c:v>
                </c:pt>
              </c:numCache>
            </c:numRef>
          </c:val>
        </c:ser>
        <c:marker val="1"/>
        <c:axId val="148510592"/>
        <c:axId val="148512128"/>
      </c:lineChart>
      <c:catAx>
        <c:axId val="148510592"/>
        <c:scaling>
          <c:orientation val="minMax"/>
        </c:scaling>
        <c:axPos val="b"/>
        <c:numFmt formatCode="General" sourceLinked="1"/>
        <c:tickLblPos val="low"/>
        <c:crossAx val="148512128"/>
        <c:crosses val="autoZero"/>
        <c:auto val="1"/>
        <c:lblAlgn val="ctr"/>
        <c:lblOffset val="100"/>
      </c:catAx>
      <c:valAx>
        <c:axId val="148512128"/>
        <c:scaling>
          <c:orientation val="minMax"/>
          <c:max val="70000"/>
          <c:min val="-70000"/>
        </c:scaling>
        <c:axPos val="l"/>
        <c:majorGridlines>
          <c:spPr>
            <a:ln>
              <a:solidFill>
                <a:schemeClr val="bg1">
                  <a:lumMod val="75000"/>
                </a:schemeClr>
              </a:solidFill>
              <a:prstDash val="sysDash"/>
            </a:ln>
          </c:spPr>
        </c:majorGridlines>
        <c:title>
          <c:tx>
            <c:rich>
              <a:bodyPr rot="-5400000" vert="horz"/>
              <a:lstStyle/>
              <a:p>
                <a:pPr>
                  <a:defRPr/>
                </a:pPr>
                <a:r>
                  <a:rPr lang="el-GR"/>
                  <a:t>εκ. ευρώ</a:t>
                </a:r>
                <a:endParaRPr lang="en-US"/>
              </a:p>
            </c:rich>
          </c:tx>
          <c:layout>
            <c:manualLayout>
              <c:xMode val="edge"/>
              <c:yMode val="edge"/>
              <c:x val="0.9748696118867497"/>
              <c:y val="0.39596599917396591"/>
            </c:manualLayout>
          </c:layout>
        </c:title>
        <c:numFmt formatCode="#,##0" sourceLinked="0"/>
        <c:tickLblPos val="high"/>
        <c:crossAx val="148510592"/>
        <c:crosses val="autoZero"/>
        <c:crossBetween val="between"/>
      </c:valAx>
    </c:plotArea>
    <c:legend>
      <c:legendPos val="b"/>
    </c:legend>
    <c:plotVisOnly val="1"/>
    <c:dispBlanksAs val="gap"/>
  </c:chart>
  <c:spPr>
    <a:ln>
      <a:noFill/>
    </a:ln>
  </c:spPr>
  <c:txPr>
    <a:bodyPr/>
    <a:lstStyle/>
    <a:p>
      <a:pPr>
        <a:defRPr sz="800">
          <a:latin typeface="Tahoma" pitchFamily="34" charset="0"/>
          <a:ea typeface="Tahoma" pitchFamily="34" charset="0"/>
          <a:cs typeface="Tahoma" pitchFamily="34" charset="0"/>
        </a:defRPr>
      </a:pPr>
      <a:endParaRPr lang="en-US"/>
    </a:p>
  </c:txPr>
  <c:externalData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2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24.png"/></Relationships>
</file>

<file path=word/drawings/drawing1.xml><?xml version="1.0" encoding="utf-8"?>
<c:userShapes xmlns:c="http://schemas.openxmlformats.org/drawingml/2006/chart">
  <cdr:relSizeAnchor xmlns:cdr="http://schemas.openxmlformats.org/drawingml/2006/chartDrawing">
    <cdr:from>
      <cdr:x>0.25452</cdr:x>
      <cdr:y>0.14672</cdr:y>
    </cdr:from>
    <cdr:to>
      <cdr:x>0.62713</cdr:x>
      <cdr:y>0.84156</cdr:y>
    </cdr:to>
    <cdr:sp macro="" textlink="">
      <cdr:nvSpPr>
        <cdr:cNvPr id="5" name="Arc 4"/>
        <cdr:cNvSpPr/>
      </cdr:nvSpPr>
      <cdr:spPr>
        <a:xfrm xmlns:a="http://schemas.openxmlformats.org/drawingml/2006/main">
          <a:off x="2506587" y="700975"/>
          <a:ext cx="3669536" cy="3319697"/>
        </a:xfrm>
        <a:prstGeom xmlns:a="http://schemas.openxmlformats.org/drawingml/2006/main" prst="arc">
          <a:avLst>
            <a:gd name="adj1" fmla="val 16482249"/>
            <a:gd name="adj2" fmla="val 6765473"/>
          </a:avLst>
        </a:prstGeom>
        <a:ln xmlns:a="http://schemas.openxmlformats.org/drawingml/2006/main" w="38100">
          <a:solidFill>
            <a:schemeClr val="accent1">
              <a:lumMod val="50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l-GR"/>
        </a:p>
      </cdr:txBody>
    </cdr:sp>
  </cdr:relSizeAnchor>
  <cdr:relSizeAnchor xmlns:cdr="http://schemas.openxmlformats.org/drawingml/2006/chartDrawing">
    <cdr:from>
      <cdr:x>0</cdr:x>
      <cdr:y>0</cdr:y>
    </cdr:from>
    <cdr:to>
      <cdr:x>0.00292</cdr:x>
      <cdr:y>0.00494</cdr:y>
    </cdr:to>
    <cdr:pic>
      <cdr:nvPicPr>
        <cdr:cNvPr id="1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cdr:x>
      <cdr:y>0</cdr:y>
    </cdr:from>
    <cdr:to>
      <cdr:x>0.00292</cdr:x>
      <cdr:y>0.00494</cdr:y>
    </cdr:to>
    <cdr:pic>
      <cdr:nvPicPr>
        <cdr:cNvPr id="1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0.23831</cdr:x>
      <cdr:y>0.19182</cdr:y>
    </cdr:from>
    <cdr:to>
      <cdr:x>0.98176</cdr:x>
      <cdr:y>0.87259</cdr:y>
    </cdr:to>
    <cdr:grpSp>
      <cdr:nvGrpSpPr>
        <cdr:cNvPr id="18" name="17 - Ομάδα"/>
        <cdr:cNvGrpSpPr/>
      </cdr:nvGrpSpPr>
      <cdr:grpSpPr>
        <a:xfrm xmlns:a="http://schemas.openxmlformats.org/drawingml/2006/main">
          <a:off x="1307464" y="510609"/>
          <a:ext cx="4078864" cy="1812156"/>
          <a:chOff x="2346946" y="916445"/>
          <a:chExt cx="7321712" cy="3252466"/>
        </a:xfrm>
      </cdr:grpSpPr>
      <cdr:sp macro="" textlink="">
        <cdr:nvSpPr>
          <cdr:cNvPr id="3" name="Straight Arrow Connector 2"/>
          <cdr:cNvSpPr/>
        </cdr:nvSpPr>
        <cdr:spPr>
          <a:xfrm xmlns:a="http://schemas.openxmlformats.org/drawingml/2006/main" flipH="1" flipV="1">
            <a:off x="2346946" y="1180552"/>
            <a:ext cx="729956" cy="368929"/>
          </a:xfrm>
          <a:prstGeom xmlns:a="http://schemas.openxmlformats.org/drawingml/2006/main" prst="straightConnector1">
            <a:avLst/>
          </a:prstGeom>
          <a:ln xmlns:a="http://schemas.openxmlformats.org/drawingml/2006/main">
            <a:tailEnd type="arrow"/>
          </a:ln>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l-GR"/>
          </a:p>
        </cdr:txBody>
      </cdr:sp>
      <cdr:sp macro="" textlink="">
        <cdr:nvSpPr>
          <cdr:cNvPr id="8" name="Straight Arrow Connector 7"/>
          <cdr:cNvSpPr/>
        </cdr:nvSpPr>
        <cdr:spPr>
          <a:xfrm xmlns:a="http://schemas.openxmlformats.org/drawingml/2006/main">
            <a:off x="5221465" y="916445"/>
            <a:ext cx="808545" cy="9221"/>
          </a:xfrm>
          <a:prstGeom xmlns:a="http://schemas.openxmlformats.org/drawingml/2006/main" prst="straightConnector1">
            <a:avLst/>
          </a:prstGeom>
          <a:ln xmlns:a="http://schemas.openxmlformats.org/drawingml/2006/main">
            <a:solidFill>
              <a:schemeClr val="accent1">
                <a:lumMod val="50000"/>
              </a:schemeClr>
            </a:solidFill>
            <a:tailEnd type="arrow"/>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l-GR"/>
          </a:p>
        </cdr:txBody>
      </cdr:sp>
      <cdr:sp macro="" textlink="">
        <cdr:nvSpPr>
          <cdr:cNvPr id="10" name="Straight Arrow Connector 9"/>
          <cdr:cNvSpPr/>
        </cdr:nvSpPr>
        <cdr:spPr>
          <a:xfrm xmlns:a="http://schemas.openxmlformats.org/drawingml/2006/main">
            <a:off x="5749531" y="1494156"/>
            <a:ext cx="1044313" cy="175243"/>
          </a:xfrm>
          <a:prstGeom xmlns:a="http://schemas.openxmlformats.org/drawingml/2006/main" prst="straightConnector1">
            <a:avLst/>
          </a:prstGeom>
          <a:noFill xmlns:a="http://schemas.openxmlformats.org/drawingml/2006/main"/>
          <a:ln xmlns:a="http://schemas.openxmlformats.org/drawingml/2006/main" w="25400" cap="flat" cmpd="sng" algn="ctr">
            <a:solidFill>
              <a:schemeClr val="tx2">
                <a:lumMod val="60000"/>
                <a:lumOff val="40000"/>
              </a:schemeClr>
            </a:solidFill>
            <a:prstDash val="solid"/>
            <a:tailEnd type="arrow"/>
          </a:ln>
          <a:effectLst xmlns:a="http://schemas.openxmlformats.org/drawingml/2006/main">
            <a:outerShdw blurRad="40000" dist="20000" dir="5400000" rotWithShape="0">
              <a:srgbClr val="000000">
                <a:alpha val="38000"/>
              </a:srgbClr>
            </a:outerShdw>
          </a:effectLst>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el-GR"/>
          </a:p>
        </cdr:txBody>
      </cdr:sp>
      <cdr:sp macro="" textlink="">
        <cdr:nvSpPr>
          <cdr:cNvPr id="11" name="TextBox 1"/>
          <cdr:cNvSpPr txBox="1"/>
        </cdr:nvSpPr>
        <cdr:spPr>
          <a:xfrm xmlns:a="http://schemas.openxmlformats.org/drawingml/2006/main">
            <a:off x="6838752" y="1558701"/>
            <a:ext cx="2358272" cy="377676"/>
          </a:xfrm>
          <a:prstGeom xmlns:a="http://schemas.openxmlformats.org/drawingml/2006/main" prst="rect">
            <a:avLst/>
          </a:prstGeom>
          <a:solidFill xmlns:a="http://schemas.openxmlformats.org/drawingml/2006/main">
            <a:sysClr val="window" lastClr="FFFFFF"/>
          </a:solidFill>
          <a:ln xmlns:a="http://schemas.openxmlformats.org/drawingml/2006/main" w="25400" cap="flat" cmpd="sng" algn="ctr">
            <a:solidFill>
              <a:schemeClr val="tx2">
                <a:lumMod val="60000"/>
                <a:lumOff val="40000"/>
              </a:schemeClr>
            </a:solidFill>
            <a:prstDash val="solid"/>
          </a:ln>
          <a:effectLst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rtlCol="0"/>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el-GR" sz="900">
              <a:latin typeface="Tahoma" pitchFamily="34" charset="0"/>
              <a:cs typeface="Tahoma" pitchFamily="34" charset="0"/>
            </a:endParaRPr>
          </a:p>
        </cdr:txBody>
      </cdr:sp>
      <cdr:sp macro="" textlink="">
        <cdr:nvSpPr>
          <cdr:cNvPr id="12" name="Straight Arrow Connector 11"/>
          <cdr:cNvSpPr/>
        </cdr:nvSpPr>
        <cdr:spPr>
          <a:xfrm xmlns:a="http://schemas.openxmlformats.org/drawingml/2006/main">
            <a:off x="5884255" y="3135892"/>
            <a:ext cx="1044313" cy="175244"/>
          </a:xfrm>
          <a:prstGeom xmlns:a="http://schemas.openxmlformats.org/drawingml/2006/main" prst="straightConnector1">
            <a:avLst/>
          </a:prstGeom>
          <a:noFill xmlns:a="http://schemas.openxmlformats.org/drawingml/2006/main"/>
          <a:ln xmlns:a="http://schemas.openxmlformats.org/drawingml/2006/main" w="25400" cap="flat" cmpd="sng" algn="ctr">
            <a:solidFill>
              <a:schemeClr val="accent1">
                <a:lumMod val="60000"/>
                <a:lumOff val="40000"/>
              </a:schemeClr>
            </a:solidFill>
            <a:prstDash val="solid"/>
            <a:tailEnd type="arrow"/>
          </a:ln>
          <a:effectLst xmlns:a="http://schemas.openxmlformats.org/drawingml/2006/main">
            <a:outerShdw blurRad="40000" dist="20000" dir="5400000" rotWithShape="0">
              <a:srgbClr val="000000">
                <a:alpha val="38000"/>
              </a:srgbClr>
            </a:outerShdw>
          </a:effectLst>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el-GR"/>
          </a:p>
        </cdr:txBody>
      </cdr:sp>
      <cdr:sp macro="" textlink="">
        <cdr:nvSpPr>
          <cdr:cNvPr id="15" name="TextBox 1"/>
          <cdr:cNvSpPr txBox="1"/>
        </cdr:nvSpPr>
        <cdr:spPr>
          <a:xfrm xmlns:a="http://schemas.openxmlformats.org/drawingml/2006/main">
            <a:off x="6962348" y="2564058"/>
            <a:ext cx="2706310" cy="1098025"/>
          </a:xfrm>
          <a:prstGeom xmlns:a="http://schemas.openxmlformats.org/drawingml/2006/main" prst="rect">
            <a:avLst/>
          </a:prstGeom>
          <a:solidFill xmlns:a="http://schemas.openxmlformats.org/drawingml/2006/main">
            <a:sysClr val="window" lastClr="FFFFFF"/>
          </a:solidFill>
          <a:ln xmlns:a="http://schemas.openxmlformats.org/drawingml/2006/main" w="25400" cap="flat" cmpd="sng" algn="ctr">
            <a:solidFill>
              <a:schemeClr val="accent1">
                <a:lumMod val="60000"/>
                <a:lumOff val="40000"/>
              </a:schemeClr>
            </a:solidFill>
            <a:prstDash val="solid"/>
          </a:ln>
          <a:effectLst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rtlCol="0"/>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pPr rtl="0" fontAlgn="base"/>
            <a:r>
              <a:rPr lang="el-GR" sz="900" b="1">
                <a:solidFill>
                  <a:sysClr val="windowText" lastClr="000000"/>
                </a:solidFill>
                <a:latin typeface="Tahoma" pitchFamily="34" charset="0"/>
                <a:ea typeface="+mn-ea"/>
                <a:cs typeface="Tahoma" pitchFamily="34" charset="0"/>
              </a:rPr>
              <a:t>Προσφορά 20ετών ομολόγων ΕΔ</a:t>
            </a:r>
            <a:r>
              <a:rPr lang="el-GR" sz="900">
                <a:solidFill>
                  <a:sysClr val="windowText" lastClr="000000"/>
                </a:solidFill>
                <a:latin typeface="Tahoma" pitchFamily="34" charset="0"/>
                <a:ea typeface="+mn-ea"/>
                <a:cs typeface="Tahoma" pitchFamily="34" charset="0"/>
              </a:rPr>
              <a:t> (με εγγύηση </a:t>
            </a:r>
            <a:r>
              <a:rPr lang="en-GB" sz="900">
                <a:solidFill>
                  <a:sysClr val="windowText" lastClr="000000"/>
                </a:solidFill>
                <a:latin typeface="Tahoma" pitchFamily="34" charset="0"/>
                <a:ea typeface="+mn-ea"/>
                <a:cs typeface="Tahoma" pitchFamily="34" charset="0"/>
              </a:rPr>
              <a:t>EFSF)</a:t>
            </a:r>
            <a:endParaRPr lang="el-GR" sz="900">
              <a:solidFill>
                <a:sysClr val="windowText" lastClr="000000"/>
              </a:solidFill>
              <a:latin typeface="Tahoma" pitchFamily="34" charset="0"/>
              <a:ea typeface="+mn-ea"/>
              <a:cs typeface="Tahoma" pitchFamily="34" charset="0"/>
            </a:endParaRPr>
          </a:p>
          <a:p xmlns:a="http://schemas.openxmlformats.org/drawingml/2006/main">
            <a:pPr rtl="0" fontAlgn="base"/>
            <a:endParaRPr lang="el-GR" sz="900">
              <a:latin typeface="Tahoma" pitchFamily="34" charset="0"/>
              <a:cs typeface="Tahoma" pitchFamily="34" charset="0"/>
            </a:endParaRPr>
          </a:p>
          <a:p xmlns:a="http://schemas.openxmlformats.org/drawingml/2006/main">
            <a:pPr rtl="0" fontAlgn="base"/>
            <a:r>
              <a:rPr lang="el-GR" sz="900">
                <a:solidFill>
                  <a:sysClr val="windowText" lastClr="000000"/>
                </a:solidFill>
                <a:latin typeface="Tahoma" pitchFamily="34" charset="0"/>
                <a:ea typeface="+mn-ea"/>
                <a:cs typeface="Tahoma" pitchFamily="34" charset="0"/>
              </a:rPr>
              <a:t>Επιτόκια:</a:t>
            </a:r>
            <a:r>
              <a:rPr lang="en-GB" sz="900">
                <a:solidFill>
                  <a:sysClr val="windowText" lastClr="000000"/>
                </a:solidFill>
                <a:latin typeface="Tahoma" pitchFamily="34" charset="0"/>
                <a:ea typeface="+mn-ea"/>
                <a:cs typeface="Tahoma" pitchFamily="34" charset="0"/>
              </a:rPr>
              <a:t> </a:t>
            </a:r>
            <a:endParaRPr lang="el-GR" sz="900">
              <a:latin typeface="Tahoma" pitchFamily="34" charset="0"/>
              <a:cs typeface="Tahoma" pitchFamily="34" charset="0"/>
            </a:endParaRPr>
          </a:p>
        </cdr:txBody>
      </cdr:sp>
      <cdr:sp macro="" textlink="">
        <cdr:nvSpPr>
          <cdr:cNvPr id="16" name="Straight Arrow Connector 15"/>
          <cdr:cNvSpPr/>
        </cdr:nvSpPr>
        <cdr:spPr>
          <a:xfrm xmlns:a="http://schemas.openxmlformats.org/drawingml/2006/main">
            <a:off x="4379535" y="3993668"/>
            <a:ext cx="1044313" cy="175243"/>
          </a:xfrm>
          <a:prstGeom xmlns:a="http://schemas.openxmlformats.org/drawingml/2006/main" prst="straightConnector1">
            <a:avLst/>
          </a:prstGeom>
          <a:noFill xmlns:a="http://schemas.openxmlformats.org/drawingml/2006/main"/>
          <a:ln xmlns:a="http://schemas.openxmlformats.org/drawingml/2006/main" w="25400" cap="flat" cmpd="sng" algn="ctr">
            <a:solidFill>
              <a:srgbClr val="0070C0"/>
            </a:solidFill>
            <a:prstDash val="solid"/>
            <a:tailEnd type="arrow"/>
          </a:ln>
          <a:effectLst xmlns:a="http://schemas.openxmlformats.org/drawingml/2006/main">
            <a:outerShdw blurRad="40000" dist="20000" dir="5400000" rotWithShape="0">
              <a:srgbClr val="000000">
                <a:alpha val="38000"/>
              </a:srgbClr>
            </a:outerShdw>
          </a:effectLst>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el-GR"/>
          </a:p>
        </cdr:txBody>
      </cdr:sp>
    </cdr:grpSp>
  </cdr:relSizeAnchor>
  <cdr:relSizeAnchor xmlns:cdr="http://schemas.openxmlformats.org/drawingml/2006/chartDrawing">
    <cdr:from>
      <cdr:x>0.23831</cdr:x>
      <cdr:y>0.2471</cdr:y>
    </cdr:from>
    <cdr:to>
      <cdr:x>0.31243</cdr:x>
      <cdr:y>0.32432</cdr:y>
    </cdr:to>
    <cdr:sp macro="" textlink="">
      <cdr:nvSpPr>
        <cdr:cNvPr id="2" name="Straight Arrow Connector 2"/>
        <cdr:cNvSpPr/>
      </cdr:nvSpPr>
      <cdr:spPr>
        <a:xfrm xmlns:a="http://schemas.openxmlformats.org/drawingml/2006/main" flipH="1" flipV="1">
          <a:off x="1990725" y="1219200"/>
          <a:ext cx="619126" cy="381001"/>
        </a:xfrm>
        <a:prstGeom xmlns:a="http://schemas.openxmlformats.org/drawingml/2006/main" prst="straightConnector1">
          <a:avLst/>
        </a:prstGeom>
        <a:ln xmlns:a="http://schemas.openxmlformats.org/drawingml/2006/main">
          <a:tailEnd type="arrow"/>
        </a:ln>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l-GR"/>
        </a:p>
      </cdr:txBody>
    </cdr:sp>
  </cdr:relSizeAnchor>
  <cdr:relSizeAnchor xmlns:cdr="http://schemas.openxmlformats.org/drawingml/2006/chartDrawing">
    <cdr:from>
      <cdr:x>0.02201</cdr:x>
      <cdr:y>0.14272</cdr:y>
    </cdr:from>
    <cdr:to>
      <cdr:x>0.2217</cdr:x>
      <cdr:y>0.35323</cdr:y>
    </cdr:to>
    <cdr:sp macro="" textlink="">
      <cdr:nvSpPr>
        <cdr:cNvPr id="6" name="TextBox 3"/>
        <cdr:cNvSpPr txBox="1"/>
      </cdr:nvSpPr>
      <cdr:spPr>
        <a:xfrm xmlns:a="http://schemas.openxmlformats.org/drawingml/2006/main">
          <a:off x="120770" y="379899"/>
          <a:ext cx="1095555" cy="560380"/>
        </a:xfrm>
        <a:prstGeom xmlns:a="http://schemas.openxmlformats.org/drawingml/2006/main" prst="rect">
          <a:avLst/>
        </a:prstGeom>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vertOverflow="clip" wrap="square" rtlCol="0"/>
        <a:lstStyle xmlns:a="http://schemas.openxmlformats.org/drawingml/2006/main"/>
        <a:p xmlns:a="http://schemas.openxmlformats.org/drawingml/2006/main">
          <a:pPr algn="ctr"/>
          <a:r>
            <a:rPr lang="el-GR" sz="800">
              <a:latin typeface="Tahoma" pitchFamily="34" charset="0"/>
              <a:cs typeface="Tahoma" pitchFamily="34" charset="0"/>
            </a:rPr>
            <a:t>Χρέος που </a:t>
          </a:r>
          <a:r>
            <a:rPr lang="el-GR" sz="800" b="1" i="1">
              <a:latin typeface="Tahoma" pitchFamily="34" charset="0"/>
              <a:cs typeface="Tahoma" pitchFamily="34" charset="0"/>
            </a:rPr>
            <a:t>δεν</a:t>
          </a:r>
          <a:r>
            <a:rPr lang="el-GR" sz="800">
              <a:latin typeface="Tahoma" pitchFamily="34" charset="0"/>
              <a:cs typeface="Tahoma" pitchFamily="34" charset="0"/>
            </a:rPr>
            <a:t> υπόκειται σε κούρεμα</a:t>
          </a:r>
        </a:p>
      </cdr:txBody>
    </cdr:sp>
  </cdr:relSizeAnchor>
  <cdr:relSizeAnchor xmlns:cdr="http://schemas.openxmlformats.org/drawingml/2006/chartDrawing">
    <cdr:from>
      <cdr:x>0.25452</cdr:x>
      <cdr:y>0.14672</cdr:y>
    </cdr:from>
    <cdr:to>
      <cdr:x>0.62713</cdr:x>
      <cdr:y>0.84156</cdr:y>
    </cdr:to>
    <cdr:sp macro="" textlink="">
      <cdr:nvSpPr>
        <cdr:cNvPr id="7" name="Arc 4"/>
        <cdr:cNvSpPr/>
      </cdr:nvSpPr>
      <cdr:spPr>
        <a:xfrm xmlns:a="http://schemas.openxmlformats.org/drawingml/2006/main">
          <a:off x="2506587" y="700975"/>
          <a:ext cx="3669536" cy="3319697"/>
        </a:xfrm>
        <a:prstGeom xmlns:a="http://schemas.openxmlformats.org/drawingml/2006/main" prst="arc">
          <a:avLst>
            <a:gd name="adj1" fmla="val 16482249"/>
            <a:gd name="adj2" fmla="val 6765473"/>
          </a:avLst>
        </a:prstGeom>
        <a:ln xmlns:a="http://schemas.openxmlformats.org/drawingml/2006/main" w="38100">
          <a:solidFill>
            <a:schemeClr val="accent1">
              <a:lumMod val="50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l-GR"/>
        </a:p>
      </cdr:txBody>
    </cdr:sp>
  </cdr:relSizeAnchor>
  <cdr:relSizeAnchor xmlns:cdr="http://schemas.openxmlformats.org/drawingml/2006/chartDrawing">
    <cdr:from>
      <cdr:x>0.53019</cdr:x>
      <cdr:y>0.19182</cdr:y>
    </cdr:from>
    <cdr:to>
      <cdr:x>0.61229</cdr:x>
      <cdr:y>0.19375</cdr:y>
    </cdr:to>
    <cdr:sp macro="" textlink="">
      <cdr:nvSpPr>
        <cdr:cNvPr id="19" name="Straight Arrow Connector 7"/>
        <cdr:cNvSpPr/>
      </cdr:nvSpPr>
      <cdr:spPr>
        <a:xfrm xmlns:a="http://schemas.openxmlformats.org/drawingml/2006/main">
          <a:off x="5221450" y="916447"/>
          <a:ext cx="808545" cy="9221"/>
        </a:xfrm>
        <a:prstGeom xmlns:a="http://schemas.openxmlformats.org/drawingml/2006/main" prst="straightConnector1">
          <a:avLst/>
        </a:prstGeom>
        <a:ln xmlns:a="http://schemas.openxmlformats.org/drawingml/2006/main">
          <a:solidFill>
            <a:schemeClr val="accent1">
              <a:lumMod val="50000"/>
            </a:schemeClr>
          </a:solidFill>
          <a:tailEnd type="arrow"/>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l-GR"/>
        </a:p>
      </cdr:txBody>
    </cdr:sp>
  </cdr:relSizeAnchor>
  <cdr:relSizeAnchor xmlns:cdr="http://schemas.openxmlformats.org/drawingml/2006/chartDrawing">
    <cdr:from>
      <cdr:x>0.61114</cdr:x>
      <cdr:y>0.13307</cdr:y>
    </cdr:from>
    <cdr:to>
      <cdr:x>0.89787</cdr:x>
      <cdr:y>0.25925</cdr:y>
    </cdr:to>
    <cdr:sp macro="" textlink="">
      <cdr:nvSpPr>
        <cdr:cNvPr id="20" name="TextBox 1"/>
        <cdr:cNvSpPr txBox="1"/>
      </cdr:nvSpPr>
      <cdr:spPr>
        <a:xfrm xmlns:a="http://schemas.openxmlformats.org/drawingml/2006/main">
          <a:off x="3352966" y="354210"/>
          <a:ext cx="1573116" cy="335903"/>
        </a:xfrm>
        <a:prstGeom xmlns:a="http://schemas.openxmlformats.org/drawingml/2006/main" prst="rect">
          <a:avLst/>
        </a:prstGeom>
        <a:solidFill xmlns:a="http://schemas.openxmlformats.org/drawingml/2006/main">
          <a:sysClr val="window" lastClr="FFFFFF"/>
        </a:solidFill>
        <a:ln xmlns:a="http://schemas.openxmlformats.org/drawingml/2006/main" w="25400" cap="flat" cmpd="sng" algn="ctr">
          <a:solidFill>
            <a:schemeClr val="accent1">
              <a:lumMod val="50000"/>
            </a:schemeClr>
          </a:solidFill>
          <a:prstDash val="solid"/>
        </a:ln>
        <a:effectLst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rtlCol="0"/>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el-GR" sz="700">
              <a:latin typeface="Tahoma" pitchFamily="34" charset="0"/>
              <a:cs typeface="Tahoma" pitchFamily="34" charset="0"/>
            </a:rPr>
            <a:t>Χρέος που υπόκειται σε 'κούρεμα':</a:t>
          </a:r>
          <a:r>
            <a:rPr lang="el-GR" sz="700" baseline="0">
              <a:latin typeface="Tahoma" pitchFamily="34" charset="0"/>
              <a:cs typeface="Tahoma" pitchFamily="34" charset="0"/>
            </a:rPr>
            <a:t> € 20</a:t>
          </a:r>
          <a:r>
            <a:rPr lang="en-US" sz="700" baseline="0">
              <a:latin typeface="Tahoma" pitchFamily="34" charset="0"/>
              <a:cs typeface="Tahoma" pitchFamily="34" charset="0"/>
            </a:rPr>
            <a:t>5</a:t>
          </a:r>
          <a:r>
            <a:rPr lang="el-GR" sz="700" baseline="0">
              <a:latin typeface="Tahoma" pitchFamily="34" charset="0"/>
              <a:cs typeface="Tahoma" pitchFamily="34" charset="0"/>
            </a:rPr>
            <a:t>δισ. (ή 5</a:t>
          </a:r>
          <a:r>
            <a:rPr lang="en-US" sz="700" baseline="0">
              <a:latin typeface="Tahoma" pitchFamily="34" charset="0"/>
              <a:cs typeface="Tahoma" pitchFamily="34" charset="0"/>
            </a:rPr>
            <a:t>9</a:t>
          </a:r>
          <a:r>
            <a:rPr lang="el-GR" sz="700" baseline="0">
              <a:latin typeface="Tahoma" pitchFamily="34" charset="0"/>
              <a:cs typeface="Tahoma" pitchFamily="34" charset="0"/>
            </a:rPr>
            <a:t>% του Χρέους) </a:t>
          </a:r>
          <a:endParaRPr lang="el-GR" sz="700">
            <a:latin typeface="Tahoma" pitchFamily="34" charset="0"/>
            <a:cs typeface="Tahoma" pitchFamily="34" charset="0"/>
          </a:endParaRPr>
        </a:p>
      </cdr:txBody>
    </cdr:sp>
  </cdr:relSizeAnchor>
  <cdr:relSizeAnchor xmlns:cdr="http://schemas.openxmlformats.org/drawingml/2006/chartDrawing">
    <cdr:from>
      <cdr:x>0.58381</cdr:x>
      <cdr:y>0.31274</cdr:y>
    </cdr:from>
    <cdr:to>
      <cdr:x>0.68985</cdr:x>
      <cdr:y>0.34942</cdr:y>
    </cdr:to>
    <cdr:sp macro="" textlink="">
      <cdr:nvSpPr>
        <cdr:cNvPr id="21" name="Straight Arrow Connector 9"/>
        <cdr:cNvSpPr/>
      </cdr:nvSpPr>
      <cdr:spPr>
        <a:xfrm xmlns:a="http://schemas.openxmlformats.org/drawingml/2006/main">
          <a:off x="4876802" y="1543051"/>
          <a:ext cx="885824" cy="180976"/>
        </a:xfrm>
        <a:prstGeom xmlns:a="http://schemas.openxmlformats.org/drawingml/2006/main" prst="straightConnector1">
          <a:avLst/>
        </a:prstGeom>
        <a:noFill xmlns:a="http://schemas.openxmlformats.org/drawingml/2006/main"/>
        <a:ln xmlns:a="http://schemas.openxmlformats.org/drawingml/2006/main" w="25400" cap="flat" cmpd="sng" algn="ctr">
          <a:solidFill>
            <a:schemeClr val="tx2">
              <a:lumMod val="60000"/>
              <a:lumOff val="40000"/>
            </a:schemeClr>
          </a:solidFill>
          <a:prstDash val="solid"/>
          <a:tailEnd type="arrow"/>
        </a:ln>
        <a:effectLst xmlns:a="http://schemas.openxmlformats.org/drawingml/2006/main">
          <a:outerShdw blurRad="40000" dist="20000" dir="5400000" rotWithShape="0">
            <a:srgbClr val="000000">
              <a:alpha val="38000"/>
            </a:srgbClr>
          </a:outerShdw>
        </a:effectLst>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el-GR"/>
        </a:p>
      </cdr:txBody>
    </cdr:sp>
  </cdr:relSizeAnchor>
  <cdr:relSizeAnchor xmlns:cdr="http://schemas.openxmlformats.org/drawingml/2006/chartDrawing">
    <cdr:from>
      <cdr:x>0.69441</cdr:x>
      <cdr:y>0.32625</cdr:y>
    </cdr:from>
    <cdr:to>
      <cdr:x>0.93387</cdr:x>
      <cdr:y>0.42471</cdr:y>
    </cdr:to>
    <cdr:sp macro="" textlink="">
      <cdr:nvSpPr>
        <cdr:cNvPr id="22" name="TextBox 1"/>
        <cdr:cNvSpPr txBox="1"/>
      </cdr:nvSpPr>
      <cdr:spPr>
        <a:xfrm xmlns:a="http://schemas.openxmlformats.org/drawingml/2006/main">
          <a:off x="5800725" y="1609725"/>
          <a:ext cx="2000251" cy="485775"/>
        </a:xfrm>
        <a:prstGeom xmlns:a="http://schemas.openxmlformats.org/drawingml/2006/main" prst="rect">
          <a:avLst/>
        </a:prstGeom>
        <a:solidFill xmlns:a="http://schemas.openxmlformats.org/drawingml/2006/main">
          <a:sysClr val="window" lastClr="FFFFFF"/>
        </a:solidFill>
        <a:ln xmlns:a="http://schemas.openxmlformats.org/drawingml/2006/main" w="25400" cap="flat" cmpd="sng" algn="ctr">
          <a:solidFill>
            <a:schemeClr val="tx2">
              <a:lumMod val="60000"/>
              <a:lumOff val="40000"/>
            </a:schemeClr>
          </a:solidFill>
          <a:prstDash val="solid"/>
        </a:ln>
        <a:effectLst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rtlCol="0"/>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el-GR" sz="600" b="1">
              <a:latin typeface="Tahoma" pitchFamily="34" charset="0"/>
              <a:cs typeface="Tahoma" pitchFamily="34" charset="0"/>
            </a:rPr>
            <a:t>Απομείωση της ονομαστικής αξίας </a:t>
          </a:r>
          <a:r>
            <a:rPr lang="el-GR" sz="600" b="0">
              <a:latin typeface="Tahoma" pitchFamily="34" charset="0"/>
              <a:cs typeface="Tahoma" pitchFamily="34" charset="0"/>
            </a:rPr>
            <a:t>κατά</a:t>
          </a:r>
          <a:r>
            <a:rPr lang="el-GR" sz="600" b="1" baseline="0">
              <a:latin typeface="Tahoma" pitchFamily="34" charset="0"/>
              <a:cs typeface="Tahoma" pitchFamily="34" charset="0"/>
            </a:rPr>
            <a:t> </a:t>
          </a:r>
          <a:r>
            <a:rPr lang="el-GR" sz="600" baseline="0">
              <a:latin typeface="Tahoma" pitchFamily="34" charset="0"/>
              <a:cs typeface="Tahoma" pitchFamily="34" charset="0"/>
            </a:rPr>
            <a:t>53,5%</a:t>
          </a:r>
          <a:endParaRPr lang="el-GR" sz="600">
            <a:latin typeface="Tahoma" pitchFamily="34" charset="0"/>
            <a:cs typeface="Tahoma" pitchFamily="34" charset="0"/>
          </a:endParaRPr>
        </a:p>
      </cdr:txBody>
    </cdr:sp>
  </cdr:relSizeAnchor>
  <cdr:relSizeAnchor xmlns:cdr="http://schemas.openxmlformats.org/drawingml/2006/chartDrawing">
    <cdr:from>
      <cdr:x>0.59749</cdr:x>
      <cdr:y>0.65637</cdr:y>
    </cdr:from>
    <cdr:to>
      <cdr:x>0.70353</cdr:x>
      <cdr:y>0.69305</cdr:y>
    </cdr:to>
    <cdr:sp macro="" textlink="">
      <cdr:nvSpPr>
        <cdr:cNvPr id="23" name="Straight Arrow Connector 11"/>
        <cdr:cNvSpPr/>
      </cdr:nvSpPr>
      <cdr:spPr>
        <a:xfrm xmlns:a="http://schemas.openxmlformats.org/drawingml/2006/main">
          <a:off x="4991100" y="3238500"/>
          <a:ext cx="885824" cy="180976"/>
        </a:xfrm>
        <a:prstGeom xmlns:a="http://schemas.openxmlformats.org/drawingml/2006/main" prst="straightConnector1">
          <a:avLst/>
        </a:prstGeom>
        <a:noFill xmlns:a="http://schemas.openxmlformats.org/drawingml/2006/main"/>
        <a:ln xmlns:a="http://schemas.openxmlformats.org/drawingml/2006/main" w="25400" cap="flat" cmpd="sng" algn="ctr">
          <a:solidFill>
            <a:schemeClr val="accent1">
              <a:lumMod val="60000"/>
              <a:lumOff val="40000"/>
            </a:schemeClr>
          </a:solidFill>
          <a:prstDash val="solid"/>
          <a:tailEnd type="arrow"/>
        </a:ln>
        <a:effectLst xmlns:a="http://schemas.openxmlformats.org/drawingml/2006/main">
          <a:outerShdw blurRad="40000" dist="20000" dir="5400000" rotWithShape="0">
            <a:srgbClr val="000000">
              <a:alpha val="38000"/>
            </a:srgbClr>
          </a:outerShdw>
        </a:effectLst>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el-GR"/>
        </a:p>
      </cdr:txBody>
    </cdr:sp>
  </cdr:relSizeAnchor>
  <cdr:relSizeAnchor xmlns:cdr="http://schemas.openxmlformats.org/drawingml/2006/chartDrawing">
    <cdr:from>
      <cdr:x>0</cdr:x>
      <cdr:y>0</cdr:y>
    </cdr:from>
    <cdr:to>
      <cdr:x>0.00292</cdr:x>
      <cdr:y>0.00494</cdr:y>
    </cdr:to>
    <cdr:pic>
      <cdr:nvPicPr>
        <cdr:cNvPr id="2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cdr:x>
      <cdr:y>0</cdr:y>
    </cdr:from>
    <cdr:to>
      <cdr:x>0.00292</cdr:x>
      <cdr:y>0.00494</cdr:y>
    </cdr:to>
    <cdr:pic>
      <cdr:nvPicPr>
        <cdr:cNvPr id="25"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0.70696</cdr:x>
      <cdr:y>0.52175</cdr:y>
    </cdr:from>
    <cdr:to>
      <cdr:x>0.98176</cdr:x>
      <cdr:y>0.80502</cdr:y>
    </cdr:to>
    <cdr:sp macro="" textlink="">
      <cdr:nvSpPr>
        <cdr:cNvPr id="26" name="TextBox 1"/>
        <cdr:cNvSpPr txBox="1"/>
      </cdr:nvSpPr>
      <cdr:spPr>
        <a:xfrm xmlns:a="http://schemas.openxmlformats.org/drawingml/2006/main">
          <a:off x="3878665" y="1388853"/>
          <a:ext cx="1507663" cy="754046"/>
        </a:xfrm>
        <a:prstGeom xmlns:a="http://schemas.openxmlformats.org/drawingml/2006/main" prst="rect">
          <a:avLst/>
        </a:prstGeom>
        <a:solidFill xmlns:a="http://schemas.openxmlformats.org/drawingml/2006/main">
          <a:sysClr val="window" lastClr="FFFFFF"/>
        </a:solidFill>
        <a:ln xmlns:a="http://schemas.openxmlformats.org/drawingml/2006/main" w="25400" cap="flat" cmpd="sng" algn="ctr">
          <a:solidFill>
            <a:schemeClr val="accent1">
              <a:lumMod val="60000"/>
              <a:lumOff val="40000"/>
            </a:schemeClr>
          </a:solidFill>
          <a:prstDash val="solid"/>
        </a:ln>
        <a:effectLst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rtlCol="0"/>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pPr rtl="0" fontAlgn="base"/>
          <a:r>
            <a:rPr lang="el-GR" sz="600" b="1">
              <a:solidFill>
                <a:sysClr val="windowText" lastClr="000000"/>
              </a:solidFill>
              <a:latin typeface="Tahoma" pitchFamily="34" charset="0"/>
              <a:ea typeface="+mn-ea"/>
              <a:cs typeface="Tahoma" pitchFamily="34" charset="0"/>
            </a:rPr>
            <a:t>Προσφορά 20ετών ομολόγων ΕΔ</a:t>
          </a:r>
          <a:r>
            <a:rPr lang="el-GR" sz="600">
              <a:solidFill>
                <a:sysClr val="windowText" lastClr="000000"/>
              </a:solidFill>
              <a:latin typeface="Tahoma" pitchFamily="34" charset="0"/>
              <a:ea typeface="+mn-ea"/>
              <a:cs typeface="Tahoma" pitchFamily="34" charset="0"/>
            </a:rPr>
            <a:t> (με εγγύηση </a:t>
          </a:r>
          <a:r>
            <a:rPr lang="en-GB" sz="600">
              <a:solidFill>
                <a:sysClr val="windowText" lastClr="000000"/>
              </a:solidFill>
              <a:latin typeface="Tahoma" pitchFamily="34" charset="0"/>
              <a:ea typeface="+mn-ea"/>
              <a:cs typeface="Tahoma" pitchFamily="34" charset="0"/>
            </a:rPr>
            <a:t>EFSF)</a:t>
          </a:r>
          <a:endParaRPr lang="el-GR" sz="600">
            <a:solidFill>
              <a:sysClr val="windowText" lastClr="000000"/>
            </a:solidFill>
            <a:latin typeface="Tahoma" pitchFamily="34" charset="0"/>
            <a:ea typeface="+mn-ea"/>
            <a:cs typeface="Tahoma" pitchFamily="34" charset="0"/>
          </a:endParaRPr>
        </a:p>
        <a:p xmlns:a="http://schemas.openxmlformats.org/drawingml/2006/main">
          <a:pPr rtl="0" fontAlgn="base"/>
          <a:endParaRPr lang="el-GR" sz="600">
            <a:latin typeface="Tahoma" pitchFamily="34" charset="0"/>
            <a:cs typeface="Tahoma" pitchFamily="34" charset="0"/>
          </a:endParaRPr>
        </a:p>
        <a:p xmlns:a="http://schemas.openxmlformats.org/drawingml/2006/main">
          <a:pPr rtl="0" fontAlgn="base"/>
          <a:r>
            <a:rPr lang="el-GR" sz="600">
              <a:solidFill>
                <a:sysClr val="windowText" lastClr="000000"/>
              </a:solidFill>
              <a:latin typeface="Tahoma" pitchFamily="34" charset="0"/>
              <a:ea typeface="+mn-ea"/>
              <a:cs typeface="Tahoma" pitchFamily="34" charset="0"/>
            </a:rPr>
            <a:t>Επιτόκια:</a:t>
          </a:r>
          <a:r>
            <a:rPr lang="en-GB" sz="600">
              <a:solidFill>
                <a:sysClr val="windowText" lastClr="000000"/>
              </a:solidFill>
              <a:latin typeface="Tahoma" pitchFamily="34" charset="0"/>
              <a:ea typeface="+mn-ea"/>
              <a:cs typeface="Tahoma" pitchFamily="34" charset="0"/>
            </a:rPr>
            <a:t> </a:t>
          </a:r>
          <a:endParaRPr lang="el-GR" sz="600">
            <a:latin typeface="Tahoma" pitchFamily="34" charset="0"/>
            <a:cs typeface="Tahoma" pitchFamily="34" charset="0"/>
          </a:endParaRPr>
        </a:p>
        <a:p xmlns:a="http://schemas.openxmlformats.org/drawingml/2006/main">
          <a:pPr rtl="0" fontAlgn="base"/>
          <a:r>
            <a:rPr lang="el-GR" sz="600">
              <a:solidFill>
                <a:sysClr val="windowText" lastClr="000000"/>
              </a:solidFill>
              <a:latin typeface="Tahoma" pitchFamily="34" charset="0"/>
              <a:ea typeface="+mn-ea"/>
              <a:cs typeface="Tahoma" pitchFamily="34" charset="0"/>
            </a:rPr>
            <a:t>για ΦΕΒ  2012 – ΦΕΒ 2015 → 2%</a:t>
          </a:r>
          <a:endParaRPr lang="el-GR" sz="600">
            <a:latin typeface="Tahoma" pitchFamily="34" charset="0"/>
            <a:cs typeface="Tahoma" pitchFamily="34" charset="0"/>
          </a:endParaRPr>
        </a:p>
        <a:p xmlns:a="http://schemas.openxmlformats.org/drawingml/2006/main">
          <a:pPr rtl="0" fontAlgn="base"/>
          <a:r>
            <a:rPr lang="el-GR" sz="600">
              <a:solidFill>
                <a:sysClr val="windowText" lastClr="000000"/>
              </a:solidFill>
              <a:latin typeface="Tahoma" pitchFamily="34" charset="0"/>
              <a:ea typeface="+mn-ea"/>
              <a:cs typeface="Tahoma" pitchFamily="34" charset="0"/>
            </a:rPr>
            <a:t>για ΜΑΡ 2015 – ΦΕΒ 2020 → 3%</a:t>
          </a:r>
          <a:endParaRPr lang="el-GR" sz="600">
            <a:latin typeface="Tahoma" pitchFamily="34" charset="0"/>
            <a:cs typeface="Tahoma" pitchFamily="34" charset="0"/>
          </a:endParaRPr>
        </a:p>
        <a:p xmlns:a="http://schemas.openxmlformats.org/drawingml/2006/main">
          <a:pPr rtl="0" fontAlgn="base"/>
          <a:r>
            <a:rPr lang="el-GR" sz="600">
              <a:solidFill>
                <a:sysClr val="windowText" lastClr="000000"/>
              </a:solidFill>
              <a:latin typeface="Tahoma" pitchFamily="34" charset="0"/>
              <a:ea typeface="+mn-ea"/>
              <a:cs typeface="Tahoma" pitchFamily="34" charset="0"/>
            </a:rPr>
            <a:t>για ΜΑΡ 2020 – ΦΕΒ 2042 → 4,3% </a:t>
          </a:r>
          <a:endParaRPr lang="el-GR" sz="600">
            <a:latin typeface="Tahoma" pitchFamily="34" charset="0"/>
            <a:cs typeface="Tahoma" pitchFamily="34" charset="0"/>
          </a:endParaRPr>
        </a:p>
      </cdr:txBody>
    </cdr:sp>
  </cdr:relSizeAnchor>
  <cdr:relSizeAnchor xmlns:cdr="http://schemas.openxmlformats.org/drawingml/2006/chartDrawing">
    <cdr:from>
      <cdr:x>0.4447</cdr:x>
      <cdr:y>0.83591</cdr:y>
    </cdr:from>
    <cdr:to>
      <cdr:x>0.55074</cdr:x>
      <cdr:y>0.87259</cdr:y>
    </cdr:to>
    <cdr:sp macro="" textlink="">
      <cdr:nvSpPr>
        <cdr:cNvPr id="27" name="Straight Arrow Connector 15"/>
        <cdr:cNvSpPr/>
      </cdr:nvSpPr>
      <cdr:spPr>
        <a:xfrm xmlns:a="http://schemas.openxmlformats.org/drawingml/2006/main">
          <a:off x="3714750" y="4124325"/>
          <a:ext cx="885824" cy="180976"/>
        </a:xfrm>
        <a:prstGeom xmlns:a="http://schemas.openxmlformats.org/drawingml/2006/main" prst="straightConnector1">
          <a:avLst/>
        </a:prstGeom>
        <a:noFill xmlns:a="http://schemas.openxmlformats.org/drawingml/2006/main"/>
        <a:ln xmlns:a="http://schemas.openxmlformats.org/drawingml/2006/main" w="25400" cap="flat" cmpd="sng" algn="ctr">
          <a:solidFill>
            <a:srgbClr val="0070C0"/>
          </a:solidFill>
          <a:prstDash val="solid"/>
          <a:tailEnd type="arrow"/>
        </a:ln>
        <a:effectLst xmlns:a="http://schemas.openxmlformats.org/drawingml/2006/main">
          <a:outerShdw blurRad="40000" dist="20000" dir="5400000" rotWithShape="0">
            <a:srgbClr val="000000">
              <a:alpha val="38000"/>
            </a:srgbClr>
          </a:outerShdw>
        </a:effectLst>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el-GR"/>
        </a:p>
      </cdr:txBody>
    </cdr:sp>
  </cdr:relSizeAnchor>
  <cdr:relSizeAnchor xmlns:cdr="http://schemas.openxmlformats.org/drawingml/2006/chartDrawing">
    <cdr:from>
      <cdr:x>0.54984</cdr:x>
      <cdr:y>0.83247</cdr:y>
    </cdr:from>
    <cdr:to>
      <cdr:x>0.83947</cdr:x>
      <cdr:y>0.98056</cdr:y>
    </cdr:to>
    <cdr:sp macro="" textlink="">
      <cdr:nvSpPr>
        <cdr:cNvPr id="28" name="TextBox 1"/>
        <cdr:cNvSpPr txBox="1"/>
      </cdr:nvSpPr>
      <cdr:spPr>
        <a:xfrm xmlns:a="http://schemas.openxmlformats.org/drawingml/2006/main">
          <a:off x="3016624" y="2215962"/>
          <a:ext cx="1589026" cy="394199"/>
        </a:xfrm>
        <a:prstGeom xmlns:a="http://schemas.openxmlformats.org/drawingml/2006/main" prst="rect">
          <a:avLst/>
        </a:prstGeom>
        <a:solidFill xmlns:a="http://schemas.openxmlformats.org/drawingml/2006/main">
          <a:sysClr val="window" lastClr="FFFFFF"/>
        </a:solidFill>
        <a:ln xmlns:a="http://schemas.openxmlformats.org/drawingml/2006/main" w="25400" cap="flat" cmpd="sng" algn="ctr">
          <a:solidFill>
            <a:srgbClr val="0070C0"/>
          </a:solidFill>
          <a:prstDash val="solid"/>
        </a:ln>
        <a:effectLst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rtlCol="0"/>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pPr algn="ctr" rtl="0" fontAlgn="base"/>
          <a:r>
            <a:rPr lang="el-GR" sz="700" b="1">
              <a:solidFill>
                <a:sysClr val="windowText" lastClr="000000"/>
              </a:solidFill>
              <a:latin typeface="Tahoma" pitchFamily="34" charset="0"/>
              <a:ea typeface="+mn-ea"/>
              <a:cs typeface="Tahoma" pitchFamily="34" charset="0"/>
            </a:rPr>
            <a:t>Προσφορά βραχυπρόθεσμων τίτλων (2ετών) από </a:t>
          </a:r>
          <a:r>
            <a:rPr lang="en-GB" sz="700" b="1">
              <a:solidFill>
                <a:sysClr val="windowText" lastClr="000000"/>
              </a:solidFill>
              <a:latin typeface="Tahoma" pitchFamily="34" charset="0"/>
              <a:ea typeface="+mn-ea"/>
              <a:cs typeface="Tahoma" pitchFamily="34" charset="0"/>
            </a:rPr>
            <a:t>EFSF</a:t>
          </a:r>
          <a:r>
            <a:rPr lang="en-GB" sz="700">
              <a:solidFill>
                <a:sysClr val="windowText" lastClr="000000"/>
              </a:solidFill>
              <a:latin typeface="Tahoma" pitchFamily="34" charset="0"/>
              <a:ea typeface="+mn-ea"/>
              <a:cs typeface="Tahoma" pitchFamily="34" charset="0"/>
            </a:rPr>
            <a:t> </a:t>
          </a:r>
          <a:r>
            <a:rPr lang="el-GR" sz="700">
              <a:solidFill>
                <a:sysClr val="windowText" lastClr="000000"/>
              </a:solidFill>
              <a:latin typeface="Tahoma" pitchFamily="34" charset="0"/>
              <a:ea typeface="+mn-ea"/>
              <a:cs typeface="Tahoma" pitchFamily="34" charset="0"/>
            </a:rPr>
            <a:t>με επιτόκιο ~3,5%.</a:t>
          </a:r>
          <a:endParaRPr lang="el-GR" sz="700">
            <a:latin typeface="Tahoma" pitchFamily="34" charset="0"/>
            <a:cs typeface="Tahoma"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0.51162</cdr:x>
      <cdr:y>0.03895</cdr:y>
    </cdr:from>
    <cdr:to>
      <cdr:x>0.95756</cdr:x>
      <cdr:y>0.84172</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786332" y="103517"/>
          <a:ext cx="2428572" cy="2133333"/>
        </a:xfrm>
        <a:prstGeom xmlns:a="http://schemas.openxmlformats.org/drawingml/2006/main" prst="rect">
          <a:avLst/>
        </a:prstGeom>
      </cdr:spPr>
    </cdr:pic>
  </cdr:relSizeAnchor>
</c:userShape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A7C3A229-0FC4-4DF0-9AAE-D5F646917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150</Pages>
  <Words>38719</Words>
  <Characters>220702</Characters>
  <Application>Microsoft Office Word</Application>
  <DocSecurity>0</DocSecurity>
  <Lines>1839</Lines>
  <Paragraphs>517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258904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Demian Elias</dc:creator>
  <cp:keywords/>
  <dc:description/>
  <cp:lastModifiedBy>User</cp:lastModifiedBy>
  <cp:revision>2</cp:revision>
  <cp:lastPrinted>2012-04-02T07:57:00Z</cp:lastPrinted>
  <dcterms:created xsi:type="dcterms:W3CDTF">2012-04-02T11:05:00Z</dcterms:created>
  <dcterms:modified xsi:type="dcterms:W3CDTF">2012-04-02T11:05:00Z</dcterms:modified>
</cp:coreProperties>
</file>