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el-GR"/>
        </w:rPr>
        <w:id w:val="1459625244"/>
        <w:docPartObj>
          <w:docPartGallery w:val="Cover Pages"/>
          <w:docPartUnique/>
        </w:docPartObj>
      </w:sdtPr>
      <w:sdtEndPr>
        <w:rPr>
          <w:rFonts w:asciiTheme="minorHAnsi" w:eastAsiaTheme="minorEastAsia" w:hAnsiTheme="minorHAnsi" w:cstheme="minorBidi"/>
          <w:sz w:val="24"/>
          <w:szCs w:val="24"/>
          <w:lang w:val="en-US"/>
        </w:rPr>
      </w:sdtEndPr>
      <w:sdtContent>
        <w:p w:rsidR="00271936" w:rsidRDefault="007D1372" w:rsidP="00271936">
          <w:pPr>
            <w:pStyle w:val="af2"/>
            <w:jc w:val="center"/>
            <w:rPr>
              <w:rFonts w:asciiTheme="majorHAnsi" w:eastAsiaTheme="majorEastAsia" w:hAnsiTheme="majorHAnsi" w:cstheme="majorBidi"/>
              <w:sz w:val="72"/>
              <w:szCs w:val="72"/>
              <w:lang w:val="en-US"/>
            </w:rPr>
          </w:pPr>
          <w:r w:rsidRPr="007D1372">
            <w:rPr>
              <w:rFonts w:eastAsiaTheme="majorEastAsia" w:cstheme="majorBidi"/>
              <w:noProof/>
            </w:rPr>
            <w:pict>
              <v:rect id="_x0000_s1027" style="position:absolute;left:0;text-align:left;margin-left:0;margin-top:0;width:624.25pt;height:119.1pt;z-index:251661312;mso-width-percent:1050;mso-position-horizontal:center;mso-position-horizontal-relative:page;mso-position-vertical:top;mso-position-vertical-relative:top-margin-area;mso-width-percent:1050;mso-height-relative:top-margin-area" o:allowincell="f" fillcolor="#8db3e2 [1311]" strokecolor="#8db3e2 [1311]">
                <w10:wrap anchorx="page" anchory="margin"/>
              </v:rect>
            </w:pict>
          </w:r>
          <w:r w:rsidRPr="007D1372">
            <w:rPr>
              <w:rFonts w:eastAsiaTheme="majorEastAsia" w:cstheme="majorBidi"/>
              <w:noProof/>
            </w:rPr>
            <w:pict>
              <v:rect id="_x0000_s1026" style="position:absolute;left:0;text-align:left;margin-left:0;margin-top:0;width:624.2pt;height:329.3pt;z-index:251660288;mso-width-percent:1050;mso-position-horizontal:center;mso-position-horizontal-relative:page;mso-position-vertical:bottom;mso-position-vertical-relative:page;mso-width-percent:1050;mso-height-relative:top-margin-area" o:allowincell="f" fillcolor="#8db3e2 [1311]" strokecolor="#8db3e2 [1311]">
                <w10:wrap anchorx="page" anchory="page"/>
              </v:rect>
            </w:pict>
          </w:r>
        </w:p>
        <w:p w:rsidR="00014537" w:rsidRDefault="00014537" w:rsidP="00271936">
          <w:pPr>
            <w:pStyle w:val="af2"/>
            <w:jc w:val="center"/>
            <w:rPr>
              <w:rFonts w:asciiTheme="majorHAnsi" w:eastAsiaTheme="majorEastAsia" w:hAnsiTheme="majorHAnsi" w:cstheme="majorBidi"/>
              <w:sz w:val="72"/>
              <w:szCs w:val="72"/>
              <w:lang w:val="en-US"/>
            </w:rPr>
          </w:pPr>
        </w:p>
        <w:p w:rsidR="00271936" w:rsidRDefault="00271936" w:rsidP="00271936">
          <w:pPr>
            <w:pStyle w:val="af2"/>
            <w:jc w:val="center"/>
            <w:rPr>
              <w:rFonts w:asciiTheme="majorHAnsi" w:eastAsiaTheme="majorEastAsia" w:hAnsiTheme="majorHAnsi" w:cstheme="majorBidi"/>
              <w:sz w:val="72"/>
              <w:szCs w:val="72"/>
              <w:lang w:val="en-US"/>
            </w:rPr>
          </w:pPr>
          <w:r w:rsidRPr="00271936">
            <w:rPr>
              <w:rFonts w:asciiTheme="majorHAnsi" w:eastAsiaTheme="majorEastAsia" w:hAnsiTheme="majorHAnsi" w:cstheme="majorBidi"/>
              <w:noProof/>
              <w:sz w:val="72"/>
              <w:szCs w:val="72"/>
              <w:lang w:eastAsia="el-GR"/>
            </w:rPr>
            <w:drawing>
              <wp:inline distT="0" distB="0" distL="0" distR="0">
                <wp:extent cx="828756" cy="880626"/>
                <wp:effectExtent l="19050" t="0" r="9444" b="0"/>
                <wp:docPr id="6" name="Εικόνα 4"/>
                <wp:cNvGraphicFramePr/>
                <a:graphic xmlns:a="http://schemas.openxmlformats.org/drawingml/2006/main">
                  <a:graphicData uri="http://schemas.openxmlformats.org/drawingml/2006/picture">
                    <pic:pic xmlns:pic="http://schemas.openxmlformats.org/drawingml/2006/picture">
                      <pic:nvPicPr>
                        <pic:cNvPr id="10241" name="Picture 1"/>
                        <pic:cNvPicPr>
                          <a:picLocks noChangeAspect="1" noChangeArrowheads="1"/>
                        </pic:cNvPicPr>
                      </pic:nvPicPr>
                      <pic:blipFill>
                        <a:blip r:embed="rId8" cstate="print"/>
                        <a:srcRect/>
                        <a:stretch>
                          <a:fillRect/>
                        </a:stretch>
                      </pic:blipFill>
                      <pic:spPr bwMode="auto">
                        <a:xfrm>
                          <a:off x="0" y="0"/>
                          <a:ext cx="828756" cy="880626"/>
                        </a:xfrm>
                        <a:prstGeom prst="rect">
                          <a:avLst/>
                        </a:prstGeom>
                        <a:noFill/>
                        <a:ln w="9525">
                          <a:noFill/>
                          <a:miter lim="800000"/>
                          <a:headEnd/>
                          <a:tailEnd/>
                        </a:ln>
                      </pic:spPr>
                    </pic:pic>
                  </a:graphicData>
                </a:graphic>
              </wp:inline>
            </w:drawing>
          </w:r>
        </w:p>
        <w:p w:rsidR="00A22029" w:rsidRPr="00A22029" w:rsidRDefault="00A22029" w:rsidP="00271936">
          <w:pPr>
            <w:pStyle w:val="af2"/>
            <w:jc w:val="center"/>
            <w:rPr>
              <w:rFonts w:asciiTheme="majorHAnsi" w:hAnsiTheme="majorHAnsi" w:cstheme="minorHAnsi"/>
              <w:b/>
              <w:color w:val="1F497D" w:themeColor="text2"/>
              <w:sz w:val="12"/>
              <w:szCs w:val="24"/>
            </w:rPr>
          </w:pPr>
        </w:p>
        <w:p w:rsidR="00271936" w:rsidRPr="00C00908" w:rsidRDefault="00C00908" w:rsidP="00271936">
          <w:pPr>
            <w:pStyle w:val="af2"/>
            <w:jc w:val="center"/>
            <w:rPr>
              <w:rFonts w:asciiTheme="majorHAnsi" w:eastAsiaTheme="majorEastAsia" w:hAnsiTheme="majorHAnsi" w:cstheme="majorBidi"/>
              <w:sz w:val="72"/>
              <w:szCs w:val="72"/>
            </w:rPr>
          </w:pPr>
          <w:r w:rsidRPr="00C00908">
            <w:rPr>
              <w:rFonts w:asciiTheme="majorHAnsi" w:hAnsiTheme="majorHAnsi" w:cstheme="minorHAnsi"/>
              <w:color w:val="1F497D" w:themeColor="text2"/>
              <w:sz w:val="24"/>
              <w:szCs w:val="24"/>
            </w:rPr>
            <w:t>ΕΛΛΗΝΙΚΗ ΔΗΜΟΚΡΑΤΙΑ</w:t>
          </w:r>
        </w:p>
        <w:p w:rsidR="00271936" w:rsidRPr="00C00908" w:rsidRDefault="00C00908" w:rsidP="00271936">
          <w:pPr>
            <w:pStyle w:val="af2"/>
            <w:jc w:val="center"/>
            <w:rPr>
              <w:rFonts w:asciiTheme="majorHAnsi" w:hAnsiTheme="majorHAnsi" w:cstheme="minorHAnsi"/>
              <w:color w:val="1F497D" w:themeColor="text2"/>
              <w:sz w:val="24"/>
              <w:szCs w:val="24"/>
            </w:rPr>
          </w:pPr>
          <w:r>
            <w:rPr>
              <w:rFonts w:asciiTheme="majorHAnsi" w:hAnsiTheme="majorHAnsi" w:cstheme="minorHAnsi"/>
              <w:color w:val="1F497D" w:themeColor="text2"/>
              <w:sz w:val="24"/>
              <w:szCs w:val="24"/>
            </w:rPr>
            <w:t>ΥΠΟΥΡΓΕΙΟ ΟΙΚΟΝΟΜΙΚΩΝ</w:t>
          </w:r>
        </w:p>
        <w:p w:rsidR="00271936" w:rsidRPr="00C00908" w:rsidRDefault="00271936">
          <w:pPr>
            <w:pStyle w:val="af2"/>
            <w:rPr>
              <w:rFonts w:asciiTheme="majorHAnsi" w:eastAsiaTheme="majorEastAsia" w:hAnsiTheme="majorHAnsi" w:cstheme="majorBidi"/>
              <w:sz w:val="72"/>
              <w:szCs w:val="72"/>
            </w:rPr>
          </w:pPr>
        </w:p>
        <w:p w:rsidR="00271936" w:rsidRPr="00C00908" w:rsidRDefault="007D1372">
          <w:pPr>
            <w:pStyle w:val="af2"/>
            <w:rPr>
              <w:rFonts w:asciiTheme="majorHAnsi" w:eastAsiaTheme="majorEastAsia" w:hAnsiTheme="majorHAnsi" w:cstheme="majorBidi"/>
              <w:sz w:val="72"/>
              <w:szCs w:val="72"/>
            </w:rPr>
          </w:pPr>
          <w:r w:rsidRPr="007D1372">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1f497d [3215]">
                <w10:wrap anchorx="margin" anchory="page"/>
              </v:rect>
            </w:pict>
          </w:r>
          <w:r w:rsidRPr="007D1372">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1f497d [3215]">
                <w10:wrap anchorx="page" anchory="page"/>
              </v:rect>
            </w:pict>
          </w:r>
        </w:p>
        <w:sdt>
          <w:sdtPr>
            <w:rPr>
              <w:rFonts w:asciiTheme="majorHAnsi" w:eastAsiaTheme="majorEastAsia" w:hAnsiTheme="majorHAnsi" w:cstheme="majorBidi"/>
              <w:color w:val="1F497D" w:themeColor="text2"/>
              <w:sz w:val="72"/>
              <w:szCs w:val="72"/>
            </w:rPr>
            <w:alias w:val="Τίτλος"/>
            <w:id w:val="14700071"/>
            <w:dataBinding w:prefixMappings="xmlns:ns0='http://schemas.openxmlformats.org/package/2006/metadata/core-properties' xmlns:ns1='http://purl.org/dc/elements/1.1/'" w:xpath="/ns0:coreProperties[1]/ns1:title[1]" w:storeItemID="{6C3C8BC8-F283-45AE-878A-BAB7291924A1}"/>
            <w:text/>
          </w:sdtPr>
          <w:sdtContent>
            <w:p w:rsidR="00271936" w:rsidRPr="00C00908" w:rsidRDefault="00C00908" w:rsidP="00C00908">
              <w:pPr>
                <w:pStyle w:val="af2"/>
                <w:spacing w:line="360" w:lineRule="auto"/>
                <w:jc w:val="center"/>
                <w:rPr>
                  <w:rFonts w:asciiTheme="majorHAnsi" w:eastAsiaTheme="majorEastAsia" w:hAnsiTheme="majorHAnsi" w:cstheme="majorBidi"/>
                  <w:color w:val="1F497D" w:themeColor="text2"/>
                  <w:sz w:val="72"/>
                  <w:szCs w:val="72"/>
                </w:rPr>
              </w:pPr>
              <w:r>
                <w:rPr>
                  <w:rFonts w:asciiTheme="majorHAnsi" w:eastAsiaTheme="majorEastAsia" w:hAnsiTheme="majorHAnsi" w:cstheme="majorBidi"/>
                  <w:color w:val="1F497D" w:themeColor="text2"/>
                  <w:sz w:val="72"/>
                  <w:szCs w:val="72"/>
                </w:rPr>
                <w:t>Μεσοπρόθεσμο Πλαίσιο Δημοσιονομικής Στρατηγικής</w:t>
              </w:r>
            </w:p>
          </w:sdtContent>
        </w:sdt>
        <w:sdt>
          <w:sdtPr>
            <w:rPr>
              <w:rFonts w:asciiTheme="majorHAnsi" w:eastAsiaTheme="majorEastAsia" w:hAnsiTheme="majorHAnsi" w:cstheme="majorBidi"/>
              <w:color w:val="1F497D" w:themeColor="text2"/>
              <w:sz w:val="72"/>
              <w:szCs w:val="36"/>
            </w:rPr>
            <w:alias w:val="Υπότιτλος"/>
            <w:id w:val="14700077"/>
            <w:dataBinding w:prefixMappings="xmlns:ns0='http://schemas.openxmlformats.org/package/2006/metadata/core-properties' xmlns:ns1='http://purl.org/dc/elements/1.1/'" w:xpath="/ns0:coreProperties[1]/ns1:subject[1]" w:storeItemID="{6C3C8BC8-F283-45AE-878A-BAB7291924A1}"/>
            <w:text/>
          </w:sdtPr>
          <w:sdtContent>
            <w:p w:rsidR="00271936" w:rsidRPr="00271936" w:rsidRDefault="00C00908" w:rsidP="00C00908">
              <w:pPr>
                <w:pStyle w:val="af2"/>
                <w:spacing w:line="360" w:lineRule="auto"/>
                <w:jc w:val="center"/>
                <w:rPr>
                  <w:rFonts w:asciiTheme="majorHAnsi" w:eastAsiaTheme="majorEastAsia" w:hAnsiTheme="majorHAnsi" w:cstheme="majorBidi"/>
                  <w:color w:val="1F497D" w:themeColor="text2"/>
                  <w:sz w:val="36"/>
                  <w:szCs w:val="36"/>
                  <w:lang w:val="en-US"/>
                </w:rPr>
              </w:pPr>
              <w:r>
                <w:rPr>
                  <w:rFonts w:asciiTheme="majorHAnsi" w:eastAsiaTheme="majorEastAsia" w:hAnsiTheme="majorHAnsi" w:cstheme="majorBidi"/>
                  <w:color w:val="1F497D" w:themeColor="text2"/>
                  <w:sz w:val="72"/>
                  <w:szCs w:val="36"/>
                  <w:lang w:val="en-US"/>
                </w:rPr>
                <w:t>202</w:t>
              </w:r>
              <w:r>
                <w:rPr>
                  <w:rFonts w:asciiTheme="majorHAnsi" w:eastAsiaTheme="majorEastAsia" w:hAnsiTheme="majorHAnsi" w:cstheme="majorBidi"/>
                  <w:color w:val="1F497D" w:themeColor="text2"/>
                  <w:sz w:val="72"/>
                  <w:szCs w:val="36"/>
                </w:rPr>
                <w:t>2-2025</w:t>
              </w:r>
            </w:p>
          </w:sdtContent>
        </w:sdt>
        <w:p w:rsidR="00271936" w:rsidRPr="00271936" w:rsidRDefault="00271936">
          <w:pPr>
            <w:pStyle w:val="af2"/>
            <w:rPr>
              <w:rFonts w:asciiTheme="majorHAnsi" w:eastAsiaTheme="majorEastAsia" w:hAnsiTheme="majorHAnsi" w:cstheme="majorBidi"/>
              <w:color w:val="1F497D" w:themeColor="text2"/>
              <w:sz w:val="36"/>
              <w:szCs w:val="36"/>
              <w:lang w:val="en-US"/>
            </w:rPr>
          </w:pPr>
        </w:p>
        <w:p w:rsidR="00271936" w:rsidRDefault="00271936">
          <w:pPr>
            <w:pStyle w:val="af2"/>
            <w:rPr>
              <w:rFonts w:asciiTheme="majorHAnsi" w:eastAsiaTheme="majorEastAsia" w:hAnsiTheme="majorHAnsi" w:cstheme="majorBidi"/>
              <w:color w:val="1F497D" w:themeColor="text2"/>
              <w:sz w:val="36"/>
              <w:szCs w:val="36"/>
              <w:lang w:val="en-US"/>
            </w:rPr>
          </w:pPr>
        </w:p>
        <w:p w:rsidR="003975D1" w:rsidRPr="00271936" w:rsidRDefault="003975D1">
          <w:pPr>
            <w:pStyle w:val="af2"/>
            <w:rPr>
              <w:rFonts w:asciiTheme="majorHAnsi" w:eastAsiaTheme="majorEastAsia" w:hAnsiTheme="majorHAnsi" w:cstheme="majorBidi"/>
              <w:color w:val="1F497D" w:themeColor="text2"/>
              <w:sz w:val="36"/>
              <w:szCs w:val="36"/>
              <w:lang w:val="en-US"/>
            </w:rPr>
          </w:pPr>
        </w:p>
        <w:p w:rsidR="00271936" w:rsidRPr="00271936" w:rsidRDefault="00271936">
          <w:pPr>
            <w:pStyle w:val="af2"/>
            <w:rPr>
              <w:color w:val="1F497D" w:themeColor="text2"/>
              <w:lang w:val="en-US"/>
            </w:rPr>
          </w:pPr>
        </w:p>
        <w:p w:rsidR="00271936" w:rsidRPr="003975D1" w:rsidRDefault="00271936" w:rsidP="00271936">
          <w:pPr>
            <w:pStyle w:val="af2"/>
            <w:jc w:val="right"/>
            <w:rPr>
              <w:color w:val="1F497D" w:themeColor="text2"/>
              <w:sz w:val="24"/>
              <w:lang w:val="en-US"/>
            </w:rPr>
          </w:pPr>
        </w:p>
        <w:p w:rsidR="00271936" w:rsidRPr="00271936" w:rsidRDefault="00271936">
          <w:pPr>
            <w:pStyle w:val="af2"/>
            <w:rPr>
              <w:color w:val="1F497D" w:themeColor="text2"/>
              <w:lang w:val="en-US"/>
            </w:rPr>
          </w:pPr>
        </w:p>
        <w:p w:rsidR="00271936" w:rsidRPr="00271936" w:rsidRDefault="00271936">
          <w:pPr>
            <w:rPr>
              <w:lang w:val="en-US"/>
            </w:rPr>
          </w:pPr>
        </w:p>
        <w:p w:rsidR="00271936" w:rsidRDefault="007D1372">
          <w:pPr>
            <w:rPr>
              <w:sz w:val="24"/>
              <w:szCs w:val="24"/>
              <w:lang w:val="en-US"/>
            </w:rPr>
          </w:pPr>
          <w:r w:rsidRPr="007D1372">
            <w:rPr>
              <w:rFonts w:asciiTheme="majorHAnsi" w:eastAsiaTheme="majorEastAsia" w:hAnsiTheme="majorHAnsi" w:cstheme="majorBidi"/>
              <w:noProof/>
              <w:color w:val="1F497D" w:themeColor="text2"/>
              <w:sz w:val="36"/>
              <w:szCs w:val="36"/>
              <w:lang w:val="en-US" w:eastAsia="en-US"/>
            </w:rPr>
            <w:pict>
              <v:shapetype id="_x0000_t202" coordsize="21600,21600" o:spt="202" path="m,l,21600r21600,l21600,xe">
                <v:stroke joinstyle="miter"/>
                <v:path gradientshapeok="t" o:connecttype="rect"/>
              </v:shapetype>
              <v:shape id="_x0000_s1030" type="#_x0000_t202" style="position:absolute;margin-left:142.5pt;margin-top:77.85pt;width:204.05pt;height:60.9pt;z-index:251665408;mso-width-percent:400;mso-height-percent:200;mso-width-percent:400;mso-height-percent:200;mso-width-relative:margin;mso-height-relative:margin" fillcolor="#8db3e2 [1311]" stroked="f">
                <v:textbox style="mso-next-textbox:#_x0000_s1030;mso-fit-shape-to-text:t">
                  <w:txbxContent>
                    <w:p w:rsidR="00816F81" w:rsidRPr="001D4B07" w:rsidRDefault="00816F81" w:rsidP="00EF48B8">
                      <w:pPr>
                        <w:jc w:val="center"/>
                        <w:rPr>
                          <w:rFonts w:asciiTheme="majorHAnsi" w:hAnsiTheme="majorHAnsi"/>
                          <w:b/>
                          <w:color w:val="1F497D" w:themeColor="text2"/>
                          <w:sz w:val="24"/>
                        </w:rPr>
                      </w:pPr>
                      <w:r w:rsidRPr="001D4B07">
                        <w:rPr>
                          <w:rFonts w:asciiTheme="majorHAnsi" w:hAnsiTheme="majorHAnsi"/>
                          <w:b/>
                          <w:color w:val="1F497D" w:themeColor="text2"/>
                          <w:sz w:val="24"/>
                        </w:rPr>
                        <w:t>Αθήνα</w:t>
                      </w:r>
                    </w:p>
                    <w:p w:rsidR="00816F81" w:rsidRPr="001D4B07" w:rsidRDefault="00816F81" w:rsidP="00EF48B8">
                      <w:pPr>
                        <w:jc w:val="center"/>
                        <w:rPr>
                          <w:rFonts w:asciiTheme="majorHAnsi" w:hAnsiTheme="majorHAnsi"/>
                          <w:b/>
                          <w:color w:val="1F497D" w:themeColor="text2"/>
                          <w:sz w:val="24"/>
                        </w:rPr>
                      </w:pPr>
                      <w:r w:rsidRPr="001D4B07">
                        <w:rPr>
                          <w:rFonts w:asciiTheme="majorHAnsi" w:hAnsiTheme="majorHAnsi"/>
                          <w:b/>
                          <w:color w:val="1F497D" w:themeColor="text2"/>
                          <w:sz w:val="24"/>
                        </w:rPr>
                        <w:t>Ιούνιος 2021</w:t>
                      </w:r>
                    </w:p>
                  </w:txbxContent>
                </v:textbox>
              </v:shape>
            </w:pict>
          </w:r>
          <w:r w:rsidR="00271936">
            <w:rPr>
              <w:sz w:val="24"/>
              <w:szCs w:val="24"/>
              <w:lang w:val="en-US"/>
            </w:rPr>
            <w:br w:type="page"/>
          </w:r>
        </w:p>
      </w:sdtContent>
    </w:sdt>
    <w:p w:rsidR="00271936" w:rsidRDefault="00271936"/>
    <w:p w:rsidR="005F62F9" w:rsidRDefault="005F62F9">
      <w:pPr>
        <w:rPr>
          <w:b/>
          <w:bCs/>
          <w:color w:val="1F497D" w:themeColor="text2"/>
          <w:sz w:val="24"/>
          <w:szCs w:val="24"/>
          <w:lang w:val="en-US"/>
        </w:rPr>
      </w:pPr>
      <w:r>
        <w:rPr>
          <w:b/>
          <w:bCs/>
          <w:color w:val="1F497D" w:themeColor="text2"/>
          <w:sz w:val="24"/>
          <w:szCs w:val="24"/>
          <w:lang w:val="en-US"/>
        </w:rPr>
        <w:br w:type="page"/>
      </w:r>
    </w:p>
    <w:sdt>
      <w:sdtPr>
        <w:rPr>
          <w:rFonts w:asciiTheme="minorHAnsi" w:eastAsiaTheme="minorEastAsia" w:hAnsiTheme="minorHAnsi" w:cstheme="minorBidi"/>
          <w:b w:val="0"/>
          <w:bCs w:val="0"/>
          <w:color w:val="auto"/>
          <w:sz w:val="22"/>
          <w:szCs w:val="24"/>
          <w:lang w:eastAsia="el-GR"/>
        </w:rPr>
        <w:id w:val="32896403"/>
        <w:docPartObj>
          <w:docPartGallery w:val="Table of Contents"/>
          <w:docPartUnique/>
        </w:docPartObj>
      </w:sdtPr>
      <w:sdtEndPr>
        <w:rPr>
          <w:sz w:val="24"/>
        </w:rPr>
      </w:sdtEndPr>
      <w:sdtContent>
        <w:p w:rsidR="00654672" w:rsidRPr="00E1345E" w:rsidRDefault="001E5166" w:rsidP="005B030C">
          <w:pPr>
            <w:pStyle w:val="a8"/>
            <w:jc w:val="both"/>
            <w:rPr>
              <w:rFonts w:asciiTheme="minorHAnsi" w:eastAsiaTheme="minorEastAsia" w:hAnsiTheme="minorHAnsi" w:cstheme="minorBidi"/>
              <w:bCs w:val="0"/>
              <w:color w:val="auto"/>
              <w:sz w:val="22"/>
              <w:szCs w:val="24"/>
            </w:rPr>
          </w:pPr>
          <w:r w:rsidRPr="00E1345E">
            <w:rPr>
              <w:rFonts w:asciiTheme="minorHAnsi" w:eastAsiaTheme="minorEastAsia" w:hAnsiTheme="minorHAnsi" w:cstheme="minorBidi"/>
              <w:bCs w:val="0"/>
              <w:color w:val="1F497D" w:themeColor="text2"/>
              <w:sz w:val="22"/>
              <w:szCs w:val="24"/>
              <w:lang w:eastAsia="el-GR"/>
            </w:rPr>
            <w:t>Πίνακας περιεχομένων</w:t>
          </w:r>
        </w:p>
        <w:p w:rsidR="00654672" w:rsidRDefault="00654672" w:rsidP="005B030C">
          <w:pPr>
            <w:jc w:val="both"/>
            <w:rPr>
              <w:sz w:val="24"/>
              <w:szCs w:val="24"/>
              <w:lang w:val="en-US" w:eastAsia="en-US"/>
            </w:rPr>
          </w:pPr>
        </w:p>
        <w:p w:rsidR="001E2EB2" w:rsidRPr="009D5B9E" w:rsidRDefault="001E2EB2" w:rsidP="005B030C">
          <w:pPr>
            <w:jc w:val="both"/>
            <w:rPr>
              <w:sz w:val="24"/>
              <w:szCs w:val="24"/>
              <w:lang w:val="en-US" w:eastAsia="en-US"/>
            </w:rPr>
          </w:pPr>
        </w:p>
        <w:p w:rsidR="009D5B9E" w:rsidRPr="009D5B9E" w:rsidRDefault="007D1372">
          <w:pPr>
            <w:pStyle w:val="11"/>
            <w:rPr>
              <w:noProof/>
            </w:rPr>
          </w:pPr>
          <w:r w:rsidRPr="009D5B9E">
            <w:fldChar w:fldCharType="begin"/>
          </w:r>
          <w:r w:rsidR="00654672" w:rsidRPr="009D5B9E">
            <w:instrText xml:space="preserve"> TOC \o "1-3" \h \z \u </w:instrText>
          </w:r>
          <w:r w:rsidRPr="009D5B9E">
            <w:fldChar w:fldCharType="separate"/>
          </w:r>
          <w:hyperlink w:anchor="_Toc74930181" w:history="1">
            <w:r w:rsidR="009D5B9E" w:rsidRPr="009D5B9E">
              <w:rPr>
                <w:rStyle w:val="-"/>
                <w:noProof/>
              </w:rPr>
              <w:t>Δήλωση Συμμόρφωσης και Αναφορά περί Υιοθέτησης Προβλέψεων (ΜΠΔΣ)</w:t>
            </w:r>
            <w:r w:rsidR="009D5B9E" w:rsidRPr="009D5B9E">
              <w:rPr>
                <w:noProof/>
                <w:webHidden/>
              </w:rPr>
              <w:tab/>
            </w:r>
            <w:r w:rsidRPr="009D5B9E">
              <w:rPr>
                <w:noProof/>
                <w:webHidden/>
              </w:rPr>
              <w:fldChar w:fldCharType="begin"/>
            </w:r>
            <w:r w:rsidR="009D5B9E" w:rsidRPr="009D5B9E">
              <w:rPr>
                <w:noProof/>
                <w:webHidden/>
              </w:rPr>
              <w:instrText xml:space="preserve"> PAGEREF _Toc74930181 \h </w:instrText>
            </w:r>
            <w:r w:rsidRPr="009D5B9E">
              <w:rPr>
                <w:noProof/>
                <w:webHidden/>
              </w:rPr>
            </w:r>
            <w:r w:rsidRPr="009D5B9E">
              <w:rPr>
                <w:noProof/>
                <w:webHidden/>
              </w:rPr>
              <w:fldChar w:fldCharType="separate"/>
            </w:r>
            <w:r w:rsidR="009D5B9E">
              <w:rPr>
                <w:noProof/>
                <w:webHidden/>
              </w:rPr>
              <w:t>7</w:t>
            </w:r>
            <w:r w:rsidRPr="009D5B9E">
              <w:rPr>
                <w:noProof/>
                <w:webHidden/>
              </w:rPr>
              <w:fldChar w:fldCharType="end"/>
            </w:r>
          </w:hyperlink>
        </w:p>
        <w:p w:rsidR="009D5B9E" w:rsidRPr="009D5B9E" w:rsidRDefault="007D1372">
          <w:pPr>
            <w:pStyle w:val="11"/>
            <w:rPr>
              <w:noProof/>
            </w:rPr>
          </w:pPr>
          <w:hyperlink w:anchor="_Toc74930182" w:history="1">
            <w:r w:rsidR="009D5B9E" w:rsidRPr="009D5B9E">
              <w:rPr>
                <w:rStyle w:val="-"/>
                <w:noProof/>
              </w:rPr>
              <w:t>Εισαγωγή</w:t>
            </w:r>
            <w:r w:rsidR="009D5B9E" w:rsidRPr="009D5B9E">
              <w:rPr>
                <w:noProof/>
                <w:webHidden/>
              </w:rPr>
              <w:tab/>
            </w:r>
            <w:r w:rsidRPr="009D5B9E">
              <w:rPr>
                <w:noProof/>
                <w:webHidden/>
              </w:rPr>
              <w:fldChar w:fldCharType="begin"/>
            </w:r>
            <w:r w:rsidR="009D5B9E" w:rsidRPr="009D5B9E">
              <w:rPr>
                <w:noProof/>
                <w:webHidden/>
              </w:rPr>
              <w:instrText xml:space="preserve"> PAGEREF _Toc74930182 \h </w:instrText>
            </w:r>
            <w:r w:rsidRPr="009D5B9E">
              <w:rPr>
                <w:noProof/>
                <w:webHidden/>
              </w:rPr>
            </w:r>
            <w:r w:rsidRPr="009D5B9E">
              <w:rPr>
                <w:noProof/>
                <w:webHidden/>
              </w:rPr>
              <w:fldChar w:fldCharType="separate"/>
            </w:r>
            <w:r w:rsidR="009D5B9E">
              <w:rPr>
                <w:noProof/>
                <w:webHidden/>
              </w:rPr>
              <w:t>7</w:t>
            </w:r>
            <w:r w:rsidRPr="009D5B9E">
              <w:rPr>
                <w:noProof/>
                <w:webHidden/>
              </w:rPr>
              <w:fldChar w:fldCharType="end"/>
            </w:r>
          </w:hyperlink>
        </w:p>
        <w:p w:rsidR="009D5B9E" w:rsidRPr="009D5B9E" w:rsidRDefault="007D1372">
          <w:pPr>
            <w:pStyle w:val="11"/>
            <w:rPr>
              <w:noProof/>
            </w:rPr>
          </w:pPr>
          <w:hyperlink w:anchor="_Toc74930183" w:history="1">
            <w:r w:rsidR="009D5B9E" w:rsidRPr="009D5B9E">
              <w:rPr>
                <w:rStyle w:val="-"/>
                <w:noProof/>
              </w:rPr>
              <w:t>1. Οικονομικές εξελίξεις</w:t>
            </w:r>
            <w:r w:rsidR="009D5B9E" w:rsidRPr="009D5B9E">
              <w:rPr>
                <w:noProof/>
                <w:webHidden/>
              </w:rPr>
              <w:tab/>
            </w:r>
            <w:r w:rsidRPr="009D5B9E">
              <w:rPr>
                <w:noProof/>
                <w:webHidden/>
              </w:rPr>
              <w:fldChar w:fldCharType="begin"/>
            </w:r>
            <w:r w:rsidR="009D5B9E" w:rsidRPr="009D5B9E">
              <w:rPr>
                <w:noProof/>
                <w:webHidden/>
              </w:rPr>
              <w:instrText xml:space="preserve"> PAGEREF _Toc74930183 \h </w:instrText>
            </w:r>
            <w:r w:rsidRPr="009D5B9E">
              <w:rPr>
                <w:noProof/>
                <w:webHidden/>
              </w:rPr>
            </w:r>
            <w:r w:rsidRPr="009D5B9E">
              <w:rPr>
                <w:noProof/>
                <w:webHidden/>
              </w:rPr>
              <w:fldChar w:fldCharType="separate"/>
            </w:r>
            <w:r w:rsidR="009D5B9E">
              <w:rPr>
                <w:noProof/>
                <w:webHidden/>
              </w:rPr>
              <w:t>9</w:t>
            </w:r>
            <w:r w:rsidRPr="009D5B9E">
              <w:rPr>
                <w:noProof/>
                <w:webHidden/>
              </w:rPr>
              <w:fldChar w:fldCharType="end"/>
            </w:r>
          </w:hyperlink>
        </w:p>
        <w:p w:rsidR="009D5B9E" w:rsidRPr="009D5B9E" w:rsidRDefault="007D1372">
          <w:pPr>
            <w:pStyle w:val="21"/>
            <w:rPr>
              <w:b w:val="0"/>
              <w:bCs w:val="0"/>
            </w:rPr>
          </w:pPr>
          <w:hyperlink w:anchor="_Toc74930184" w:history="1">
            <w:r w:rsidR="009D5B9E" w:rsidRPr="009D5B9E">
              <w:rPr>
                <w:rStyle w:val="-"/>
                <w:b w:val="0"/>
              </w:rPr>
              <w:t>1.1 Μακροοικονομικές εξελίξεις</w:t>
            </w:r>
            <w:r w:rsidR="009D5B9E" w:rsidRPr="009D5B9E">
              <w:rPr>
                <w:b w:val="0"/>
                <w:webHidden/>
              </w:rPr>
              <w:tab/>
            </w:r>
            <w:r w:rsidRPr="009D5B9E">
              <w:rPr>
                <w:b w:val="0"/>
                <w:webHidden/>
              </w:rPr>
              <w:fldChar w:fldCharType="begin"/>
            </w:r>
            <w:r w:rsidR="009D5B9E" w:rsidRPr="009D5B9E">
              <w:rPr>
                <w:b w:val="0"/>
                <w:webHidden/>
              </w:rPr>
              <w:instrText xml:space="preserve"> PAGEREF _Toc74930184 \h </w:instrText>
            </w:r>
            <w:r w:rsidRPr="009D5B9E">
              <w:rPr>
                <w:b w:val="0"/>
                <w:webHidden/>
              </w:rPr>
            </w:r>
            <w:r w:rsidRPr="009D5B9E">
              <w:rPr>
                <w:b w:val="0"/>
                <w:webHidden/>
              </w:rPr>
              <w:fldChar w:fldCharType="separate"/>
            </w:r>
            <w:r w:rsidR="009D5B9E">
              <w:rPr>
                <w:b w:val="0"/>
                <w:webHidden/>
              </w:rPr>
              <w:t>9</w:t>
            </w:r>
            <w:r w:rsidRPr="009D5B9E">
              <w:rPr>
                <w:b w:val="0"/>
                <w:webHidden/>
              </w:rPr>
              <w:fldChar w:fldCharType="end"/>
            </w:r>
          </w:hyperlink>
        </w:p>
        <w:p w:rsidR="009D5B9E" w:rsidRPr="009D5B9E" w:rsidRDefault="007D1372">
          <w:pPr>
            <w:pStyle w:val="21"/>
            <w:rPr>
              <w:b w:val="0"/>
              <w:bCs w:val="0"/>
            </w:rPr>
          </w:pPr>
          <w:hyperlink w:anchor="_Toc74930185" w:history="1">
            <w:r w:rsidR="009D5B9E" w:rsidRPr="009D5B9E">
              <w:rPr>
                <w:rStyle w:val="-"/>
                <w:b w:val="0"/>
              </w:rPr>
              <w:t>1.2 Μακροοικονομικοί και δημοσιονομικοί κίνδυνοι για το ΜΠΔΣ</w:t>
            </w:r>
            <w:r w:rsidR="009D5B9E" w:rsidRPr="009D5B9E">
              <w:rPr>
                <w:b w:val="0"/>
                <w:webHidden/>
              </w:rPr>
              <w:tab/>
            </w:r>
            <w:r w:rsidRPr="009D5B9E">
              <w:rPr>
                <w:b w:val="0"/>
                <w:webHidden/>
              </w:rPr>
              <w:fldChar w:fldCharType="begin"/>
            </w:r>
            <w:r w:rsidR="009D5B9E" w:rsidRPr="009D5B9E">
              <w:rPr>
                <w:b w:val="0"/>
                <w:webHidden/>
              </w:rPr>
              <w:instrText xml:space="preserve"> PAGEREF _Toc74930185 \h </w:instrText>
            </w:r>
            <w:r w:rsidRPr="009D5B9E">
              <w:rPr>
                <w:b w:val="0"/>
                <w:webHidden/>
              </w:rPr>
            </w:r>
            <w:r w:rsidRPr="009D5B9E">
              <w:rPr>
                <w:b w:val="0"/>
                <w:webHidden/>
              </w:rPr>
              <w:fldChar w:fldCharType="separate"/>
            </w:r>
            <w:r w:rsidR="009D5B9E">
              <w:rPr>
                <w:b w:val="0"/>
                <w:webHidden/>
              </w:rPr>
              <w:t>31</w:t>
            </w:r>
            <w:r w:rsidRPr="009D5B9E">
              <w:rPr>
                <w:b w:val="0"/>
                <w:webHidden/>
              </w:rPr>
              <w:fldChar w:fldCharType="end"/>
            </w:r>
          </w:hyperlink>
        </w:p>
        <w:p w:rsidR="009D5B9E" w:rsidRPr="009D5B9E" w:rsidRDefault="007D1372">
          <w:pPr>
            <w:pStyle w:val="21"/>
            <w:rPr>
              <w:b w:val="0"/>
              <w:bCs w:val="0"/>
            </w:rPr>
          </w:pPr>
          <w:hyperlink w:anchor="_Toc74930186" w:history="1">
            <w:r w:rsidR="009D5B9E" w:rsidRPr="009D5B9E">
              <w:rPr>
                <w:rStyle w:val="-"/>
                <w:b w:val="0"/>
              </w:rPr>
              <w:t>1.3 Δημοσιονομικά απολογιστικά στοιχεία 2019 και 2020</w:t>
            </w:r>
            <w:r w:rsidR="009D5B9E" w:rsidRPr="009D5B9E">
              <w:rPr>
                <w:b w:val="0"/>
                <w:webHidden/>
              </w:rPr>
              <w:tab/>
            </w:r>
            <w:r w:rsidRPr="009D5B9E">
              <w:rPr>
                <w:b w:val="0"/>
                <w:webHidden/>
              </w:rPr>
              <w:fldChar w:fldCharType="begin"/>
            </w:r>
            <w:r w:rsidR="009D5B9E" w:rsidRPr="009D5B9E">
              <w:rPr>
                <w:b w:val="0"/>
                <w:webHidden/>
              </w:rPr>
              <w:instrText xml:space="preserve"> PAGEREF _Toc74930186 \h </w:instrText>
            </w:r>
            <w:r w:rsidRPr="009D5B9E">
              <w:rPr>
                <w:b w:val="0"/>
                <w:webHidden/>
              </w:rPr>
            </w:r>
            <w:r w:rsidRPr="009D5B9E">
              <w:rPr>
                <w:b w:val="0"/>
                <w:webHidden/>
              </w:rPr>
              <w:fldChar w:fldCharType="separate"/>
            </w:r>
            <w:r w:rsidR="009D5B9E">
              <w:rPr>
                <w:b w:val="0"/>
                <w:webHidden/>
              </w:rPr>
              <w:t>32</w:t>
            </w:r>
            <w:r w:rsidRPr="009D5B9E">
              <w:rPr>
                <w:b w:val="0"/>
                <w:webHidden/>
              </w:rPr>
              <w:fldChar w:fldCharType="end"/>
            </w:r>
          </w:hyperlink>
        </w:p>
        <w:p w:rsidR="009D5B9E" w:rsidRPr="009D5B9E" w:rsidRDefault="007D1372">
          <w:pPr>
            <w:pStyle w:val="11"/>
            <w:rPr>
              <w:noProof/>
            </w:rPr>
          </w:pPr>
          <w:hyperlink w:anchor="_Toc74930187" w:history="1">
            <w:r w:rsidR="009D5B9E" w:rsidRPr="009D5B9E">
              <w:rPr>
                <w:rStyle w:val="-"/>
                <w:noProof/>
              </w:rPr>
              <w:t>2. Μεσοπρόθεσμο  Πλαίσιο Δημοσιονομικής Στρατηγικής 2022-2025</w:t>
            </w:r>
            <w:r w:rsidR="009D5B9E" w:rsidRPr="009D5B9E">
              <w:rPr>
                <w:noProof/>
                <w:webHidden/>
              </w:rPr>
              <w:tab/>
            </w:r>
            <w:r w:rsidRPr="009D5B9E">
              <w:rPr>
                <w:noProof/>
                <w:webHidden/>
              </w:rPr>
              <w:fldChar w:fldCharType="begin"/>
            </w:r>
            <w:r w:rsidR="009D5B9E" w:rsidRPr="009D5B9E">
              <w:rPr>
                <w:noProof/>
                <w:webHidden/>
              </w:rPr>
              <w:instrText xml:space="preserve"> PAGEREF _Toc74930187 \h </w:instrText>
            </w:r>
            <w:r w:rsidRPr="009D5B9E">
              <w:rPr>
                <w:noProof/>
                <w:webHidden/>
              </w:rPr>
            </w:r>
            <w:r w:rsidRPr="009D5B9E">
              <w:rPr>
                <w:noProof/>
                <w:webHidden/>
              </w:rPr>
              <w:fldChar w:fldCharType="separate"/>
            </w:r>
            <w:r w:rsidR="009D5B9E">
              <w:rPr>
                <w:noProof/>
                <w:webHidden/>
              </w:rPr>
              <w:t>35</w:t>
            </w:r>
            <w:r w:rsidRPr="009D5B9E">
              <w:rPr>
                <w:noProof/>
                <w:webHidden/>
              </w:rPr>
              <w:fldChar w:fldCharType="end"/>
            </w:r>
          </w:hyperlink>
        </w:p>
        <w:p w:rsidR="009D5B9E" w:rsidRPr="009D5B9E" w:rsidRDefault="007D1372">
          <w:pPr>
            <w:pStyle w:val="21"/>
            <w:rPr>
              <w:b w:val="0"/>
              <w:bCs w:val="0"/>
            </w:rPr>
          </w:pPr>
          <w:hyperlink w:anchor="_Toc74930188" w:history="1">
            <w:r w:rsidR="009D5B9E" w:rsidRPr="009D5B9E">
              <w:rPr>
                <w:rStyle w:val="-"/>
                <w:rFonts w:eastAsia="Calibri"/>
                <w:b w:val="0"/>
              </w:rPr>
              <w:t>2.</w:t>
            </w:r>
            <w:r w:rsidR="009D5B9E" w:rsidRPr="009D5B9E">
              <w:rPr>
                <w:rStyle w:val="-"/>
                <w:b w:val="0"/>
              </w:rPr>
              <w:t>1 Δημοσιονομικές εκτιμήσεις ΜΠΔΣ 2022-2025</w:t>
            </w:r>
            <w:r w:rsidR="009D5B9E" w:rsidRPr="009D5B9E">
              <w:rPr>
                <w:b w:val="0"/>
                <w:webHidden/>
              </w:rPr>
              <w:tab/>
            </w:r>
            <w:r w:rsidRPr="009D5B9E">
              <w:rPr>
                <w:b w:val="0"/>
                <w:webHidden/>
              </w:rPr>
              <w:fldChar w:fldCharType="begin"/>
            </w:r>
            <w:r w:rsidR="009D5B9E" w:rsidRPr="009D5B9E">
              <w:rPr>
                <w:b w:val="0"/>
                <w:webHidden/>
              </w:rPr>
              <w:instrText xml:space="preserve"> PAGEREF _Toc74930188 \h </w:instrText>
            </w:r>
            <w:r w:rsidRPr="009D5B9E">
              <w:rPr>
                <w:b w:val="0"/>
                <w:webHidden/>
              </w:rPr>
            </w:r>
            <w:r w:rsidRPr="009D5B9E">
              <w:rPr>
                <w:b w:val="0"/>
                <w:webHidden/>
              </w:rPr>
              <w:fldChar w:fldCharType="separate"/>
            </w:r>
            <w:r w:rsidR="009D5B9E">
              <w:rPr>
                <w:b w:val="0"/>
                <w:webHidden/>
              </w:rPr>
              <w:t>35</w:t>
            </w:r>
            <w:r w:rsidRPr="009D5B9E">
              <w:rPr>
                <w:b w:val="0"/>
                <w:webHidden/>
              </w:rPr>
              <w:fldChar w:fldCharType="end"/>
            </w:r>
          </w:hyperlink>
        </w:p>
        <w:p w:rsidR="009D5B9E" w:rsidRPr="009D5B9E" w:rsidRDefault="007D1372">
          <w:pPr>
            <w:pStyle w:val="21"/>
            <w:rPr>
              <w:b w:val="0"/>
              <w:bCs w:val="0"/>
            </w:rPr>
          </w:pPr>
          <w:hyperlink w:anchor="_Toc74930189" w:history="1">
            <w:r w:rsidR="009D5B9E" w:rsidRPr="009D5B9E">
              <w:rPr>
                <w:rStyle w:val="-"/>
                <w:rFonts w:eastAsia="Calibri"/>
                <w:b w:val="0"/>
              </w:rPr>
              <w:t>2.2 Ανάλυση ανά υποτομέα</w:t>
            </w:r>
            <w:r w:rsidR="009D5B9E" w:rsidRPr="009D5B9E">
              <w:rPr>
                <w:b w:val="0"/>
                <w:webHidden/>
              </w:rPr>
              <w:tab/>
            </w:r>
            <w:r w:rsidRPr="009D5B9E">
              <w:rPr>
                <w:b w:val="0"/>
                <w:webHidden/>
              </w:rPr>
              <w:fldChar w:fldCharType="begin"/>
            </w:r>
            <w:r w:rsidR="009D5B9E" w:rsidRPr="009D5B9E">
              <w:rPr>
                <w:b w:val="0"/>
                <w:webHidden/>
              </w:rPr>
              <w:instrText xml:space="preserve"> PAGEREF _Toc74930189 \h </w:instrText>
            </w:r>
            <w:r w:rsidRPr="009D5B9E">
              <w:rPr>
                <w:b w:val="0"/>
                <w:webHidden/>
              </w:rPr>
            </w:r>
            <w:r w:rsidRPr="009D5B9E">
              <w:rPr>
                <w:b w:val="0"/>
                <w:webHidden/>
              </w:rPr>
              <w:fldChar w:fldCharType="separate"/>
            </w:r>
            <w:r w:rsidR="009D5B9E">
              <w:rPr>
                <w:b w:val="0"/>
                <w:webHidden/>
              </w:rPr>
              <w:t>40</w:t>
            </w:r>
            <w:r w:rsidRPr="009D5B9E">
              <w:rPr>
                <w:b w:val="0"/>
                <w:webHidden/>
              </w:rPr>
              <w:fldChar w:fldCharType="end"/>
            </w:r>
          </w:hyperlink>
        </w:p>
        <w:p w:rsidR="009D5B9E" w:rsidRPr="009D5B9E" w:rsidRDefault="007D1372">
          <w:pPr>
            <w:pStyle w:val="31"/>
            <w:tabs>
              <w:tab w:val="right" w:leader="dot" w:pos="10194"/>
            </w:tabs>
            <w:rPr>
              <w:noProof/>
            </w:rPr>
          </w:pPr>
          <w:hyperlink w:anchor="_Toc74930190" w:history="1">
            <w:r w:rsidR="009D5B9E" w:rsidRPr="009D5B9E">
              <w:rPr>
                <w:rStyle w:val="-"/>
                <w:noProof/>
              </w:rPr>
              <w:t>2.2.1 Κράτος</w:t>
            </w:r>
            <w:r w:rsidR="009D5B9E" w:rsidRPr="009D5B9E">
              <w:rPr>
                <w:noProof/>
                <w:webHidden/>
              </w:rPr>
              <w:tab/>
            </w:r>
            <w:r w:rsidRPr="009D5B9E">
              <w:rPr>
                <w:noProof/>
                <w:webHidden/>
              </w:rPr>
              <w:fldChar w:fldCharType="begin"/>
            </w:r>
            <w:r w:rsidR="009D5B9E" w:rsidRPr="009D5B9E">
              <w:rPr>
                <w:noProof/>
                <w:webHidden/>
              </w:rPr>
              <w:instrText xml:space="preserve"> PAGEREF _Toc74930190 \h </w:instrText>
            </w:r>
            <w:r w:rsidRPr="009D5B9E">
              <w:rPr>
                <w:noProof/>
                <w:webHidden/>
              </w:rPr>
            </w:r>
            <w:r w:rsidRPr="009D5B9E">
              <w:rPr>
                <w:noProof/>
                <w:webHidden/>
              </w:rPr>
              <w:fldChar w:fldCharType="separate"/>
            </w:r>
            <w:r w:rsidR="009D5B9E">
              <w:rPr>
                <w:noProof/>
                <w:webHidden/>
              </w:rPr>
              <w:t>40</w:t>
            </w:r>
            <w:r w:rsidRPr="009D5B9E">
              <w:rPr>
                <w:noProof/>
                <w:webHidden/>
              </w:rPr>
              <w:fldChar w:fldCharType="end"/>
            </w:r>
          </w:hyperlink>
        </w:p>
        <w:p w:rsidR="009D5B9E" w:rsidRPr="009D5B9E" w:rsidRDefault="007D1372">
          <w:pPr>
            <w:pStyle w:val="31"/>
            <w:tabs>
              <w:tab w:val="right" w:leader="dot" w:pos="10194"/>
            </w:tabs>
            <w:rPr>
              <w:noProof/>
            </w:rPr>
          </w:pPr>
          <w:hyperlink w:anchor="_Toc74930191" w:history="1">
            <w:r w:rsidR="009D5B9E" w:rsidRPr="009D5B9E">
              <w:rPr>
                <w:rStyle w:val="-"/>
                <w:rFonts w:eastAsia="Calibri"/>
                <w:noProof/>
              </w:rPr>
              <w:t>2.2.2 Νομικά Πρόσωπα</w:t>
            </w:r>
            <w:r w:rsidR="009D5B9E" w:rsidRPr="009D5B9E">
              <w:rPr>
                <w:noProof/>
                <w:webHidden/>
              </w:rPr>
              <w:tab/>
            </w:r>
            <w:r w:rsidRPr="009D5B9E">
              <w:rPr>
                <w:noProof/>
                <w:webHidden/>
              </w:rPr>
              <w:fldChar w:fldCharType="begin"/>
            </w:r>
            <w:r w:rsidR="009D5B9E" w:rsidRPr="009D5B9E">
              <w:rPr>
                <w:noProof/>
                <w:webHidden/>
              </w:rPr>
              <w:instrText xml:space="preserve"> PAGEREF _Toc74930191 \h </w:instrText>
            </w:r>
            <w:r w:rsidRPr="009D5B9E">
              <w:rPr>
                <w:noProof/>
                <w:webHidden/>
              </w:rPr>
            </w:r>
            <w:r w:rsidRPr="009D5B9E">
              <w:rPr>
                <w:noProof/>
                <w:webHidden/>
              </w:rPr>
              <w:fldChar w:fldCharType="separate"/>
            </w:r>
            <w:r w:rsidR="009D5B9E">
              <w:rPr>
                <w:noProof/>
                <w:webHidden/>
              </w:rPr>
              <w:t>47</w:t>
            </w:r>
            <w:r w:rsidRPr="009D5B9E">
              <w:rPr>
                <w:noProof/>
                <w:webHidden/>
              </w:rPr>
              <w:fldChar w:fldCharType="end"/>
            </w:r>
          </w:hyperlink>
        </w:p>
        <w:p w:rsidR="009D5B9E" w:rsidRPr="009D5B9E" w:rsidRDefault="007D1372">
          <w:pPr>
            <w:pStyle w:val="31"/>
            <w:tabs>
              <w:tab w:val="right" w:leader="dot" w:pos="10194"/>
            </w:tabs>
            <w:rPr>
              <w:noProof/>
            </w:rPr>
          </w:pPr>
          <w:hyperlink w:anchor="_Toc74930192" w:history="1">
            <w:r w:rsidR="009D5B9E" w:rsidRPr="009D5B9E">
              <w:rPr>
                <w:rStyle w:val="-"/>
                <w:rFonts w:eastAsia="Calibri"/>
                <w:noProof/>
              </w:rPr>
              <w:t>2.2.3 Νοσοκομεία-Πρωτοβάθμια Φροντίδα Υγείας</w:t>
            </w:r>
            <w:r w:rsidR="009D5B9E" w:rsidRPr="009D5B9E">
              <w:rPr>
                <w:noProof/>
                <w:webHidden/>
              </w:rPr>
              <w:tab/>
            </w:r>
            <w:r w:rsidRPr="009D5B9E">
              <w:rPr>
                <w:noProof/>
                <w:webHidden/>
              </w:rPr>
              <w:fldChar w:fldCharType="begin"/>
            </w:r>
            <w:r w:rsidR="009D5B9E" w:rsidRPr="009D5B9E">
              <w:rPr>
                <w:noProof/>
                <w:webHidden/>
              </w:rPr>
              <w:instrText xml:space="preserve"> PAGEREF _Toc74930192 \h </w:instrText>
            </w:r>
            <w:r w:rsidRPr="009D5B9E">
              <w:rPr>
                <w:noProof/>
                <w:webHidden/>
              </w:rPr>
            </w:r>
            <w:r w:rsidRPr="009D5B9E">
              <w:rPr>
                <w:noProof/>
                <w:webHidden/>
              </w:rPr>
              <w:fldChar w:fldCharType="separate"/>
            </w:r>
            <w:r w:rsidR="009D5B9E">
              <w:rPr>
                <w:noProof/>
                <w:webHidden/>
              </w:rPr>
              <w:t>47</w:t>
            </w:r>
            <w:r w:rsidRPr="009D5B9E">
              <w:rPr>
                <w:noProof/>
                <w:webHidden/>
              </w:rPr>
              <w:fldChar w:fldCharType="end"/>
            </w:r>
          </w:hyperlink>
        </w:p>
        <w:p w:rsidR="009D5B9E" w:rsidRPr="009D5B9E" w:rsidRDefault="007D1372">
          <w:pPr>
            <w:pStyle w:val="31"/>
            <w:tabs>
              <w:tab w:val="right" w:leader="dot" w:pos="10194"/>
            </w:tabs>
            <w:rPr>
              <w:noProof/>
            </w:rPr>
          </w:pPr>
          <w:hyperlink w:anchor="_Toc74930193" w:history="1">
            <w:r w:rsidR="009D5B9E" w:rsidRPr="009D5B9E">
              <w:rPr>
                <w:rStyle w:val="-"/>
                <w:rFonts w:eastAsia="Calibri"/>
                <w:noProof/>
              </w:rPr>
              <w:t>2.2.4 Ο.Τ.Α.</w:t>
            </w:r>
            <w:r w:rsidR="009D5B9E" w:rsidRPr="009D5B9E">
              <w:rPr>
                <w:noProof/>
                <w:webHidden/>
              </w:rPr>
              <w:tab/>
            </w:r>
            <w:r w:rsidRPr="009D5B9E">
              <w:rPr>
                <w:noProof/>
                <w:webHidden/>
              </w:rPr>
              <w:fldChar w:fldCharType="begin"/>
            </w:r>
            <w:r w:rsidR="009D5B9E" w:rsidRPr="009D5B9E">
              <w:rPr>
                <w:noProof/>
                <w:webHidden/>
              </w:rPr>
              <w:instrText xml:space="preserve"> PAGEREF _Toc74930193 \h </w:instrText>
            </w:r>
            <w:r w:rsidRPr="009D5B9E">
              <w:rPr>
                <w:noProof/>
                <w:webHidden/>
              </w:rPr>
            </w:r>
            <w:r w:rsidRPr="009D5B9E">
              <w:rPr>
                <w:noProof/>
                <w:webHidden/>
              </w:rPr>
              <w:fldChar w:fldCharType="separate"/>
            </w:r>
            <w:r w:rsidR="009D5B9E">
              <w:rPr>
                <w:noProof/>
                <w:webHidden/>
              </w:rPr>
              <w:t>48</w:t>
            </w:r>
            <w:r w:rsidRPr="009D5B9E">
              <w:rPr>
                <w:noProof/>
                <w:webHidden/>
              </w:rPr>
              <w:fldChar w:fldCharType="end"/>
            </w:r>
          </w:hyperlink>
        </w:p>
        <w:p w:rsidR="009D5B9E" w:rsidRPr="009D5B9E" w:rsidRDefault="007D1372">
          <w:pPr>
            <w:pStyle w:val="31"/>
            <w:tabs>
              <w:tab w:val="right" w:leader="dot" w:pos="10194"/>
            </w:tabs>
            <w:rPr>
              <w:noProof/>
            </w:rPr>
          </w:pPr>
          <w:hyperlink w:anchor="_Toc74930194" w:history="1">
            <w:r w:rsidR="009D5B9E" w:rsidRPr="009D5B9E">
              <w:rPr>
                <w:rStyle w:val="-"/>
                <w:rFonts w:eastAsia="Calibri"/>
                <w:noProof/>
              </w:rPr>
              <w:t>2.2.5 Κοινωνικός Προϋπολογισμός</w:t>
            </w:r>
            <w:r w:rsidR="009D5B9E" w:rsidRPr="009D5B9E">
              <w:rPr>
                <w:noProof/>
                <w:webHidden/>
              </w:rPr>
              <w:tab/>
            </w:r>
            <w:r w:rsidRPr="009D5B9E">
              <w:rPr>
                <w:noProof/>
                <w:webHidden/>
              </w:rPr>
              <w:fldChar w:fldCharType="begin"/>
            </w:r>
            <w:r w:rsidR="009D5B9E" w:rsidRPr="009D5B9E">
              <w:rPr>
                <w:noProof/>
                <w:webHidden/>
              </w:rPr>
              <w:instrText xml:space="preserve"> PAGEREF _Toc74930194 \h </w:instrText>
            </w:r>
            <w:r w:rsidRPr="009D5B9E">
              <w:rPr>
                <w:noProof/>
                <w:webHidden/>
              </w:rPr>
            </w:r>
            <w:r w:rsidRPr="009D5B9E">
              <w:rPr>
                <w:noProof/>
                <w:webHidden/>
              </w:rPr>
              <w:fldChar w:fldCharType="separate"/>
            </w:r>
            <w:r w:rsidR="009D5B9E">
              <w:rPr>
                <w:noProof/>
                <w:webHidden/>
              </w:rPr>
              <w:t>49</w:t>
            </w:r>
            <w:r w:rsidRPr="009D5B9E">
              <w:rPr>
                <w:noProof/>
                <w:webHidden/>
              </w:rPr>
              <w:fldChar w:fldCharType="end"/>
            </w:r>
          </w:hyperlink>
        </w:p>
        <w:p w:rsidR="009D5B9E" w:rsidRPr="009D5B9E" w:rsidRDefault="007D1372">
          <w:pPr>
            <w:pStyle w:val="31"/>
            <w:tabs>
              <w:tab w:val="right" w:leader="dot" w:pos="10194"/>
            </w:tabs>
            <w:rPr>
              <w:noProof/>
            </w:rPr>
          </w:pPr>
          <w:hyperlink w:anchor="_Toc74930195" w:history="1">
            <w:r w:rsidR="009D5B9E" w:rsidRPr="009D5B9E">
              <w:rPr>
                <w:rStyle w:val="-"/>
                <w:rFonts w:eastAsia="Calibri"/>
                <w:noProof/>
              </w:rPr>
              <w:t>2.2.6 Προσλήψεις - αποχωρήσεις προσωπικού Γενικής Κυβέρνησης</w:t>
            </w:r>
            <w:r w:rsidR="009D5B9E" w:rsidRPr="009D5B9E">
              <w:rPr>
                <w:noProof/>
                <w:webHidden/>
              </w:rPr>
              <w:tab/>
            </w:r>
            <w:r w:rsidRPr="009D5B9E">
              <w:rPr>
                <w:noProof/>
                <w:webHidden/>
              </w:rPr>
              <w:fldChar w:fldCharType="begin"/>
            </w:r>
            <w:r w:rsidR="009D5B9E" w:rsidRPr="009D5B9E">
              <w:rPr>
                <w:noProof/>
                <w:webHidden/>
              </w:rPr>
              <w:instrText xml:space="preserve"> PAGEREF _Toc74930195 \h </w:instrText>
            </w:r>
            <w:r w:rsidRPr="009D5B9E">
              <w:rPr>
                <w:noProof/>
                <w:webHidden/>
              </w:rPr>
            </w:r>
            <w:r w:rsidRPr="009D5B9E">
              <w:rPr>
                <w:noProof/>
                <w:webHidden/>
              </w:rPr>
              <w:fldChar w:fldCharType="separate"/>
            </w:r>
            <w:r w:rsidR="009D5B9E">
              <w:rPr>
                <w:noProof/>
                <w:webHidden/>
              </w:rPr>
              <w:t>52</w:t>
            </w:r>
            <w:r w:rsidRPr="009D5B9E">
              <w:rPr>
                <w:noProof/>
                <w:webHidden/>
              </w:rPr>
              <w:fldChar w:fldCharType="end"/>
            </w:r>
          </w:hyperlink>
        </w:p>
        <w:p w:rsidR="009D5B9E" w:rsidRPr="009D5B9E" w:rsidRDefault="007D1372">
          <w:pPr>
            <w:pStyle w:val="21"/>
            <w:rPr>
              <w:b w:val="0"/>
              <w:bCs w:val="0"/>
            </w:rPr>
          </w:pPr>
          <w:hyperlink w:anchor="_Toc74930196" w:history="1">
            <w:r w:rsidR="009D5B9E" w:rsidRPr="009D5B9E">
              <w:rPr>
                <w:rStyle w:val="-"/>
                <w:b w:val="0"/>
              </w:rPr>
              <w:t xml:space="preserve">2.3 </w:t>
            </w:r>
            <w:r w:rsidR="009D5B9E" w:rsidRPr="009D5B9E">
              <w:rPr>
                <w:rStyle w:val="-"/>
                <w:rFonts w:eastAsia="Calibri"/>
                <w:b w:val="0"/>
              </w:rPr>
              <w:t>Σύγκριση προϋπολογισμού με εκτιμήσεις έτους 2021</w:t>
            </w:r>
            <w:r w:rsidR="009D5B9E" w:rsidRPr="009D5B9E">
              <w:rPr>
                <w:b w:val="0"/>
                <w:webHidden/>
              </w:rPr>
              <w:tab/>
            </w:r>
            <w:r w:rsidRPr="009D5B9E">
              <w:rPr>
                <w:b w:val="0"/>
                <w:webHidden/>
              </w:rPr>
              <w:fldChar w:fldCharType="begin"/>
            </w:r>
            <w:r w:rsidR="009D5B9E" w:rsidRPr="009D5B9E">
              <w:rPr>
                <w:b w:val="0"/>
                <w:webHidden/>
              </w:rPr>
              <w:instrText xml:space="preserve"> PAGEREF _Toc74930196 \h </w:instrText>
            </w:r>
            <w:r w:rsidRPr="009D5B9E">
              <w:rPr>
                <w:b w:val="0"/>
                <w:webHidden/>
              </w:rPr>
            </w:r>
            <w:r w:rsidRPr="009D5B9E">
              <w:rPr>
                <w:b w:val="0"/>
                <w:webHidden/>
              </w:rPr>
              <w:fldChar w:fldCharType="separate"/>
            </w:r>
            <w:r w:rsidR="009D5B9E">
              <w:rPr>
                <w:b w:val="0"/>
                <w:webHidden/>
              </w:rPr>
              <w:t>53</w:t>
            </w:r>
            <w:r w:rsidRPr="009D5B9E">
              <w:rPr>
                <w:b w:val="0"/>
                <w:webHidden/>
              </w:rPr>
              <w:fldChar w:fldCharType="end"/>
            </w:r>
          </w:hyperlink>
        </w:p>
        <w:p w:rsidR="009D5B9E" w:rsidRPr="009D5B9E" w:rsidRDefault="007D1372">
          <w:pPr>
            <w:pStyle w:val="21"/>
            <w:rPr>
              <w:b w:val="0"/>
              <w:bCs w:val="0"/>
            </w:rPr>
          </w:pPr>
          <w:hyperlink w:anchor="_Toc74930197" w:history="1">
            <w:r w:rsidR="009D5B9E" w:rsidRPr="009D5B9E">
              <w:rPr>
                <w:rStyle w:val="-"/>
                <w:rFonts w:eastAsia="Calibri"/>
                <w:b w:val="0"/>
              </w:rPr>
              <w:t xml:space="preserve">2.4 </w:t>
            </w:r>
            <w:r w:rsidR="009D5B9E" w:rsidRPr="009D5B9E">
              <w:rPr>
                <w:rStyle w:val="-"/>
                <w:b w:val="0"/>
              </w:rPr>
              <w:t>Γενική Κυβέρνηση σε ενοποιημένη βάση</w:t>
            </w:r>
            <w:r w:rsidR="009D5B9E" w:rsidRPr="009D5B9E">
              <w:rPr>
                <w:b w:val="0"/>
                <w:webHidden/>
              </w:rPr>
              <w:tab/>
            </w:r>
            <w:r w:rsidRPr="009D5B9E">
              <w:rPr>
                <w:b w:val="0"/>
                <w:webHidden/>
              </w:rPr>
              <w:fldChar w:fldCharType="begin"/>
            </w:r>
            <w:r w:rsidR="009D5B9E" w:rsidRPr="009D5B9E">
              <w:rPr>
                <w:b w:val="0"/>
                <w:webHidden/>
              </w:rPr>
              <w:instrText xml:space="preserve"> PAGEREF _Toc74930197 \h </w:instrText>
            </w:r>
            <w:r w:rsidRPr="009D5B9E">
              <w:rPr>
                <w:b w:val="0"/>
                <w:webHidden/>
              </w:rPr>
            </w:r>
            <w:r w:rsidRPr="009D5B9E">
              <w:rPr>
                <w:b w:val="0"/>
                <w:webHidden/>
              </w:rPr>
              <w:fldChar w:fldCharType="separate"/>
            </w:r>
            <w:r w:rsidR="009D5B9E">
              <w:rPr>
                <w:b w:val="0"/>
                <w:webHidden/>
              </w:rPr>
              <w:t>57</w:t>
            </w:r>
            <w:r w:rsidRPr="009D5B9E">
              <w:rPr>
                <w:b w:val="0"/>
                <w:webHidden/>
              </w:rPr>
              <w:fldChar w:fldCharType="end"/>
            </w:r>
          </w:hyperlink>
        </w:p>
        <w:p w:rsidR="009D5B9E" w:rsidRPr="009D5B9E" w:rsidRDefault="007D1372">
          <w:pPr>
            <w:pStyle w:val="21"/>
            <w:rPr>
              <w:b w:val="0"/>
              <w:bCs w:val="0"/>
            </w:rPr>
          </w:pPr>
          <w:hyperlink w:anchor="_Toc74930198" w:history="1">
            <w:r w:rsidR="009D5B9E" w:rsidRPr="009D5B9E">
              <w:rPr>
                <w:rStyle w:val="-"/>
                <w:b w:val="0"/>
              </w:rPr>
              <w:t>2.5 Δημοσιονομικές παρεμβάσεις</w:t>
            </w:r>
            <w:r w:rsidR="009D5B9E" w:rsidRPr="009D5B9E">
              <w:rPr>
                <w:b w:val="0"/>
                <w:webHidden/>
              </w:rPr>
              <w:tab/>
            </w:r>
            <w:r w:rsidRPr="009D5B9E">
              <w:rPr>
                <w:b w:val="0"/>
                <w:webHidden/>
              </w:rPr>
              <w:fldChar w:fldCharType="begin"/>
            </w:r>
            <w:r w:rsidR="009D5B9E" w:rsidRPr="009D5B9E">
              <w:rPr>
                <w:b w:val="0"/>
                <w:webHidden/>
              </w:rPr>
              <w:instrText xml:space="preserve"> PAGEREF _Toc74930198 \h </w:instrText>
            </w:r>
            <w:r w:rsidRPr="009D5B9E">
              <w:rPr>
                <w:b w:val="0"/>
                <w:webHidden/>
              </w:rPr>
            </w:r>
            <w:r w:rsidRPr="009D5B9E">
              <w:rPr>
                <w:b w:val="0"/>
                <w:webHidden/>
              </w:rPr>
              <w:fldChar w:fldCharType="separate"/>
            </w:r>
            <w:r w:rsidR="009D5B9E">
              <w:rPr>
                <w:b w:val="0"/>
                <w:webHidden/>
              </w:rPr>
              <w:t>61</w:t>
            </w:r>
            <w:r w:rsidRPr="009D5B9E">
              <w:rPr>
                <w:b w:val="0"/>
                <w:webHidden/>
              </w:rPr>
              <w:fldChar w:fldCharType="end"/>
            </w:r>
          </w:hyperlink>
        </w:p>
        <w:p w:rsidR="009D5B9E" w:rsidRPr="009D5B9E" w:rsidRDefault="007D1372">
          <w:pPr>
            <w:pStyle w:val="21"/>
            <w:rPr>
              <w:b w:val="0"/>
              <w:bCs w:val="0"/>
            </w:rPr>
          </w:pPr>
          <w:hyperlink w:anchor="_Toc74930199" w:history="1">
            <w:r w:rsidR="009D5B9E" w:rsidRPr="009D5B9E">
              <w:rPr>
                <w:rStyle w:val="-"/>
                <w:b w:val="0"/>
              </w:rPr>
              <w:t>2.6 Πρόγραμμα Δημοσίων Επενδύσεων</w:t>
            </w:r>
            <w:r w:rsidR="009D5B9E" w:rsidRPr="009D5B9E">
              <w:rPr>
                <w:b w:val="0"/>
                <w:webHidden/>
              </w:rPr>
              <w:tab/>
            </w:r>
            <w:r w:rsidRPr="009D5B9E">
              <w:rPr>
                <w:b w:val="0"/>
                <w:webHidden/>
              </w:rPr>
              <w:fldChar w:fldCharType="begin"/>
            </w:r>
            <w:r w:rsidR="009D5B9E" w:rsidRPr="009D5B9E">
              <w:rPr>
                <w:b w:val="0"/>
                <w:webHidden/>
              </w:rPr>
              <w:instrText xml:space="preserve"> PAGEREF _Toc74930199 \h </w:instrText>
            </w:r>
            <w:r w:rsidRPr="009D5B9E">
              <w:rPr>
                <w:b w:val="0"/>
                <w:webHidden/>
              </w:rPr>
            </w:r>
            <w:r w:rsidRPr="009D5B9E">
              <w:rPr>
                <w:b w:val="0"/>
                <w:webHidden/>
              </w:rPr>
              <w:fldChar w:fldCharType="separate"/>
            </w:r>
            <w:r w:rsidR="009D5B9E">
              <w:rPr>
                <w:b w:val="0"/>
                <w:webHidden/>
              </w:rPr>
              <w:t>68</w:t>
            </w:r>
            <w:r w:rsidRPr="009D5B9E">
              <w:rPr>
                <w:b w:val="0"/>
                <w:webHidden/>
              </w:rPr>
              <w:fldChar w:fldCharType="end"/>
            </w:r>
          </w:hyperlink>
        </w:p>
        <w:p w:rsidR="009D5B9E" w:rsidRPr="009D5B9E" w:rsidRDefault="007D1372">
          <w:pPr>
            <w:pStyle w:val="21"/>
            <w:rPr>
              <w:b w:val="0"/>
              <w:bCs w:val="0"/>
            </w:rPr>
          </w:pPr>
          <w:hyperlink w:anchor="_Toc74930200" w:history="1">
            <w:r w:rsidR="009D5B9E" w:rsidRPr="009D5B9E">
              <w:rPr>
                <w:rStyle w:val="-"/>
                <w:b w:val="0"/>
              </w:rPr>
              <w:t>2.7 Εθνικό Σχέδιο Ανάκαμψης και Ανθεκτικότητας</w:t>
            </w:r>
            <w:r w:rsidR="009D5B9E" w:rsidRPr="009D5B9E">
              <w:rPr>
                <w:b w:val="0"/>
                <w:webHidden/>
              </w:rPr>
              <w:tab/>
            </w:r>
            <w:r w:rsidRPr="009D5B9E">
              <w:rPr>
                <w:b w:val="0"/>
                <w:webHidden/>
              </w:rPr>
              <w:fldChar w:fldCharType="begin"/>
            </w:r>
            <w:r w:rsidR="009D5B9E" w:rsidRPr="009D5B9E">
              <w:rPr>
                <w:b w:val="0"/>
                <w:webHidden/>
              </w:rPr>
              <w:instrText xml:space="preserve"> PAGEREF _Toc74930200 \h </w:instrText>
            </w:r>
            <w:r w:rsidRPr="009D5B9E">
              <w:rPr>
                <w:b w:val="0"/>
                <w:webHidden/>
              </w:rPr>
            </w:r>
            <w:r w:rsidRPr="009D5B9E">
              <w:rPr>
                <w:b w:val="0"/>
                <w:webHidden/>
              </w:rPr>
              <w:fldChar w:fldCharType="separate"/>
            </w:r>
            <w:r w:rsidR="009D5B9E">
              <w:rPr>
                <w:b w:val="0"/>
                <w:webHidden/>
              </w:rPr>
              <w:t>76</w:t>
            </w:r>
            <w:r w:rsidRPr="009D5B9E">
              <w:rPr>
                <w:b w:val="0"/>
                <w:webHidden/>
              </w:rPr>
              <w:fldChar w:fldCharType="end"/>
            </w:r>
          </w:hyperlink>
        </w:p>
        <w:p w:rsidR="009D5B9E" w:rsidRPr="009D5B9E" w:rsidRDefault="007D1372">
          <w:pPr>
            <w:pStyle w:val="21"/>
            <w:rPr>
              <w:b w:val="0"/>
              <w:bCs w:val="0"/>
            </w:rPr>
          </w:pPr>
          <w:hyperlink w:anchor="_Toc74930201" w:history="1">
            <w:r w:rsidR="009D5B9E" w:rsidRPr="009D5B9E">
              <w:rPr>
                <w:rStyle w:val="-"/>
                <w:b w:val="0"/>
              </w:rPr>
              <w:t>2.8 Δημόσιο χρέος</w:t>
            </w:r>
            <w:r w:rsidR="009D5B9E" w:rsidRPr="009D5B9E">
              <w:rPr>
                <w:b w:val="0"/>
                <w:webHidden/>
              </w:rPr>
              <w:tab/>
            </w:r>
            <w:r w:rsidRPr="009D5B9E">
              <w:rPr>
                <w:b w:val="0"/>
                <w:webHidden/>
              </w:rPr>
              <w:fldChar w:fldCharType="begin"/>
            </w:r>
            <w:r w:rsidR="009D5B9E" w:rsidRPr="009D5B9E">
              <w:rPr>
                <w:b w:val="0"/>
                <w:webHidden/>
              </w:rPr>
              <w:instrText xml:space="preserve"> PAGEREF _Toc74930201 \h </w:instrText>
            </w:r>
            <w:r w:rsidRPr="009D5B9E">
              <w:rPr>
                <w:b w:val="0"/>
                <w:webHidden/>
              </w:rPr>
            </w:r>
            <w:r w:rsidRPr="009D5B9E">
              <w:rPr>
                <w:b w:val="0"/>
                <w:webHidden/>
              </w:rPr>
              <w:fldChar w:fldCharType="separate"/>
            </w:r>
            <w:r w:rsidR="009D5B9E">
              <w:rPr>
                <w:b w:val="0"/>
                <w:webHidden/>
              </w:rPr>
              <w:t>78</w:t>
            </w:r>
            <w:r w:rsidRPr="009D5B9E">
              <w:rPr>
                <w:b w:val="0"/>
                <w:webHidden/>
              </w:rPr>
              <w:fldChar w:fldCharType="end"/>
            </w:r>
          </w:hyperlink>
        </w:p>
        <w:p w:rsidR="009D5B9E" w:rsidRPr="009D5B9E" w:rsidRDefault="007D1372">
          <w:pPr>
            <w:pStyle w:val="21"/>
            <w:rPr>
              <w:b w:val="0"/>
              <w:bCs w:val="0"/>
            </w:rPr>
          </w:pPr>
          <w:hyperlink w:anchor="_Toc74930202" w:history="1">
            <w:r w:rsidR="009D5B9E" w:rsidRPr="009D5B9E">
              <w:rPr>
                <w:rStyle w:val="-"/>
                <w:b w:val="0"/>
              </w:rPr>
              <w:t>2.9 Αποκρατικοποιήσεις</w:t>
            </w:r>
            <w:r w:rsidR="009D5B9E" w:rsidRPr="009D5B9E">
              <w:rPr>
                <w:b w:val="0"/>
                <w:webHidden/>
              </w:rPr>
              <w:tab/>
            </w:r>
            <w:r w:rsidRPr="009D5B9E">
              <w:rPr>
                <w:b w:val="0"/>
                <w:webHidden/>
              </w:rPr>
              <w:fldChar w:fldCharType="begin"/>
            </w:r>
            <w:r w:rsidR="009D5B9E" w:rsidRPr="009D5B9E">
              <w:rPr>
                <w:b w:val="0"/>
                <w:webHidden/>
              </w:rPr>
              <w:instrText xml:space="preserve"> PAGEREF _Toc74930202 \h </w:instrText>
            </w:r>
            <w:r w:rsidRPr="009D5B9E">
              <w:rPr>
                <w:b w:val="0"/>
                <w:webHidden/>
              </w:rPr>
            </w:r>
            <w:r w:rsidRPr="009D5B9E">
              <w:rPr>
                <w:b w:val="0"/>
                <w:webHidden/>
              </w:rPr>
              <w:fldChar w:fldCharType="separate"/>
            </w:r>
            <w:r w:rsidR="009D5B9E">
              <w:rPr>
                <w:b w:val="0"/>
                <w:webHidden/>
              </w:rPr>
              <w:t>80</w:t>
            </w:r>
            <w:r w:rsidRPr="009D5B9E">
              <w:rPr>
                <w:b w:val="0"/>
                <w:webHidden/>
              </w:rPr>
              <w:fldChar w:fldCharType="end"/>
            </w:r>
          </w:hyperlink>
        </w:p>
        <w:p w:rsidR="009D5B9E" w:rsidRPr="009D5B9E" w:rsidRDefault="007D1372">
          <w:pPr>
            <w:pStyle w:val="21"/>
            <w:rPr>
              <w:b w:val="0"/>
              <w:bCs w:val="0"/>
            </w:rPr>
          </w:pPr>
          <w:hyperlink w:anchor="_Toc74930203" w:history="1">
            <w:r w:rsidR="009D5B9E" w:rsidRPr="009D5B9E">
              <w:rPr>
                <w:rStyle w:val="-"/>
                <w:b w:val="0"/>
              </w:rPr>
              <w:t>2.10 Δημοσιονομική διαχείριση</w:t>
            </w:r>
            <w:r w:rsidR="009D5B9E" w:rsidRPr="009D5B9E">
              <w:rPr>
                <w:b w:val="0"/>
                <w:webHidden/>
              </w:rPr>
              <w:tab/>
            </w:r>
            <w:r w:rsidRPr="009D5B9E">
              <w:rPr>
                <w:b w:val="0"/>
                <w:webHidden/>
              </w:rPr>
              <w:fldChar w:fldCharType="begin"/>
            </w:r>
            <w:r w:rsidR="009D5B9E" w:rsidRPr="009D5B9E">
              <w:rPr>
                <w:b w:val="0"/>
                <w:webHidden/>
              </w:rPr>
              <w:instrText xml:space="preserve"> PAGEREF _Toc74930203 \h </w:instrText>
            </w:r>
            <w:r w:rsidRPr="009D5B9E">
              <w:rPr>
                <w:b w:val="0"/>
                <w:webHidden/>
              </w:rPr>
            </w:r>
            <w:r w:rsidRPr="009D5B9E">
              <w:rPr>
                <w:b w:val="0"/>
                <w:webHidden/>
              </w:rPr>
              <w:fldChar w:fldCharType="separate"/>
            </w:r>
            <w:r w:rsidR="009D5B9E">
              <w:rPr>
                <w:b w:val="0"/>
                <w:webHidden/>
              </w:rPr>
              <w:t>81</w:t>
            </w:r>
            <w:r w:rsidRPr="009D5B9E">
              <w:rPr>
                <w:b w:val="0"/>
                <w:webHidden/>
              </w:rPr>
              <w:fldChar w:fldCharType="end"/>
            </w:r>
          </w:hyperlink>
        </w:p>
        <w:p w:rsidR="009D5B9E" w:rsidRPr="009D5B9E" w:rsidRDefault="007D1372">
          <w:pPr>
            <w:pStyle w:val="21"/>
            <w:rPr>
              <w:b w:val="0"/>
              <w:bCs w:val="0"/>
            </w:rPr>
          </w:pPr>
          <w:hyperlink w:anchor="_Toc74930204" w:history="1">
            <w:r w:rsidR="009D5B9E" w:rsidRPr="009D5B9E">
              <w:rPr>
                <w:rStyle w:val="-"/>
                <w:b w:val="0"/>
              </w:rPr>
              <w:t>2.11 Πηγές κινδύνου για τις δημοσιονομικές προβλέψεις</w:t>
            </w:r>
            <w:r w:rsidR="009D5B9E" w:rsidRPr="009D5B9E">
              <w:rPr>
                <w:b w:val="0"/>
                <w:webHidden/>
              </w:rPr>
              <w:tab/>
            </w:r>
            <w:r w:rsidRPr="009D5B9E">
              <w:rPr>
                <w:b w:val="0"/>
                <w:webHidden/>
              </w:rPr>
              <w:fldChar w:fldCharType="begin"/>
            </w:r>
            <w:r w:rsidR="009D5B9E" w:rsidRPr="009D5B9E">
              <w:rPr>
                <w:b w:val="0"/>
                <w:webHidden/>
              </w:rPr>
              <w:instrText xml:space="preserve"> PAGEREF _Toc74930204 \h </w:instrText>
            </w:r>
            <w:r w:rsidRPr="009D5B9E">
              <w:rPr>
                <w:b w:val="0"/>
                <w:webHidden/>
              </w:rPr>
            </w:r>
            <w:r w:rsidRPr="009D5B9E">
              <w:rPr>
                <w:b w:val="0"/>
                <w:webHidden/>
              </w:rPr>
              <w:fldChar w:fldCharType="separate"/>
            </w:r>
            <w:r w:rsidR="009D5B9E">
              <w:rPr>
                <w:b w:val="0"/>
                <w:webHidden/>
              </w:rPr>
              <w:t>83</w:t>
            </w:r>
            <w:r w:rsidRPr="009D5B9E">
              <w:rPr>
                <w:b w:val="0"/>
                <w:webHidden/>
              </w:rPr>
              <w:fldChar w:fldCharType="end"/>
            </w:r>
          </w:hyperlink>
        </w:p>
        <w:p w:rsidR="009D5B9E" w:rsidRPr="009D5B9E" w:rsidRDefault="007D1372">
          <w:pPr>
            <w:pStyle w:val="21"/>
            <w:rPr>
              <w:b w:val="0"/>
              <w:bCs w:val="0"/>
            </w:rPr>
          </w:pPr>
          <w:hyperlink w:anchor="_Toc74930205" w:history="1">
            <w:r w:rsidR="009D5B9E" w:rsidRPr="009D5B9E">
              <w:rPr>
                <w:rStyle w:val="-"/>
                <w:b w:val="0"/>
              </w:rPr>
              <w:t>Παράρτημα</w:t>
            </w:r>
            <w:r w:rsidR="009D5B9E" w:rsidRPr="009D5B9E">
              <w:rPr>
                <w:b w:val="0"/>
                <w:webHidden/>
              </w:rPr>
              <w:tab/>
            </w:r>
            <w:r w:rsidRPr="009D5B9E">
              <w:rPr>
                <w:b w:val="0"/>
                <w:webHidden/>
              </w:rPr>
              <w:fldChar w:fldCharType="begin"/>
            </w:r>
            <w:r w:rsidR="009D5B9E" w:rsidRPr="009D5B9E">
              <w:rPr>
                <w:b w:val="0"/>
                <w:webHidden/>
              </w:rPr>
              <w:instrText xml:space="preserve"> PAGEREF _Toc74930205 \h </w:instrText>
            </w:r>
            <w:r w:rsidRPr="009D5B9E">
              <w:rPr>
                <w:b w:val="0"/>
                <w:webHidden/>
              </w:rPr>
            </w:r>
            <w:r w:rsidRPr="009D5B9E">
              <w:rPr>
                <w:b w:val="0"/>
                <w:webHidden/>
              </w:rPr>
              <w:fldChar w:fldCharType="separate"/>
            </w:r>
            <w:r w:rsidR="009D5B9E">
              <w:rPr>
                <w:b w:val="0"/>
                <w:webHidden/>
              </w:rPr>
              <w:t>88</w:t>
            </w:r>
            <w:r w:rsidRPr="009D5B9E">
              <w:rPr>
                <w:b w:val="0"/>
                <w:webHidden/>
              </w:rPr>
              <w:fldChar w:fldCharType="end"/>
            </w:r>
          </w:hyperlink>
        </w:p>
        <w:p w:rsidR="0013676D" w:rsidRPr="00096F2C" w:rsidRDefault="007D1372" w:rsidP="00C25082">
          <w:pPr>
            <w:rPr>
              <w:sz w:val="24"/>
              <w:szCs w:val="24"/>
            </w:rPr>
          </w:pPr>
          <w:r w:rsidRPr="009D5B9E">
            <w:fldChar w:fldCharType="end"/>
          </w:r>
        </w:p>
      </w:sdtContent>
    </w:sdt>
    <w:p w:rsidR="0013676D" w:rsidRDefault="0013676D" w:rsidP="0013676D">
      <w:pPr>
        <w:spacing w:line="360" w:lineRule="auto"/>
        <w:rPr>
          <w:b/>
          <w:bCs/>
          <w:color w:val="1F497D" w:themeColor="text2"/>
          <w:sz w:val="24"/>
          <w:szCs w:val="24"/>
        </w:rPr>
      </w:pPr>
    </w:p>
    <w:p w:rsidR="005B030C" w:rsidRDefault="005B030C" w:rsidP="0013676D">
      <w:pPr>
        <w:spacing w:line="360" w:lineRule="auto"/>
        <w:rPr>
          <w:b/>
          <w:bCs/>
          <w:color w:val="1F497D" w:themeColor="text2"/>
          <w:sz w:val="24"/>
          <w:szCs w:val="24"/>
        </w:rPr>
      </w:pPr>
    </w:p>
    <w:p w:rsidR="005B030C" w:rsidRDefault="005B030C" w:rsidP="0013676D">
      <w:pPr>
        <w:spacing w:line="360" w:lineRule="auto"/>
        <w:rPr>
          <w:b/>
          <w:bCs/>
          <w:color w:val="1F497D" w:themeColor="text2"/>
          <w:sz w:val="24"/>
          <w:szCs w:val="24"/>
        </w:rPr>
      </w:pPr>
    </w:p>
    <w:p w:rsidR="00096F2C" w:rsidRDefault="00096F2C" w:rsidP="0013676D">
      <w:pPr>
        <w:spacing w:line="360" w:lineRule="auto"/>
        <w:rPr>
          <w:b/>
          <w:bCs/>
          <w:color w:val="1F497D" w:themeColor="text2"/>
          <w:sz w:val="24"/>
          <w:szCs w:val="24"/>
        </w:rPr>
      </w:pPr>
    </w:p>
    <w:p w:rsidR="0072385E" w:rsidRPr="001017B6" w:rsidRDefault="009F152B" w:rsidP="005B030C">
      <w:pPr>
        <w:rPr>
          <w:szCs w:val="24"/>
        </w:rPr>
      </w:pPr>
      <w:r w:rsidRPr="001017B6">
        <w:rPr>
          <w:b/>
          <w:bCs/>
          <w:color w:val="1F497D" w:themeColor="text2"/>
          <w:szCs w:val="24"/>
        </w:rPr>
        <w:lastRenderedPageBreak/>
        <w:t>Ευρετήριο πινάκων</w:t>
      </w:r>
    </w:p>
    <w:p w:rsidR="008E7EDB" w:rsidRPr="001017B6" w:rsidRDefault="008E7EDB" w:rsidP="005B030C">
      <w:pPr>
        <w:jc w:val="both"/>
        <w:rPr>
          <w:b/>
          <w:bCs/>
          <w:color w:val="1F497D" w:themeColor="text2"/>
          <w:szCs w:val="24"/>
          <w:lang w:val="en-US"/>
        </w:rPr>
      </w:pPr>
    </w:p>
    <w:tbl>
      <w:tblPr>
        <w:tblW w:w="10456" w:type="dxa"/>
        <w:tblLook w:val="04A0"/>
      </w:tblPr>
      <w:tblGrid>
        <w:gridCol w:w="9889"/>
        <w:gridCol w:w="567"/>
      </w:tblGrid>
      <w:tr w:rsidR="00E255C0" w:rsidRPr="001017B6" w:rsidTr="002454A2">
        <w:tc>
          <w:tcPr>
            <w:tcW w:w="9889" w:type="dxa"/>
            <w:vAlign w:val="center"/>
          </w:tcPr>
          <w:p w:rsidR="00E255C0" w:rsidRPr="00B54E0A" w:rsidRDefault="006F7EED" w:rsidP="00B54E0A">
            <w:pPr>
              <w:jc w:val="both"/>
              <w:rPr>
                <w:sz w:val="20"/>
              </w:rPr>
            </w:pPr>
            <w:r w:rsidRPr="001017B6">
              <w:rPr>
                <w:bCs/>
                <w:szCs w:val="24"/>
              </w:rPr>
              <w:t>Πίνακας</w:t>
            </w:r>
            <w:r w:rsidRPr="00C27358">
              <w:rPr>
                <w:bCs/>
                <w:szCs w:val="24"/>
              </w:rPr>
              <w:t xml:space="preserve"> 1</w:t>
            </w:r>
            <w:r w:rsidR="00E255C0" w:rsidRPr="00C27358">
              <w:rPr>
                <w:bCs/>
                <w:szCs w:val="24"/>
              </w:rPr>
              <w:t xml:space="preserve">: </w:t>
            </w:r>
            <w:r w:rsidR="00C27358" w:rsidRPr="00C27358">
              <w:rPr>
                <w:bCs/>
                <w:szCs w:val="24"/>
              </w:rPr>
              <w:t>Συμβολή των συνιστωσών του ΑΕΠ σ</w:t>
            </w:r>
            <w:r w:rsidR="00B54E0A">
              <w:rPr>
                <w:bCs/>
                <w:szCs w:val="24"/>
              </w:rPr>
              <w:t>τη μεταβολή του τριμηνιαίου ΑΕΠ</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E255C0" w:rsidRPr="000C4D98" w:rsidRDefault="000C4D98" w:rsidP="000C4D98">
            <w:pPr>
              <w:rPr>
                <w:bCs/>
                <w:szCs w:val="24"/>
              </w:rPr>
            </w:pPr>
            <w:r>
              <w:rPr>
                <w:bCs/>
                <w:szCs w:val="24"/>
              </w:rPr>
              <w:t>2</w:t>
            </w:r>
            <w:r w:rsidR="00BA5C91">
              <w:rPr>
                <w:bCs/>
                <w:szCs w:val="24"/>
              </w:rPr>
              <w:t>1</w:t>
            </w:r>
          </w:p>
        </w:tc>
      </w:tr>
      <w:tr w:rsidR="006F7EED" w:rsidRPr="001017B6" w:rsidTr="002454A2">
        <w:tc>
          <w:tcPr>
            <w:tcW w:w="9889" w:type="dxa"/>
            <w:vAlign w:val="center"/>
          </w:tcPr>
          <w:p w:rsidR="006F7EED" w:rsidRPr="00B54E0A" w:rsidRDefault="006F7EED" w:rsidP="00B54E0A">
            <w:pPr>
              <w:jc w:val="both"/>
              <w:rPr>
                <w:sz w:val="20"/>
              </w:rPr>
            </w:pPr>
            <w:r w:rsidRPr="001017B6">
              <w:rPr>
                <w:bCs/>
                <w:szCs w:val="24"/>
              </w:rPr>
              <w:t>Πίνακας</w:t>
            </w:r>
            <w:r w:rsidRPr="00C27358">
              <w:rPr>
                <w:bCs/>
                <w:szCs w:val="24"/>
              </w:rPr>
              <w:t xml:space="preserve"> </w:t>
            </w:r>
            <w:r w:rsidRPr="001017B6">
              <w:rPr>
                <w:bCs/>
                <w:szCs w:val="24"/>
              </w:rPr>
              <w:t>2</w:t>
            </w:r>
            <w:r w:rsidRPr="00C27358">
              <w:rPr>
                <w:bCs/>
                <w:szCs w:val="24"/>
              </w:rPr>
              <w:t xml:space="preserve">: </w:t>
            </w:r>
            <w:r w:rsidR="00C27358" w:rsidRPr="00C27358">
              <w:rPr>
                <w:bCs/>
                <w:szCs w:val="24"/>
              </w:rPr>
              <w:t>Βασικά μεγέθη της Ελληνικής Οικονομίας</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6F7EED" w:rsidRPr="000C4D98" w:rsidRDefault="00BA5C91" w:rsidP="000C4D98">
            <w:pPr>
              <w:rPr>
                <w:bCs/>
                <w:szCs w:val="24"/>
              </w:rPr>
            </w:pPr>
            <w:r>
              <w:rPr>
                <w:bCs/>
                <w:szCs w:val="24"/>
              </w:rPr>
              <w:t>30</w:t>
            </w:r>
          </w:p>
        </w:tc>
      </w:tr>
      <w:tr w:rsidR="006F7EED" w:rsidRPr="001017B6" w:rsidTr="002454A2">
        <w:tc>
          <w:tcPr>
            <w:tcW w:w="9889" w:type="dxa"/>
            <w:vAlign w:val="center"/>
          </w:tcPr>
          <w:p w:rsidR="006F7EED" w:rsidRPr="00B54E0A" w:rsidRDefault="006F7EED" w:rsidP="00B54E0A">
            <w:pPr>
              <w:jc w:val="both"/>
              <w:rPr>
                <w:sz w:val="20"/>
              </w:rPr>
            </w:pPr>
            <w:r w:rsidRPr="001017B6">
              <w:rPr>
                <w:bCs/>
                <w:szCs w:val="24"/>
              </w:rPr>
              <w:t>Πίνακας</w:t>
            </w:r>
            <w:r w:rsidRPr="000C4D98">
              <w:rPr>
                <w:bCs/>
                <w:szCs w:val="24"/>
              </w:rPr>
              <w:t xml:space="preserve"> </w:t>
            </w:r>
            <w:r w:rsidRPr="001017B6">
              <w:rPr>
                <w:bCs/>
                <w:szCs w:val="24"/>
              </w:rPr>
              <w:t>3</w:t>
            </w:r>
            <w:r w:rsidRPr="000C4D98">
              <w:rPr>
                <w:bCs/>
                <w:szCs w:val="24"/>
              </w:rPr>
              <w:t xml:space="preserve">: </w:t>
            </w:r>
            <w:r w:rsidR="000C4D98" w:rsidRPr="000C4D98">
              <w:rPr>
                <w:bCs/>
                <w:szCs w:val="24"/>
              </w:rPr>
              <w:t xml:space="preserve">Αποτελέσματα Γενικής Κυβέρνησης σε </w:t>
            </w:r>
            <w:proofErr w:type="spellStart"/>
            <w:r w:rsidR="000C4D98" w:rsidRPr="000C4D98">
              <w:rPr>
                <w:bCs/>
                <w:szCs w:val="24"/>
              </w:rPr>
              <w:t>εθνικολογιστική</w:t>
            </w:r>
            <w:proofErr w:type="spellEnd"/>
            <w:r w:rsidR="000C4D98" w:rsidRPr="000C4D98">
              <w:rPr>
                <w:bCs/>
                <w:szCs w:val="24"/>
              </w:rPr>
              <w:t xml:space="preserve"> βάση (Ευρωπαϊκό Σύστημα Λογαριασμών) ετών 2019 -2020</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6F7EED" w:rsidRPr="000C4D98" w:rsidRDefault="00BA5C91" w:rsidP="000C4D98">
            <w:pPr>
              <w:rPr>
                <w:bCs/>
                <w:szCs w:val="24"/>
              </w:rPr>
            </w:pPr>
            <w:r>
              <w:rPr>
                <w:bCs/>
                <w:szCs w:val="24"/>
              </w:rPr>
              <w:t>33</w:t>
            </w:r>
          </w:p>
        </w:tc>
      </w:tr>
      <w:tr w:rsidR="006F7EED" w:rsidRPr="001017B6" w:rsidTr="002454A2">
        <w:tc>
          <w:tcPr>
            <w:tcW w:w="9889" w:type="dxa"/>
            <w:vAlign w:val="center"/>
          </w:tcPr>
          <w:p w:rsidR="006F7EED" w:rsidRPr="00B54E0A" w:rsidRDefault="006F7EED" w:rsidP="00B54E0A">
            <w:pPr>
              <w:jc w:val="both"/>
              <w:rPr>
                <w:sz w:val="20"/>
              </w:rPr>
            </w:pPr>
            <w:r w:rsidRPr="001017B6">
              <w:rPr>
                <w:bCs/>
                <w:szCs w:val="24"/>
              </w:rPr>
              <w:t>Πίνακας</w:t>
            </w:r>
            <w:r w:rsidRPr="000C4D98">
              <w:rPr>
                <w:bCs/>
                <w:szCs w:val="24"/>
              </w:rPr>
              <w:t xml:space="preserve"> </w:t>
            </w:r>
            <w:r w:rsidRPr="001017B6">
              <w:rPr>
                <w:bCs/>
                <w:szCs w:val="24"/>
              </w:rPr>
              <w:t>4</w:t>
            </w:r>
            <w:r w:rsidRPr="000C4D98">
              <w:rPr>
                <w:bCs/>
                <w:szCs w:val="24"/>
              </w:rPr>
              <w:t xml:space="preserve">: </w:t>
            </w:r>
            <w:r w:rsidR="000C4D98" w:rsidRPr="000C4D98">
              <w:rPr>
                <w:bCs/>
                <w:szCs w:val="24"/>
              </w:rPr>
              <w:t>Πρωτογενές αποτέλεσμα Γενικής Κυβέρνησης σύμφωνα με τη μεθοδολογία της Ενισχυμένης Εποπτείας ετών 2019 -2020</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6F7EED" w:rsidRPr="000C4D98" w:rsidRDefault="00BA5C91" w:rsidP="000C4D98">
            <w:pPr>
              <w:rPr>
                <w:bCs/>
                <w:szCs w:val="24"/>
              </w:rPr>
            </w:pPr>
            <w:r>
              <w:rPr>
                <w:bCs/>
                <w:szCs w:val="24"/>
              </w:rPr>
              <w:t>35</w:t>
            </w:r>
          </w:p>
        </w:tc>
      </w:tr>
      <w:tr w:rsidR="006F7EED" w:rsidRPr="001017B6" w:rsidTr="002454A2">
        <w:tc>
          <w:tcPr>
            <w:tcW w:w="9889" w:type="dxa"/>
            <w:vAlign w:val="center"/>
          </w:tcPr>
          <w:p w:rsidR="006F7EED" w:rsidRPr="00F234C1" w:rsidRDefault="006F7EED" w:rsidP="00B54E0A">
            <w:pPr>
              <w:jc w:val="both"/>
              <w:rPr>
                <w:sz w:val="20"/>
              </w:rPr>
            </w:pPr>
            <w:r w:rsidRPr="001017B6">
              <w:rPr>
                <w:bCs/>
                <w:szCs w:val="24"/>
              </w:rPr>
              <w:t>Πίνακας</w:t>
            </w:r>
            <w:r w:rsidRPr="000C4D98">
              <w:rPr>
                <w:bCs/>
                <w:szCs w:val="24"/>
              </w:rPr>
              <w:t xml:space="preserve"> </w:t>
            </w:r>
            <w:r w:rsidRPr="001017B6">
              <w:rPr>
                <w:bCs/>
                <w:szCs w:val="24"/>
              </w:rPr>
              <w:t>5</w:t>
            </w:r>
            <w:r w:rsidRPr="000C4D98">
              <w:rPr>
                <w:bCs/>
                <w:szCs w:val="24"/>
              </w:rPr>
              <w:t xml:space="preserve">: </w:t>
            </w:r>
            <w:r w:rsidR="000C4D98" w:rsidRPr="000C4D98">
              <w:rPr>
                <w:bCs/>
                <w:szCs w:val="24"/>
              </w:rPr>
              <w:t xml:space="preserve">ΜΠΔΣ - Αποτελέσματα Γενικής Κυβέρνησης σε </w:t>
            </w:r>
            <w:proofErr w:type="spellStart"/>
            <w:r w:rsidR="000C4D98" w:rsidRPr="000C4D98">
              <w:rPr>
                <w:bCs/>
                <w:szCs w:val="24"/>
              </w:rPr>
              <w:t>εθνικολογιστική</w:t>
            </w:r>
            <w:proofErr w:type="spellEnd"/>
            <w:r w:rsidR="000C4D98" w:rsidRPr="000C4D98">
              <w:rPr>
                <w:bCs/>
                <w:szCs w:val="24"/>
              </w:rPr>
              <w:t xml:space="preserve"> βάση (Ευρωπαϊκό Σύστη</w:t>
            </w:r>
            <w:r w:rsidR="00B54E0A">
              <w:rPr>
                <w:bCs/>
                <w:szCs w:val="24"/>
              </w:rPr>
              <w:t>μα Λογαριασμών) ετών 2019 -2025……………………</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p>
        </w:tc>
        <w:tc>
          <w:tcPr>
            <w:tcW w:w="567" w:type="dxa"/>
            <w:vAlign w:val="center"/>
          </w:tcPr>
          <w:p w:rsidR="006F7EED" w:rsidRPr="000C4D98" w:rsidRDefault="00BA5C91" w:rsidP="000C4D98">
            <w:pPr>
              <w:rPr>
                <w:bCs/>
                <w:szCs w:val="24"/>
              </w:rPr>
            </w:pPr>
            <w:r>
              <w:rPr>
                <w:bCs/>
                <w:szCs w:val="24"/>
              </w:rPr>
              <w:t>36</w:t>
            </w:r>
          </w:p>
        </w:tc>
      </w:tr>
      <w:tr w:rsidR="006F7EED" w:rsidRPr="001017B6" w:rsidTr="002454A2">
        <w:tc>
          <w:tcPr>
            <w:tcW w:w="9889" w:type="dxa"/>
            <w:vAlign w:val="center"/>
          </w:tcPr>
          <w:p w:rsidR="006F7EED" w:rsidRPr="00F234C1" w:rsidRDefault="006F7EED" w:rsidP="0001220C">
            <w:pPr>
              <w:jc w:val="both"/>
              <w:rPr>
                <w:bCs/>
                <w:szCs w:val="24"/>
              </w:rPr>
            </w:pPr>
            <w:r w:rsidRPr="001017B6">
              <w:rPr>
                <w:bCs/>
                <w:szCs w:val="24"/>
              </w:rPr>
              <w:t>Πίνακας</w:t>
            </w:r>
            <w:r w:rsidRPr="000C4D98">
              <w:rPr>
                <w:bCs/>
                <w:szCs w:val="24"/>
              </w:rPr>
              <w:t xml:space="preserve"> </w:t>
            </w:r>
            <w:r w:rsidRPr="001017B6">
              <w:rPr>
                <w:bCs/>
                <w:szCs w:val="24"/>
              </w:rPr>
              <w:t>6</w:t>
            </w:r>
            <w:r w:rsidRPr="000C4D98">
              <w:rPr>
                <w:bCs/>
                <w:szCs w:val="24"/>
              </w:rPr>
              <w:t xml:space="preserve">: </w:t>
            </w:r>
            <w:r w:rsidR="000C4D98" w:rsidRPr="000C4D98">
              <w:rPr>
                <w:bCs/>
                <w:szCs w:val="24"/>
              </w:rPr>
              <w:t>ΜΠΔΣ Πρωτογενές αποτέλεσμα Γενικής Κυβέρνησης σύμφωνα με τη μεθοδολογία της Ενισχυμένης Εποπτείας ετών 2019 -202</w:t>
            </w:r>
            <w:r w:rsidR="0001220C" w:rsidRPr="0001220C">
              <w:rPr>
                <w:bCs/>
                <w:szCs w:val="24"/>
              </w:rPr>
              <w:t>2</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6F7EED" w:rsidRPr="000C4D98" w:rsidRDefault="00BA5C91" w:rsidP="000C4D98">
            <w:pPr>
              <w:rPr>
                <w:bCs/>
                <w:szCs w:val="24"/>
              </w:rPr>
            </w:pPr>
            <w:r>
              <w:rPr>
                <w:bCs/>
                <w:szCs w:val="24"/>
              </w:rPr>
              <w:t>38</w:t>
            </w:r>
          </w:p>
        </w:tc>
      </w:tr>
      <w:tr w:rsidR="006F7EED" w:rsidRPr="001017B6" w:rsidTr="002454A2">
        <w:tc>
          <w:tcPr>
            <w:tcW w:w="9889" w:type="dxa"/>
            <w:vAlign w:val="center"/>
          </w:tcPr>
          <w:p w:rsidR="006F7EED" w:rsidRPr="00B54E0A" w:rsidRDefault="006F7EED" w:rsidP="00B54E0A">
            <w:pPr>
              <w:jc w:val="both"/>
              <w:rPr>
                <w:bCs/>
                <w:szCs w:val="24"/>
                <w:lang w:val="en-US"/>
              </w:rPr>
            </w:pPr>
            <w:r w:rsidRPr="001017B6">
              <w:rPr>
                <w:bCs/>
                <w:szCs w:val="24"/>
              </w:rPr>
              <w:t>Πίνακας</w:t>
            </w:r>
            <w:r w:rsidRPr="000C4D98">
              <w:rPr>
                <w:bCs/>
                <w:szCs w:val="24"/>
              </w:rPr>
              <w:t xml:space="preserve"> </w:t>
            </w:r>
            <w:r w:rsidRPr="001017B6">
              <w:rPr>
                <w:bCs/>
                <w:szCs w:val="24"/>
              </w:rPr>
              <w:t>7</w:t>
            </w:r>
            <w:r w:rsidRPr="000C4D98">
              <w:rPr>
                <w:bCs/>
                <w:szCs w:val="24"/>
              </w:rPr>
              <w:t xml:space="preserve">: </w:t>
            </w:r>
            <w:r w:rsidR="000C4D98" w:rsidRPr="000C4D98">
              <w:rPr>
                <w:bCs/>
                <w:szCs w:val="24"/>
              </w:rPr>
              <w:t>Εξέλιξη διαρθρωτικού αποτελέσματος</w:t>
            </w:r>
            <w:r w:rsidR="00B54E0A">
              <w:rPr>
                <w:bCs/>
                <w:szCs w:val="24"/>
                <w:lang w:val="en-US"/>
              </w:rPr>
              <w:t>………………………………………………………………………………………..</w:t>
            </w:r>
          </w:p>
        </w:tc>
        <w:tc>
          <w:tcPr>
            <w:tcW w:w="567" w:type="dxa"/>
            <w:vAlign w:val="center"/>
          </w:tcPr>
          <w:p w:rsidR="006F7EED" w:rsidRPr="000C4D98" w:rsidRDefault="00BA5C91" w:rsidP="000C4D98">
            <w:pPr>
              <w:rPr>
                <w:bCs/>
                <w:szCs w:val="24"/>
              </w:rPr>
            </w:pPr>
            <w:r>
              <w:rPr>
                <w:bCs/>
                <w:szCs w:val="24"/>
              </w:rPr>
              <w:t>39</w:t>
            </w:r>
          </w:p>
        </w:tc>
      </w:tr>
      <w:tr w:rsidR="00CA3E6C" w:rsidRPr="001017B6" w:rsidTr="002454A2">
        <w:tc>
          <w:tcPr>
            <w:tcW w:w="9889" w:type="dxa"/>
            <w:vAlign w:val="center"/>
          </w:tcPr>
          <w:p w:rsidR="00CA3E6C" w:rsidRPr="00F234C1" w:rsidRDefault="000C4D98" w:rsidP="00B54E0A">
            <w:pPr>
              <w:jc w:val="both"/>
              <w:rPr>
                <w:bCs/>
                <w:szCs w:val="24"/>
              </w:rPr>
            </w:pPr>
            <w:r w:rsidRPr="001017B6">
              <w:rPr>
                <w:bCs/>
                <w:szCs w:val="24"/>
              </w:rPr>
              <w:t>Πίνακας</w:t>
            </w:r>
            <w:r w:rsidRPr="000C4D98">
              <w:rPr>
                <w:bCs/>
                <w:szCs w:val="24"/>
              </w:rPr>
              <w:t xml:space="preserve"> </w:t>
            </w:r>
            <w:r>
              <w:rPr>
                <w:bCs/>
                <w:szCs w:val="24"/>
              </w:rPr>
              <w:t>8</w:t>
            </w:r>
            <w:r w:rsidRPr="000C4D98">
              <w:rPr>
                <w:bCs/>
                <w:szCs w:val="24"/>
              </w:rPr>
              <w:t xml:space="preserve">: </w:t>
            </w:r>
            <w:r w:rsidRPr="00BB23EB">
              <w:rPr>
                <w:bCs/>
                <w:szCs w:val="24"/>
              </w:rPr>
              <w:t>Μεταβιβάσεις Τακτικού Προϋπολογισμού σε φορείς εντός και εκτός της Γενικής Κυβέρνησης σε ταμειακή βάση</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CA3E6C" w:rsidRPr="000C4D98" w:rsidRDefault="00BA5C91" w:rsidP="000C4D98">
            <w:pPr>
              <w:rPr>
                <w:bCs/>
                <w:szCs w:val="24"/>
              </w:rPr>
            </w:pPr>
            <w:r>
              <w:rPr>
                <w:bCs/>
                <w:szCs w:val="24"/>
              </w:rPr>
              <w:t>41</w:t>
            </w:r>
          </w:p>
        </w:tc>
      </w:tr>
      <w:tr w:rsidR="000C4D98" w:rsidRPr="001017B6" w:rsidTr="002454A2">
        <w:tc>
          <w:tcPr>
            <w:tcW w:w="9889" w:type="dxa"/>
          </w:tcPr>
          <w:p w:rsidR="000C4D98" w:rsidRPr="00B54E0A" w:rsidRDefault="000C4D98" w:rsidP="00B54E0A">
            <w:pPr>
              <w:jc w:val="both"/>
              <w:rPr>
                <w:bCs/>
                <w:szCs w:val="24"/>
              </w:rPr>
            </w:pPr>
            <w:r w:rsidRPr="00CD56B3">
              <w:rPr>
                <w:bCs/>
                <w:szCs w:val="24"/>
              </w:rPr>
              <w:t xml:space="preserve">Πίνακας </w:t>
            </w:r>
            <w:r>
              <w:rPr>
                <w:bCs/>
                <w:szCs w:val="24"/>
              </w:rPr>
              <w:t>9</w:t>
            </w:r>
            <w:r w:rsidRPr="00CD56B3">
              <w:rPr>
                <w:bCs/>
                <w:szCs w:val="24"/>
              </w:rPr>
              <w:t xml:space="preserve">: </w:t>
            </w:r>
            <w:r w:rsidRPr="00BB23EB">
              <w:rPr>
                <w:bCs/>
                <w:szCs w:val="24"/>
              </w:rPr>
              <w:t>Ανώτατα Όρια Δαπανών Φορέων Κρατικού Προϋπολογισμού σε ταμειακή και δεδουλευμένη βάση σύμφωνα με την μεθοδολογία του ESA για τα έτη 2021-2025</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p>
        </w:tc>
        <w:tc>
          <w:tcPr>
            <w:tcW w:w="567" w:type="dxa"/>
            <w:vAlign w:val="center"/>
          </w:tcPr>
          <w:p w:rsidR="000C4D98" w:rsidRPr="000C4D98" w:rsidRDefault="00BA5C91" w:rsidP="000C4D98">
            <w:pPr>
              <w:rPr>
                <w:bCs/>
                <w:szCs w:val="24"/>
              </w:rPr>
            </w:pPr>
            <w:r>
              <w:rPr>
                <w:bCs/>
                <w:szCs w:val="24"/>
              </w:rPr>
              <w:t>42</w:t>
            </w:r>
          </w:p>
        </w:tc>
      </w:tr>
      <w:tr w:rsidR="000C4D98" w:rsidRPr="001017B6" w:rsidTr="002454A2">
        <w:tc>
          <w:tcPr>
            <w:tcW w:w="9889" w:type="dxa"/>
          </w:tcPr>
          <w:p w:rsidR="000C4D98" w:rsidRPr="00B54E0A" w:rsidRDefault="000C4D98" w:rsidP="00B54E0A">
            <w:pPr>
              <w:jc w:val="both"/>
              <w:rPr>
                <w:bCs/>
                <w:szCs w:val="24"/>
              </w:rPr>
            </w:pPr>
            <w:r w:rsidRPr="00CD56B3">
              <w:rPr>
                <w:bCs/>
                <w:szCs w:val="24"/>
              </w:rPr>
              <w:t xml:space="preserve">Πίνακας </w:t>
            </w:r>
            <w:r>
              <w:rPr>
                <w:bCs/>
                <w:szCs w:val="24"/>
              </w:rPr>
              <w:t>10</w:t>
            </w:r>
            <w:r w:rsidRPr="00CD56B3">
              <w:rPr>
                <w:bCs/>
                <w:szCs w:val="24"/>
              </w:rPr>
              <w:t xml:space="preserve">: </w:t>
            </w:r>
            <w:r w:rsidR="002864C7" w:rsidRPr="00BB23EB">
              <w:rPr>
                <w:bCs/>
                <w:szCs w:val="24"/>
              </w:rPr>
              <w:t>Εκτιμήσεις οικονομικών μεγεθών Ανεξάρτητων Διοικητικών Αρχών (ΑΔΑ) ετών 2022-2025</w:t>
            </w:r>
            <w:r w:rsidR="00B54E0A">
              <w:rPr>
                <w:bCs/>
                <w:szCs w:val="24"/>
              </w:rPr>
              <w:t>…</w:t>
            </w:r>
            <w:r w:rsidR="00B54E0A" w:rsidRPr="00B54E0A">
              <w:rPr>
                <w:bCs/>
                <w:szCs w:val="24"/>
              </w:rPr>
              <w:t>…..</w:t>
            </w:r>
          </w:p>
        </w:tc>
        <w:tc>
          <w:tcPr>
            <w:tcW w:w="567" w:type="dxa"/>
            <w:vAlign w:val="center"/>
          </w:tcPr>
          <w:p w:rsidR="000C4D98" w:rsidRPr="002864C7" w:rsidRDefault="002864C7" w:rsidP="000C4D98">
            <w:pPr>
              <w:rPr>
                <w:bCs/>
                <w:szCs w:val="24"/>
              </w:rPr>
            </w:pPr>
            <w:r>
              <w:rPr>
                <w:bCs/>
                <w:szCs w:val="24"/>
              </w:rPr>
              <w:t>4</w:t>
            </w:r>
            <w:r w:rsidR="00BA5C91">
              <w:rPr>
                <w:bCs/>
                <w:szCs w:val="24"/>
              </w:rPr>
              <w:t>7</w:t>
            </w:r>
          </w:p>
        </w:tc>
      </w:tr>
      <w:tr w:rsidR="000C4D98" w:rsidRPr="001017B6" w:rsidTr="002454A2">
        <w:tc>
          <w:tcPr>
            <w:tcW w:w="9889" w:type="dxa"/>
          </w:tcPr>
          <w:p w:rsidR="000C4D98" w:rsidRPr="00B54E0A" w:rsidRDefault="000C4D98" w:rsidP="00B54E0A">
            <w:pPr>
              <w:jc w:val="both"/>
              <w:rPr>
                <w:bCs/>
                <w:szCs w:val="24"/>
                <w:lang w:val="en-US"/>
              </w:rPr>
            </w:pPr>
            <w:r w:rsidRPr="00CD56B3">
              <w:rPr>
                <w:bCs/>
                <w:szCs w:val="24"/>
              </w:rPr>
              <w:t xml:space="preserve">Πίνακας </w:t>
            </w:r>
            <w:r>
              <w:rPr>
                <w:bCs/>
                <w:szCs w:val="24"/>
              </w:rPr>
              <w:t>11</w:t>
            </w:r>
            <w:r w:rsidRPr="00CD56B3">
              <w:rPr>
                <w:bCs/>
                <w:szCs w:val="24"/>
              </w:rPr>
              <w:t xml:space="preserve">: </w:t>
            </w:r>
            <w:r w:rsidR="002864C7" w:rsidRPr="00BB23EB">
              <w:rPr>
                <w:bCs/>
                <w:szCs w:val="24"/>
              </w:rPr>
              <w:t>Κοινωνικός προϋπολογισμός</w:t>
            </w:r>
            <w:r w:rsidR="00B54E0A">
              <w:rPr>
                <w:bCs/>
                <w:szCs w:val="24"/>
                <w:lang w:val="en-US"/>
              </w:rPr>
              <w:t>……………………………………………………………………………………………………..</w:t>
            </w:r>
          </w:p>
        </w:tc>
        <w:tc>
          <w:tcPr>
            <w:tcW w:w="567" w:type="dxa"/>
            <w:vAlign w:val="center"/>
          </w:tcPr>
          <w:p w:rsidR="000C4D98" w:rsidRPr="002864C7" w:rsidRDefault="00BA5C91" w:rsidP="000C4D98">
            <w:pPr>
              <w:rPr>
                <w:bCs/>
                <w:szCs w:val="24"/>
              </w:rPr>
            </w:pPr>
            <w:r>
              <w:rPr>
                <w:bCs/>
                <w:szCs w:val="24"/>
              </w:rPr>
              <w:t>50</w:t>
            </w:r>
          </w:p>
        </w:tc>
      </w:tr>
      <w:tr w:rsidR="000C4D98" w:rsidRPr="001017B6" w:rsidTr="002454A2">
        <w:tc>
          <w:tcPr>
            <w:tcW w:w="9889" w:type="dxa"/>
          </w:tcPr>
          <w:p w:rsidR="000C4D98" w:rsidRPr="00B54E0A" w:rsidRDefault="000C4D98" w:rsidP="00B54E0A">
            <w:pPr>
              <w:jc w:val="both"/>
              <w:rPr>
                <w:bCs/>
                <w:szCs w:val="24"/>
                <w:lang w:val="en-US"/>
              </w:rPr>
            </w:pPr>
            <w:r w:rsidRPr="00CD56B3">
              <w:rPr>
                <w:bCs/>
                <w:szCs w:val="24"/>
              </w:rPr>
              <w:t xml:space="preserve">Πίνακας </w:t>
            </w:r>
            <w:r>
              <w:rPr>
                <w:bCs/>
                <w:szCs w:val="24"/>
              </w:rPr>
              <w:t>12</w:t>
            </w:r>
            <w:r w:rsidRPr="00CD56B3">
              <w:rPr>
                <w:bCs/>
                <w:szCs w:val="24"/>
              </w:rPr>
              <w:t xml:space="preserve">: </w:t>
            </w:r>
            <w:r w:rsidR="002864C7" w:rsidRPr="00BB23EB">
              <w:rPr>
                <w:bCs/>
                <w:szCs w:val="24"/>
              </w:rPr>
              <w:t>Προσλήψεις - Αποχωρήσεις περιόδου 2020-2025</w:t>
            </w:r>
            <w:r w:rsidR="00B54E0A">
              <w:rPr>
                <w:bCs/>
                <w:szCs w:val="24"/>
                <w:lang w:val="en-US"/>
              </w:rPr>
              <w:t>………………………………………………………………………</w:t>
            </w:r>
          </w:p>
        </w:tc>
        <w:tc>
          <w:tcPr>
            <w:tcW w:w="567" w:type="dxa"/>
            <w:vAlign w:val="center"/>
          </w:tcPr>
          <w:p w:rsidR="000C4D98" w:rsidRPr="002864C7" w:rsidRDefault="002864C7" w:rsidP="000C4D98">
            <w:pPr>
              <w:rPr>
                <w:bCs/>
                <w:szCs w:val="24"/>
              </w:rPr>
            </w:pPr>
            <w:r>
              <w:rPr>
                <w:bCs/>
                <w:szCs w:val="24"/>
              </w:rPr>
              <w:t>5</w:t>
            </w:r>
            <w:r w:rsidR="00BA5C91">
              <w:rPr>
                <w:bCs/>
                <w:szCs w:val="24"/>
              </w:rPr>
              <w:t>2</w:t>
            </w:r>
          </w:p>
        </w:tc>
      </w:tr>
      <w:tr w:rsidR="000C4D98" w:rsidRPr="001017B6" w:rsidTr="002454A2">
        <w:tc>
          <w:tcPr>
            <w:tcW w:w="9889" w:type="dxa"/>
          </w:tcPr>
          <w:p w:rsidR="000C4D98" w:rsidRPr="00F234C1" w:rsidRDefault="000C4D98" w:rsidP="00B54E0A">
            <w:pPr>
              <w:jc w:val="both"/>
              <w:rPr>
                <w:bCs/>
                <w:szCs w:val="24"/>
              </w:rPr>
            </w:pPr>
            <w:r w:rsidRPr="00CD56B3">
              <w:rPr>
                <w:bCs/>
                <w:szCs w:val="24"/>
              </w:rPr>
              <w:t xml:space="preserve">Πίνακας </w:t>
            </w:r>
            <w:r>
              <w:rPr>
                <w:bCs/>
                <w:szCs w:val="24"/>
              </w:rPr>
              <w:t>13</w:t>
            </w:r>
            <w:r w:rsidRPr="00CD56B3">
              <w:rPr>
                <w:bCs/>
                <w:szCs w:val="24"/>
              </w:rPr>
              <w:t xml:space="preserve">: </w:t>
            </w:r>
            <w:r w:rsidR="002864C7" w:rsidRPr="00BB23EB">
              <w:rPr>
                <w:bCs/>
                <w:szCs w:val="24"/>
              </w:rPr>
              <w:t xml:space="preserve">Σύγκριση Π/Υ - Εκτιμήσεων Γενικής Κυβέρνησης σε </w:t>
            </w:r>
            <w:proofErr w:type="spellStart"/>
            <w:r w:rsidR="002864C7" w:rsidRPr="00BB23EB">
              <w:rPr>
                <w:bCs/>
                <w:szCs w:val="24"/>
              </w:rPr>
              <w:t>εθνικολογιστική</w:t>
            </w:r>
            <w:proofErr w:type="spellEnd"/>
            <w:r w:rsidR="002864C7" w:rsidRPr="00BB23EB">
              <w:rPr>
                <w:bCs/>
                <w:szCs w:val="24"/>
              </w:rPr>
              <w:t xml:space="preserve"> βάση (Ευρωπαϊκό Σύστημα Λογαριασμών) έτους 2021</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2864C7" w:rsidRDefault="00C4065B" w:rsidP="000C4D98">
            <w:pPr>
              <w:rPr>
                <w:bCs/>
                <w:szCs w:val="24"/>
              </w:rPr>
            </w:pPr>
            <w:r>
              <w:rPr>
                <w:bCs/>
                <w:szCs w:val="24"/>
              </w:rPr>
              <w:t>5</w:t>
            </w:r>
            <w:r w:rsidR="00BA5C91">
              <w:rPr>
                <w:bCs/>
                <w:szCs w:val="24"/>
              </w:rPr>
              <w:t>4</w:t>
            </w:r>
          </w:p>
        </w:tc>
      </w:tr>
      <w:tr w:rsidR="000C4D98" w:rsidRPr="001017B6" w:rsidTr="002454A2">
        <w:tc>
          <w:tcPr>
            <w:tcW w:w="9889" w:type="dxa"/>
          </w:tcPr>
          <w:p w:rsidR="000C4D98" w:rsidRPr="00B54E0A" w:rsidRDefault="000C4D98" w:rsidP="00B54E0A">
            <w:pPr>
              <w:jc w:val="both"/>
              <w:rPr>
                <w:bCs/>
                <w:szCs w:val="24"/>
              </w:rPr>
            </w:pPr>
            <w:r w:rsidRPr="00CD56B3">
              <w:rPr>
                <w:bCs/>
                <w:szCs w:val="24"/>
              </w:rPr>
              <w:t xml:space="preserve">Πίνακας </w:t>
            </w:r>
            <w:r>
              <w:rPr>
                <w:bCs/>
                <w:szCs w:val="24"/>
              </w:rPr>
              <w:t>14</w:t>
            </w:r>
            <w:r w:rsidRPr="00CD56B3">
              <w:rPr>
                <w:bCs/>
                <w:szCs w:val="24"/>
              </w:rPr>
              <w:t xml:space="preserve">: </w:t>
            </w:r>
            <w:r w:rsidR="002864C7" w:rsidRPr="00BB23EB">
              <w:rPr>
                <w:bCs/>
                <w:szCs w:val="24"/>
              </w:rPr>
              <w:t>Πρωτογενές αποτέλεσμα Γενικής Κυβέρνησης σύμφωνα με τη μεθοδολογία της Ενισχυμένης Εποπτείας - σύγκριση Π/Υ και εκτιμήσεων έτους 2021</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2864C7" w:rsidRDefault="00C4065B" w:rsidP="000C4D98">
            <w:pPr>
              <w:rPr>
                <w:bCs/>
                <w:szCs w:val="24"/>
              </w:rPr>
            </w:pPr>
            <w:r>
              <w:rPr>
                <w:bCs/>
                <w:szCs w:val="24"/>
              </w:rPr>
              <w:t>5</w:t>
            </w:r>
            <w:r w:rsidR="00BA5C91">
              <w:rPr>
                <w:bCs/>
                <w:szCs w:val="24"/>
              </w:rPr>
              <w:t>6</w:t>
            </w:r>
          </w:p>
        </w:tc>
      </w:tr>
      <w:tr w:rsidR="000C4D98" w:rsidRPr="001017B6" w:rsidTr="002454A2">
        <w:tc>
          <w:tcPr>
            <w:tcW w:w="9889" w:type="dxa"/>
          </w:tcPr>
          <w:p w:rsidR="000C4D98" w:rsidRPr="00B54E0A" w:rsidRDefault="000C4D98" w:rsidP="00B54E0A">
            <w:pPr>
              <w:jc w:val="both"/>
              <w:rPr>
                <w:bCs/>
                <w:szCs w:val="24"/>
              </w:rPr>
            </w:pPr>
            <w:r w:rsidRPr="00CD56B3">
              <w:rPr>
                <w:bCs/>
                <w:szCs w:val="24"/>
              </w:rPr>
              <w:t xml:space="preserve">Πίνακας </w:t>
            </w:r>
            <w:r>
              <w:rPr>
                <w:bCs/>
                <w:szCs w:val="24"/>
              </w:rPr>
              <w:t>15</w:t>
            </w:r>
            <w:r w:rsidRPr="00CD56B3">
              <w:rPr>
                <w:bCs/>
                <w:szCs w:val="24"/>
              </w:rPr>
              <w:t xml:space="preserve">: </w:t>
            </w:r>
            <w:r w:rsidR="002864C7" w:rsidRPr="00BB23EB">
              <w:rPr>
                <w:bCs/>
                <w:szCs w:val="24"/>
              </w:rPr>
              <w:t>Ενοποιημένο αποτέλεσμα Γενικής Κυβέρνησης (ποσά σε εκατ.</w:t>
            </w:r>
            <w:r w:rsidR="00B54E0A" w:rsidRPr="00B54E0A">
              <w:rPr>
                <w:bCs/>
                <w:szCs w:val="24"/>
              </w:rPr>
              <w:t xml:space="preserve"> </w:t>
            </w:r>
            <w:r w:rsidR="002864C7" w:rsidRPr="00BB23EB">
              <w:rPr>
                <w:bCs/>
                <w:szCs w:val="24"/>
              </w:rPr>
              <w:t>ευρώ)</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2864C7" w:rsidRDefault="00C4065B" w:rsidP="000C4D98">
            <w:pPr>
              <w:rPr>
                <w:bCs/>
                <w:szCs w:val="24"/>
              </w:rPr>
            </w:pPr>
            <w:r>
              <w:rPr>
                <w:bCs/>
                <w:szCs w:val="24"/>
              </w:rPr>
              <w:t>5</w:t>
            </w:r>
            <w:r w:rsidR="00BA5C91">
              <w:rPr>
                <w:bCs/>
                <w:szCs w:val="24"/>
              </w:rPr>
              <w:t>7</w:t>
            </w:r>
          </w:p>
        </w:tc>
      </w:tr>
      <w:tr w:rsidR="000C4D98" w:rsidRPr="001017B6" w:rsidTr="002454A2">
        <w:tc>
          <w:tcPr>
            <w:tcW w:w="9889" w:type="dxa"/>
          </w:tcPr>
          <w:p w:rsidR="000C4D98" w:rsidRPr="00B54E0A" w:rsidRDefault="000C4D98" w:rsidP="00B54E0A">
            <w:pPr>
              <w:jc w:val="both"/>
              <w:rPr>
                <w:bCs/>
                <w:szCs w:val="24"/>
              </w:rPr>
            </w:pPr>
            <w:r w:rsidRPr="00CD56B3">
              <w:rPr>
                <w:bCs/>
                <w:szCs w:val="24"/>
              </w:rPr>
              <w:t xml:space="preserve">Πίνακας </w:t>
            </w:r>
            <w:r>
              <w:rPr>
                <w:bCs/>
                <w:szCs w:val="24"/>
              </w:rPr>
              <w:t>16</w:t>
            </w:r>
            <w:r w:rsidRPr="00CD56B3">
              <w:rPr>
                <w:bCs/>
                <w:szCs w:val="24"/>
              </w:rPr>
              <w:t xml:space="preserve">: </w:t>
            </w:r>
            <w:r w:rsidR="002864C7" w:rsidRPr="00BB23EB">
              <w:rPr>
                <w:bCs/>
                <w:szCs w:val="24"/>
              </w:rPr>
              <w:t>Ενοποιημένο αποτέλεσμα Γενικής Κυβέρνησης ως % του ΑΕΠ</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2864C7" w:rsidRDefault="00C4065B" w:rsidP="000C4D98">
            <w:pPr>
              <w:rPr>
                <w:bCs/>
                <w:szCs w:val="24"/>
              </w:rPr>
            </w:pPr>
            <w:r>
              <w:rPr>
                <w:bCs/>
                <w:szCs w:val="24"/>
              </w:rPr>
              <w:t>5</w:t>
            </w:r>
            <w:r w:rsidR="00BA5C91">
              <w:rPr>
                <w:bCs/>
                <w:szCs w:val="24"/>
              </w:rPr>
              <w:t>8</w:t>
            </w:r>
          </w:p>
        </w:tc>
      </w:tr>
      <w:tr w:rsidR="000C4D98" w:rsidRPr="001017B6" w:rsidTr="002454A2">
        <w:tc>
          <w:tcPr>
            <w:tcW w:w="9889" w:type="dxa"/>
          </w:tcPr>
          <w:p w:rsidR="000C4D98" w:rsidRPr="00B54E0A" w:rsidRDefault="000C4D98" w:rsidP="00B54E0A">
            <w:pPr>
              <w:jc w:val="both"/>
              <w:rPr>
                <w:bCs/>
                <w:szCs w:val="24"/>
              </w:rPr>
            </w:pPr>
            <w:r w:rsidRPr="00C1344A">
              <w:rPr>
                <w:bCs/>
                <w:szCs w:val="24"/>
              </w:rPr>
              <w:t>Πίνακας 1</w:t>
            </w:r>
            <w:r>
              <w:rPr>
                <w:bCs/>
                <w:szCs w:val="24"/>
              </w:rPr>
              <w:t>7</w:t>
            </w:r>
            <w:r w:rsidRPr="00C1344A">
              <w:rPr>
                <w:bCs/>
                <w:szCs w:val="24"/>
              </w:rPr>
              <w:t xml:space="preserve">: </w:t>
            </w:r>
            <w:r w:rsidR="002864C7" w:rsidRPr="00BB23EB">
              <w:rPr>
                <w:bCs/>
                <w:szCs w:val="24"/>
              </w:rPr>
              <w:t>Σύνθεση πρωτογενών δαπανών Γενικής Κυβέρνησης (ΜΠΔΣ)</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p>
        </w:tc>
        <w:tc>
          <w:tcPr>
            <w:tcW w:w="567" w:type="dxa"/>
            <w:vAlign w:val="center"/>
          </w:tcPr>
          <w:p w:rsidR="000C4D98" w:rsidRPr="002864C7" w:rsidRDefault="00BA5C91" w:rsidP="000C4D98">
            <w:pPr>
              <w:rPr>
                <w:bCs/>
                <w:szCs w:val="24"/>
              </w:rPr>
            </w:pPr>
            <w:r>
              <w:rPr>
                <w:bCs/>
                <w:szCs w:val="24"/>
              </w:rPr>
              <w:t>60</w:t>
            </w:r>
          </w:p>
        </w:tc>
      </w:tr>
      <w:tr w:rsidR="000C4D98" w:rsidRPr="001017B6" w:rsidTr="002454A2">
        <w:tc>
          <w:tcPr>
            <w:tcW w:w="9889" w:type="dxa"/>
          </w:tcPr>
          <w:p w:rsidR="000C4D98" w:rsidRPr="00F234C1" w:rsidRDefault="000C4D98" w:rsidP="00B54E0A">
            <w:pPr>
              <w:jc w:val="both"/>
              <w:rPr>
                <w:bCs/>
                <w:szCs w:val="24"/>
              </w:rPr>
            </w:pPr>
            <w:r w:rsidRPr="00C1344A">
              <w:rPr>
                <w:bCs/>
                <w:szCs w:val="24"/>
              </w:rPr>
              <w:t>Πίνακας 1</w:t>
            </w:r>
            <w:r>
              <w:rPr>
                <w:bCs/>
                <w:szCs w:val="24"/>
              </w:rPr>
              <w:t>8</w:t>
            </w:r>
            <w:r w:rsidRPr="00C1344A">
              <w:rPr>
                <w:bCs/>
                <w:szCs w:val="24"/>
              </w:rPr>
              <w:t xml:space="preserve">: </w:t>
            </w:r>
            <w:r w:rsidR="002864C7" w:rsidRPr="00BB23EB">
              <w:rPr>
                <w:bCs/>
                <w:szCs w:val="24"/>
              </w:rPr>
              <w:t>Παρεμβάσεις για την αντιμετώπιση των συνεπειών της πανδημίας Covid-19 στην ελληνική οικονομία</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927CDC" w:rsidRDefault="00C4065B" w:rsidP="000C4D98">
            <w:pPr>
              <w:rPr>
                <w:bCs/>
                <w:szCs w:val="24"/>
                <w:lang w:val="en-US"/>
              </w:rPr>
            </w:pPr>
            <w:r>
              <w:rPr>
                <w:bCs/>
                <w:szCs w:val="24"/>
              </w:rPr>
              <w:t>6</w:t>
            </w:r>
            <w:r w:rsidR="00927CDC">
              <w:rPr>
                <w:bCs/>
                <w:szCs w:val="24"/>
                <w:lang w:val="en-US"/>
              </w:rPr>
              <w:t>4</w:t>
            </w:r>
          </w:p>
        </w:tc>
      </w:tr>
      <w:tr w:rsidR="000C4D98" w:rsidRPr="001017B6" w:rsidTr="002454A2">
        <w:tc>
          <w:tcPr>
            <w:tcW w:w="9889" w:type="dxa"/>
          </w:tcPr>
          <w:p w:rsidR="000C4D98" w:rsidRPr="00B54E0A" w:rsidRDefault="000C4D98" w:rsidP="00B54E0A">
            <w:pPr>
              <w:jc w:val="both"/>
              <w:rPr>
                <w:bCs/>
                <w:szCs w:val="24"/>
              </w:rPr>
            </w:pPr>
            <w:r w:rsidRPr="00C1344A">
              <w:rPr>
                <w:bCs/>
                <w:szCs w:val="24"/>
              </w:rPr>
              <w:t>Πίνακας 1</w:t>
            </w:r>
            <w:r>
              <w:rPr>
                <w:bCs/>
                <w:szCs w:val="24"/>
              </w:rPr>
              <w:t>9</w:t>
            </w:r>
            <w:r w:rsidRPr="00C1344A">
              <w:rPr>
                <w:bCs/>
                <w:szCs w:val="24"/>
              </w:rPr>
              <w:t xml:space="preserve">: </w:t>
            </w:r>
            <w:r w:rsidR="002864C7" w:rsidRPr="00BB23EB">
              <w:rPr>
                <w:bCs/>
                <w:szCs w:val="24"/>
              </w:rPr>
              <w:t>Ταμείο Ανάκαμψης και Ανθεκτικότητας</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927CDC" w:rsidRDefault="00C4065B" w:rsidP="000C4D98">
            <w:pPr>
              <w:rPr>
                <w:bCs/>
                <w:szCs w:val="24"/>
                <w:lang w:val="en-US"/>
              </w:rPr>
            </w:pPr>
            <w:r>
              <w:rPr>
                <w:bCs/>
                <w:szCs w:val="24"/>
              </w:rPr>
              <w:t>7</w:t>
            </w:r>
            <w:proofErr w:type="spellStart"/>
            <w:r w:rsidR="00B54E0A">
              <w:rPr>
                <w:bCs/>
                <w:szCs w:val="24"/>
                <w:lang w:val="en-US"/>
              </w:rPr>
              <w:t>7</w:t>
            </w:r>
            <w:proofErr w:type="spellEnd"/>
          </w:p>
        </w:tc>
      </w:tr>
      <w:tr w:rsidR="000C4D98" w:rsidRPr="001017B6" w:rsidTr="002454A2">
        <w:tc>
          <w:tcPr>
            <w:tcW w:w="9889" w:type="dxa"/>
          </w:tcPr>
          <w:p w:rsidR="000C4D98" w:rsidRPr="00F234C1" w:rsidRDefault="000C4D98" w:rsidP="00B54E0A">
            <w:pPr>
              <w:jc w:val="both"/>
              <w:rPr>
                <w:bCs/>
                <w:szCs w:val="24"/>
              </w:rPr>
            </w:pPr>
            <w:r w:rsidRPr="00C1344A">
              <w:rPr>
                <w:bCs/>
                <w:szCs w:val="24"/>
              </w:rPr>
              <w:t xml:space="preserve">Πίνακας </w:t>
            </w:r>
            <w:r>
              <w:rPr>
                <w:bCs/>
                <w:szCs w:val="24"/>
              </w:rPr>
              <w:t>20</w:t>
            </w:r>
            <w:r w:rsidRPr="00C1344A">
              <w:rPr>
                <w:bCs/>
                <w:szCs w:val="24"/>
              </w:rPr>
              <w:t xml:space="preserve">: </w:t>
            </w:r>
            <w:r w:rsidR="002864C7" w:rsidRPr="00BB23EB">
              <w:rPr>
                <w:bCs/>
                <w:szCs w:val="24"/>
              </w:rPr>
              <w:t>Εξέλιξη χρέους Γενικής Κυβέρνησης και Ενοποιημένοι Τόκοι Γενικής Κυβέρνησης</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0C4D98" w:rsidRPr="00927CDC" w:rsidRDefault="00C4065B" w:rsidP="000C4D98">
            <w:pPr>
              <w:rPr>
                <w:bCs/>
                <w:szCs w:val="24"/>
                <w:lang w:val="en-US"/>
              </w:rPr>
            </w:pPr>
            <w:r>
              <w:rPr>
                <w:bCs/>
                <w:szCs w:val="24"/>
              </w:rPr>
              <w:t>7</w:t>
            </w:r>
            <w:r w:rsidR="00927CDC">
              <w:rPr>
                <w:bCs/>
                <w:szCs w:val="24"/>
                <w:lang w:val="en-US"/>
              </w:rPr>
              <w:t>8</w:t>
            </w:r>
          </w:p>
        </w:tc>
      </w:tr>
      <w:tr w:rsidR="000C4D98" w:rsidRPr="001017B6" w:rsidTr="002454A2">
        <w:tc>
          <w:tcPr>
            <w:tcW w:w="9889" w:type="dxa"/>
          </w:tcPr>
          <w:p w:rsidR="000C4D98" w:rsidRPr="00B54E0A" w:rsidRDefault="000C4D98" w:rsidP="00B54E0A">
            <w:pPr>
              <w:jc w:val="both"/>
              <w:rPr>
                <w:bCs/>
                <w:szCs w:val="24"/>
                <w:lang w:val="en-US"/>
              </w:rPr>
            </w:pPr>
            <w:r w:rsidRPr="00C1344A">
              <w:rPr>
                <w:bCs/>
                <w:szCs w:val="24"/>
              </w:rPr>
              <w:lastRenderedPageBreak/>
              <w:t xml:space="preserve">Πίνακας </w:t>
            </w:r>
            <w:r>
              <w:rPr>
                <w:bCs/>
                <w:szCs w:val="24"/>
              </w:rPr>
              <w:t>21</w:t>
            </w:r>
            <w:r w:rsidRPr="00C1344A">
              <w:rPr>
                <w:bCs/>
                <w:szCs w:val="24"/>
              </w:rPr>
              <w:t xml:space="preserve">: </w:t>
            </w:r>
            <w:r w:rsidR="002864C7" w:rsidRPr="00BB23EB">
              <w:rPr>
                <w:bCs/>
                <w:szCs w:val="24"/>
              </w:rPr>
              <w:t>Έσοδα Προγράμματος Αποκρατικοποιήσεων</w:t>
            </w:r>
            <w:r w:rsidR="00B54E0A">
              <w:rPr>
                <w:bCs/>
                <w:szCs w:val="24"/>
                <w:lang w:val="en-US"/>
              </w:rPr>
              <w:t>……………………………………………………………………………..</w:t>
            </w:r>
          </w:p>
        </w:tc>
        <w:tc>
          <w:tcPr>
            <w:tcW w:w="567" w:type="dxa"/>
            <w:vAlign w:val="center"/>
          </w:tcPr>
          <w:p w:rsidR="000C4D98" w:rsidRPr="00927CDC" w:rsidRDefault="00927CDC" w:rsidP="000C4D98">
            <w:pPr>
              <w:rPr>
                <w:bCs/>
                <w:szCs w:val="24"/>
                <w:lang w:val="en-US"/>
              </w:rPr>
            </w:pPr>
            <w:r>
              <w:rPr>
                <w:bCs/>
                <w:szCs w:val="24"/>
                <w:lang w:val="en-US"/>
              </w:rPr>
              <w:t>80</w:t>
            </w:r>
          </w:p>
        </w:tc>
      </w:tr>
      <w:tr w:rsidR="000C4D98" w:rsidRPr="001017B6" w:rsidTr="002454A2">
        <w:tc>
          <w:tcPr>
            <w:tcW w:w="9889" w:type="dxa"/>
          </w:tcPr>
          <w:p w:rsidR="000C4D98" w:rsidRPr="00B54E0A" w:rsidRDefault="000C4D98" w:rsidP="00B54E0A">
            <w:pPr>
              <w:jc w:val="both"/>
              <w:rPr>
                <w:bCs/>
                <w:szCs w:val="24"/>
              </w:rPr>
            </w:pPr>
            <w:r w:rsidRPr="00C1344A">
              <w:rPr>
                <w:bCs/>
                <w:szCs w:val="24"/>
              </w:rPr>
              <w:t xml:space="preserve">Πίνακας </w:t>
            </w:r>
            <w:r>
              <w:rPr>
                <w:bCs/>
                <w:szCs w:val="24"/>
              </w:rPr>
              <w:t>22</w:t>
            </w:r>
            <w:r w:rsidRPr="00C1344A">
              <w:rPr>
                <w:bCs/>
                <w:szCs w:val="24"/>
              </w:rPr>
              <w:t xml:space="preserve">: </w:t>
            </w:r>
            <w:r w:rsidR="002864C7" w:rsidRPr="00BB23EB">
              <w:rPr>
                <w:bCs/>
                <w:szCs w:val="24"/>
              </w:rPr>
              <w:t>Αποτελέσματα  της ανάλυσης ευαισθησίας (% αποκλίσεις από το σενάριο βάσης)</w:t>
            </w:r>
            <w:r w:rsidR="00B54E0A">
              <w:rPr>
                <w:bCs/>
                <w:szCs w:val="24"/>
              </w:rPr>
              <w:t>…………………</w:t>
            </w:r>
            <w:r w:rsidR="00B54E0A" w:rsidRPr="00B54E0A">
              <w:rPr>
                <w:bCs/>
                <w:szCs w:val="24"/>
              </w:rPr>
              <w:t>.</w:t>
            </w:r>
          </w:p>
        </w:tc>
        <w:tc>
          <w:tcPr>
            <w:tcW w:w="567" w:type="dxa"/>
            <w:vAlign w:val="center"/>
          </w:tcPr>
          <w:p w:rsidR="000C4D98" w:rsidRPr="00927CDC" w:rsidRDefault="00C4065B" w:rsidP="000C4D98">
            <w:pPr>
              <w:rPr>
                <w:bCs/>
                <w:szCs w:val="24"/>
                <w:lang w:val="en-US"/>
              </w:rPr>
            </w:pPr>
            <w:r>
              <w:rPr>
                <w:bCs/>
                <w:szCs w:val="24"/>
              </w:rPr>
              <w:t>8</w:t>
            </w:r>
            <w:r w:rsidR="00927CDC">
              <w:rPr>
                <w:bCs/>
                <w:szCs w:val="24"/>
                <w:lang w:val="en-US"/>
              </w:rPr>
              <w:t>4</w:t>
            </w:r>
          </w:p>
        </w:tc>
      </w:tr>
      <w:tr w:rsidR="000C4D98" w:rsidRPr="001017B6" w:rsidTr="002454A2">
        <w:tc>
          <w:tcPr>
            <w:tcW w:w="9889" w:type="dxa"/>
          </w:tcPr>
          <w:p w:rsidR="000C4D98" w:rsidRPr="00B54E0A" w:rsidRDefault="000C4D98" w:rsidP="00B54E0A">
            <w:pPr>
              <w:jc w:val="both"/>
              <w:rPr>
                <w:bCs/>
                <w:szCs w:val="24"/>
                <w:lang w:val="en-US"/>
              </w:rPr>
            </w:pPr>
            <w:r w:rsidRPr="00210733">
              <w:rPr>
                <w:bCs/>
                <w:szCs w:val="24"/>
              </w:rPr>
              <w:t xml:space="preserve">Πίνακας </w:t>
            </w:r>
            <w:r>
              <w:rPr>
                <w:bCs/>
                <w:szCs w:val="24"/>
              </w:rPr>
              <w:t>23</w:t>
            </w:r>
            <w:r w:rsidRPr="00210733">
              <w:rPr>
                <w:bCs/>
                <w:szCs w:val="24"/>
              </w:rPr>
              <w:t xml:space="preserve">: </w:t>
            </w:r>
            <w:r w:rsidR="002864C7" w:rsidRPr="00BB23EB">
              <w:rPr>
                <w:bCs/>
                <w:szCs w:val="24"/>
              </w:rPr>
              <w:t>Εγγυήσεις Γενικής Κυβέρνησης</w:t>
            </w:r>
            <w:r w:rsidR="00B54E0A">
              <w:rPr>
                <w:bCs/>
                <w:szCs w:val="24"/>
                <w:lang w:val="en-US"/>
              </w:rPr>
              <w:t>…………………………………………………………………………………………………..</w:t>
            </w:r>
          </w:p>
        </w:tc>
        <w:tc>
          <w:tcPr>
            <w:tcW w:w="567" w:type="dxa"/>
            <w:vAlign w:val="center"/>
          </w:tcPr>
          <w:p w:rsidR="000C4D98" w:rsidRPr="00927CDC" w:rsidRDefault="00C4065B" w:rsidP="000C4D98">
            <w:pPr>
              <w:rPr>
                <w:bCs/>
                <w:szCs w:val="24"/>
                <w:lang w:val="en-US"/>
              </w:rPr>
            </w:pPr>
            <w:r>
              <w:rPr>
                <w:bCs/>
                <w:szCs w:val="24"/>
              </w:rPr>
              <w:t>8</w:t>
            </w:r>
            <w:r w:rsidR="00927CDC">
              <w:rPr>
                <w:bCs/>
                <w:szCs w:val="24"/>
                <w:lang w:val="en-US"/>
              </w:rPr>
              <w:t>6</w:t>
            </w:r>
          </w:p>
        </w:tc>
      </w:tr>
      <w:tr w:rsidR="000C4D98" w:rsidRPr="001017B6" w:rsidTr="002454A2">
        <w:tc>
          <w:tcPr>
            <w:tcW w:w="9889" w:type="dxa"/>
          </w:tcPr>
          <w:p w:rsidR="000C4D98" w:rsidRPr="00B54E0A" w:rsidRDefault="000C4D98" w:rsidP="00B54E0A">
            <w:pPr>
              <w:jc w:val="both"/>
              <w:rPr>
                <w:bCs/>
                <w:szCs w:val="24"/>
              </w:rPr>
            </w:pPr>
            <w:r w:rsidRPr="00210733">
              <w:rPr>
                <w:bCs/>
                <w:szCs w:val="24"/>
              </w:rPr>
              <w:t xml:space="preserve">Πίνακας </w:t>
            </w:r>
            <w:r>
              <w:rPr>
                <w:bCs/>
                <w:szCs w:val="24"/>
              </w:rPr>
              <w:t>24</w:t>
            </w:r>
            <w:r w:rsidRPr="00210733">
              <w:rPr>
                <w:bCs/>
                <w:szCs w:val="24"/>
              </w:rPr>
              <w:t xml:space="preserve">: </w:t>
            </w:r>
            <w:r w:rsidR="00BB23EB" w:rsidRPr="00BB23EB">
              <w:rPr>
                <w:bCs/>
                <w:szCs w:val="24"/>
              </w:rPr>
              <w:t>Υποχρεώσεις που απορρέουν από Συμπράξεις Δημοσίου-Ιδιωτικού Τομέα (ΣΔΙΤ) που καταγράφονται εκτός προϋπολογισμού (</w:t>
            </w:r>
            <w:proofErr w:type="spellStart"/>
            <w:r w:rsidR="00BB23EB" w:rsidRPr="00BB23EB">
              <w:rPr>
                <w:bCs/>
                <w:szCs w:val="24"/>
              </w:rPr>
              <w:t>off</w:t>
            </w:r>
            <w:proofErr w:type="spellEnd"/>
            <w:r w:rsidR="00BB23EB" w:rsidRPr="00BB23EB">
              <w:rPr>
                <w:bCs/>
                <w:szCs w:val="24"/>
              </w:rPr>
              <w:t>-</w:t>
            </w:r>
            <w:proofErr w:type="spellStart"/>
            <w:r w:rsidR="00BB23EB" w:rsidRPr="00BB23EB">
              <w:rPr>
                <w:bCs/>
                <w:szCs w:val="24"/>
              </w:rPr>
              <w:t>balance</w:t>
            </w:r>
            <w:proofErr w:type="spellEnd"/>
            <w:r w:rsidR="00BB23EB" w:rsidRPr="00BB23EB">
              <w:rPr>
                <w:bCs/>
                <w:szCs w:val="24"/>
              </w:rPr>
              <w:t xml:space="preserve"> </w:t>
            </w:r>
            <w:proofErr w:type="spellStart"/>
            <w:r w:rsidR="00BB23EB" w:rsidRPr="00BB23EB">
              <w:rPr>
                <w:bCs/>
                <w:szCs w:val="24"/>
              </w:rPr>
              <w:t>sheet</w:t>
            </w:r>
            <w:proofErr w:type="spellEnd"/>
            <w:r w:rsidR="00BB23EB" w:rsidRPr="00BB23EB">
              <w:rPr>
                <w:bCs/>
                <w:szCs w:val="24"/>
              </w:rPr>
              <w:t>)</w:t>
            </w:r>
            <w:r w:rsidR="00B54E0A">
              <w:rPr>
                <w:bCs/>
                <w:szCs w:val="24"/>
              </w:rPr>
              <w:t>…</w:t>
            </w:r>
            <w:r w:rsidR="00B54E0A" w:rsidRPr="00B54E0A">
              <w:rPr>
                <w:bCs/>
                <w:szCs w:val="24"/>
              </w:rPr>
              <w:t>……………………</w:t>
            </w:r>
            <w:r w:rsidR="00B54E0A">
              <w:rPr>
                <w:bCs/>
                <w:szCs w:val="24"/>
              </w:rPr>
              <w:t>…………………………………………………</w:t>
            </w:r>
          </w:p>
        </w:tc>
        <w:tc>
          <w:tcPr>
            <w:tcW w:w="567" w:type="dxa"/>
            <w:vAlign w:val="center"/>
          </w:tcPr>
          <w:p w:rsidR="000C4D98" w:rsidRPr="00927CDC" w:rsidRDefault="00C4065B" w:rsidP="000C4D98">
            <w:pPr>
              <w:rPr>
                <w:bCs/>
                <w:szCs w:val="24"/>
                <w:lang w:val="en-US"/>
              </w:rPr>
            </w:pPr>
            <w:r>
              <w:rPr>
                <w:bCs/>
                <w:szCs w:val="24"/>
              </w:rPr>
              <w:t>8</w:t>
            </w:r>
            <w:r w:rsidR="00927CDC">
              <w:rPr>
                <w:bCs/>
                <w:szCs w:val="24"/>
                <w:lang w:val="en-US"/>
              </w:rPr>
              <w:t>7</w:t>
            </w:r>
          </w:p>
        </w:tc>
      </w:tr>
      <w:tr w:rsidR="005A56C5" w:rsidRPr="001017B6" w:rsidTr="002454A2">
        <w:tc>
          <w:tcPr>
            <w:tcW w:w="9889" w:type="dxa"/>
          </w:tcPr>
          <w:p w:rsidR="005A56C5" w:rsidRPr="00B54E0A" w:rsidRDefault="005A56C5" w:rsidP="00B54E0A">
            <w:pPr>
              <w:jc w:val="both"/>
              <w:rPr>
                <w:bCs/>
                <w:szCs w:val="24"/>
              </w:rPr>
            </w:pPr>
            <w:r w:rsidRPr="00210733">
              <w:rPr>
                <w:bCs/>
                <w:szCs w:val="24"/>
              </w:rPr>
              <w:t xml:space="preserve">Πίνακας </w:t>
            </w:r>
            <w:r>
              <w:rPr>
                <w:bCs/>
                <w:szCs w:val="24"/>
              </w:rPr>
              <w:t>25</w:t>
            </w:r>
            <w:r w:rsidRPr="00210733">
              <w:rPr>
                <w:bCs/>
                <w:szCs w:val="24"/>
              </w:rPr>
              <w:t xml:space="preserve">: </w:t>
            </w:r>
            <w:r w:rsidRPr="00BB23EB">
              <w:rPr>
                <w:bCs/>
                <w:szCs w:val="24"/>
              </w:rPr>
              <w:t>Μη εξυπηρετούμενα δάνεια χορηγηθέντα από φορείς της Γενικής Κυβέρνησης</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5A56C5" w:rsidRPr="00927CDC" w:rsidRDefault="005A56C5" w:rsidP="000C4D98">
            <w:pPr>
              <w:rPr>
                <w:bCs/>
                <w:szCs w:val="24"/>
                <w:lang w:val="en-US"/>
              </w:rPr>
            </w:pPr>
            <w:r>
              <w:rPr>
                <w:bCs/>
                <w:szCs w:val="24"/>
              </w:rPr>
              <w:t>8</w:t>
            </w:r>
            <w:r w:rsidR="00927CDC">
              <w:rPr>
                <w:bCs/>
                <w:szCs w:val="24"/>
                <w:lang w:val="en-US"/>
              </w:rPr>
              <w:t>7</w:t>
            </w:r>
          </w:p>
        </w:tc>
      </w:tr>
      <w:tr w:rsidR="005A56C5" w:rsidRPr="005A56C5" w:rsidTr="002454A2">
        <w:tc>
          <w:tcPr>
            <w:tcW w:w="9889" w:type="dxa"/>
          </w:tcPr>
          <w:p w:rsidR="005A56C5" w:rsidRPr="00B54E0A" w:rsidRDefault="005A56C5" w:rsidP="00B54E0A">
            <w:pPr>
              <w:jc w:val="both"/>
              <w:rPr>
                <w:bCs/>
                <w:szCs w:val="24"/>
              </w:rPr>
            </w:pPr>
            <w:r w:rsidRPr="005A56C5">
              <w:rPr>
                <w:bCs/>
                <w:szCs w:val="24"/>
              </w:rPr>
              <w:t>Πίνακας 26: Έσοδα και Δαπάνες Κρατικού Προϋπολογισμού σε ταμειακή βάση -</w:t>
            </w:r>
            <w:r w:rsidR="00F764B1" w:rsidRPr="00F764B1">
              <w:rPr>
                <w:bCs/>
                <w:szCs w:val="24"/>
              </w:rPr>
              <w:t xml:space="preserve"> </w:t>
            </w:r>
            <w:r w:rsidRPr="005A56C5">
              <w:rPr>
                <w:bCs/>
                <w:szCs w:val="24"/>
              </w:rPr>
              <w:t>Μη χρηματοοικονομικές συναλλαγές</w:t>
            </w:r>
            <w:r w:rsidR="00B54E0A">
              <w:rPr>
                <w:bCs/>
                <w:szCs w:val="24"/>
              </w:rPr>
              <w:t>………………………………</w:t>
            </w:r>
            <w:r w:rsidR="00B54E0A" w:rsidRPr="00B54E0A">
              <w:rPr>
                <w:bCs/>
                <w:szCs w:val="24"/>
              </w:rPr>
              <w:t>…</w:t>
            </w:r>
            <w:r w:rsidR="00B54E0A">
              <w:rPr>
                <w:bCs/>
                <w:szCs w:val="24"/>
              </w:rPr>
              <w:t>…………………………………………………</w:t>
            </w:r>
            <w:r w:rsidR="00B54E0A" w:rsidRPr="00B54E0A">
              <w:rPr>
                <w:bCs/>
                <w:szCs w:val="24"/>
              </w:rPr>
              <w:t>…</w:t>
            </w:r>
            <w:r w:rsidR="00B54E0A">
              <w:rPr>
                <w:bCs/>
                <w:szCs w:val="24"/>
              </w:rPr>
              <w:t>……………………………………………………………</w:t>
            </w:r>
            <w:r w:rsidR="00B54E0A" w:rsidRPr="00B54E0A">
              <w:rPr>
                <w:bCs/>
                <w:szCs w:val="24"/>
              </w:rPr>
              <w:t>.</w:t>
            </w:r>
          </w:p>
        </w:tc>
        <w:tc>
          <w:tcPr>
            <w:tcW w:w="567" w:type="dxa"/>
            <w:vAlign w:val="center"/>
          </w:tcPr>
          <w:p w:rsidR="005A56C5" w:rsidRPr="00927CDC" w:rsidRDefault="005A56C5" w:rsidP="005A56C5">
            <w:pPr>
              <w:rPr>
                <w:bCs/>
                <w:szCs w:val="24"/>
                <w:lang w:val="en-US"/>
              </w:rPr>
            </w:pPr>
            <w:r>
              <w:rPr>
                <w:bCs/>
                <w:szCs w:val="24"/>
              </w:rPr>
              <w:t>8</w:t>
            </w:r>
            <w:proofErr w:type="spellStart"/>
            <w:r w:rsidR="00927CDC">
              <w:rPr>
                <w:bCs/>
                <w:szCs w:val="24"/>
                <w:lang w:val="en-US"/>
              </w:rPr>
              <w:t>8</w:t>
            </w:r>
            <w:proofErr w:type="spellEnd"/>
          </w:p>
        </w:tc>
      </w:tr>
    </w:tbl>
    <w:p w:rsidR="0048351C" w:rsidRPr="00E255C0" w:rsidRDefault="0048351C" w:rsidP="00E255C0">
      <w:pPr>
        <w:spacing w:line="360" w:lineRule="auto"/>
        <w:jc w:val="both"/>
        <w:rPr>
          <w:b/>
          <w:bCs/>
          <w:sz w:val="24"/>
          <w:szCs w:val="24"/>
        </w:rPr>
      </w:pPr>
    </w:p>
    <w:p w:rsidR="00BE7213" w:rsidRPr="00BB23EB" w:rsidRDefault="00BE7213">
      <w:pPr>
        <w:rPr>
          <w:b/>
          <w:bCs/>
          <w:color w:val="1F497D" w:themeColor="text2"/>
          <w:sz w:val="24"/>
          <w:szCs w:val="24"/>
        </w:rPr>
      </w:pPr>
      <w:r w:rsidRPr="00BB23EB">
        <w:rPr>
          <w:b/>
          <w:bCs/>
          <w:color w:val="1F497D" w:themeColor="text2"/>
          <w:sz w:val="24"/>
          <w:szCs w:val="24"/>
        </w:rPr>
        <w:br w:type="page"/>
      </w:r>
    </w:p>
    <w:p w:rsidR="000523C8" w:rsidRPr="001017B6" w:rsidRDefault="00266062" w:rsidP="005B030C">
      <w:pPr>
        <w:jc w:val="both"/>
        <w:rPr>
          <w:b/>
          <w:bCs/>
          <w:color w:val="1F497D" w:themeColor="text2"/>
          <w:szCs w:val="24"/>
        </w:rPr>
      </w:pPr>
      <w:r w:rsidRPr="001017B6">
        <w:rPr>
          <w:b/>
          <w:bCs/>
          <w:color w:val="1F497D" w:themeColor="text2"/>
          <w:szCs w:val="24"/>
        </w:rPr>
        <w:lastRenderedPageBreak/>
        <w:t>Ευρετήριο διαγραμμάτων</w:t>
      </w:r>
    </w:p>
    <w:p w:rsidR="00E255C0" w:rsidRPr="001017B6" w:rsidRDefault="00E255C0" w:rsidP="005B030C">
      <w:pPr>
        <w:jc w:val="both"/>
        <w:rPr>
          <w:b/>
          <w:bCs/>
          <w:color w:val="1F497D" w:themeColor="text2"/>
          <w:szCs w:val="24"/>
          <w:lang w:val="en-US"/>
        </w:rPr>
      </w:pPr>
    </w:p>
    <w:tbl>
      <w:tblPr>
        <w:tblW w:w="0" w:type="auto"/>
        <w:tblLook w:val="04A0"/>
      </w:tblPr>
      <w:tblGrid>
        <w:gridCol w:w="9854"/>
        <w:gridCol w:w="460"/>
      </w:tblGrid>
      <w:tr w:rsidR="00BE7213" w:rsidRPr="001017B6" w:rsidTr="00BD0EDD">
        <w:tc>
          <w:tcPr>
            <w:tcW w:w="9854" w:type="dxa"/>
          </w:tcPr>
          <w:p w:rsidR="00BE7213" w:rsidRPr="00F234C1" w:rsidRDefault="00266062" w:rsidP="00B54E0A">
            <w:pPr>
              <w:jc w:val="both"/>
              <w:rPr>
                <w:bCs/>
                <w:szCs w:val="24"/>
              </w:rPr>
            </w:pPr>
            <w:r w:rsidRPr="001017B6">
              <w:rPr>
                <w:bCs/>
                <w:szCs w:val="24"/>
              </w:rPr>
              <w:t>Διάγραμμα</w:t>
            </w:r>
            <w:r w:rsidRPr="0062639B">
              <w:rPr>
                <w:bCs/>
                <w:szCs w:val="24"/>
              </w:rPr>
              <w:t xml:space="preserve"> 1</w:t>
            </w:r>
            <w:r w:rsidR="004D7566" w:rsidRPr="0062639B">
              <w:rPr>
                <w:bCs/>
                <w:szCs w:val="24"/>
              </w:rPr>
              <w:t xml:space="preserve">: </w:t>
            </w:r>
            <w:r w:rsidR="0062639B" w:rsidRPr="0062639B">
              <w:rPr>
                <w:bCs/>
                <w:szCs w:val="24"/>
              </w:rPr>
              <w:t>Εξέλιξη ΑΕΠ μεταξύ διαδοχικών τριμήνων στην Ελλάδα και την Ευρωζώνη</w:t>
            </w:r>
            <w:r w:rsidR="002644DC">
              <w:rPr>
                <w:bCs/>
                <w:szCs w:val="24"/>
              </w:rPr>
              <w:t>…………………………</w:t>
            </w:r>
            <w:r w:rsidR="002644DC" w:rsidRPr="002644DC">
              <w:rPr>
                <w:bCs/>
                <w:szCs w:val="24"/>
              </w:rPr>
              <w:t>.</w:t>
            </w:r>
          </w:p>
        </w:tc>
        <w:tc>
          <w:tcPr>
            <w:tcW w:w="460" w:type="dxa"/>
            <w:vAlign w:val="bottom"/>
          </w:tcPr>
          <w:p w:rsidR="00BE7213" w:rsidRPr="00BF48B6" w:rsidRDefault="00BF48B6" w:rsidP="00A0409D">
            <w:pPr>
              <w:rPr>
                <w:bCs/>
                <w:szCs w:val="24"/>
              </w:rPr>
            </w:pPr>
            <w:r>
              <w:rPr>
                <w:bCs/>
                <w:szCs w:val="24"/>
              </w:rPr>
              <w:t>1</w:t>
            </w:r>
            <w:r w:rsidR="00BA5C91">
              <w:rPr>
                <w:bCs/>
                <w:szCs w:val="24"/>
              </w:rPr>
              <w:t>4</w:t>
            </w:r>
          </w:p>
        </w:tc>
      </w:tr>
      <w:tr w:rsidR="007B4757" w:rsidRPr="0062639B" w:rsidTr="00BD0EDD">
        <w:tc>
          <w:tcPr>
            <w:tcW w:w="9854" w:type="dxa"/>
          </w:tcPr>
          <w:p w:rsidR="007B4757" w:rsidRPr="002644DC" w:rsidRDefault="007B4757" w:rsidP="00B54E0A">
            <w:pPr>
              <w:jc w:val="both"/>
              <w:rPr>
                <w:bCs/>
                <w:szCs w:val="24"/>
              </w:rPr>
            </w:pPr>
            <w:r w:rsidRPr="001017B6">
              <w:rPr>
                <w:bCs/>
                <w:szCs w:val="24"/>
              </w:rPr>
              <w:t>Διάγραμμα</w:t>
            </w:r>
            <w:r w:rsidRPr="0062639B">
              <w:rPr>
                <w:bCs/>
                <w:szCs w:val="24"/>
              </w:rPr>
              <w:t xml:space="preserve"> </w:t>
            </w:r>
            <w:r w:rsidRPr="001017B6">
              <w:rPr>
                <w:bCs/>
                <w:szCs w:val="24"/>
              </w:rPr>
              <w:t>2</w:t>
            </w:r>
            <w:r w:rsidRPr="0062639B">
              <w:rPr>
                <w:bCs/>
                <w:szCs w:val="24"/>
              </w:rPr>
              <w:t xml:space="preserve">: </w:t>
            </w:r>
            <w:r w:rsidR="0062639B" w:rsidRPr="0062639B">
              <w:rPr>
                <w:bCs/>
                <w:szCs w:val="24"/>
              </w:rPr>
              <w:t>Ακαθάριστη Αποταμίευση Θεσμικών Τομέων</w:t>
            </w:r>
            <w:r w:rsidR="002644DC">
              <w:rPr>
                <w:bCs/>
                <w:szCs w:val="24"/>
              </w:rPr>
              <w:t>………………………………………………………………………</w:t>
            </w:r>
            <w:r w:rsidR="002644DC" w:rsidRPr="002644DC">
              <w:rPr>
                <w:bCs/>
                <w:szCs w:val="24"/>
              </w:rPr>
              <w:t>..</w:t>
            </w:r>
          </w:p>
        </w:tc>
        <w:tc>
          <w:tcPr>
            <w:tcW w:w="460" w:type="dxa"/>
            <w:vAlign w:val="bottom"/>
          </w:tcPr>
          <w:p w:rsidR="007B4757" w:rsidRPr="0062639B" w:rsidRDefault="00BF48B6" w:rsidP="0062639B">
            <w:pPr>
              <w:jc w:val="both"/>
              <w:rPr>
                <w:bCs/>
                <w:szCs w:val="24"/>
              </w:rPr>
            </w:pPr>
            <w:r>
              <w:rPr>
                <w:bCs/>
                <w:szCs w:val="24"/>
              </w:rPr>
              <w:t>1</w:t>
            </w:r>
            <w:r w:rsidR="00BA5C91">
              <w:rPr>
                <w:bCs/>
                <w:szCs w:val="24"/>
              </w:rPr>
              <w:t>6</w:t>
            </w:r>
          </w:p>
        </w:tc>
      </w:tr>
      <w:tr w:rsidR="007B4757" w:rsidRPr="0062639B" w:rsidTr="00BD0EDD">
        <w:tc>
          <w:tcPr>
            <w:tcW w:w="9854" w:type="dxa"/>
          </w:tcPr>
          <w:p w:rsidR="007B4757" w:rsidRPr="002644DC" w:rsidRDefault="007B4757" w:rsidP="00B54E0A">
            <w:pPr>
              <w:jc w:val="both"/>
              <w:rPr>
                <w:bCs/>
                <w:szCs w:val="24"/>
              </w:rPr>
            </w:pPr>
            <w:r w:rsidRPr="001017B6">
              <w:rPr>
                <w:bCs/>
                <w:szCs w:val="24"/>
              </w:rPr>
              <w:t>Διάγραμμα</w:t>
            </w:r>
            <w:r w:rsidRPr="0062639B">
              <w:rPr>
                <w:bCs/>
                <w:szCs w:val="24"/>
              </w:rPr>
              <w:t xml:space="preserve"> </w:t>
            </w:r>
            <w:r w:rsidRPr="001017B6">
              <w:rPr>
                <w:bCs/>
                <w:szCs w:val="24"/>
              </w:rPr>
              <w:t>3</w:t>
            </w:r>
            <w:r w:rsidRPr="0062639B">
              <w:rPr>
                <w:bCs/>
                <w:szCs w:val="24"/>
              </w:rPr>
              <w:t xml:space="preserve">: </w:t>
            </w:r>
            <w:r w:rsidR="0062639B" w:rsidRPr="0062639B">
              <w:rPr>
                <w:bCs/>
                <w:szCs w:val="24"/>
              </w:rPr>
              <w:t>Συμβολή συνιστωσών τριμήνων στη μεταβολή του ετήσιου ΑΕΠ το 2020</w:t>
            </w:r>
            <w:r w:rsidR="002644DC">
              <w:rPr>
                <w:bCs/>
                <w:szCs w:val="24"/>
              </w:rPr>
              <w:t>……………………………</w:t>
            </w:r>
            <w:r w:rsidR="002644DC" w:rsidRPr="002644DC">
              <w:rPr>
                <w:bCs/>
                <w:szCs w:val="24"/>
              </w:rPr>
              <w:t>..</w:t>
            </w:r>
          </w:p>
        </w:tc>
        <w:tc>
          <w:tcPr>
            <w:tcW w:w="460" w:type="dxa"/>
            <w:vAlign w:val="bottom"/>
          </w:tcPr>
          <w:p w:rsidR="007B4757" w:rsidRPr="001017B6" w:rsidRDefault="00BF48B6" w:rsidP="0062639B">
            <w:pPr>
              <w:jc w:val="both"/>
              <w:rPr>
                <w:bCs/>
                <w:szCs w:val="24"/>
              </w:rPr>
            </w:pPr>
            <w:r>
              <w:rPr>
                <w:bCs/>
                <w:szCs w:val="24"/>
              </w:rPr>
              <w:t>1</w:t>
            </w:r>
            <w:r w:rsidR="00BA5C91">
              <w:rPr>
                <w:bCs/>
                <w:szCs w:val="24"/>
              </w:rPr>
              <w:t>8</w:t>
            </w:r>
          </w:p>
        </w:tc>
      </w:tr>
      <w:tr w:rsidR="007B4757" w:rsidRPr="0062639B" w:rsidTr="00BD0EDD">
        <w:tc>
          <w:tcPr>
            <w:tcW w:w="9854" w:type="dxa"/>
          </w:tcPr>
          <w:p w:rsidR="007B4757" w:rsidRPr="002644DC" w:rsidRDefault="007B4757" w:rsidP="00B54E0A">
            <w:pPr>
              <w:jc w:val="both"/>
              <w:rPr>
                <w:bCs/>
                <w:szCs w:val="24"/>
              </w:rPr>
            </w:pPr>
            <w:r w:rsidRPr="001017B6">
              <w:rPr>
                <w:bCs/>
                <w:szCs w:val="24"/>
              </w:rPr>
              <w:t>Διάγραμμα</w:t>
            </w:r>
            <w:r w:rsidRPr="0062639B">
              <w:rPr>
                <w:bCs/>
                <w:szCs w:val="24"/>
              </w:rPr>
              <w:t xml:space="preserve"> </w:t>
            </w:r>
            <w:r w:rsidRPr="001017B6">
              <w:rPr>
                <w:bCs/>
                <w:szCs w:val="24"/>
              </w:rPr>
              <w:t>4</w:t>
            </w:r>
            <w:r w:rsidRPr="0062639B">
              <w:rPr>
                <w:bCs/>
                <w:szCs w:val="24"/>
              </w:rPr>
              <w:t xml:space="preserve">: </w:t>
            </w:r>
            <w:r w:rsidR="0062639B" w:rsidRPr="0062639B">
              <w:rPr>
                <w:bCs/>
                <w:szCs w:val="24"/>
              </w:rPr>
              <w:t>Αναθεωρήσεις των προβλέψεων ΑΕΠ για το 2020</w:t>
            </w:r>
            <w:r w:rsidR="002644DC">
              <w:rPr>
                <w:bCs/>
                <w:szCs w:val="24"/>
              </w:rPr>
              <w:t>………………………………</w:t>
            </w:r>
            <w:r w:rsidR="002644DC" w:rsidRPr="002644DC">
              <w:rPr>
                <w:bCs/>
                <w:szCs w:val="24"/>
              </w:rPr>
              <w:t>…</w:t>
            </w:r>
            <w:r w:rsidR="002644DC">
              <w:rPr>
                <w:bCs/>
                <w:szCs w:val="24"/>
              </w:rPr>
              <w:t>……</w:t>
            </w:r>
            <w:r w:rsidR="002644DC" w:rsidRPr="002644DC">
              <w:rPr>
                <w:bCs/>
                <w:szCs w:val="24"/>
              </w:rPr>
              <w:t>…</w:t>
            </w:r>
            <w:r w:rsidR="002644DC">
              <w:rPr>
                <w:bCs/>
                <w:szCs w:val="24"/>
              </w:rPr>
              <w:t>………………………</w:t>
            </w:r>
            <w:r w:rsidR="002644DC" w:rsidRPr="002644DC">
              <w:rPr>
                <w:bCs/>
                <w:szCs w:val="24"/>
              </w:rPr>
              <w:t>.</w:t>
            </w:r>
          </w:p>
        </w:tc>
        <w:tc>
          <w:tcPr>
            <w:tcW w:w="460" w:type="dxa"/>
            <w:vAlign w:val="bottom"/>
          </w:tcPr>
          <w:p w:rsidR="007B4757" w:rsidRPr="001017B6" w:rsidRDefault="00BF48B6" w:rsidP="0062639B">
            <w:pPr>
              <w:jc w:val="both"/>
              <w:rPr>
                <w:bCs/>
                <w:szCs w:val="24"/>
              </w:rPr>
            </w:pPr>
            <w:r>
              <w:rPr>
                <w:bCs/>
                <w:szCs w:val="24"/>
              </w:rPr>
              <w:t>1</w:t>
            </w:r>
            <w:r w:rsidR="00BA5C91">
              <w:rPr>
                <w:bCs/>
                <w:szCs w:val="24"/>
              </w:rPr>
              <w:t>9</w:t>
            </w:r>
          </w:p>
        </w:tc>
      </w:tr>
      <w:tr w:rsidR="0062639B" w:rsidRPr="0062639B" w:rsidTr="00BD0EDD">
        <w:tc>
          <w:tcPr>
            <w:tcW w:w="9854" w:type="dxa"/>
          </w:tcPr>
          <w:p w:rsidR="0062639B" w:rsidRPr="000F3632" w:rsidRDefault="0062639B" w:rsidP="00B54E0A">
            <w:pPr>
              <w:jc w:val="both"/>
              <w:rPr>
                <w:bCs/>
                <w:szCs w:val="24"/>
              </w:rPr>
            </w:pPr>
            <w:r w:rsidRPr="00D32D79">
              <w:rPr>
                <w:bCs/>
                <w:szCs w:val="24"/>
              </w:rPr>
              <w:t xml:space="preserve">Διάγραμμα </w:t>
            </w:r>
            <w:r>
              <w:rPr>
                <w:bCs/>
                <w:szCs w:val="24"/>
              </w:rPr>
              <w:t>5</w:t>
            </w:r>
            <w:r w:rsidRPr="00D32D79">
              <w:rPr>
                <w:bCs/>
                <w:szCs w:val="24"/>
              </w:rPr>
              <w:t xml:space="preserve">: </w:t>
            </w:r>
            <w:r w:rsidRPr="0062639B">
              <w:rPr>
                <w:bCs/>
                <w:szCs w:val="24"/>
              </w:rPr>
              <w:t>Προσωρινά στοιχεία ΑΕΠ-ανεργίας 2020 για την Ελλάδα και την Ευρωζώνη έναντι προβλέψεων</w:t>
            </w:r>
            <w:r w:rsidR="002644DC">
              <w:rPr>
                <w:bCs/>
                <w:szCs w:val="24"/>
              </w:rPr>
              <w:t>……………</w:t>
            </w:r>
            <w:r w:rsidR="002644DC" w:rsidRPr="002644DC">
              <w:rPr>
                <w:bCs/>
                <w:szCs w:val="24"/>
              </w:rPr>
              <w:t>……</w:t>
            </w:r>
            <w:r w:rsidR="002644DC">
              <w:rPr>
                <w:bCs/>
                <w:szCs w:val="24"/>
              </w:rPr>
              <w:t>………………………………………………………………</w:t>
            </w:r>
            <w:r w:rsidR="001E3F0A">
              <w:rPr>
                <w:bCs/>
                <w:szCs w:val="24"/>
              </w:rPr>
              <w:t>………………………</w:t>
            </w:r>
            <w:r w:rsidR="001E3F0A" w:rsidRPr="001E3F0A">
              <w:rPr>
                <w:bCs/>
                <w:szCs w:val="24"/>
              </w:rPr>
              <w:t>..</w:t>
            </w:r>
            <w:r w:rsidR="002644DC">
              <w:rPr>
                <w:bCs/>
                <w:szCs w:val="24"/>
              </w:rPr>
              <w:t>………………</w:t>
            </w:r>
            <w:r w:rsidR="002644DC" w:rsidRPr="002644DC">
              <w:rPr>
                <w:bCs/>
                <w:szCs w:val="24"/>
              </w:rPr>
              <w:t>...</w:t>
            </w:r>
            <w:r w:rsidR="000F3632" w:rsidRPr="000F3632">
              <w:rPr>
                <w:bCs/>
                <w:szCs w:val="24"/>
              </w:rPr>
              <w:t>.....................</w:t>
            </w:r>
          </w:p>
        </w:tc>
        <w:tc>
          <w:tcPr>
            <w:tcW w:w="460" w:type="dxa"/>
            <w:vAlign w:val="bottom"/>
          </w:tcPr>
          <w:p w:rsidR="0062639B" w:rsidRPr="001017B6" w:rsidRDefault="00BF48B6" w:rsidP="0062639B">
            <w:pPr>
              <w:jc w:val="both"/>
              <w:rPr>
                <w:bCs/>
                <w:szCs w:val="24"/>
              </w:rPr>
            </w:pPr>
            <w:r>
              <w:rPr>
                <w:bCs/>
                <w:szCs w:val="24"/>
              </w:rPr>
              <w:t>2</w:t>
            </w:r>
            <w:r w:rsidR="00BA5C91">
              <w:rPr>
                <w:bCs/>
                <w:szCs w:val="24"/>
              </w:rPr>
              <w:t>2</w:t>
            </w:r>
          </w:p>
        </w:tc>
      </w:tr>
      <w:tr w:rsidR="0062639B" w:rsidRPr="0062639B" w:rsidTr="00BD0EDD">
        <w:tc>
          <w:tcPr>
            <w:tcW w:w="9854" w:type="dxa"/>
          </w:tcPr>
          <w:p w:rsidR="0062639B" w:rsidRPr="002644DC" w:rsidRDefault="0062639B" w:rsidP="00B54E0A">
            <w:pPr>
              <w:jc w:val="both"/>
              <w:rPr>
                <w:bCs/>
                <w:szCs w:val="24"/>
              </w:rPr>
            </w:pPr>
            <w:r w:rsidRPr="00D32D79">
              <w:rPr>
                <w:bCs/>
                <w:szCs w:val="24"/>
              </w:rPr>
              <w:t xml:space="preserve">Διάγραμμα </w:t>
            </w:r>
            <w:r>
              <w:rPr>
                <w:bCs/>
                <w:szCs w:val="24"/>
              </w:rPr>
              <w:t>6</w:t>
            </w:r>
            <w:r w:rsidRPr="00D32D79">
              <w:rPr>
                <w:bCs/>
                <w:szCs w:val="24"/>
              </w:rPr>
              <w:t xml:space="preserve">: </w:t>
            </w:r>
            <w:r w:rsidRPr="0062639B">
              <w:rPr>
                <w:bCs/>
                <w:szCs w:val="24"/>
              </w:rPr>
              <w:t>Βραχυχρόνιοι δείκτες οικονομικής συγκυρίας</w:t>
            </w:r>
            <w:r w:rsidR="002644DC">
              <w:rPr>
                <w:bCs/>
                <w:szCs w:val="24"/>
              </w:rPr>
              <w:t>………………………………………</w:t>
            </w:r>
            <w:r w:rsidR="002644DC" w:rsidRPr="002644DC">
              <w:rPr>
                <w:bCs/>
                <w:szCs w:val="24"/>
              </w:rPr>
              <w:t>…</w:t>
            </w:r>
            <w:r w:rsidR="002644DC">
              <w:rPr>
                <w:bCs/>
                <w:szCs w:val="24"/>
              </w:rPr>
              <w:t>……………………………</w:t>
            </w:r>
            <w:r w:rsidR="002644DC" w:rsidRPr="002644DC">
              <w:rPr>
                <w:bCs/>
                <w:szCs w:val="24"/>
              </w:rPr>
              <w:t>..</w:t>
            </w:r>
          </w:p>
        </w:tc>
        <w:tc>
          <w:tcPr>
            <w:tcW w:w="460" w:type="dxa"/>
            <w:vAlign w:val="bottom"/>
          </w:tcPr>
          <w:p w:rsidR="0062639B" w:rsidRPr="001017B6" w:rsidRDefault="00BF48B6" w:rsidP="0062639B">
            <w:pPr>
              <w:jc w:val="both"/>
              <w:rPr>
                <w:bCs/>
                <w:szCs w:val="24"/>
              </w:rPr>
            </w:pPr>
            <w:r>
              <w:rPr>
                <w:bCs/>
                <w:szCs w:val="24"/>
              </w:rPr>
              <w:t>2</w:t>
            </w:r>
            <w:r w:rsidR="00BA5C91">
              <w:rPr>
                <w:bCs/>
                <w:szCs w:val="24"/>
              </w:rPr>
              <w:t>4</w:t>
            </w:r>
          </w:p>
        </w:tc>
      </w:tr>
      <w:tr w:rsidR="0062639B" w:rsidRPr="0062639B" w:rsidTr="00BD0EDD">
        <w:tc>
          <w:tcPr>
            <w:tcW w:w="9854" w:type="dxa"/>
          </w:tcPr>
          <w:p w:rsidR="0062639B" w:rsidRPr="002644DC" w:rsidRDefault="0062639B" w:rsidP="00B54E0A">
            <w:pPr>
              <w:jc w:val="both"/>
              <w:rPr>
                <w:bCs/>
                <w:szCs w:val="24"/>
              </w:rPr>
            </w:pPr>
            <w:r w:rsidRPr="00D32D79">
              <w:rPr>
                <w:bCs/>
                <w:szCs w:val="24"/>
              </w:rPr>
              <w:t xml:space="preserve">Διάγραμμα </w:t>
            </w:r>
            <w:r>
              <w:rPr>
                <w:bCs/>
                <w:szCs w:val="24"/>
              </w:rPr>
              <w:t>7</w:t>
            </w:r>
            <w:r w:rsidRPr="00D32D79">
              <w:rPr>
                <w:bCs/>
                <w:szCs w:val="24"/>
              </w:rPr>
              <w:t xml:space="preserve">: </w:t>
            </w:r>
            <w:r w:rsidRPr="0062639B">
              <w:rPr>
                <w:bCs/>
                <w:szCs w:val="24"/>
              </w:rPr>
              <w:t>Επενδύσεις στην Ελλάδα και την  Ευρωζώνη και ελληνικό επενδυτικό κενό</w:t>
            </w:r>
            <w:r w:rsidR="002644DC">
              <w:rPr>
                <w:bCs/>
                <w:szCs w:val="24"/>
              </w:rPr>
              <w:t>…………………………</w:t>
            </w:r>
          </w:p>
        </w:tc>
        <w:tc>
          <w:tcPr>
            <w:tcW w:w="460" w:type="dxa"/>
            <w:vAlign w:val="bottom"/>
          </w:tcPr>
          <w:p w:rsidR="0062639B" w:rsidRPr="001017B6" w:rsidRDefault="00BF48B6" w:rsidP="0062639B">
            <w:pPr>
              <w:jc w:val="both"/>
              <w:rPr>
                <w:bCs/>
                <w:szCs w:val="24"/>
              </w:rPr>
            </w:pPr>
            <w:r>
              <w:rPr>
                <w:bCs/>
                <w:szCs w:val="24"/>
              </w:rPr>
              <w:t>2</w:t>
            </w:r>
            <w:r w:rsidR="00BA5C91">
              <w:rPr>
                <w:bCs/>
                <w:szCs w:val="24"/>
              </w:rPr>
              <w:t>6</w:t>
            </w:r>
          </w:p>
        </w:tc>
      </w:tr>
      <w:tr w:rsidR="0062639B" w:rsidRPr="001017B6" w:rsidTr="00BD0EDD">
        <w:tc>
          <w:tcPr>
            <w:tcW w:w="9854" w:type="dxa"/>
          </w:tcPr>
          <w:p w:rsidR="0062639B" w:rsidRPr="001E3F0A" w:rsidRDefault="0062639B" w:rsidP="00B54E0A">
            <w:pPr>
              <w:jc w:val="both"/>
              <w:rPr>
                <w:bCs/>
                <w:szCs w:val="24"/>
              </w:rPr>
            </w:pPr>
            <w:r w:rsidRPr="00D32D79">
              <w:rPr>
                <w:bCs/>
                <w:szCs w:val="24"/>
              </w:rPr>
              <w:t xml:space="preserve">Διάγραμμα </w:t>
            </w:r>
            <w:r>
              <w:rPr>
                <w:bCs/>
                <w:szCs w:val="24"/>
              </w:rPr>
              <w:t>8</w:t>
            </w:r>
            <w:r w:rsidRPr="00D32D79">
              <w:rPr>
                <w:bCs/>
                <w:szCs w:val="24"/>
              </w:rPr>
              <w:t xml:space="preserve">: </w:t>
            </w:r>
            <w:r w:rsidRPr="0062639B">
              <w:rPr>
                <w:bCs/>
                <w:szCs w:val="24"/>
              </w:rPr>
              <w:t>Αποτέλεσμα Γενικής Κυβέρνησης κατά ESA, Ενοποιημένοι Τόκοι και Πρωτογενές Αποτέλεσμα</w:t>
            </w:r>
            <w:r w:rsidR="000F3632">
              <w:rPr>
                <w:bCs/>
                <w:szCs w:val="24"/>
              </w:rPr>
              <w:t>……………………………………………………………………………………………………………</w:t>
            </w:r>
            <w:r w:rsidR="001E3F0A">
              <w:rPr>
                <w:bCs/>
                <w:szCs w:val="24"/>
              </w:rPr>
              <w:t>………………………</w:t>
            </w:r>
            <w:r w:rsidR="001E3F0A" w:rsidRPr="001E3F0A">
              <w:rPr>
                <w:bCs/>
                <w:szCs w:val="24"/>
              </w:rPr>
              <w:t>.</w:t>
            </w:r>
            <w:r w:rsidR="000F3632">
              <w:rPr>
                <w:bCs/>
                <w:szCs w:val="24"/>
              </w:rPr>
              <w:t>…</w:t>
            </w:r>
            <w:r w:rsidR="000F3632" w:rsidRPr="000F3632">
              <w:rPr>
                <w:bCs/>
                <w:szCs w:val="24"/>
              </w:rPr>
              <w:t>…</w:t>
            </w:r>
            <w:r w:rsidR="000F3632">
              <w:rPr>
                <w:bCs/>
                <w:szCs w:val="24"/>
              </w:rPr>
              <w:t>………</w:t>
            </w:r>
            <w:r w:rsidR="000F3632" w:rsidRPr="000F3632">
              <w:rPr>
                <w:bCs/>
                <w:szCs w:val="24"/>
              </w:rPr>
              <w:t>..</w:t>
            </w:r>
          </w:p>
        </w:tc>
        <w:tc>
          <w:tcPr>
            <w:tcW w:w="460" w:type="dxa"/>
            <w:vAlign w:val="bottom"/>
          </w:tcPr>
          <w:p w:rsidR="0062639B" w:rsidRPr="001017B6" w:rsidRDefault="00BF48B6" w:rsidP="005B030C">
            <w:pPr>
              <w:jc w:val="right"/>
              <w:rPr>
                <w:bCs/>
                <w:szCs w:val="24"/>
              </w:rPr>
            </w:pPr>
            <w:r>
              <w:rPr>
                <w:bCs/>
                <w:szCs w:val="24"/>
              </w:rPr>
              <w:t>3</w:t>
            </w:r>
            <w:r w:rsidR="00BA5C91">
              <w:rPr>
                <w:bCs/>
                <w:szCs w:val="24"/>
              </w:rPr>
              <w:t>9</w:t>
            </w:r>
          </w:p>
        </w:tc>
      </w:tr>
      <w:tr w:rsidR="0062639B" w:rsidRPr="001017B6" w:rsidTr="00BD0EDD">
        <w:tc>
          <w:tcPr>
            <w:tcW w:w="9854" w:type="dxa"/>
          </w:tcPr>
          <w:p w:rsidR="0062639B" w:rsidRPr="002644DC" w:rsidRDefault="0062639B" w:rsidP="00B54E0A">
            <w:pPr>
              <w:jc w:val="both"/>
              <w:rPr>
                <w:bCs/>
                <w:szCs w:val="24"/>
              </w:rPr>
            </w:pPr>
            <w:r w:rsidRPr="00D32D79">
              <w:rPr>
                <w:bCs/>
                <w:szCs w:val="24"/>
              </w:rPr>
              <w:t xml:space="preserve">Διάγραμμα </w:t>
            </w:r>
            <w:r>
              <w:rPr>
                <w:bCs/>
                <w:szCs w:val="24"/>
              </w:rPr>
              <w:t>9</w:t>
            </w:r>
            <w:r w:rsidRPr="00D32D79">
              <w:rPr>
                <w:bCs/>
                <w:szCs w:val="24"/>
              </w:rPr>
              <w:t xml:space="preserve">: </w:t>
            </w:r>
            <w:r w:rsidRPr="0062639B">
              <w:rPr>
                <w:bCs/>
                <w:szCs w:val="24"/>
              </w:rPr>
              <w:t>Συστατικά στοιχεία ισοζυγίου Γενικής Κυβέρνησης</w:t>
            </w:r>
            <w:r w:rsidR="002644DC">
              <w:rPr>
                <w:bCs/>
                <w:szCs w:val="24"/>
              </w:rPr>
              <w:t>…………………………………………………………………</w:t>
            </w:r>
          </w:p>
        </w:tc>
        <w:tc>
          <w:tcPr>
            <w:tcW w:w="460" w:type="dxa"/>
            <w:vAlign w:val="bottom"/>
          </w:tcPr>
          <w:p w:rsidR="0062639B" w:rsidRPr="001017B6" w:rsidRDefault="00BA5C91" w:rsidP="005B030C">
            <w:pPr>
              <w:jc w:val="right"/>
              <w:rPr>
                <w:bCs/>
                <w:szCs w:val="24"/>
              </w:rPr>
            </w:pPr>
            <w:r>
              <w:rPr>
                <w:bCs/>
                <w:szCs w:val="24"/>
              </w:rPr>
              <w:t>40</w:t>
            </w:r>
          </w:p>
        </w:tc>
      </w:tr>
      <w:tr w:rsidR="0062639B" w:rsidRPr="001017B6" w:rsidTr="00BD0EDD">
        <w:tc>
          <w:tcPr>
            <w:tcW w:w="9854" w:type="dxa"/>
          </w:tcPr>
          <w:p w:rsidR="0062639B" w:rsidRPr="002644DC" w:rsidRDefault="0062639B" w:rsidP="00B54E0A">
            <w:pPr>
              <w:jc w:val="both"/>
              <w:rPr>
                <w:bCs/>
                <w:szCs w:val="24"/>
              </w:rPr>
            </w:pPr>
            <w:r w:rsidRPr="00D32D79">
              <w:rPr>
                <w:bCs/>
                <w:szCs w:val="24"/>
              </w:rPr>
              <w:t xml:space="preserve">Διάγραμμα </w:t>
            </w:r>
            <w:r>
              <w:rPr>
                <w:bCs/>
                <w:szCs w:val="24"/>
              </w:rPr>
              <w:t>10</w:t>
            </w:r>
            <w:r w:rsidRPr="00D32D79">
              <w:rPr>
                <w:bCs/>
                <w:szCs w:val="24"/>
              </w:rPr>
              <w:t xml:space="preserve">: </w:t>
            </w:r>
            <w:r w:rsidRPr="0062639B">
              <w:rPr>
                <w:bCs/>
                <w:szCs w:val="24"/>
              </w:rPr>
              <w:t>Σύνθεση πρωτογενών δα</w:t>
            </w:r>
            <w:r w:rsidR="000D3506">
              <w:rPr>
                <w:bCs/>
                <w:szCs w:val="24"/>
              </w:rPr>
              <w:t>πανών Γενικής Κυβέρνησης (ΜΠΔΣ)</w:t>
            </w:r>
            <w:r w:rsidR="002644DC">
              <w:rPr>
                <w:bCs/>
                <w:szCs w:val="24"/>
              </w:rPr>
              <w:t>……………………………………………</w:t>
            </w:r>
            <w:r w:rsidR="002644DC" w:rsidRPr="002644DC">
              <w:rPr>
                <w:bCs/>
                <w:szCs w:val="24"/>
              </w:rPr>
              <w:t>..</w:t>
            </w:r>
          </w:p>
        </w:tc>
        <w:tc>
          <w:tcPr>
            <w:tcW w:w="460" w:type="dxa"/>
            <w:vAlign w:val="bottom"/>
          </w:tcPr>
          <w:p w:rsidR="0062639B" w:rsidRPr="001017B6" w:rsidRDefault="00BF48B6" w:rsidP="005B030C">
            <w:pPr>
              <w:jc w:val="right"/>
              <w:rPr>
                <w:bCs/>
                <w:szCs w:val="24"/>
              </w:rPr>
            </w:pPr>
            <w:r>
              <w:rPr>
                <w:bCs/>
                <w:szCs w:val="24"/>
              </w:rPr>
              <w:t>6</w:t>
            </w:r>
            <w:r w:rsidR="00BA5C91">
              <w:rPr>
                <w:bCs/>
                <w:szCs w:val="24"/>
              </w:rPr>
              <w:t>1</w:t>
            </w:r>
          </w:p>
        </w:tc>
      </w:tr>
    </w:tbl>
    <w:p w:rsidR="00BE7213" w:rsidRPr="0062639B" w:rsidRDefault="00BE7213" w:rsidP="00E255C0">
      <w:pPr>
        <w:spacing w:line="360" w:lineRule="auto"/>
        <w:jc w:val="both"/>
        <w:rPr>
          <w:b/>
          <w:bCs/>
          <w:color w:val="1F497D" w:themeColor="text2"/>
          <w:szCs w:val="24"/>
        </w:rPr>
      </w:pPr>
    </w:p>
    <w:p w:rsidR="00873CB0" w:rsidRPr="0062639B" w:rsidRDefault="00873CB0">
      <w:pPr>
        <w:rPr>
          <w:bCs/>
          <w:color w:val="1F497D" w:themeColor="text2"/>
          <w:sz w:val="24"/>
          <w:szCs w:val="24"/>
        </w:rPr>
      </w:pPr>
      <w:r w:rsidRPr="0062639B">
        <w:rPr>
          <w:bCs/>
          <w:color w:val="1F497D" w:themeColor="text2"/>
          <w:sz w:val="24"/>
          <w:szCs w:val="24"/>
        </w:rPr>
        <w:br w:type="page"/>
      </w:r>
    </w:p>
    <w:p w:rsidR="00AA1BAD" w:rsidRPr="00750F47" w:rsidRDefault="00AA1BAD" w:rsidP="00750F47">
      <w:pPr>
        <w:pStyle w:val="1"/>
        <w:spacing w:before="0" w:after="200"/>
        <w:jc w:val="both"/>
        <w:rPr>
          <w:rFonts w:asciiTheme="minorHAnsi" w:hAnsiTheme="minorHAnsi"/>
          <w:bCs w:val="0"/>
          <w:sz w:val="24"/>
          <w:szCs w:val="24"/>
        </w:rPr>
      </w:pPr>
      <w:bookmarkStart w:id="0" w:name="_Toc74930181"/>
      <w:r w:rsidRPr="00750F47">
        <w:rPr>
          <w:rFonts w:asciiTheme="minorHAnsi" w:hAnsiTheme="minorHAnsi"/>
          <w:bCs w:val="0"/>
          <w:sz w:val="24"/>
          <w:szCs w:val="24"/>
        </w:rPr>
        <w:lastRenderedPageBreak/>
        <w:t>Δήλωση Συμμόρφωσης και Αναφορά περί Υιοθέτησης Προβλέψεων (ΜΠΔΣ)</w:t>
      </w:r>
      <w:bookmarkEnd w:id="0"/>
      <w:r w:rsidRPr="00750F47">
        <w:rPr>
          <w:rFonts w:asciiTheme="minorHAnsi" w:hAnsiTheme="minorHAnsi"/>
          <w:bCs w:val="0"/>
          <w:sz w:val="24"/>
          <w:szCs w:val="24"/>
        </w:rPr>
        <w:t xml:space="preserve"> </w:t>
      </w:r>
    </w:p>
    <w:p w:rsidR="007C2467" w:rsidRDefault="007C2467" w:rsidP="007C2467">
      <w:pPr>
        <w:pStyle w:val="a4"/>
        <w:ind w:left="284"/>
        <w:jc w:val="both"/>
      </w:pPr>
    </w:p>
    <w:p w:rsidR="004B4F67" w:rsidRPr="00386F59" w:rsidRDefault="004B4F67" w:rsidP="00386F59">
      <w:pPr>
        <w:pStyle w:val="a4"/>
        <w:numPr>
          <w:ilvl w:val="0"/>
          <w:numId w:val="50"/>
        </w:numPr>
        <w:jc w:val="both"/>
      </w:pPr>
      <w:r w:rsidRPr="00AD59F7">
        <w:t>Οι στόχοι και τα ανώτατα όρια του Μεσοπρόθεσμου Πλαισίου Δημοσιονομικής Στρατηγικής, καθώς και οι προβλέψεις και εκτιμήσεις των δημοσιονομικών δεικτών της Επεξηγηματικής του Έκθεσης, είναι σύμφωνα με τους δημοσιονομικούς κανόνες και τις</w:t>
      </w:r>
      <w:r w:rsidRPr="00386F59">
        <w:rPr>
          <w:color w:val="000000"/>
        </w:rPr>
        <w:t xml:space="preserve"> </w:t>
      </w:r>
      <w:r w:rsidRPr="00AD59F7">
        <w:t>γενικές αρχές για τη διαχείριση των οικονομικών του Δημοσίου, που περιγράφονται στο ν.4270/2014 όπως ισχύει.</w:t>
      </w:r>
    </w:p>
    <w:p w:rsidR="00386F59" w:rsidRPr="00386F59" w:rsidRDefault="00386F59" w:rsidP="00386F59">
      <w:pPr>
        <w:pStyle w:val="a4"/>
        <w:ind w:left="1080"/>
        <w:jc w:val="both"/>
      </w:pPr>
    </w:p>
    <w:p w:rsidR="00873CB0" w:rsidRPr="00386F59" w:rsidRDefault="00873CB0" w:rsidP="00386F59">
      <w:pPr>
        <w:pStyle w:val="a4"/>
        <w:numPr>
          <w:ilvl w:val="0"/>
          <w:numId w:val="50"/>
        </w:numPr>
        <w:jc w:val="both"/>
        <w:rPr>
          <w:bCs/>
          <w:szCs w:val="24"/>
        </w:rPr>
      </w:pPr>
      <w:r w:rsidRPr="00386F59">
        <w:rPr>
          <w:bCs/>
          <w:szCs w:val="24"/>
        </w:rPr>
        <w:t xml:space="preserve">Οι </w:t>
      </w:r>
      <w:r w:rsidRPr="00577965">
        <w:rPr>
          <w:bCs/>
          <w:szCs w:val="24"/>
        </w:rPr>
        <w:t xml:space="preserve">μακροοικονομικές </w:t>
      </w:r>
      <w:r w:rsidR="00803B87" w:rsidRPr="00577965">
        <w:rPr>
          <w:bCs/>
          <w:szCs w:val="24"/>
        </w:rPr>
        <w:t>και οι δημοσιονομικές</w:t>
      </w:r>
      <w:r w:rsidR="00803B87" w:rsidRPr="00386F59">
        <w:rPr>
          <w:bCs/>
          <w:szCs w:val="24"/>
        </w:rPr>
        <w:t xml:space="preserve"> </w:t>
      </w:r>
      <w:r w:rsidRPr="00386F59">
        <w:rPr>
          <w:bCs/>
          <w:szCs w:val="24"/>
        </w:rPr>
        <w:t xml:space="preserve">προβλέψεις, πάνω στις οποίες βασίζεται το Μεσοπρόθεσμο Πλαίσιο Δημοσιονομικής Στρατηγικής, έχουν υιοθετηθεί από το Ελληνικό Δημοσιονομικό Συμβούλιο. </w:t>
      </w:r>
    </w:p>
    <w:p w:rsidR="007262C5" w:rsidRDefault="007262C5" w:rsidP="00386F59">
      <w:pPr>
        <w:jc w:val="both"/>
        <w:rPr>
          <w:szCs w:val="24"/>
        </w:rPr>
      </w:pPr>
    </w:p>
    <w:p w:rsidR="00C3295B" w:rsidRPr="00750F47" w:rsidRDefault="0045169F" w:rsidP="00750F47">
      <w:pPr>
        <w:pStyle w:val="1"/>
        <w:spacing w:before="0" w:after="200"/>
        <w:jc w:val="both"/>
        <w:rPr>
          <w:rFonts w:asciiTheme="minorHAnsi" w:hAnsiTheme="minorHAnsi"/>
          <w:bCs w:val="0"/>
          <w:sz w:val="24"/>
          <w:szCs w:val="24"/>
        </w:rPr>
      </w:pPr>
      <w:bookmarkStart w:id="1" w:name="_Toc74930182"/>
      <w:r w:rsidRPr="00750F47">
        <w:rPr>
          <w:rFonts w:asciiTheme="minorHAnsi" w:hAnsiTheme="minorHAnsi"/>
          <w:bCs w:val="0"/>
          <w:sz w:val="24"/>
          <w:szCs w:val="24"/>
        </w:rPr>
        <w:t>Εισαγωγή</w:t>
      </w:r>
      <w:bookmarkEnd w:id="1"/>
    </w:p>
    <w:p w:rsidR="0045169F" w:rsidRPr="001017B6" w:rsidRDefault="0045169F" w:rsidP="005B030C">
      <w:pPr>
        <w:jc w:val="both"/>
        <w:rPr>
          <w:szCs w:val="24"/>
        </w:rPr>
      </w:pPr>
    </w:p>
    <w:p w:rsidR="0042414D" w:rsidRPr="007D3CF6" w:rsidRDefault="0042414D" w:rsidP="0042414D">
      <w:pPr>
        <w:jc w:val="both"/>
        <w:rPr>
          <w:szCs w:val="24"/>
        </w:rPr>
      </w:pPr>
      <w:r w:rsidRPr="001017B6">
        <w:rPr>
          <w:szCs w:val="24"/>
        </w:rPr>
        <w:t xml:space="preserve">Το </w:t>
      </w:r>
      <w:r w:rsidRPr="0005064B">
        <w:rPr>
          <w:szCs w:val="24"/>
        </w:rPr>
        <w:t xml:space="preserve">Μεσοπρόθεσμο Πλαίσιο Δημοσιονομικής Στρατηγικής </w:t>
      </w:r>
      <w:r w:rsidRPr="00930F57">
        <w:rPr>
          <w:szCs w:val="24"/>
        </w:rPr>
        <w:t>(</w:t>
      </w:r>
      <w:r w:rsidRPr="001017B6">
        <w:rPr>
          <w:szCs w:val="24"/>
        </w:rPr>
        <w:t>ΜΠΔΣ</w:t>
      </w:r>
      <w:r w:rsidRPr="00930F57">
        <w:rPr>
          <w:szCs w:val="24"/>
        </w:rPr>
        <w:t>)</w:t>
      </w:r>
      <w:r w:rsidRPr="001017B6">
        <w:rPr>
          <w:szCs w:val="24"/>
        </w:rPr>
        <w:t xml:space="preserve"> 2022-2025 καταρτίζεται υπό το καθεστώς αυξημένης αβεβαιότητας που συνεπάγεται η πανδημία και η πορεία των εκστρατειών εμβολιασμού</w:t>
      </w:r>
      <w:r>
        <w:rPr>
          <w:szCs w:val="24"/>
        </w:rPr>
        <w:t xml:space="preserve"> διεθνώς</w:t>
      </w:r>
      <w:r w:rsidRPr="001017B6">
        <w:rPr>
          <w:szCs w:val="24"/>
        </w:rPr>
        <w:t>, αλλά και των επιπτώσεων</w:t>
      </w:r>
      <w:r>
        <w:rPr>
          <w:szCs w:val="24"/>
        </w:rPr>
        <w:t xml:space="preserve"> τους</w:t>
      </w:r>
      <w:r w:rsidRPr="001017B6">
        <w:rPr>
          <w:szCs w:val="24"/>
        </w:rPr>
        <w:t xml:space="preserve"> στην ελληνική οικονομία.</w:t>
      </w:r>
      <w:r>
        <w:rPr>
          <w:szCs w:val="24"/>
        </w:rPr>
        <w:t xml:space="preserve"> </w:t>
      </w:r>
      <w:r w:rsidRPr="001017B6">
        <w:rPr>
          <w:szCs w:val="24"/>
        </w:rPr>
        <w:t xml:space="preserve">Η εγγενής αυτή αβεβαιότητα και οι οικονομικές και δημοσιονομικές συνέπειες </w:t>
      </w:r>
      <w:r>
        <w:rPr>
          <w:szCs w:val="24"/>
        </w:rPr>
        <w:t xml:space="preserve">των μέτρων περιορισμού </w:t>
      </w:r>
      <w:r w:rsidRPr="001017B6">
        <w:rPr>
          <w:szCs w:val="24"/>
        </w:rPr>
        <w:t xml:space="preserve">της </w:t>
      </w:r>
      <w:r>
        <w:rPr>
          <w:szCs w:val="24"/>
        </w:rPr>
        <w:t>πανδημίας</w:t>
      </w:r>
      <w:r w:rsidRPr="001017B6">
        <w:rPr>
          <w:szCs w:val="24"/>
        </w:rPr>
        <w:t xml:space="preserve">, οδήγησαν τα ευρωπαϊκά θεσμικά όργανα στην απόφαση να ισχύσει, για πρώτη φορά από το 2011 που θεσπίστηκε, στα δημοσιονομικά των χωρών μελών της ευρωζώνης, η γενική ρήτρα διαφυγής. Αρχικά η απόφαση αυτή αφορούσε τα έτη 2020 και 2021 και </w:t>
      </w:r>
      <w:r>
        <w:rPr>
          <w:szCs w:val="24"/>
        </w:rPr>
        <w:t xml:space="preserve">πρόσφατα </w:t>
      </w:r>
      <w:r w:rsidRPr="001017B6">
        <w:rPr>
          <w:szCs w:val="24"/>
        </w:rPr>
        <w:t xml:space="preserve">αποφασίστηκε να ισχύσει και για το 2022. Απόφαση που έχει ως στόχο να προφυλαχθεί, στο μέγιστο δυνατό βαθμό, από τις επιπτώσεις της πανδημίας ο παραγωγικός και κοινωνικός ιστός και να μην παρεμποδιστεί η σημαντική ανάκαμψη που, σε κάθε περίπτωση, προβλέπεται για το επόμενο έτος. </w:t>
      </w:r>
    </w:p>
    <w:p w:rsidR="0042414D" w:rsidRPr="001017B6" w:rsidRDefault="0042414D" w:rsidP="0042414D">
      <w:pPr>
        <w:jc w:val="both"/>
        <w:rPr>
          <w:szCs w:val="24"/>
        </w:rPr>
      </w:pPr>
      <w:r w:rsidRPr="001017B6">
        <w:rPr>
          <w:szCs w:val="24"/>
        </w:rPr>
        <w:t xml:space="preserve">Στο πλαίσιο της γενικής ρήτρας διαφυγής, αποκτά ακόμα μεγαλύτερη σημασία η εμπιστοσύνη που απολαμβάνει η χώρα τόσο στις αγορές όσο και μεταξύ των εταίρων και πιστωτών της. Αυτή αντανακλάται στα επιτόκια των ελληνικών ομολόγων, που βρίσκονται σήμερα σε ιστορικά χαμηλά. Η συνεπής εκδοτική δραστηριότητα του Ελληνικού Δημοσίου κατά την τελευταία τριετία, οδήγησε σταδιακά στη συμπλήρωση της καμπύλης αποδόσεων τίτλων του Ε.Δ. σε  όλο το φάσμα της και στην πλήρη χρονική επέκταση της φυσικής διάρκειάς της, παρέχοντας ταυτόχρονα όγκο και ρευστότητα στο σύνολο των εκδόσεων.  </w:t>
      </w:r>
    </w:p>
    <w:p w:rsidR="0042414D" w:rsidRDefault="0042414D" w:rsidP="0042414D">
      <w:pPr>
        <w:jc w:val="both"/>
        <w:rPr>
          <w:szCs w:val="24"/>
        </w:rPr>
      </w:pPr>
      <w:r>
        <w:rPr>
          <w:szCs w:val="24"/>
        </w:rPr>
        <w:t xml:space="preserve">Στα πλαίσια της ευελιξίας που προσφέρει η γενική ρήτρα διαφυγής σε συνδυασμό με την ρευστότητα που αντλήθηκε από την επιτυχή εκδοτική δραστηριότητα και την αξιοποίηση Ευρωπαϊκών μέσων στήριξης, η κυβέρνηση σχεδίασε και υλοποιεί </w:t>
      </w:r>
      <w:r w:rsidRPr="00294C1B">
        <w:rPr>
          <w:szCs w:val="24"/>
        </w:rPr>
        <w:t>ένα</w:t>
      </w:r>
      <w:r>
        <w:rPr>
          <w:szCs w:val="24"/>
        </w:rPr>
        <w:t xml:space="preserve"> ευρύ πλέγμα παρεμβάσεων στήριξης των κοινωνικών ομάδων που επλήγησαν από την πανδημία, οι οποίες αγγίζουν τα 41 δισ. ευρώ την περίοδο 2020-2022.</w:t>
      </w:r>
    </w:p>
    <w:p w:rsidR="0042414D" w:rsidRPr="001017B6" w:rsidRDefault="0042414D" w:rsidP="0042414D">
      <w:pPr>
        <w:jc w:val="both"/>
        <w:rPr>
          <w:szCs w:val="24"/>
        </w:rPr>
      </w:pPr>
      <w:r>
        <w:rPr>
          <w:szCs w:val="24"/>
        </w:rPr>
        <w:t>Εκκινώντας από την θετική επίδραση των ανωτέρω παρεμβάσεων στήριξης και συνεχίζοντας με την πλήρη εφαρμογή του Εθνικού</w:t>
      </w:r>
      <w:r w:rsidRPr="007D3CF6">
        <w:rPr>
          <w:szCs w:val="24"/>
        </w:rPr>
        <w:t xml:space="preserve"> Σχ</w:t>
      </w:r>
      <w:r>
        <w:rPr>
          <w:szCs w:val="24"/>
        </w:rPr>
        <w:t>εδίου</w:t>
      </w:r>
      <w:r w:rsidRPr="007D3CF6">
        <w:rPr>
          <w:szCs w:val="24"/>
        </w:rPr>
        <w:t xml:space="preserve"> Ανάκαμψης και Ανθεκτικότητας</w:t>
      </w:r>
      <w:r>
        <w:rPr>
          <w:szCs w:val="24"/>
        </w:rPr>
        <w:t>, η</w:t>
      </w:r>
      <w:r w:rsidRPr="001017B6">
        <w:rPr>
          <w:szCs w:val="24"/>
        </w:rPr>
        <w:t xml:space="preserve"> ανάπτυξη το τρέχον έτος εκτιμάται στο 3,6%, ενώ για το 2022 προβλέπεται ρυθμός οικονομικής μεγέθυνσης της τάξης του 6,2% και για την υπόλοιπη περίοδο του ΜΠΔΣ αναμένεται κατά μέσο όρο </w:t>
      </w:r>
      <w:r>
        <w:rPr>
          <w:szCs w:val="24"/>
        </w:rPr>
        <w:t>ανάπτυξη της τάξης του</w:t>
      </w:r>
      <w:r w:rsidRPr="001017B6">
        <w:rPr>
          <w:szCs w:val="24"/>
        </w:rPr>
        <w:t xml:space="preserve"> 4%. </w:t>
      </w:r>
      <w:r>
        <w:rPr>
          <w:szCs w:val="24"/>
        </w:rPr>
        <w:t xml:space="preserve">Η ανάπτυξη φέτος είναι πιθανόν να είναι μεγαλύτερη αν επιβεβαιωθούν και στους επόμενους μήνες οι πολύ θετικές εξελίξεις που κατέγραψε για το ΑΕΠ η ΕΛΣΤΑΤ για το πρώτο τρίμηνο του 2021. </w:t>
      </w:r>
      <w:r w:rsidRPr="001017B6">
        <w:rPr>
          <w:szCs w:val="24"/>
        </w:rPr>
        <w:t xml:space="preserve">Στο σύνολο της περιόδου 2022-2025, τα τρία τέταρτα της ανάπτυξης αναμένεται να προέλθουν </w:t>
      </w:r>
      <w:proofErr w:type="spellStart"/>
      <w:r w:rsidRPr="001017B6">
        <w:rPr>
          <w:szCs w:val="24"/>
        </w:rPr>
        <w:t>μεσοσταθμικά</w:t>
      </w:r>
      <w:proofErr w:type="spellEnd"/>
      <w:r w:rsidRPr="001017B6">
        <w:rPr>
          <w:szCs w:val="24"/>
        </w:rPr>
        <w:t xml:space="preserve"> από τις συνιστώσες της εγχώριας ζήτησης, με τον εξωτερικό τομέα να συνεισφέρει κατά το υπόλοιπο ένα τέταρτο. Κινητήρια δύναμη της εγχώριας ζήτησης αναμένεται να αποτελέσουν οι επενδύσεις, φτάνοντας τη συμμετοχή τους στο ΑΕΠ στο 16,7% το 2025, από 11,1% το 2020.</w:t>
      </w:r>
    </w:p>
    <w:p w:rsidR="0042414D" w:rsidRPr="001017B6" w:rsidRDefault="0042414D" w:rsidP="0042414D">
      <w:pPr>
        <w:jc w:val="both"/>
        <w:rPr>
          <w:szCs w:val="24"/>
        </w:rPr>
      </w:pPr>
      <w:r w:rsidRPr="001017B6">
        <w:rPr>
          <w:szCs w:val="24"/>
        </w:rPr>
        <w:lastRenderedPageBreak/>
        <w:t xml:space="preserve">Καθοριστική συμβολή στην εξέλιξη αυτή θα έχει το Εθνικό Σχέδιο Ανάκαμψης και Ανθεκτικότητας </w:t>
      </w:r>
      <w:r>
        <w:rPr>
          <w:szCs w:val="24"/>
        </w:rPr>
        <w:t>«</w:t>
      </w:r>
      <w:r w:rsidRPr="001017B6">
        <w:rPr>
          <w:szCs w:val="24"/>
        </w:rPr>
        <w:t>Ελλάδα 2.0</w:t>
      </w:r>
      <w:r>
        <w:rPr>
          <w:szCs w:val="24"/>
        </w:rPr>
        <w:t>»</w:t>
      </w:r>
      <w:r w:rsidRPr="001017B6">
        <w:rPr>
          <w:szCs w:val="24"/>
        </w:rPr>
        <w:t xml:space="preserve">. Το Σχέδιο αυτό περιλαμβάνει σειρά φιλόδοξων μεταρρυθμίσεων και επενδύσεων που θα οδηγήσουν σε ένα πιο εξωστρεφές, ανταγωνιστικό, </w:t>
      </w:r>
      <w:r>
        <w:rPr>
          <w:szCs w:val="24"/>
        </w:rPr>
        <w:t>φιλικό στο περιβάλλον</w:t>
      </w:r>
      <w:r w:rsidRPr="001017B6">
        <w:rPr>
          <w:szCs w:val="24"/>
        </w:rPr>
        <w:t xml:space="preserve"> οικονομικό μοντέλο, με ένα φορολογικό σύστημα </w:t>
      </w:r>
      <w:r>
        <w:rPr>
          <w:szCs w:val="24"/>
        </w:rPr>
        <w:t xml:space="preserve">που στοχεύει στην ανάπτυξη και ένα αποτελεσματικό </w:t>
      </w:r>
      <w:r w:rsidRPr="00750F47">
        <w:rPr>
          <w:szCs w:val="24"/>
        </w:rPr>
        <w:t>δίχτυ</w:t>
      </w:r>
      <w:r w:rsidRPr="001017B6">
        <w:rPr>
          <w:szCs w:val="24"/>
        </w:rPr>
        <w:t xml:space="preserve"> κοινωνικής προστασίας. Πρόκειται για </w:t>
      </w:r>
      <w:r>
        <w:rPr>
          <w:szCs w:val="24"/>
        </w:rPr>
        <w:t xml:space="preserve">ένα πλέγμα μεταρρυθμίσεων </w:t>
      </w:r>
      <w:r w:rsidRPr="001017B6">
        <w:rPr>
          <w:szCs w:val="24"/>
        </w:rPr>
        <w:t xml:space="preserve">που συνδυάζει οικονομική αποτελεσματικότητα με κοινωνική συνοχή και δικαιοσύνη. </w:t>
      </w:r>
    </w:p>
    <w:p w:rsidR="0042414D" w:rsidRPr="001017B6" w:rsidRDefault="0042414D" w:rsidP="0042414D">
      <w:pPr>
        <w:jc w:val="both"/>
        <w:rPr>
          <w:szCs w:val="24"/>
        </w:rPr>
      </w:pPr>
      <w:r w:rsidRPr="001017B6">
        <w:rPr>
          <w:szCs w:val="24"/>
        </w:rPr>
        <w:t>Οι συνολικοί πόροι του Σχεδίου ανέρχονται σε 30,5 δι</w:t>
      </w:r>
      <w:r>
        <w:rPr>
          <w:szCs w:val="24"/>
        </w:rPr>
        <w:t>σ. ευρώ έως</w:t>
      </w:r>
      <w:r w:rsidRPr="001017B6">
        <w:rPr>
          <w:szCs w:val="24"/>
        </w:rPr>
        <w:t xml:space="preserve"> το 2026, εκ των οποίων 17,8 δι</w:t>
      </w:r>
      <w:r>
        <w:rPr>
          <w:szCs w:val="24"/>
        </w:rPr>
        <w:t>σ. ευρώ</w:t>
      </w:r>
      <w:r w:rsidRPr="001017B6">
        <w:rPr>
          <w:szCs w:val="24"/>
        </w:rPr>
        <w:t xml:space="preserve"> είναι επιχορηγήσεις και 12,7 δι</w:t>
      </w:r>
      <w:r>
        <w:rPr>
          <w:szCs w:val="24"/>
        </w:rPr>
        <w:t>σ. ευρώ</w:t>
      </w:r>
      <w:r w:rsidRPr="001017B6">
        <w:rPr>
          <w:szCs w:val="24"/>
        </w:rPr>
        <w:t xml:space="preserve"> δάνεια. Είναι μια </w:t>
      </w:r>
      <w:r>
        <w:rPr>
          <w:szCs w:val="24"/>
        </w:rPr>
        <w:t>μοναδική</w:t>
      </w:r>
      <w:r w:rsidRPr="001017B6">
        <w:rPr>
          <w:szCs w:val="24"/>
        </w:rPr>
        <w:t xml:space="preserve"> ευκαιρία για την επιτάχυνση της οικονομικής ανάκαμψης της χώρας με στόχο οι συνολικοί επενδυτικοί πόροι που θα ενεργοποιηθούν να ανέλθουν</w:t>
      </w:r>
      <w:r>
        <w:rPr>
          <w:szCs w:val="24"/>
        </w:rPr>
        <w:t xml:space="preserve"> σε</w:t>
      </w:r>
      <w:r w:rsidRPr="001017B6">
        <w:rPr>
          <w:szCs w:val="24"/>
        </w:rPr>
        <w:t xml:space="preserve"> περίπου</w:t>
      </w:r>
      <w:r>
        <w:rPr>
          <w:szCs w:val="24"/>
        </w:rPr>
        <w:t xml:space="preserve"> 59 </w:t>
      </w:r>
      <w:r w:rsidRPr="001017B6">
        <w:rPr>
          <w:szCs w:val="24"/>
        </w:rPr>
        <w:t>δι</w:t>
      </w:r>
      <w:r>
        <w:rPr>
          <w:szCs w:val="24"/>
        </w:rPr>
        <w:t>σ. ευρώ</w:t>
      </w:r>
      <w:r w:rsidRPr="001017B6">
        <w:rPr>
          <w:szCs w:val="24"/>
        </w:rPr>
        <w:t>, δηλ. διπλάσιοι από το μέγεθος του ίδιου του Ταμείου Ανάκαμψης</w:t>
      </w:r>
      <w:r>
        <w:rPr>
          <w:szCs w:val="24"/>
        </w:rPr>
        <w:t xml:space="preserve"> και Ανθεκτικότητας</w:t>
      </w:r>
      <w:r w:rsidRPr="001017B6">
        <w:rPr>
          <w:szCs w:val="24"/>
        </w:rPr>
        <w:t>. Η ανάπτυξη θα εστιάσει σε τέσσερις πυλώνες: την πράσινη μετάβαση, τον ψηφιακό μετασχηματισμό, την απασχόληση - δεξιότητες - κοινωνική συνοχή και τις ιδιωτικές επενδύσεις.</w:t>
      </w:r>
    </w:p>
    <w:p w:rsidR="0042414D" w:rsidRPr="001017B6" w:rsidRDefault="0042414D" w:rsidP="0042414D">
      <w:pPr>
        <w:jc w:val="both"/>
        <w:rPr>
          <w:szCs w:val="24"/>
        </w:rPr>
      </w:pPr>
      <w:r w:rsidRPr="001017B6">
        <w:rPr>
          <w:szCs w:val="24"/>
        </w:rPr>
        <w:t xml:space="preserve">Δημοσιονομικά για φέτος εκτιμάται ότι το πρωτογενές αποτέλεσμα της γενικής κυβέρνησης θα διαμορφωθεί σε έλλειμμα 7,1% του ΑΕΠ, </w:t>
      </w:r>
      <w:r>
        <w:rPr>
          <w:szCs w:val="24"/>
        </w:rPr>
        <w:t xml:space="preserve">το 2022 σε έλλειμμα 0,5% του ΑΕΠ, </w:t>
      </w:r>
      <w:r w:rsidRPr="001017B6">
        <w:rPr>
          <w:szCs w:val="24"/>
        </w:rPr>
        <w:t>ενώ από το 2023 θα επανέλθουμε σε πρωτογενή πλεονάσματα σταδιακά αυξανόμενα.</w:t>
      </w:r>
    </w:p>
    <w:p w:rsidR="0042414D" w:rsidRPr="006040DB" w:rsidRDefault="0042414D" w:rsidP="0042414D">
      <w:pPr>
        <w:jc w:val="both"/>
        <w:rPr>
          <w:szCs w:val="24"/>
        </w:rPr>
      </w:pPr>
      <w:r>
        <w:rPr>
          <w:szCs w:val="24"/>
        </w:rPr>
        <w:t xml:space="preserve">Είναι σημαντικό να αναφερθεί </w:t>
      </w:r>
      <w:r w:rsidRPr="006518B6">
        <w:rPr>
          <w:szCs w:val="24"/>
        </w:rPr>
        <w:t xml:space="preserve">ότι κατόπιν της ενεργοποίησης της γενικής ρήτρας διαφυγής του Συμφώνου Σταθερότητας και Ανάπτυξης, </w:t>
      </w:r>
      <w:r>
        <w:rPr>
          <w:szCs w:val="24"/>
        </w:rPr>
        <w:t xml:space="preserve">το παρόν ΜΠΔΣ καταρτίζεται με βάση τις πολιτικές που έχουν ήδη θεσμοθετηθεί και ανακοινωθεί οι οποίες έχουν ενσωματωθεί στο σενάριο βάσης και </w:t>
      </w:r>
      <w:r w:rsidRPr="006518B6">
        <w:rPr>
          <w:szCs w:val="24"/>
        </w:rPr>
        <w:t xml:space="preserve">δεν παρουσιάζονται εν προκειμένω </w:t>
      </w:r>
      <w:r>
        <w:rPr>
          <w:szCs w:val="24"/>
        </w:rPr>
        <w:t>εναλλακτικά σενάρια</w:t>
      </w:r>
      <w:r w:rsidRPr="006518B6">
        <w:rPr>
          <w:szCs w:val="24"/>
        </w:rPr>
        <w:t xml:space="preserve"> που οδηγούν σε σημαντικές δημοσιονομικές αποκλ</w:t>
      </w:r>
      <w:r>
        <w:rPr>
          <w:szCs w:val="24"/>
        </w:rPr>
        <w:t>ίσεις σε μεσοπρόθεσμο ορίζοντα</w:t>
      </w:r>
      <w:r w:rsidRPr="001017B6">
        <w:rPr>
          <w:szCs w:val="24"/>
        </w:rPr>
        <w:t>.</w:t>
      </w:r>
      <w:r>
        <w:rPr>
          <w:szCs w:val="24"/>
        </w:rPr>
        <w:t xml:space="preserve"> Συνεπώς</w:t>
      </w:r>
      <w:r w:rsidRPr="006040DB">
        <w:rPr>
          <w:szCs w:val="24"/>
        </w:rPr>
        <w:t>,</w:t>
      </w:r>
      <w:r>
        <w:rPr>
          <w:szCs w:val="24"/>
        </w:rPr>
        <w:t xml:space="preserve"> τα πρωτογενή πλεονάσματα που απεικονίζονται κυρίως προς τα τελευταία έτη του Προγράμματος αποτελούν το βασικό σενάριο χωρίς τη λήψη άλλων μέτρων πολιτικής, που σε κάθε περίπτωση θα προσαρμοστούν στους στόχους σε μεσοπρόθεσμο ορίζοντα που θα τεθούν στη βάση του Συμφώνου Σταθερότητας και Ανάπτυξης, απαλείφοντας τυχόν υπερβάσεις αυτών. Με δεδομένο συνεπώς ότι το σενάριο βάσης απεικονίζει αποκλειστικά τις ήδη θεσμοθετημένες κυβερνητικές αποφάσεις, δεν αντανακλά τις κυβερνητικές πολιτικές που θα νομοθετηθούν στο μέλλον στη βάση του διαθέσιμου δημοσιονομικού χώρου που κατά περίπτωση προκύπτει από τον συνδυασμό του ΜΠΔΣ και των νέων στόχων πρωτογενών πλεονασμάτων, που θα γίνουν γνωστοί σε μεταγενέστερο χρόνο όταν ολοκληρωθούν οι σχετικές συζητήσεις για τους νέους δημοσιονομικούς κανόνες που θα ισχύσουν στην ευρωζώνη από το 2023 και εντεύθεν.</w:t>
      </w:r>
    </w:p>
    <w:p w:rsidR="006040DB" w:rsidRPr="006040DB" w:rsidRDefault="006040DB" w:rsidP="005B030C">
      <w:pPr>
        <w:jc w:val="both"/>
        <w:rPr>
          <w:szCs w:val="24"/>
        </w:rPr>
        <w:sectPr w:rsidR="006040DB" w:rsidRPr="006040DB" w:rsidSect="007D1706">
          <w:footerReference w:type="default" r:id="rId9"/>
          <w:footerReference w:type="first" r:id="rId10"/>
          <w:pgSz w:w="11906" w:h="16838"/>
          <w:pgMar w:top="1134" w:right="851" w:bottom="1134" w:left="851" w:header="706" w:footer="706" w:gutter="0"/>
          <w:cols w:space="708"/>
          <w:docGrid w:linePitch="360"/>
        </w:sectPr>
      </w:pPr>
      <w:r w:rsidRPr="006040DB">
        <w:rPr>
          <w:szCs w:val="24"/>
        </w:rPr>
        <w:tab/>
      </w:r>
      <w:r w:rsidRPr="006040DB">
        <w:rPr>
          <w:szCs w:val="24"/>
        </w:rPr>
        <w:tab/>
      </w:r>
      <w:r w:rsidRPr="006040DB">
        <w:rPr>
          <w:szCs w:val="24"/>
        </w:rPr>
        <w:tab/>
      </w:r>
    </w:p>
    <w:p w:rsidR="00934473" w:rsidRPr="009C2F3F" w:rsidRDefault="00397804" w:rsidP="006B589B">
      <w:pPr>
        <w:pStyle w:val="1"/>
        <w:spacing w:before="0" w:after="200"/>
        <w:jc w:val="both"/>
        <w:rPr>
          <w:rFonts w:asciiTheme="minorHAnsi" w:hAnsiTheme="minorHAnsi"/>
          <w:sz w:val="24"/>
          <w:szCs w:val="24"/>
        </w:rPr>
      </w:pPr>
      <w:bookmarkStart w:id="2" w:name="_Toc74930183"/>
      <w:r w:rsidRPr="009C2F3F">
        <w:rPr>
          <w:rFonts w:asciiTheme="minorHAnsi" w:hAnsiTheme="minorHAnsi"/>
          <w:bCs w:val="0"/>
          <w:sz w:val="24"/>
          <w:szCs w:val="24"/>
        </w:rPr>
        <w:lastRenderedPageBreak/>
        <w:t>1.</w:t>
      </w:r>
      <w:r w:rsidRPr="009C2F3F">
        <w:rPr>
          <w:rFonts w:asciiTheme="minorHAnsi" w:hAnsiTheme="minorHAnsi"/>
          <w:sz w:val="24"/>
          <w:szCs w:val="24"/>
        </w:rPr>
        <w:t xml:space="preserve"> </w:t>
      </w:r>
      <w:r w:rsidR="00C3295B" w:rsidRPr="009C2F3F">
        <w:rPr>
          <w:rFonts w:asciiTheme="minorHAnsi" w:hAnsiTheme="minorHAnsi"/>
          <w:sz w:val="24"/>
          <w:szCs w:val="24"/>
        </w:rPr>
        <w:t>Οικονομικές εξελίξεις</w:t>
      </w:r>
      <w:bookmarkEnd w:id="2"/>
    </w:p>
    <w:p w:rsidR="00C3295B" w:rsidRPr="001017B6" w:rsidRDefault="00C3295B" w:rsidP="006B589B">
      <w:pPr>
        <w:jc w:val="both"/>
        <w:rPr>
          <w:szCs w:val="24"/>
        </w:rPr>
      </w:pPr>
    </w:p>
    <w:p w:rsidR="00C3295B" w:rsidRPr="00750F47" w:rsidRDefault="00A62CA0" w:rsidP="00096F2C">
      <w:pPr>
        <w:pStyle w:val="2"/>
        <w:rPr>
          <w:rFonts w:asciiTheme="minorHAnsi" w:hAnsiTheme="minorHAnsi"/>
          <w:b/>
          <w:bCs/>
          <w:sz w:val="24"/>
          <w:szCs w:val="24"/>
        </w:rPr>
      </w:pPr>
      <w:bookmarkStart w:id="3" w:name="_Toc74930184"/>
      <w:r w:rsidRPr="00750F47">
        <w:rPr>
          <w:rFonts w:asciiTheme="minorHAnsi" w:hAnsiTheme="minorHAnsi"/>
          <w:b/>
          <w:bCs/>
          <w:sz w:val="24"/>
          <w:szCs w:val="24"/>
        </w:rPr>
        <w:t>1</w:t>
      </w:r>
      <w:r w:rsidR="00934473" w:rsidRPr="00750F47">
        <w:rPr>
          <w:rFonts w:asciiTheme="minorHAnsi" w:hAnsiTheme="minorHAnsi"/>
          <w:b/>
          <w:bCs/>
          <w:sz w:val="24"/>
          <w:szCs w:val="24"/>
        </w:rPr>
        <w:t xml:space="preserve">.1 </w:t>
      </w:r>
      <w:r w:rsidR="00C3295B" w:rsidRPr="00750F47">
        <w:rPr>
          <w:rFonts w:asciiTheme="minorHAnsi" w:hAnsiTheme="minorHAnsi"/>
          <w:b/>
          <w:bCs/>
          <w:sz w:val="24"/>
          <w:szCs w:val="24"/>
        </w:rPr>
        <w:t>Μακροοικονομικές εξελίξεις</w:t>
      </w:r>
      <w:bookmarkEnd w:id="3"/>
    </w:p>
    <w:p w:rsidR="00695268" w:rsidRDefault="00695268" w:rsidP="006B589B">
      <w:pPr>
        <w:jc w:val="both"/>
        <w:rPr>
          <w:rFonts w:eastAsiaTheme="majorEastAsia" w:cstheme="majorBidi"/>
          <w:b/>
          <w:bCs/>
          <w:color w:val="365F91" w:themeColor="accent1" w:themeShade="BF"/>
          <w:szCs w:val="24"/>
        </w:rPr>
      </w:pPr>
    </w:p>
    <w:p w:rsidR="00CF389F" w:rsidRPr="001017B6" w:rsidRDefault="00CF389F" w:rsidP="006B589B">
      <w:pPr>
        <w:jc w:val="both"/>
        <w:rPr>
          <w:rFonts w:eastAsiaTheme="majorEastAsia" w:cstheme="majorBidi"/>
          <w:b/>
          <w:bCs/>
          <w:color w:val="365F91" w:themeColor="accent1" w:themeShade="BF"/>
          <w:szCs w:val="24"/>
        </w:rPr>
      </w:pPr>
      <w:r w:rsidRPr="001017B6">
        <w:rPr>
          <w:rFonts w:eastAsiaTheme="majorEastAsia" w:cstheme="majorBidi"/>
          <w:b/>
          <w:bCs/>
          <w:color w:val="365F91" w:themeColor="accent1" w:themeShade="BF"/>
          <w:szCs w:val="24"/>
        </w:rPr>
        <w:t>Εξελίξεις στην Ευρωζώνη</w:t>
      </w:r>
    </w:p>
    <w:p w:rsidR="00CF389F" w:rsidRPr="001017B6" w:rsidRDefault="00CF389F" w:rsidP="006B589B">
      <w:pPr>
        <w:jc w:val="both"/>
        <w:rPr>
          <w:rFonts w:eastAsia="Times New Roman" w:cstheme="minorHAnsi"/>
          <w:szCs w:val="24"/>
        </w:rPr>
      </w:pPr>
      <w:r w:rsidRPr="001017B6">
        <w:rPr>
          <w:rFonts w:eastAsia="Times New Roman" w:cstheme="minorHAnsi"/>
          <w:szCs w:val="24"/>
        </w:rPr>
        <w:t xml:space="preserve">Η πανδημία του </w:t>
      </w:r>
      <w:proofErr w:type="spellStart"/>
      <w:r w:rsidRPr="001017B6">
        <w:rPr>
          <w:rFonts w:eastAsia="Times New Roman" w:cstheme="minorHAnsi"/>
          <w:szCs w:val="24"/>
          <w:lang w:val="en-US"/>
        </w:rPr>
        <w:t>Covid</w:t>
      </w:r>
      <w:proofErr w:type="spellEnd"/>
      <w:r w:rsidRPr="001017B6">
        <w:rPr>
          <w:rFonts w:eastAsia="Times New Roman" w:cstheme="minorHAnsi"/>
          <w:szCs w:val="24"/>
        </w:rPr>
        <w:t xml:space="preserve">-19 το 2020 προκάλεσε μια άνευ προηγουμένου κρίση στον τομέα της δημόσιας υγείας και επέφερε μεγάλη συρρίκνωση της οικονομικής δραστηριότητας στην Ευρωζώνη, αντανακλώντας οικονομικές επιπτώσεις τόσο από την πλευρά της προσφοράς όσο και από την πλευρά της ζήτησης. </w:t>
      </w:r>
    </w:p>
    <w:p w:rsidR="00CF389F" w:rsidRPr="001017B6" w:rsidRDefault="00CF389F" w:rsidP="006B589B">
      <w:pPr>
        <w:jc w:val="both"/>
        <w:rPr>
          <w:rFonts w:cstheme="minorHAnsi"/>
          <w:szCs w:val="24"/>
        </w:rPr>
      </w:pPr>
      <w:r w:rsidRPr="001017B6">
        <w:rPr>
          <w:rFonts w:eastAsia="Times New Roman" w:cstheme="minorHAnsi"/>
          <w:szCs w:val="24"/>
        </w:rPr>
        <w:t>Ως μέσο απόκρισης, η κρίση οδήγησε σε σημαντικές αλλαγές στην άσκηση της δημοσιονομικής και νομισματικής πολιτικής. Σε</w:t>
      </w:r>
      <w:r w:rsidRPr="001017B6">
        <w:rPr>
          <w:rFonts w:cstheme="minorHAnsi"/>
          <w:szCs w:val="24"/>
        </w:rPr>
        <w:t xml:space="preserve"> επίπεδο Ευρωπαϊκής Ένωσης, η δημοσιονομική απόκριση στις επιπτώσεις της πανδημίας υπήρξε άμεση και συντονισμένη, με την προσωρινή αναστολή των δημοσιονομικών κανόνων του Συμφώνου Σταθερότητας και Ανάπτυξης και των περιορισμών στην παροχή κρατικών ενισχύσεων και εγγυήσεων, αλλά και με νέα εργαλεία, όπως το πρόγραμμα </w:t>
      </w:r>
      <w:r w:rsidRPr="001017B6">
        <w:rPr>
          <w:rFonts w:cstheme="minorHAnsi"/>
          <w:szCs w:val="24"/>
          <w:lang w:val="en-US"/>
        </w:rPr>
        <w:t>SURE</w:t>
      </w:r>
      <w:r w:rsidRPr="001017B6">
        <w:rPr>
          <w:rStyle w:val="af1"/>
          <w:rFonts w:cstheme="minorHAnsi"/>
          <w:szCs w:val="24"/>
          <w:lang w:val="en-US"/>
        </w:rPr>
        <w:footnoteReference w:id="2"/>
      </w:r>
      <w:r w:rsidRPr="001017B6">
        <w:rPr>
          <w:rFonts w:cstheme="minorHAnsi"/>
          <w:szCs w:val="24"/>
        </w:rPr>
        <w:t xml:space="preserve"> για τη στήριξη της απασχόλησης. </w:t>
      </w:r>
    </w:p>
    <w:p w:rsidR="00CF389F" w:rsidRPr="001017B6" w:rsidRDefault="00CF389F" w:rsidP="006B589B">
      <w:pPr>
        <w:jc w:val="both"/>
        <w:rPr>
          <w:rFonts w:cstheme="minorHAnsi"/>
          <w:szCs w:val="24"/>
        </w:rPr>
      </w:pPr>
      <w:r w:rsidRPr="001017B6">
        <w:rPr>
          <w:rFonts w:cstheme="minorHAnsi"/>
          <w:szCs w:val="24"/>
        </w:rPr>
        <w:t xml:space="preserve">Οι πρωτοβουλίες αυτές επέτρεψαν την άσκηση έντονα επεκτατικής δημοσιονομικής πολιτικής από τα κράτη μέλη. </w:t>
      </w:r>
      <w:r w:rsidRPr="001017B6">
        <w:rPr>
          <w:rFonts w:cstheme="minorHAnsi"/>
          <w:szCs w:val="24"/>
          <w:lang w:val="en-US"/>
        </w:rPr>
        <w:t>O</w:t>
      </w:r>
      <w:r w:rsidRPr="001017B6">
        <w:rPr>
          <w:rFonts w:cstheme="minorHAnsi"/>
          <w:szCs w:val="24"/>
        </w:rPr>
        <w:t xml:space="preserve">ι δημοσιονομικές παρεμβάσεις στη ζώνη του ευρώ το 2020 για τη στήριξη των επιχειρήσεων και της απασχόλησης έφθασαν, σύμφωνα με την Ευρωπαϊκή Επιτροπή, κατά μέσο όρο περίπου το 4,0% του ΑΕΠ, ενώ τα μέτρα παροχής ρευστότητας και εγγυήσεων, τα οποία ωστόσο δεν περιλαμβάνονται στους προϋπολογισμούς των χωρών, διαμορφώθηκαν περίπου στο 19% του ΑΕΠ. </w:t>
      </w:r>
    </w:p>
    <w:p w:rsidR="00CF389F" w:rsidRPr="001017B6" w:rsidRDefault="00CF389F" w:rsidP="006B589B">
      <w:pPr>
        <w:autoSpaceDE w:val="0"/>
        <w:autoSpaceDN w:val="0"/>
        <w:adjustRightInd w:val="0"/>
        <w:jc w:val="both"/>
        <w:rPr>
          <w:rFonts w:cstheme="minorHAnsi"/>
          <w:szCs w:val="24"/>
        </w:rPr>
      </w:pPr>
      <w:r w:rsidRPr="001017B6">
        <w:rPr>
          <w:rFonts w:cstheme="minorHAnsi"/>
          <w:szCs w:val="24"/>
        </w:rPr>
        <w:t xml:space="preserve">Ιδιαίτερα σημαντική ήταν και η ανταπόκριση της Ευρωπαϊκής Κεντρικής Τράπεζας, με την ενίσχυση του </w:t>
      </w:r>
      <w:proofErr w:type="spellStart"/>
      <w:r w:rsidRPr="001017B6">
        <w:rPr>
          <w:rFonts w:cstheme="minorHAnsi"/>
          <w:szCs w:val="24"/>
        </w:rPr>
        <w:t>διευκολυντικού</w:t>
      </w:r>
      <w:proofErr w:type="spellEnd"/>
      <w:r w:rsidRPr="001017B6">
        <w:rPr>
          <w:rFonts w:cstheme="minorHAnsi"/>
          <w:szCs w:val="24"/>
        </w:rPr>
        <w:t xml:space="preserve"> χαρακτήρα της ενιαίας νομισματικής πολιτικής μέσω, μεταξύ άλλων, του έκτακτου προγράμματος αγοράς τίτλων λόγω πανδημίας </w:t>
      </w:r>
      <w:r w:rsidRPr="001017B6">
        <w:rPr>
          <w:rFonts w:cstheme="minorHAnsi"/>
          <w:szCs w:val="24"/>
          <w:lang w:val="en-US"/>
        </w:rPr>
        <w:t>PEPP</w:t>
      </w:r>
      <w:r w:rsidRPr="001017B6">
        <w:rPr>
          <w:rFonts w:cstheme="minorHAnsi"/>
          <w:szCs w:val="24"/>
        </w:rPr>
        <w:t xml:space="preserve"> (P</w:t>
      </w:r>
      <w:proofErr w:type="spellStart"/>
      <w:r w:rsidRPr="001017B6">
        <w:rPr>
          <w:rFonts w:cstheme="minorHAnsi"/>
          <w:szCs w:val="24"/>
          <w:lang w:val="en-US"/>
        </w:rPr>
        <w:t>andemic</w:t>
      </w:r>
      <w:proofErr w:type="spellEnd"/>
      <w:r w:rsidRPr="001017B6">
        <w:rPr>
          <w:rFonts w:cstheme="minorHAnsi"/>
          <w:szCs w:val="24"/>
        </w:rPr>
        <w:t xml:space="preserve"> E</w:t>
      </w:r>
      <w:proofErr w:type="spellStart"/>
      <w:r w:rsidRPr="001017B6">
        <w:rPr>
          <w:rFonts w:cstheme="minorHAnsi"/>
          <w:szCs w:val="24"/>
          <w:lang w:val="en-US"/>
        </w:rPr>
        <w:t>mergency</w:t>
      </w:r>
      <w:proofErr w:type="spellEnd"/>
      <w:r w:rsidRPr="001017B6">
        <w:rPr>
          <w:rFonts w:cstheme="minorHAnsi"/>
          <w:szCs w:val="24"/>
        </w:rPr>
        <w:t xml:space="preserve"> P</w:t>
      </w:r>
      <w:proofErr w:type="spellStart"/>
      <w:r w:rsidRPr="001017B6">
        <w:rPr>
          <w:rFonts w:cstheme="minorHAnsi"/>
          <w:szCs w:val="24"/>
          <w:lang w:val="en-US"/>
        </w:rPr>
        <w:t>urchase</w:t>
      </w:r>
      <w:proofErr w:type="spellEnd"/>
      <w:r w:rsidRPr="001017B6">
        <w:rPr>
          <w:rFonts w:cstheme="minorHAnsi"/>
          <w:szCs w:val="24"/>
        </w:rPr>
        <w:t xml:space="preserve"> P</w:t>
      </w:r>
      <w:proofErr w:type="spellStart"/>
      <w:r w:rsidRPr="001017B6">
        <w:rPr>
          <w:rFonts w:cstheme="minorHAnsi"/>
          <w:szCs w:val="24"/>
          <w:lang w:val="en-US"/>
        </w:rPr>
        <w:t>rogramme</w:t>
      </w:r>
      <w:proofErr w:type="spellEnd"/>
      <w:r w:rsidRPr="001017B6">
        <w:rPr>
          <w:rFonts w:cstheme="minorHAnsi"/>
          <w:szCs w:val="24"/>
        </w:rPr>
        <w:t>). Η επεκτατική νομισματική πολιτική συγκράτησε τις αποδόσεις των κρατικών τίτλων σε χαμηλά επίπεδα και παρείχε φθηνή χρηματοδότηση σε όλες ανεξαιρέτως τις χώρες-μέλη της ζώνης του ευρώ, συμβάλλοντας αποτελεσματικά στον περιορισμό των επιπτώσεων της πανδημίας.</w:t>
      </w:r>
    </w:p>
    <w:p w:rsidR="0071495D" w:rsidRPr="001017B6" w:rsidRDefault="0071495D" w:rsidP="0071495D">
      <w:pPr>
        <w:autoSpaceDE w:val="0"/>
        <w:autoSpaceDN w:val="0"/>
        <w:adjustRightInd w:val="0"/>
        <w:jc w:val="both"/>
        <w:rPr>
          <w:rFonts w:eastAsia="Times New Roman" w:cstheme="minorHAnsi"/>
          <w:szCs w:val="24"/>
        </w:rPr>
      </w:pPr>
      <w:r w:rsidRPr="001017B6">
        <w:rPr>
          <w:rFonts w:cstheme="minorHAnsi"/>
          <w:szCs w:val="24"/>
        </w:rPr>
        <w:t>Το ΑΕΠ στην οικονομία της Ευρωζώνης μειώθηκε κατά 6,6% το 2020, έναντι αύξησης κατά 1,3% το 2019. Στ</w:t>
      </w:r>
      <w:r w:rsidRPr="001017B6">
        <w:rPr>
          <w:rFonts w:eastAsia="Times New Roman" w:cstheme="minorHAnsi"/>
          <w:szCs w:val="24"/>
        </w:rPr>
        <w:t xml:space="preserve">ο πρώτο εξάμηνο του 2020, το ΑΕΠ σημείωσε ιστορική πτώση </w:t>
      </w:r>
      <w:r w:rsidRPr="001017B6">
        <w:rPr>
          <w:rFonts w:cstheme="minorHAnsi"/>
          <w:szCs w:val="24"/>
        </w:rPr>
        <w:t xml:space="preserve">κατά περίπου 15,0% </w:t>
      </w:r>
      <w:r w:rsidRPr="001017B6">
        <w:rPr>
          <w:rFonts w:eastAsia="Times New Roman" w:cstheme="minorHAnsi"/>
          <w:szCs w:val="24"/>
        </w:rPr>
        <w:t xml:space="preserve"> σε σύγκριση με το τέταρτο τρίμηνο του 2019, κοντά στα επίπεδα του 2005. Ωστόσο, στο τρίτο τρίμηνο του 2020, η χαλάρωση των μέτρων περιορισμού της πανδημίας, καθώς και η απόδοση των μέτρων στήριξης στις επιχειρήσεις και στα νοικοκυριά, ενίσχυσαν την εγχώρια ζήτηση και οδήγησαν σε καταγραφή σημαντικής ανάκαμψης έναντι του προηγούμενου τριμήνου. Ακολούθως, η οικονομική δραστηριότητα σημείωσε νέα κάμψη στο τέταρτο τρίμηνο του 2020, εξαιτίας της επιβολής μέτρων περιορισμού του δεύτερου κύματος της πανδημίας, η οποία όμως ήταν μικρότερη του αναμενόμενου, χάρη στην ανάκαμψη της εξωτερικής ζήτησης και </w:t>
      </w:r>
      <w:r>
        <w:rPr>
          <w:rFonts w:eastAsia="Times New Roman" w:cstheme="minorHAnsi"/>
          <w:szCs w:val="24"/>
        </w:rPr>
        <w:t>στην σχετική εξομάλυνση</w:t>
      </w:r>
      <w:r w:rsidRPr="001017B6">
        <w:rPr>
          <w:rFonts w:eastAsia="Times New Roman" w:cstheme="minorHAnsi"/>
          <w:szCs w:val="24"/>
        </w:rPr>
        <w:t xml:space="preserve"> </w:t>
      </w:r>
      <w:r>
        <w:rPr>
          <w:rFonts w:eastAsia="Times New Roman" w:cstheme="minorHAnsi"/>
          <w:szCs w:val="24"/>
        </w:rPr>
        <w:t>των καταναλωτικών συνηθειών σε σχέση με</w:t>
      </w:r>
      <w:r w:rsidRPr="001017B6">
        <w:rPr>
          <w:rFonts w:eastAsia="Times New Roman" w:cstheme="minorHAnsi"/>
          <w:szCs w:val="24"/>
        </w:rPr>
        <w:t xml:space="preserve"> το πρώτο κύμα. </w:t>
      </w:r>
    </w:p>
    <w:p w:rsidR="00CF389F" w:rsidRPr="001017B6" w:rsidRDefault="00CF389F" w:rsidP="006B589B">
      <w:pPr>
        <w:pStyle w:val="Web"/>
        <w:spacing w:before="0" w:beforeAutospacing="0" w:after="200" w:afterAutospacing="0" w:line="276" w:lineRule="auto"/>
        <w:jc w:val="both"/>
        <w:textAlignment w:val="baseline"/>
        <w:rPr>
          <w:rFonts w:asciiTheme="minorHAnsi" w:hAnsiTheme="minorHAnsi" w:cstheme="minorHAnsi"/>
          <w:sz w:val="22"/>
          <w:lang w:eastAsia="en-US"/>
        </w:rPr>
      </w:pPr>
      <w:r w:rsidRPr="001017B6">
        <w:rPr>
          <w:rFonts w:asciiTheme="minorHAnsi" w:hAnsiTheme="minorHAnsi" w:cstheme="minorHAnsi"/>
          <w:sz w:val="22"/>
          <w:lang w:eastAsia="en-US"/>
        </w:rPr>
        <w:t xml:space="preserve">Η ιδιωτική κατανάλωση, η οποία υπήρξε η κινητήρια δύναμη της ανάπτυξης στην Ευρωζώνη τα προηγούμενα χρόνια, μειώθηκε κατά 8,0% το 2020 έναντι αύξησης κατά 1,3% το 2019, αντανακλώντας κυρίως την περιστολή της καταναλωτικής δαπάνης για διαρκή αγαθά και υπηρεσίες. Μεταξύ των τριμήνων του 2020, η ιδιωτική κατανάλωση ακολούθησε ανάλογη τάση με αυτή του πραγματικού ΑΕΠ, με την (ήπια έναντι του αναμενόμενου) κάμψη της στο τέταρτο τρίμηνο 2020 να αποτελεί την κύρια αιτία της νέας μείωσης της οικονομικής δραστηριότητας. </w:t>
      </w:r>
    </w:p>
    <w:p w:rsidR="00CF389F" w:rsidRPr="001017B6" w:rsidRDefault="00CF389F" w:rsidP="006B589B">
      <w:pPr>
        <w:autoSpaceDE w:val="0"/>
        <w:autoSpaceDN w:val="0"/>
        <w:adjustRightInd w:val="0"/>
        <w:jc w:val="both"/>
        <w:rPr>
          <w:rFonts w:cstheme="minorHAnsi"/>
          <w:szCs w:val="24"/>
        </w:rPr>
      </w:pPr>
      <w:r w:rsidRPr="001017B6">
        <w:rPr>
          <w:rFonts w:cstheme="minorHAnsi"/>
          <w:szCs w:val="24"/>
        </w:rPr>
        <w:lastRenderedPageBreak/>
        <w:t>Σε αντίθεση με την ιδιωτική κατανάλωση, πιο συγκρατημένες στη διάρκεια του 2020 ήταν οι εξελίξεις στο πραγματικό διαθέσιμο εισόδημα, το οποίο σταθεροποιήθηκε χάρη στην κρατική στήριξη, οδηγώντας σε αύξηση του ποσοστού αποταμίευσης. Σε αυτό συντέλεσε ο πληθωρισμός στη ζώνη του ευρώ, κινούμενος σε αρνητικό έδαφος από τον Αύγουστο του 2020 (για πρώτη φορά μετά τον Μάρτιο του 2016) έως το τέλος του έτους.</w:t>
      </w:r>
    </w:p>
    <w:p w:rsidR="00CF389F" w:rsidRPr="001017B6" w:rsidRDefault="00CF389F" w:rsidP="006B589B">
      <w:pPr>
        <w:autoSpaceDE w:val="0"/>
        <w:autoSpaceDN w:val="0"/>
        <w:adjustRightInd w:val="0"/>
        <w:jc w:val="both"/>
        <w:rPr>
          <w:rFonts w:cstheme="minorHAnsi"/>
          <w:szCs w:val="24"/>
        </w:rPr>
      </w:pPr>
      <w:r w:rsidRPr="001017B6">
        <w:rPr>
          <w:rFonts w:cstheme="minorHAnsi"/>
          <w:szCs w:val="24"/>
        </w:rPr>
        <w:t>Η υλοποίηση επιχειρηματικών επενδυτικών σχεδίων περιορίστηκε το 2020, λόγω της υπερβάλλουσας παραγωγικής δυναμικότητας ιδίως στους κλάδους έντασης κεφαλαίου, της μείωσης των περιθωρίων κέρδους, αλλά και του υψηλού βαθμού αβεβαιότητας για την πορεία της πανδημίας. Οι συνολικές ακαθάριστες επενδύσεις πάγιου κεφαλαίου στην Ευρωζώνη μειώθηκαν κατά 8,3% το 2020, έναντι αύξησής τους κατά 5,7% το 2019. Ωστόσο, οι επιχειρηματικές επενδύσεις ανέκαμψαν σημαντικά το δεύτερο εξάμηνο του 2020, ανακτώντας εν μέρει τη δυναμική τους μετά την κάμψη του πρώτου εξαμήνου.</w:t>
      </w:r>
    </w:p>
    <w:p w:rsidR="00CF389F" w:rsidRPr="001017B6" w:rsidRDefault="00CF389F" w:rsidP="006B589B">
      <w:pPr>
        <w:autoSpaceDE w:val="0"/>
        <w:autoSpaceDN w:val="0"/>
        <w:adjustRightInd w:val="0"/>
        <w:jc w:val="both"/>
        <w:rPr>
          <w:rFonts w:cstheme="minorHAnsi"/>
          <w:szCs w:val="24"/>
        </w:rPr>
      </w:pPr>
      <w:r w:rsidRPr="001017B6">
        <w:rPr>
          <w:rFonts w:eastAsia="Times New Roman" w:cstheme="minorHAnsi"/>
          <w:szCs w:val="24"/>
        </w:rPr>
        <w:t xml:space="preserve">Στον εξωτερικό τομέα της Ευρωζώνης, το πλεόνασμα του ισοζυγίου τρεχουσών συναλλαγών μειώθηκε οριακά και διαμορφώθηκε σε 3% το 2020, έναντι 3,1% το 2019. </w:t>
      </w:r>
      <w:r w:rsidRPr="001017B6">
        <w:rPr>
          <w:rFonts w:cstheme="minorHAnsi"/>
          <w:szCs w:val="24"/>
        </w:rPr>
        <w:t xml:space="preserve">Η χαμηλή εξαγωγική επίδοση επιτάθηκε εξαιτίας της υψηλής συμμετοχής πολλών κρατών-μελών στις παγκόσμιες αλυσίδες αξίας, των οποίων η ομαλή λειτουργία διαταράχθηκε το πρώτο εξάμηνο του 2020. Οι εξαγωγές υπηρεσιών στις χώρες όπου ο τουρισμός και οι μεταφορές συνεισφέρουν σημαντικά στο ΑΕΠ σημείωσαν ιστορική πτώση το 2020, ως αποτέλεσμα του περιορισμού των μετακινήσεων. </w:t>
      </w:r>
    </w:p>
    <w:p w:rsidR="00CF389F" w:rsidRPr="001017B6" w:rsidRDefault="00CF389F" w:rsidP="006B589B">
      <w:pPr>
        <w:autoSpaceDE w:val="0"/>
        <w:autoSpaceDN w:val="0"/>
        <w:adjustRightInd w:val="0"/>
        <w:jc w:val="both"/>
        <w:rPr>
          <w:rFonts w:cstheme="minorHAnsi"/>
          <w:szCs w:val="24"/>
        </w:rPr>
      </w:pPr>
      <w:r w:rsidRPr="001017B6">
        <w:rPr>
          <w:rFonts w:cstheme="minorHAnsi"/>
          <w:szCs w:val="24"/>
        </w:rPr>
        <w:t xml:space="preserve">Ο οικονομικός αντίκτυπος της πανδημίας στην Ευρωζώνη οδήγησε σε απώλειες θέσεων εργασίας, ιδίως το πρώτο εξάμηνο του 2020, οι οποίες όμως ήταν συγκρατημένες σε σχέση με την πτώση της οικονομικής δραστηριότητας, στη βάση των μέτρων πολιτικής που περιόρισαν τις πτωχεύσεις και τις απώλειες εισοδήματος των επιχειρήσεων. Η συνολική απασχόληση μειώθηκε κατά 1,6% το 2020 σε ετήσια βάση, έναντι αύξησης κατά 1,2% το 2019, και αφορούσε σε μεγάλο βαθμό συμβάσεις εργασίας ορισμένου χρόνου. </w:t>
      </w:r>
    </w:p>
    <w:p w:rsidR="00CF389F" w:rsidRPr="001017B6" w:rsidRDefault="00CF389F" w:rsidP="006B589B">
      <w:pPr>
        <w:jc w:val="both"/>
        <w:rPr>
          <w:rFonts w:eastAsia="Times New Roman" w:cstheme="minorHAnsi"/>
          <w:szCs w:val="24"/>
        </w:rPr>
      </w:pPr>
      <w:r w:rsidRPr="001017B6">
        <w:rPr>
          <w:rFonts w:eastAsia="Times New Roman" w:cstheme="minorHAnsi"/>
          <w:szCs w:val="24"/>
        </w:rPr>
        <w:t xml:space="preserve">Σήμερα, η ισχυρή απόκριση πολιτικής σε εθνικό και κεντρικό ευρωπαϊκό επίπεδο συμβάλλει στον περιορισμό των επιπτώσεων της κρίσης στον οικονομικό και κοινωνικό ιστό της Ευρώπης. Ως εκ τούτου, η ανάκαμψη της Ευρωζώνης και της ΕΕ, αναμένεται να είναι ισχυρή βραχυπρόθεσμα και να διατηρήσει τη δυναμική της μεσοπρόθεσμα, με τις πρόσφατες εαρινές προβλέψεις της Ευρωπαϊκής Επιτροπής αναθεωρημένες προς το βέλτιον έναντι των χειμερινών του 2021 και των φθινοπωρινών του 2020. </w:t>
      </w:r>
    </w:p>
    <w:p w:rsidR="00222435" w:rsidRPr="001017B6" w:rsidRDefault="00222435" w:rsidP="00222435">
      <w:pPr>
        <w:jc w:val="both"/>
        <w:rPr>
          <w:rFonts w:eastAsia="Times New Roman" w:cstheme="minorHAnsi"/>
          <w:bCs/>
          <w:szCs w:val="24"/>
        </w:rPr>
      </w:pPr>
      <w:r w:rsidRPr="001017B6">
        <w:rPr>
          <w:rFonts w:eastAsia="Times New Roman" w:cstheme="minorHAnsi"/>
          <w:szCs w:val="24"/>
        </w:rPr>
        <w:t>Συγκεκριμένα, τ</w:t>
      </w:r>
      <w:r w:rsidRPr="001017B6">
        <w:rPr>
          <w:rFonts w:eastAsia="Times New Roman" w:cstheme="minorHAnsi"/>
          <w:bCs/>
          <w:szCs w:val="24"/>
        </w:rPr>
        <w:t>ο ΑΕΠ</w:t>
      </w:r>
      <w:r w:rsidRPr="001017B6">
        <w:rPr>
          <w:rStyle w:val="af1"/>
          <w:rFonts w:eastAsia="Times New Roman" w:cstheme="minorHAnsi"/>
          <w:bCs/>
          <w:szCs w:val="24"/>
        </w:rPr>
        <w:footnoteReference w:id="3"/>
      </w:r>
      <w:r w:rsidRPr="001017B6">
        <w:rPr>
          <w:rFonts w:eastAsia="Times New Roman" w:cstheme="minorHAnsi"/>
          <w:bCs/>
          <w:szCs w:val="24"/>
        </w:rPr>
        <w:t xml:space="preserve"> της Ευρωζώνης εκτιμάται ότι θα αυξηθεί κατά 4,3% το 2021 και 4,4% το 2022 και της Ευρωπαϊκής Ένωσης (ΕΕ) κατά 4,2% και 4,4% αντίστοιχα</w:t>
      </w:r>
      <w:r w:rsidRPr="001017B6">
        <w:rPr>
          <w:rStyle w:val="af1"/>
          <w:rFonts w:eastAsia="Times New Roman" w:cstheme="minorHAnsi"/>
          <w:bCs/>
          <w:szCs w:val="24"/>
        </w:rPr>
        <w:footnoteReference w:id="4"/>
      </w:r>
      <w:r w:rsidRPr="001017B6">
        <w:rPr>
          <w:rFonts w:eastAsia="Times New Roman" w:cstheme="minorHAnsi"/>
          <w:bCs/>
          <w:szCs w:val="24"/>
          <w:vertAlign w:val="superscript"/>
        </w:rPr>
        <w:t>,</w:t>
      </w:r>
      <w:r w:rsidRPr="001017B6">
        <w:rPr>
          <w:rStyle w:val="af1"/>
          <w:rFonts w:eastAsia="Times New Roman" w:cstheme="minorHAnsi"/>
          <w:szCs w:val="24"/>
        </w:rPr>
        <w:footnoteReference w:id="5"/>
      </w:r>
      <w:r w:rsidRPr="001017B6">
        <w:rPr>
          <w:rFonts w:eastAsia="Times New Roman" w:cstheme="minorHAnsi"/>
          <w:bCs/>
          <w:szCs w:val="24"/>
        </w:rPr>
        <w:t xml:space="preserve">. </w:t>
      </w:r>
      <w:r w:rsidRPr="001017B6">
        <w:rPr>
          <w:rFonts w:eastAsia="Times New Roman" w:cstheme="minorHAnsi"/>
          <w:szCs w:val="24"/>
        </w:rPr>
        <w:t>Στο τέλος του 2023, το ΑΕΠ της Ευρωζώνης αναμένεται υψηλότερο από το προ κρίσης επίπεδο κατά 3,3%</w:t>
      </w:r>
      <w:r w:rsidRPr="001017B6">
        <w:rPr>
          <w:rStyle w:val="af1"/>
          <w:rFonts w:eastAsia="Times New Roman" w:cstheme="minorHAnsi"/>
          <w:szCs w:val="24"/>
        </w:rPr>
        <w:footnoteReference w:id="6"/>
      </w:r>
      <w:r w:rsidRPr="001017B6">
        <w:rPr>
          <w:rFonts w:eastAsia="Times New Roman" w:cstheme="minorHAnsi"/>
          <w:szCs w:val="24"/>
        </w:rPr>
        <w:t>, γεγονός που αντανακλά την αποσόβηση μακροπρόθεσμων οικονομικών πληγμάτων από την πανδημία μέσω της συμβολής του Ταμείου Ανάκαμψης και Ανθεκτικότητας (</w:t>
      </w:r>
      <w:r w:rsidRPr="001017B6">
        <w:rPr>
          <w:rFonts w:eastAsia="Times New Roman" w:cstheme="minorHAnsi"/>
          <w:szCs w:val="24"/>
          <w:lang w:val="en-US"/>
        </w:rPr>
        <w:t>Recovery</w:t>
      </w:r>
      <w:r w:rsidRPr="001017B6">
        <w:rPr>
          <w:rFonts w:eastAsia="Times New Roman" w:cstheme="minorHAnsi"/>
          <w:szCs w:val="24"/>
        </w:rPr>
        <w:t xml:space="preserve"> </w:t>
      </w:r>
      <w:r w:rsidRPr="001017B6">
        <w:rPr>
          <w:rFonts w:eastAsia="Times New Roman" w:cstheme="minorHAnsi"/>
          <w:szCs w:val="24"/>
          <w:lang w:val="en-US"/>
        </w:rPr>
        <w:t>and</w:t>
      </w:r>
      <w:r w:rsidRPr="001017B6">
        <w:rPr>
          <w:rFonts w:eastAsia="Times New Roman" w:cstheme="minorHAnsi"/>
          <w:szCs w:val="24"/>
        </w:rPr>
        <w:t xml:space="preserve"> </w:t>
      </w:r>
      <w:r w:rsidRPr="001017B6">
        <w:rPr>
          <w:rFonts w:eastAsia="Times New Roman" w:cstheme="minorHAnsi"/>
          <w:szCs w:val="24"/>
          <w:lang w:val="en-US"/>
        </w:rPr>
        <w:t>Resilience</w:t>
      </w:r>
      <w:r w:rsidRPr="001017B6">
        <w:rPr>
          <w:rFonts w:eastAsia="Times New Roman" w:cstheme="minorHAnsi"/>
          <w:szCs w:val="24"/>
        </w:rPr>
        <w:t xml:space="preserve"> </w:t>
      </w:r>
      <w:r w:rsidRPr="001017B6">
        <w:rPr>
          <w:rFonts w:eastAsia="Times New Roman" w:cstheme="minorHAnsi"/>
          <w:szCs w:val="24"/>
          <w:lang w:val="en-US"/>
        </w:rPr>
        <w:t>Facility</w:t>
      </w:r>
      <w:r w:rsidRPr="001017B6">
        <w:rPr>
          <w:rFonts w:eastAsia="Times New Roman" w:cstheme="minorHAnsi"/>
          <w:szCs w:val="24"/>
        </w:rPr>
        <w:t xml:space="preserve">) του </w:t>
      </w:r>
      <w:r w:rsidRPr="001017B6">
        <w:rPr>
          <w:rFonts w:eastAsia="Times New Roman" w:cstheme="minorHAnsi"/>
          <w:szCs w:val="24"/>
          <w:lang w:val="en-US"/>
        </w:rPr>
        <w:t>N</w:t>
      </w:r>
      <w:r>
        <w:rPr>
          <w:rFonts w:eastAsia="Times New Roman" w:cstheme="minorHAnsi"/>
          <w:szCs w:val="24"/>
          <w:lang w:val="en-US"/>
        </w:rPr>
        <w:t>ext</w:t>
      </w:r>
      <w:r w:rsidRPr="00161297">
        <w:rPr>
          <w:rFonts w:eastAsia="Times New Roman" w:cstheme="minorHAnsi"/>
          <w:szCs w:val="24"/>
        </w:rPr>
        <w:t xml:space="preserve"> </w:t>
      </w:r>
      <w:r w:rsidRPr="001017B6">
        <w:rPr>
          <w:rFonts w:eastAsia="Times New Roman" w:cstheme="minorHAnsi"/>
          <w:szCs w:val="24"/>
          <w:lang w:val="en-US"/>
        </w:rPr>
        <w:t>G</w:t>
      </w:r>
      <w:r>
        <w:rPr>
          <w:rFonts w:eastAsia="Times New Roman" w:cstheme="minorHAnsi"/>
          <w:szCs w:val="24"/>
          <w:lang w:val="en-US"/>
        </w:rPr>
        <w:t>eneration</w:t>
      </w:r>
      <w:r w:rsidRPr="00161297">
        <w:rPr>
          <w:rFonts w:eastAsia="Times New Roman" w:cstheme="minorHAnsi"/>
          <w:szCs w:val="24"/>
        </w:rPr>
        <w:t xml:space="preserve"> </w:t>
      </w:r>
      <w:r w:rsidRPr="001017B6">
        <w:rPr>
          <w:rFonts w:eastAsia="Times New Roman" w:cstheme="minorHAnsi"/>
          <w:szCs w:val="24"/>
          <w:lang w:val="en-US"/>
        </w:rPr>
        <w:t>EU</w:t>
      </w:r>
      <w:r w:rsidRPr="001017B6">
        <w:rPr>
          <w:rFonts w:eastAsia="Times New Roman" w:cstheme="minorHAnsi"/>
          <w:szCs w:val="24"/>
        </w:rPr>
        <w:t>. Στο ίδιο πλαίσιο, ζ</w:t>
      </w:r>
      <w:r w:rsidRPr="001017B6">
        <w:rPr>
          <w:rFonts w:eastAsia="Times New Roman" w:cstheme="minorHAnsi"/>
          <w:bCs/>
          <w:szCs w:val="24"/>
        </w:rPr>
        <w:t xml:space="preserve">ωτικής σημασίας είναι η </w:t>
      </w:r>
      <w:r>
        <w:rPr>
          <w:rFonts w:eastAsia="Times New Roman" w:cstheme="minorHAnsi"/>
          <w:bCs/>
          <w:szCs w:val="24"/>
        </w:rPr>
        <w:t xml:space="preserve">σταδιακή </w:t>
      </w:r>
      <w:r w:rsidRPr="001017B6">
        <w:rPr>
          <w:rFonts w:eastAsia="Times New Roman" w:cstheme="minorHAnsi"/>
          <w:bCs/>
          <w:szCs w:val="24"/>
        </w:rPr>
        <w:t>κλιμάκωση της κατάργησης των εθνικών μέτρων στήριξης, για την αποφυγή οικονομικών επιπτώσεων από μία απότομη διακοπή τους (</w:t>
      </w:r>
      <w:r w:rsidRPr="001017B6">
        <w:rPr>
          <w:rFonts w:eastAsia="Times New Roman" w:cstheme="minorHAnsi"/>
          <w:bCs/>
          <w:szCs w:val="24"/>
          <w:lang w:val="en-US"/>
        </w:rPr>
        <w:t>cliff</w:t>
      </w:r>
      <w:r w:rsidRPr="001017B6">
        <w:rPr>
          <w:rFonts w:eastAsia="Times New Roman" w:cstheme="minorHAnsi"/>
          <w:bCs/>
          <w:szCs w:val="24"/>
        </w:rPr>
        <w:t xml:space="preserve"> </w:t>
      </w:r>
      <w:r w:rsidRPr="001017B6">
        <w:rPr>
          <w:rFonts w:eastAsia="Times New Roman" w:cstheme="minorHAnsi"/>
          <w:bCs/>
          <w:szCs w:val="24"/>
          <w:lang w:val="en-US"/>
        </w:rPr>
        <w:t>effect</w:t>
      </w:r>
      <w:r w:rsidRPr="001017B6">
        <w:rPr>
          <w:rFonts w:eastAsia="Times New Roman" w:cstheme="minorHAnsi"/>
          <w:bCs/>
          <w:szCs w:val="24"/>
        </w:rPr>
        <w:t xml:space="preserve"> </w:t>
      </w:r>
      <w:r w:rsidRPr="001017B6">
        <w:rPr>
          <w:rFonts w:eastAsia="Times New Roman" w:cstheme="minorHAnsi"/>
          <w:bCs/>
          <w:szCs w:val="24"/>
          <w:lang w:val="en-US"/>
        </w:rPr>
        <w:t>results</w:t>
      </w:r>
      <w:r w:rsidRPr="001017B6">
        <w:rPr>
          <w:rFonts w:eastAsia="Times New Roman" w:cstheme="minorHAnsi"/>
          <w:bCs/>
          <w:szCs w:val="24"/>
        </w:rPr>
        <w:t xml:space="preserve">), και η </w:t>
      </w:r>
      <w:r w:rsidRPr="001017B6">
        <w:rPr>
          <w:rFonts w:eastAsia="Times New Roman" w:cstheme="minorHAnsi"/>
          <w:szCs w:val="24"/>
        </w:rPr>
        <w:t>βαθμιαία μεταστροφή τους</w:t>
      </w:r>
      <w:r w:rsidRPr="001017B6">
        <w:rPr>
          <w:rFonts w:eastAsia="Times New Roman" w:cstheme="minorHAnsi"/>
          <w:bCs/>
          <w:szCs w:val="24"/>
        </w:rPr>
        <w:t xml:space="preserve"> από</w:t>
      </w:r>
      <w:r w:rsidRPr="001017B6">
        <w:rPr>
          <w:rFonts w:eastAsia="Times New Roman" w:cstheme="minorHAnsi"/>
          <w:szCs w:val="24"/>
        </w:rPr>
        <w:t xml:space="preserve"> επείγουσας βοήθειας σε πιο </w:t>
      </w:r>
      <w:proofErr w:type="spellStart"/>
      <w:r w:rsidRPr="001017B6">
        <w:rPr>
          <w:rFonts w:eastAsia="Times New Roman" w:cstheme="minorHAnsi"/>
          <w:szCs w:val="24"/>
        </w:rPr>
        <w:t>στοχευμένα</w:t>
      </w:r>
      <w:proofErr w:type="spellEnd"/>
      <w:r w:rsidRPr="001017B6">
        <w:rPr>
          <w:rFonts w:eastAsia="Times New Roman" w:cstheme="minorHAnsi"/>
          <w:szCs w:val="24"/>
        </w:rPr>
        <w:t xml:space="preserve"> υπέρ της ανθεκτικής και βιώσιμης ανάκαμψης.</w:t>
      </w:r>
    </w:p>
    <w:p w:rsidR="00222435" w:rsidRPr="001017B6" w:rsidRDefault="00222435" w:rsidP="00222435">
      <w:pPr>
        <w:jc w:val="both"/>
        <w:rPr>
          <w:rFonts w:eastAsia="Times New Roman" w:cstheme="minorHAnsi"/>
          <w:szCs w:val="24"/>
        </w:rPr>
      </w:pPr>
      <w:r w:rsidRPr="001017B6">
        <w:rPr>
          <w:rFonts w:eastAsia="Times New Roman" w:cstheme="minorHAnsi"/>
          <w:szCs w:val="24"/>
        </w:rPr>
        <w:t xml:space="preserve">Σε αδρές γραμμές, η εκτιμώμενη ισχυρή ανάπτυξη στην Ευρωζώνη αντανακλά τη μεγάλη δημοσιονομική τόνωση, τις βελτιωμένες προοπτικές του εξωτερικού περιβάλλοντος, και κυρίως την πρόοδο των προγραμμάτων </w:t>
      </w:r>
      <w:r w:rsidRPr="001017B6">
        <w:rPr>
          <w:rFonts w:eastAsia="Times New Roman" w:cstheme="minorHAnsi"/>
          <w:szCs w:val="24"/>
        </w:rPr>
        <w:lastRenderedPageBreak/>
        <w:t xml:space="preserve">εμβολιασμού. </w:t>
      </w:r>
      <w:r w:rsidRPr="001017B6">
        <w:rPr>
          <w:rFonts w:eastAsia="Times New Roman" w:cstheme="minorHAnsi"/>
          <w:bCs/>
          <w:szCs w:val="24"/>
        </w:rPr>
        <w:t>Εντούτοις, η ανάκαμψη προβλέπεται ασύγχρονη</w:t>
      </w:r>
      <w:r w:rsidRPr="001017B6">
        <w:rPr>
          <w:rFonts w:eastAsia="Times New Roman" w:cstheme="minorHAnsi"/>
          <w:szCs w:val="24"/>
        </w:rPr>
        <w:t xml:space="preserve"> στην Ευρωζώνη, αντανακλώντας διαφοροποιήσεις μεταξύ χωρών ως προς τη σοβαρότητα της πανδημίας, την αυστηρότητα και τη διάρκεια των μέτρων ανάσχεσης, την έκθεση στον τουρισμό και τις δραστηριότητες αναψυχής και την έκταση και την έγκαιρη εφαρμογή των αποκρίσεων πολιτικής. Ως αποτέλεσμα, ορισμένες χώρες αναμένεται να φθάσουν κοντά στα προ κρίσης επίπεδα οικονομικής δραστηριότητας έως το τέλος του 2021, ενώ ορισμένες άλλες μόνο μετά το τέλος του 2022.</w:t>
      </w:r>
    </w:p>
    <w:p w:rsidR="00983A86" w:rsidRPr="001017B6" w:rsidRDefault="00983A86" w:rsidP="00983A86">
      <w:pPr>
        <w:pStyle w:val="Web"/>
        <w:spacing w:before="0" w:beforeAutospacing="0" w:after="200" w:afterAutospacing="0" w:line="276" w:lineRule="auto"/>
        <w:jc w:val="both"/>
        <w:textAlignment w:val="baseline"/>
        <w:rPr>
          <w:rFonts w:asciiTheme="minorHAnsi" w:hAnsiTheme="minorHAnsi" w:cstheme="minorHAnsi"/>
          <w:sz w:val="22"/>
          <w:lang w:eastAsia="en-US"/>
        </w:rPr>
      </w:pPr>
      <w:r w:rsidRPr="001017B6">
        <w:rPr>
          <w:rFonts w:asciiTheme="minorHAnsi" w:hAnsiTheme="minorHAnsi" w:cstheme="minorHAnsi"/>
          <w:sz w:val="22"/>
          <w:lang w:eastAsia="en-US"/>
        </w:rPr>
        <w:t xml:space="preserve">Όσον αφορά τις συνιστώσες του ΑΕΠ στο σύνολο της Ευρωζώνης, η ιδιωτική κατανάλωση αναμένεται να ανακάμψει σημαντικά το 2021 και να παραμείνει η βασική κινητήρια δύναμη της ανάκαμψης βραχυπρόθεσμα και μεσοπρόθεσμα. Η ανάκαμψη αυτή εκτιμάται ότι θα στηριχθεί από τη σταδιακή μείωση της αβεβαιότητας και την ισχυρή αύξηση της ζήτησης, στη βάση αναπλήρωσης των χαμένων ευκαιριών κατανάλωσης του προηγούμενου διαστήματος. Το ποσοστό αποταμίευσης αναμένεται να επανέλθει στο προ της κρίσης επίπεδό του, καθώς τόσο </w:t>
      </w:r>
      <w:r>
        <w:rPr>
          <w:rFonts w:asciiTheme="minorHAnsi" w:hAnsiTheme="minorHAnsi" w:cstheme="minorHAnsi"/>
          <w:sz w:val="22"/>
          <w:lang w:eastAsia="en-US"/>
        </w:rPr>
        <w:t>οι περιορισμένες δυνατότητες κατανάλωσης,</w:t>
      </w:r>
      <w:r w:rsidRPr="001017B6">
        <w:rPr>
          <w:rFonts w:asciiTheme="minorHAnsi" w:hAnsiTheme="minorHAnsi" w:cstheme="minorHAnsi"/>
          <w:sz w:val="22"/>
          <w:lang w:eastAsia="en-US"/>
        </w:rPr>
        <w:t xml:space="preserve"> όσο και η αποταμίευση για λόγους πρόνοιας αναμένεται να εξαλειφθούν σταδιακά. </w:t>
      </w:r>
    </w:p>
    <w:p w:rsidR="00CF389F" w:rsidRPr="001017B6" w:rsidRDefault="00CF389F" w:rsidP="006B589B">
      <w:pPr>
        <w:pStyle w:val="Web"/>
        <w:spacing w:before="0" w:beforeAutospacing="0" w:after="200" w:afterAutospacing="0" w:line="276" w:lineRule="auto"/>
        <w:jc w:val="both"/>
        <w:textAlignment w:val="baseline"/>
        <w:rPr>
          <w:rFonts w:asciiTheme="minorHAnsi" w:hAnsiTheme="minorHAnsi" w:cstheme="minorHAnsi"/>
          <w:sz w:val="22"/>
          <w:lang w:eastAsia="en-US"/>
        </w:rPr>
      </w:pPr>
      <w:r w:rsidRPr="001017B6">
        <w:rPr>
          <w:rFonts w:asciiTheme="minorHAnsi" w:hAnsiTheme="minorHAnsi" w:cstheme="minorHAnsi"/>
          <w:sz w:val="22"/>
          <w:lang w:eastAsia="en-US"/>
        </w:rPr>
        <w:t>Αντίστοιχη τάση ανάκαμψης αναμένεται στις επιχειρηματικές επενδύσεις το 2021 και το 2022, φθάνοντας το προ της κρίσης επίπεδό τους ήδη στις αρχές του 2022.  Η εξέλιξη αυτή αντανακλά την αναμενόμενη αύξηση της εξωτερικής και εγχώριας ζήτησης, καθώς και ευνοϊκούς όρους χρηματοδότησης και τον θετικό αντίκτυπο των πόρων του προγράμματος N</w:t>
      </w:r>
      <w:r w:rsidRPr="001017B6">
        <w:rPr>
          <w:rFonts w:asciiTheme="minorHAnsi" w:hAnsiTheme="minorHAnsi" w:cstheme="minorHAnsi"/>
          <w:sz w:val="22"/>
          <w:lang w:val="en-US" w:eastAsia="en-US"/>
        </w:rPr>
        <w:t>ext</w:t>
      </w:r>
      <w:r w:rsidRPr="001017B6">
        <w:rPr>
          <w:rFonts w:asciiTheme="minorHAnsi" w:hAnsiTheme="minorHAnsi" w:cstheme="minorHAnsi"/>
          <w:sz w:val="22"/>
          <w:lang w:eastAsia="en-US"/>
        </w:rPr>
        <w:t xml:space="preserve"> G</w:t>
      </w:r>
      <w:proofErr w:type="spellStart"/>
      <w:r w:rsidRPr="001017B6">
        <w:rPr>
          <w:rFonts w:asciiTheme="minorHAnsi" w:hAnsiTheme="minorHAnsi" w:cstheme="minorHAnsi"/>
          <w:sz w:val="22"/>
          <w:lang w:val="en-US" w:eastAsia="en-US"/>
        </w:rPr>
        <w:t>eneration</w:t>
      </w:r>
      <w:proofErr w:type="spellEnd"/>
      <w:r w:rsidRPr="001017B6">
        <w:rPr>
          <w:rFonts w:asciiTheme="minorHAnsi" w:hAnsiTheme="minorHAnsi" w:cstheme="minorHAnsi"/>
          <w:sz w:val="22"/>
          <w:lang w:eastAsia="en-US"/>
        </w:rPr>
        <w:t xml:space="preserve"> EU.</w:t>
      </w:r>
    </w:p>
    <w:p w:rsidR="00983A86" w:rsidRPr="001017B6" w:rsidRDefault="00983A86" w:rsidP="00983A86">
      <w:pPr>
        <w:jc w:val="both"/>
        <w:rPr>
          <w:rFonts w:eastAsia="Times New Roman" w:cstheme="minorHAnsi"/>
          <w:szCs w:val="24"/>
        </w:rPr>
      </w:pPr>
      <w:r w:rsidRPr="001017B6">
        <w:rPr>
          <w:rFonts w:eastAsia="Times New Roman" w:cstheme="minorHAnsi"/>
          <w:szCs w:val="24"/>
        </w:rPr>
        <w:t>Από την άλλη πλευρά, οι οικονομικές εξελίξεις του 2020 οδήγησαν σε απότομη αύξηση των δημόσιων ελλειμμάτων και επιβάρυναν τους λόγους δημόσιου χρέους</w:t>
      </w:r>
      <w:r>
        <w:rPr>
          <w:rFonts w:eastAsia="Times New Roman" w:cstheme="minorHAnsi"/>
          <w:szCs w:val="24"/>
        </w:rPr>
        <w:t xml:space="preserve"> προς ΑΕΠ</w:t>
      </w:r>
      <w:r w:rsidRPr="001017B6">
        <w:rPr>
          <w:rFonts w:eastAsia="Times New Roman" w:cstheme="minorHAnsi"/>
          <w:szCs w:val="24"/>
        </w:rPr>
        <w:t xml:space="preserve"> των κρατών μελών της Ευρωζώνης. </w:t>
      </w:r>
      <w:r w:rsidRPr="001017B6">
        <w:rPr>
          <w:rFonts w:eastAsia="Times New Roman" w:cstheme="minorHAnsi"/>
          <w:bCs/>
          <w:szCs w:val="24"/>
        </w:rPr>
        <w:t xml:space="preserve">Το έλλειμμα του ισοζυγίου της Γενικής Κυβέρνησης το 2021 </w:t>
      </w:r>
      <w:r w:rsidRPr="001017B6">
        <w:rPr>
          <w:rFonts w:eastAsia="Times New Roman" w:cstheme="minorHAnsi"/>
          <w:szCs w:val="24"/>
        </w:rPr>
        <w:t xml:space="preserve">αναμένεται να αυξηθεί κατά 0,5 ποσοστιαία μονάδα, σε 7,5% του ΑΕΠ στην Ευρωπαϊκή Ένωση, και κατά 0,75 ποσοστιαίες μονάδες, σε 8% του ΑΕΠ στην Ευρωζώνη. Το 2022, ωστόσο, το έλλειμμα προβλέπεται να βελτιωθεί, ευρισκόμενο </w:t>
      </w:r>
      <w:r w:rsidRPr="001017B6">
        <w:rPr>
          <w:rFonts w:cstheme="minorHAnsi"/>
          <w:szCs w:val="24"/>
        </w:rPr>
        <w:t>λίγο κάτω από το 4%, στην ΕΕ και την Ευρωζώνη σύμφωνα με την Ευρωπαϊκή Επιτροπή.</w:t>
      </w:r>
    </w:p>
    <w:p w:rsidR="00CF389F" w:rsidRPr="001017B6" w:rsidRDefault="00CF389F" w:rsidP="006B589B">
      <w:pPr>
        <w:jc w:val="both"/>
        <w:rPr>
          <w:rFonts w:eastAsia="Times New Roman" w:cstheme="minorHAnsi"/>
          <w:szCs w:val="24"/>
        </w:rPr>
      </w:pPr>
      <w:r w:rsidRPr="001017B6">
        <w:rPr>
          <w:rFonts w:eastAsia="Times New Roman" w:cstheme="minorHAnsi"/>
          <w:szCs w:val="24"/>
        </w:rPr>
        <w:t xml:space="preserve">Στον εξωτερικό τομέα της οικονομίας, το πλεόνασμα του ισοζυγίου τρεχουσών συναλλαγών της Ευρωζώνης προβλέπεται να αυξηθεί και να διαμορφωθεί σε 3,1% το 2021 και 2022, με την αναμενόμενη αύξηση της εξωτερικής ζήτησης να συμβάλλει και στην αύξηση των εξαγωγών υπηρεσιών. </w:t>
      </w:r>
    </w:p>
    <w:p w:rsidR="00CF389F" w:rsidRPr="001017B6" w:rsidRDefault="00CF389F" w:rsidP="006B589B">
      <w:pPr>
        <w:jc w:val="both"/>
        <w:rPr>
          <w:rFonts w:eastAsia="Times New Roman" w:cstheme="minorHAnsi"/>
          <w:b/>
          <w:szCs w:val="24"/>
        </w:rPr>
      </w:pPr>
      <w:r w:rsidRPr="001017B6">
        <w:rPr>
          <w:rFonts w:eastAsia="Times New Roman" w:cstheme="minorHAnsi"/>
          <w:szCs w:val="24"/>
        </w:rPr>
        <w:t xml:space="preserve">Σε </w:t>
      </w:r>
      <w:proofErr w:type="spellStart"/>
      <w:r w:rsidRPr="001017B6">
        <w:rPr>
          <w:rFonts w:eastAsia="Times New Roman" w:cstheme="minorHAnsi"/>
          <w:szCs w:val="24"/>
        </w:rPr>
        <w:t>ό,τι</w:t>
      </w:r>
      <w:proofErr w:type="spellEnd"/>
      <w:r w:rsidRPr="001017B6">
        <w:rPr>
          <w:rFonts w:eastAsia="Times New Roman" w:cstheme="minorHAnsi"/>
          <w:szCs w:val="24"/>
        </w:rPr>
        <w:t xml:space="preserve"> αφορά τις αγορές εργασίας, το πρόγραμμα </w:t>
      </w:r>
      <w:r w:rsidRPr="001017B6">
        <w:rPr>
          <w:rFonts w:eastAsia="Times New Roman" w:cstheme="minorHAnsi"/>
          <w:szCs w:val="24"/>
          <w:lang w:val="en-US"/>
        </w:rPr>
        <w:t>SURE</w:t>
      </w:r>
      <w:r w:rsidRPr="001017B6">
        <w:rPr>
          <w:rFonts w:eastAsia="Times New Roman" w:cstheme="minorHAnsi"/>
          <w:szCs w:val="24"/>
        </w:rPr>
        <w:t xml:space="preserve">, σε συνδυασμό με τα εθνικά μέτρα στήριξης, αποτελούν ανάχωμα στην αύξηση της ανεργίας. Μετά από μια βραχυπρόθεσμη αύξηση της κατά 0,6 ποσοστιαίες μονάδες το 2021, στο 8,4% του εργατικού δυναμικού, το 2022 η ανεργία στην Ευρωζώνη αναμένεται να υποχωρήσει στο 7,8%, το οποίο είναι το επίπεδο του 2020 και κοντά στο επίπεδο του 2019 (7,5%). </w:t>
      </w:r>
    </w:p>
    <w:p w:rsidR="00CF389F" w:rsidRPr="001017B6" w:rsidRDefault="00CF389F" w:rsidP="006B589B">
      <w:pPr>
        <w:jc w:val="both"/>
        <w:textAlignment w:val="baseline"/>
        <w:rPr>
          <w:rFonts w:eastAsia="Times New Roman" w:cstheme="minorHAnsi"/>
          <w:szCs w:val="24"/>
        </w:rPr>
      </w:pPr>
      <w:r w:rsidRPr="001017B6">
        <w:rPr>
          <w:rFonts w:eastAsia="Times New Roman" w:cstheme="minorHAnsi"/>
          <w:szCs w:val="24"/>
        </w:rPr>
        <w:t>Αναφορικά με τον π</w:t>
      </w:r>
      <w:r w:rsidRPr="001017B6">
        <w:rPr>
          <w:rFonts w:eastAsia="Times New Roman" w:cstheme="minorHAnsi"/>
          <w:bCs/>
          <w:szCs w:val="24"/>
        </w:rPr>
        <w:t>ληθωρισμό, σ</w:t>
      </w:r>
      <w:r w:rsidRPr="001017B6">
        <w:rPr>
          <w:rFonts w:eastAsia="Times New Roman" w:cstheme="minorHAnsi"/>
          <w:szCs w:val="24"/>
        </w:rPr>
        <w:t>ύμφωνα με τις εκτιμήσεις Μαρτίου 2021 της Ευρωπαϊκής Κεντρικής Τράπεζας, αναμένεται να επιταχυνθεί το 2021 σε 1,5%</w:t>
      </w:r>
      <w:r w:rsidRPr="001017B6">
        <w:rPr>
          <w:rStyle w:val="af1"/>
          <w:rFonts w:eastAsia="Times New Roman" w:cstheme="minorHAnsi"/>
          <w:szCs w:val="24"/>
        </w:rPr>
        <w:footnoteReference w:id="7"/>
      </w:r>
      <w:r w:rsidRPr="001017B6">
        <w:rPr>
          <w:rFonts w:eastAsia="Times New Roman" w:cstheme="minorHAnsi"/>
          <w:szCs w:val="24"/>
        </w:rPr>
        <w:t xml:space="preserve"> από 0,3% το 2020, με κυρίαρχες τις επιδράσεις της πρόσφατης αύξησης των τιμών του πετρελαίου</w:t>
      </w:r>
      <w:r w:rsidRPr="001017B6">
        <w:rPr>
          <w:rStyle w:val="af1"/>
          <w:rFonts w:eastAsia="Times New Roman" w:cstheme="minorHAnsi"/>
          <w:szCs w:val="24"/>
        </w:rPr>
        <w:footnoteReference w:id="8"/>
      </w:r>
      <w:r w:rsidRPr="001017B6">
        <w:rPr>
          <w:rFonts w:eastAsia="Times New Roman" w:cstheme="minorHAnsi"/>
          <w:szCs w:val="24"/>
        </w:rPr>
        <w:t>, αλλά και της συνεχιζόμενης οικονομικής ανάκαμψης. Μεσοπρόθεσμα, οι υποκείμενες πιέσεις στις τιμές αναμένεται να παραμείνουν συγκρατημένες και να ενισχυθούν μόνο σταδιακά, συμβαδίζοντας με την οικονομική ανάκαμψη.</w:t>
      </w:r>
    </w:p>
    <w:p w:rsidR="00ED5382" w:rsidRPr="001017B6" w:rsidRDefault="00ED5382" w:rsidP="00ED5382">
      <w:pPr>
        <w:jc w:val="both"/>
        <w:rPr>
          <w:rFonts w:eastAsia="Times New Roman" w:cstheme="minorHAnsi"/>
          <w:szCs w:val="24"/>
        </w:rPr>
      </w:pPr>
      <w:r w:rsidRPr="001017B6">
        <w:rPr>
          <w:rFonts w:eastAsia="Times New Roman" w:cstheme="minorHAnsi"/>
          <w:bCs/>
          <w:szCs w:val="24"/>
        </w:rPr>
        <w:t xml:space="preserve">Με βάση τα </w:t>
      </w:r>
      <w:r>
        <w:rPr>
          <w:rFonts w:eastAsia="Times New Roman" w:cstheme="minorHAnsi"/>
          <w:bCs/>
          <w:szCs w:val="24"/>
        </w:rPr>
        <w:t>ανωτέρω</w:t>
      </w:r>
      <w:r w:rsidRPr="001017B6">
        <w:rPr>
          <w:rFonts w:eastAsia="Times New Roman" w:cstheme="minorHAnsi"/>
          <w:bCs/>
          <w:szCs w:val="24"/>
        </w:rPr>
        <w:t xml:space="preserve">, οι κίνδυνοι και οι ευκαιρίες για τις προοπτικές της ανάπτυξης στην Ευρωζώνη παραμένουν υψηλοί, ωστόσο το ισοζύγιό τους προδιαγράφεται ισορροπημένο. Από τη μία πλευρά, οι κίνδυνοι συνδέονται κυρίως με την εξέλιξη της πανδημίας και την επιτυχία των εκστρατειών εμβολιασμού, καθώς τυχόν καθυστερήσεις ενδέχεται να </w:t>
      </w:r>
      <w:r w:rsidRPr="001017B6">
        <w:rPr>
          <w:rFonts w:eastAsia="Times New Roman" w:cstheme="minorHAnsi"/>
          <w:szCs w:val="24"/>
        </w:rPr>
        <w:t xml:space="preserve">αφήσουν βαθύτερες πληγές στον ευρωπαϊκό οικονομικό και κοινωνικό ιστό, μέσω </w:t>
      </w:r>
      <w:r w:rsidRPr="001017B6">
        <w:rPr>
          <w:rFonts w:eastAsia="Times New Roman" w:cstheme="minorHAnsi"/>
          <w:szCs w:val="24"/>
        </w:rPr>
        <w:lastRenderedPageBreak/>
        <w:t>πτωχεύσεων, μακροχρόνιας ανεργίας και αύξησης των ανισοτήτων</w:t>
      </w:r>
      <w:r w:rsidRPr="001017B6">
        <w:rPr>
          <w:rFonts w:eastAsia="Times New Roman" w:cstheme="minorHAnsi"/>
          <w:bCs/>
          <w:szCs w:val="24"/>
        </w:rPr>
        <w:t xml:space="preserve">. Ακόμα, </w:t>
      </w:r>
      <w:r w:rsidRPr="001017B6">
        <w:rPr>
          <w:rFonts w:eastAsia="Times New Roman" w:cstheme="minorHAnsi"/>
          <w:szCs w:val="24"/>
        </w:rPr>
        <w:t xml:space="preserve">μεγάλες αποκλίσεις στην ταχύτητα ανάκαμψης θα μπορούσαν να προκαλέσουν διαταραχή στη λειτουργία της εσωτερικής αγοράς, ενώ η διαμόρφωση των λόγων δημόσιου χρέους προς ΑΕΠ λόγω της πανδημίας θέτει κινδύνους για λιγότερο ευνοϊκές πορείες βιωσιμότητας μεσοπρόθεσμα. </w:t>
      </w:r>
    </w:p>
    <w:p w:rsidR="00B52B12" w:rsidRPr="00ED5382" w:rsidRDefault="00ED5382" w:rsidP="006B589B">
      <w:pPr>
        <w:jc w:val="both"/>
        <w:rPr>
          <w:b/>
          <w:bCs/>
          <w:sz w:val="20"/>
          <w:szCs w:val="24"/>
        </w:rPr>
      </w:pPr>
      <w:r w:rsidRPr="001017B6">
        <w:rPr>
          <w:rFonts w:eastAsia="Times New Roman" w:cstheme="minorHAnsi"/>
          <w:bCs/>
          <w:szCs w:val="24"/>
        </w:rPr>
        <w:t>Από την άλλη πλευρά, στις ευκαιρίες περιλαμβάνονται το</w:t>
      </w:r>
      <w:r w:rsidRPr="001017B6">
        <w:rPr>
          <w:rFonts w:eastAsia="Times New Roman" w:cstheme="minorHAnsi"/>
          <w:szCs w:val="24"/>
        </w:rPr>
        <w:t xml:space="preserve"> ενδεχόμενο έντονο αίσθημα αισιοδοξίας μετά το τέλος της πανδημίας, που ενδέχεται να οδηγήσει σε μεγαλύτερη </w:t>
      </w:r>
      <w:r>
        <w:rPr>
          <w:rFonts w:eastAsia="Times New Roman" w:cstheme="minorHAnsi"/>
          <w:szCs w:val="24"/>
        </w:rPr>
        <w:t>ενίσχυση</w:t>
      </w:r>
      <w:r w:rsidRPr="001017B6">
        <w:rPr>
          <w:rFonts w:eastAsia="Times New Roman" w:cstheme="minorHAnsi"/>
          <w:szCs w:val="24"/>
        </w:rPr>
        <w:t xml:space="preserve"> της ζήτησης για κατανάλωση και των επενδύσεων, καθώς και οι δυνητικά ευμενέστερες του αναμενόμενου προοπτικές στο εξωτερικό περιβάλλον της Ευρωζώνης. Τέλος, το Ταμείο Ανάκαμψης και Ανθεκτικότητας συνδέεται τόσο με κινδύνους όσο και με ευκαιρίες σε ευρωπαϊκό επίπεδο, όσον αφορά την ταχύτητα υλοποίησής του, την αποτελεσματική απορρόφηση πόρων και την αποδοτική επιλογή επενδυτικών έργων</w:t>
      </w:r>
      <w:r w:rsidRPr="00ED5382">
        <w:rPr>
          <w:rFonts w:eastAsia="Times New Roman" w:cstheme="minorHAnsi"/>
          <w:szCs w:val="24"/>
        </w:rPr>
        <w:t>.</w:t>
      </w:r>
    </w:p>
    <w:p w:rsidR="00CF389F" w:rsidRPr="001017B6" w:rsidRDefault="00CF389F" w:rsidP="006B589B">
      <w:pPr>
        <w:jc w:val="both"/>
        <w:rPr>
          <w:rFonts w:eastAsiaTheme="majorEastAsia" w:cstheme="majorBidi"/>
          <w:b/>
          <w:bCs/>
          <w:color w:val="365F91" w:themeColor="accent1" w:themeShade="BF"/>
          <w:szCs w:val="24"/>
        </w:rPr>
      </w:pPr>
      <w:r w:rsidRPr="001017B6">
        <w:rPr>
          <w:rFonts w:eastAsiaTheme="majorEastAsia" w:cstheme="majorBidi"/>
          <w:b/>
          <w:bCs/>
          <w:color w:val="365F91" w:themeColor="accent1" w:themeShade="BF"/>
          <w:szCs w:val="24"/>
        </w:rPr>
        <w:t>Ελληνική Οικονομία</w:t>
      </w:r>
    </w:p>
    <w:p w:rsidR="00545A4C" w:rsidRPr="001017B6" w:rsidRDefault="00CF389F" w:rsidP="006B589B">
      <w:pPr>
        <w:jc w:val="both"/>
        <w:rPr>
          <w:rFonts w:eastAsiaTheme="majorEastAsia" w:cstheme="majorBidi"/>
          <w:b/>
          <w:bCs/>
          <w:color w:val="365F91" w:themeColor="accent1" w:themeShade="BF"/>
          <w:szCs w:val="24"/>
        </w:rPr>
      </w:pPr>
      <w:r w:rsidRPr="001017B6">
        <w:rPr>
          <w:rFonts w:eastAsiaTheme="majorEastAsia" w:cstheme="majorBidi"/>
          <w:b/>
          <w:bCs/>
          <w:color w:val="365F91" w:themeColor="accent1" w:themeShade="BF"/>
          <w:szCs w:val="24"/>
        </w:rPr>
        <w:t>Οικονομικές εξελίξεις το 2020</w:t>
      </w:r>
    </w:p>
    <w:p w:rsidR="00CF389F" w:rsidRPr="001017B6" w:rsidRDefault="00CF389F" w:rsidP="006B589B">
      <w:pPr>
        <w:jc w:val="both"/>
        <w:rPr>
          <w:rFonts w:eastAsiaTheme="majorEastAsia" w:cstheme="majorBidi"/>
          <w:b/>
          <w:bCs/>
          <w:color w:val="365F91" w:themeColor="accent1" w:themeShade="BF"/>
          <w:szCs w:val="24"/>
        </w:rPr>
      </w:pPr>
      <w:r w:rsidRPr="001017B6">
        <w:rPr>
          <w:szCs w:val="24"/>
        </w:rPr>
        <w:t xml:space="preserve">Το 2019, ο επανασχεδιασμός της οικονομικής πολιτικής στην Ελλάδα έθεσε τις βάσεις για την πραγματοποίηση υψηλών ρυθμών ανάπτυξης με διατηρήσιμο τρόπο σε μεσοπρόθεσμο και μακροπρόθεσμο ορίζοντα. </w:t>
      </w:r>
    </w:p>
    <w:p w:rsidR="00CF389F" w:rsidRPr="001017B6" w:rsidRDefault="00CF389F" w:rsidP="006B589B">
      <w:pPr>
        <w:jc w:val="both"/>
        <w:rPr>
          <w:szCs w:val="24"/>
        </w:rPr>
      </w:pPr>
      <w:r w:rsidRPr="001017B6">
        <w:rPr>
          <w:szCs w:val="24"/>
        </w:rPr>
        <w:t>Οι τρεις βασικοί πυλώνες της νέας οικονομικής πολιτικής που εφαρμόστηκε από το δεύτερο εξάμηνο του 2019 στόχευαν (α) στην εξάλειψη των υπερβάσεων των δημοσιονομικών στόχων, που κόστισαν στην ελληνική οικονομία σε όρους οικονομικής μεγέθυνσης την περίοδο 2016-2018,</w:t>
      </w:r>
      <w:r w:rsidRPr="001017B6">
        <w:rPr>
          <w:color w:val="FF0000"/>
          <w:szCs w:val="24"/>
        </w:rPr>
        <w:t xml:space="preserve"> </w:t>
      </w:r>
      <w:r w:rsidRPr="001017B6">
        <w:rPr>
          <w:szCs w:val="24"/>
        </w:rPr>
        <w:t xml:space="preserve">(β) στην άμεση εφαρμογή δημοσιονομικών μέτρων τόνωσης της εγχώριας ζήτησης και του διαθέσιμου εισοδήματος των πολιτών, με παράλληλη καταπολέμηση της παραοικονομίας, και (γ) στην ενίσχυση του δυνητικού προϊόντος, ανακόπτοντας τη μείωση του αποθέματος φυσικού κεφαλαίου της οικονομίας, επιταχύνοντας τις διαρθρωτικές μεταρρυθμίσεις, και σχεδιάζοντας πολιτικές υπέρ της διόρθωσης των μακροοικονομικών ανισορροπιών της ελληνικής οικονομίας.  </w:t>
      </w:r>
    </w:p>
    <w:p w:rsidR="00CF389F" w:rsidRPr="001017B6" w:rsidRDefault="00CF389F" w:rsidP="006B589B">
      <w:pPr>
        <w:jc w:val="both"/>
        <w:rPr>
          <w:szCs w:val="24"/>
        </w:rPr>
      </w:pPr>
      <w:r w:rsidRPr="001017B6">
        <w:rPr>
          <w:szCs w:val="24"/>
        </w:rPr>
        <w:t xml:space="preserve">Παρά την εξασθενημένη διεθνή οικονομική συγκυρία, ως τους πρώτους μήνες του 2020 ο νέος οικονομικός σχεδιασμός είχε αρχίσει να αποφέρει οφέλη για τις αναπτυξιακές προοπτικές της ελληνικής οικονομίας, όπως αποτυπώθηκε στον πρώτο τομέα που επηρεάζεται από τις αλλαγές πολιτικής, εκείνον της οικονομικής εμπιστοσύνης, των επιχειρηματικών προσδοκιών, και των αποδόσεων των κρατικών τίτλων. Ως το τέλος του 2019, </w:t>
      </w:r>
      <w:r w:rsidRPr="001017B6">
        <w:rPr>
          <w:rStyle w:val="jlqj4b"/>
          <w:szCs w:val="24"/>
        </w:rPr>
        <w:t xml:space="preserve">οι αποδόσεις των ελληνικών κρατικών ομολόγων είχαν φτάσει στο χαμηλότερο επίπεδό τους από την υιοθέτηση του ευρώ, καταδεικνύοντας ότι η ελληνική οικονομία ήταν διαρθρωτικά πιο ανθεκτική στην αρχή της πανδημίας από </w:t>
      </w:r>
      <w:proofErr w:type="spellStart"/>
      <w:r w:rsidRPr="001017B6">
        <w:rPr>
          <w:rStyle w:val="jlqj4b"/>
          <w:szCs w:val="24"/>
        </w:rPr>
        <w:t>ό,τι</w:t>
      </w:r>
      <w:proofErr w:type="spellEnd"/>
      <w:r w:rsidRPr="001017B6">
        <w:rPr>
          <w:rStyle w:val="jlqj4b"/>
          <w:szCs w:val="24"/>
        </w:rPr>
        <w:t xml:space="preserve"> στην αρχή της κρίσης δημόσιου χρέους.</w:t>
      </w:r>
    </w:p>
    <w:p w:rsidR="00ED5382" w:rsidRPr="001017B6" w:rsidRDefault="00ED5382" w:rsidP="00ED5382">
      <w:pPr>
        <w:jc w:val="both"/>
        <w:rPr>
          <w:szCs w:val="24"/>
        </w:rPr>
      </w:pPr>
      <w:r w:rsidRPr="001017B6">
        <w:rPr>
          <w:szCs w:val="24"/>
        </w:rPr>
        <w:t xml:space="preserve">Ωστόσο, η διεθνής ραγδαία εξάπλωση της νόσου </w:t>
      </w:r>
      <w:proofErr w:type="spellStart"/>
      <w:r w:rsidRPr="001017B6">
        <w:rPr>
          <w:szCs w:val="24"/>
          <w:lang w:val="en-US"/>
        </w:rPr>
        <w:t>Covid</w:t>
      </w:r>
      <w:proofErr w:type="spellEnd"/>
      <w:r w:rsidRPr="001017B6">
        <w:rPr>
          <w:szCs w:val="24"/>
        </w:rPr>
        <w:t xml:space="preserve">-19, που </w:t>
      </w:r>
      <w:r>
        <w:rPr>
          <w:szCs w:val="24"/>
        </w:rPr>
        <w:t xml:space="preserve">από </w:t>
      </w:r>
      <w:r w:rsidRPr="001017B6">
        <w:rPr>
          <w:szCs w:val="24"/>
        </w:rPr>
        <w:t xml:space="preserve">τον Μάρτιο του 2020 έλαβε και στην Ελλάδα διαστάσεις πανδημίας, δεν επέτρεψε στην ελληνική οικονομία να </w:t>
      </w:r>
      <w:r>
        <w:rPr>
          <w:szCs w:val="24"/>
        </w:rPr>
        <w:t>περάσει σε</w:t>
      </w:r>
      <w:r w:rsidRPr="001017B6">
        <w:rPr>
          <w:szCs w:val="24"/>
        </w:rPr>
        <w:t xml:space="preserve"> φάση ανάκαμψης του οικονομικού κύκλου.</w:t>
      </w:r>
    </w:p>
    <w:p w:rsidR="00CF389F" w:rsidRPr="001017B6" w:rsidRDefault="00CF389F" w:rsidP="006B589B">
      <w:pPr>
        <w:jc w:val="both"/>
        <w:rPr>
          <w:szCs w:val="24"/>
        </w:rPr>
      </w:pPr>
      <w:r w:rsidRPr="001017B6">
        <w:rPr>
          <w:szCs w:val="24"/>
        </w:rPr>
        <w:t xml:space="preserve">Η διασπορά του </w:t>
      </w:r>
      <w:proofErr w:type="spellStart"/>
      <w:r w:rsidRPr="001017B6">
        <w:rPr>
          <w:szCs w:val="24"/>
        </w:rPr>
        <w:t>κορωνοϊού</w:t>
      </w:r>
      <w:proofErr w:type="spellEnd"/>
      <w:r w:rsidRPr="001017B6">
        <w:rPr>
          <w:szCs w:val="24"/>
        </w:rPr>
        <w:t xml:space="preserve"> </w:t>
      </w:r>
      <w:proofErr w:type="spellStart"/>
      <w:r w:rsidRPr="001017B6">
        <w:rPr>
          <w:szCs w:val="24"/>
          <w:lang w:val="en-US"/>
        </w:rPr>
        <w:t>Covid</w:t>
      </w:r>
      <w:proofErr w:type="spellEnd"/>
      <w:r w:rsidRPr="001017B6">
        <w:rPr>
          <w:szCs w:val="24"/>
        </w:rPr>
        <w:t xml:space="preserve">-19 εξελίχθηκε με συμμετρικό τρόπο μεταξύ χωρών, με τη διεθνή κοινότητα να αντιλαμβάνεται σύντομα τη διττή φύση της πανδημίας ως κρίσης όχι μόνο υγειονομικής αλλά και οικονομικής, καθώς τα μέτρα περιορισμού του συγχρωτισμού και των μετακινήσεων παγκοσμίως προκειμένου να προστατευτεί η ανθρώπινη ζωή, επέφεραν βαρύ πλήγμα στην οικονομική δραστηριότητα. </w:t>
      </w:r>
    </w:p>
    <w:p w:rsidR="00CF389F" w:rsidRPr="001017B6" w:rsidRDefault="00CF389F" w:rsidP="006B589B">
      <w:pPr>
        <w:jc w:val="both"/>
        <w:rPr>
          <w:szCs w:val="24"/>
        </w:rPr>
      </w:pPr>
      <w:r w:rsidRPr="001017B6">
        <w:rPr>
          <w:szCs w:val="24"/>
        </w:rPr>
        <w:t xml:space="preserve">Παρότι από υγειονομικής άποψης η κρίση παρέμεινε πρωταρχικά συμμετρική, ήταν ακριβώς τα υγειονομικά χαρακτηριστικά της που κατά τη διάρκεια του 2020 κατέστησαν ασύμμετρες τις οικονομικές επιπτώσεις της μεταξύ κλάδων, αλλά και μεταξύ οικονομιών. </w:t>
      </w:r>
    </w:p>
    <w:p w:rsidR="00ED5382" w:rsidRPr="001017B6" w:rsidRDefault="00ED5382" w:rsidP="00ED5382">
      <w:pPr>
        <w:jc w:val="both"/>
        <w:rPr>
          <w:szCs w:val="24"/>
        </w:rPr>
      </w:pPr>
      <w:r w:rsidRPr="001017B6">
        <w:rPr>
          <w:szCs w:val="24"/>
        </w:rPr>
        <w:lastRenderedPageBreak/>
        <w:t xml:space="preserve">Αφενός, ασύμμετρη ήταν η επίδραση της πανδημίας στους διαφορετικούς κλάδους οικονομικής δραστηριότητας, καθώς η ανάγκη κοινωνικής αποστασιοποίησης επέβαλε σε συγκεκριμένους κλάδους υπηρεσιών πλήρη αναστολή λειτουργίας κατά τα διαστήματα έξαρσης της πανδημίας (υπηρεσίες </w:t>
      </w:r>
      <w:r>
        <w:rPr>
          <w:szCs w:val="24"/>
        </w:rPr>
        <w:t xml:space="preserve">εστίασης, </w:t>
      </w:r>
      <w:r w:rsidRPr="001017B6">
        <w:rPr>
          <w:szCs w:val="24"/>
        </w:rPr>
        <w:t xml:space="preserve">τουρισμού, τεχνών και ψυχαγωγίας, λιανεμπορίου), έναντι άλλων κλάδων που συνέχισαν να λειτουργούν, εμφανίζοντας περιορισμένες απώλειες ή και αύξηση του όγκου δραστηριότητάς τους (ταχυμεταφορές, </w:t>
      </w:r>
      <w:r>
        <w:rPr>
          <w:szCs w:val="24"/>
        </w:rPr>
        <w:t>καταστήματα τροφίμων</w:t>
      </w:r>
      <w:r w:rsidRPr="001017B6">
        <w:rPr>
          <w:szCs w:val="24"/>
        </w:rPr>
        <w:t xml:space="preserve">). </w:t>
      </w:r>
    </w:p>
    <w:p w:rsidR="00CF389F" w:rsidRPr="001017B6" w:rsidRDefault="00CF389F" w:rsidP="006B589B">
      <w:pPr>
        <w:jc w:val="both"/>
        <w:rPr>
          <w:szCs w:val="24"/>
        </w:rPr>
      </w:pPr>
      <w:r w:rsidRPr="001017B6">
        <w:rPr>
          <w:szCs w:val="24"/>
        </w:rPr>
        <w:t>Αφετέρου, οι οικονομικές επιπτώσεις της πανδημίας απέκλιναν και μεταξύ των χωρών, ανάλογα με τη έκθεση της κάθε οικονομίας στους άμεσα πληττόμενους κλάδους. Ιδίως η έκθεση των χωρών στον εξωτερικό τουρισμό αποτέλεσε παράγοντα-κλειδί για τη διαμόρφωση της τελικής οικονομικής επίπτωσης το 2020, καθώς ο παγκόσμιος τουρισμός επέστρεψε στο επίπεδο της δεκαετίας του 1990</w:t>
      </w:r>
      <w:r w:rsidRPr="001017B6">
        <w:rPr>
          <w:rStyle w:val="af1"/>
          <w:szCs w:val="24"/>
        </w:rPr>
        <w:footnoteReference w:id="9"/>
      </w:r>
      <w:r w:rsidRPr="001017B6">
        <w:rPr>
          <w:szCs w:val="24"/>
        </w:rPr>
        <w:t xml:space="preserve">. Άλλοι προσδιοριστικοί παράγοντες της εμφάνισης ασυμμετριών μεταξύ χωρών αφορούν προϋπάρχουσες δομικές διαφορές των οικονομιών όπως ο βαθμός ψηφιακής ανάπτυξης, η ευκολία πρόσβασης στη χρηματοδότηση, η διαθεσιμότητα δημοσιονομικών πόρων προς στήριξη των πληττόμενων κλάδων, και ο βαθμός ευελιξίας της αγοράς εργασίας. </w:t>
      </w:r>
    </w:p>
    <w:p w:rsidR="00CF389F" w:rsidRPr="001017B6" w:rsidRDefault="00CF389F" w:rsidP="006B589B">
      <w:pPr>
        <w:jc w:val="both"/>
        <w:rPr>
          <w:szCs w:val="24"/>
        </w:rPr>
      </w:pPr>
      <w:r w:rsidRPr="001017B6">
        <w:rPr>
          <w:szCs w:val="24"/>
        </w:rPr>
        <w:t>Αντιπαραβάλλοντας την Ελλάδα με τον μέσο όρο της Ευρωζώνης, αρχικώς η αποτύπωση της επίδρασης της πανδημίας στην ελληνική οικονομία ήταν ηπιότερη, οδηγώντας το πρώτο τρίμηνο του 2020 σε ύφεση 1,4% έναντι ύφεσης 3,0% στην Ευρωζώνη (σε ετήσια βάση μη εποχικά διορθωμένων στοιχείων). Σε αυτό συνετέλεσαν, η μεγαλύτερη δυναμική της ελληνικής οικονομίας την περίοδο ακριβώς πριν την πανδημία, το περιορισμένο διάστημα εντός του πρώτου τριμήνου για το οποίο ίσχυσε το πρώτο πάγωμα της οικονομικής και κοινωνικής δραστηριότητας (πρώτο «</w:t>
      </w:r>
      <w:r w:rsidRPr="001017B6">
        <w:rPr>
          <w:szCs w:val="24"/>
          <w:lang w:val="en-US"/>
        </w:rPr>
        <w:t>lockdown</w:t>
      </w:r>
      <w:r w:rsidRPr="001017B6">
        <w:rPr>
          <w:szCs w:val="24"/>
        </w:rPr>
        <w:t>»), αλλά και το διαχρονικά χαμηλό επίπεδο εξωτερικού τουρισμού στο πρώτο τρίμηνο του έτους.</w:t>
      </w:r>
    </w:p>
    <w:p w:rsidR="00CF389F" w:rsidRPr="001017B6" w:rsidRDefault="00CF389F" w:rsidP="006B589B">
      <w:pPr>
        <w:jc w:val="both"/>
        <w:rPr>
          <w:szCs w:val="24"/>
        </w:rPr>
      </w:pPr>
      <w:r w:rsidRPr="001017B6">
        <w:rPr>
          <w:szCs w:val="24"/>
        </w:rPr>
        <w:t xml:space="preserve">Η τάση αυτή αντιστράφηκε από το δεύτερο τρίμηνο του 2020, οδηγώντας στο σύνολο του 2020 στην προς τα πάνω απόκλιση της ύφεσης στην Ελλάδα κατά 1,6 ποσοστιαία μονάδα του ΑΕΠ έναντι του μέσου όρου της Ευρωζώνης. </w:t>
      </w:r>
    </w:p>
    <w:p w:rsidR="00CF389F" w:rsidRPr="001017B6" w:rsidRDefault="00CF389F" w:rsidP="006B589B">
      <w:pPr>
        <w:jc w:val="both"/>
        <w:rPr>
          <w:szCs w:val="24"/>
        </w:rPr>
      </w:pPr>
      <w:r w:rsidRPr="001017B6">
        <w:rPr>
          <w:szCs w:val="24"/>
        </w:rPr>
        <w:t xml:space="preserve">Ειδικότερα, στο δεύτερο τρίμηνο, το προβάδισμα της ελληνικής οικονομίας εξανεμίστηκε καθώς, πέρα από τα εσωτερικά μέτρα κοινωνικής αποστασιοποίησης που κάλυψαν χρονικό διάστημα μεγαλύτερο του 1/3 του τριμήνου, οι εκτεταμένοι περιορισμοί στις διεθνείς μετακινήσεις έπληξαν σχεδόν ολοσχερώς (-97% σε ετήσια βάση) τις τουριστικές εισπράξεις του τριμήνου (το οποίο αποτελεί διαχρονικά το δεύτερο πιο σημαντικό σε όρους εισπράξεων μετά την περίοδο Ιουλίου-Σεπτεμβρίου). </w:t>
      </w:r>
    </w:p>
    <w:p w:rsidR="00CF389F" w:rsidRPr="001017B6" w:rsidRDefault="00CF389F" w:rsidP="006B589B">
      <w:pPr>
        <w:jc w:val="both"/>
        <w:rPr>
          <w:szCs w:val="24"/>
        </w:rPr>
      </w:pPr>
      <w:r w:rsidRPr="001017B6">
        <w:rPr>
          <w:szCs w:val="24"/>
        </w:rPr>
        <w:t xml:space="preserve">Ωστόσο, το καθοριστικό τρίμηνο του έτους για την απόκλιση της ύφεσης του 2020 μεταξύ Ελλάδας και Ευρωζώνης ήταν το τρίτο, κατά το οποίο η ανάκαμψη έναντι του προηγούμενου τριμήνου περιορίστηκε σε </w:t>
      </w:r>
      <w:proofErr w:type="spellStart"/>
      <w:r w:rsidRPr="001017B6">
        <w:rPr>
          <w:szCs w:val="24"/>
        </w:rPr>
        <w:t>υποτετραπλάσιο</w:t>
      </w:r>
      <w:proofErr w:type="spellEnd"/>
      <w:r w:rsidRPr="001017B6">
        <w:rPr>
          <w:szCs w:val="24"/>
        </w:rPr>
        <w:t xml:space="preserve"> ποσοστό του μέσου όρου της Ευρωζώνης. Σε αυτό συνέβαλαν τα εποχιακά χαρακτηριστικά του ελληνικού εξωτερικού τουρισμού, με τη διαχρονικά μέγιστη έκθεση της οικονομίας στον τουρισμό να σημειώνεται στο τρίτο τρίμηνο του έτους, γεγονός που οδήγησε σε μείωση των τουριστικών εισπράξεων του τριμήνου κατά 7,8 δισ. ευρώ έναντι του αντίστοιχου τριμήνου του 2019, ή 56% των συνολικών απωλειών τουριστικών εισπράξεων του 2020 (στοιχεία Ισοζυγίου Πληρωμών της Τράπεζας της Ελλάδος). </w:t>
      </w:r>
    </w:p>
    <w:p w:rsidR="00CF389F" w:rsidRPr="001017B6" w:rsidRDefault="00CF389F" w:rsidP="006B589B">
      <w:pPr>
        <w:jc w:val="both"/>
        <w:rPr>
          <w:szCs w:val="24"/>
        </w:rPr>
      </w:pPr>
      <w:r w:rsidRPr="001017B6">
        <w:rPr>
          <w:szCs w:val="24"/>
        </w:rPr>
        <w:t xml:space="preserve">Από την άλλη πλευρά, στο τέταρτο τρίμηνο του 2020, η εκ νέου </w:t>
      </w:r>
      <w:proofErr w:type="spellStart"/>
      <w:r w:rsidRPr="001017B6">
        <w:rPr>
          <w:szCs w:val="24"/>
        </w:rPr>
        <w:t>αυστηροποίηση</w:t>
      </w:r>
      <w:proofErr w:type="spellEnd"/>
      <w:r w:rsidRPr="001017B6">
        <w:rPr>
          <w:szCs w:val="24"/>
        </w:rPr>
        <w:t xml:space="preserve"> των μέτρων κοινωνικής αποστασιοποίησης προκειμένου να εξομαλυνθεί το δεύτερο κύμα της πανδημίας (δεύτερο </w:t>
      </w:r>
      <w:r w:rsidRPr="001017B6">
        <w:rPr>
          <w:szCs w:val="24"/>
          <w:lang w:val="en-US"/>
        </w:rPr>
        <w:t>lockdown</w:t>
      </w:r>
      <w:r w:rsidRPr="001017B6">
        <w:rPr>
          <w:szCs w:val="24"/>
        </w:rPr>
        <w:t xml:space="preserve"> </w:t>
      </w:r>
      <w:r w:rsidRPr="001017B6">
        <w:rPr>
          <w:szCs w:val="24"/>
        </w:rPr>
        <w:lastRenderedPageBreak/>
        <w:t>Νοεμβρίου-Δεκεμβρίου 2020) δεν εμπόδισε να συνεχιστεί η πορεία ανάκαμψης της ελληνικής οικονομίας έναντι του προηγούμενου τριμήνου, σε αντίθεση με την αντίστοιχη εξέλ</w:t>
      </w:r>
      <w:r w:rsidR="00FD6A03">
        <w:rPr>
          <w:szCs w:val="24"/>
        </w:rPr>
        <w:t>ιξη στην Ευρωζώνη (διάγραμμα 1</w:t>
      </w:r>
      <w:r w:rsidRPr="001017B6">
        <w:rPr>
          <w:szCs w:val="24"/>
        </w:rPr>
        <w:t>)</w:t>
      </w:r>
      <w:r w:rsidRPr="001017B6">
        <w:rPr>
          <w:rStyle w:val="af1"/>
          <w:szCs w:val="24"/>
        </w:rPr>
        <w:footnoteReference w:id="10"/>
      </w:r>
      <w:r w:rsidRPr="001017B6">
        <w:rPr>
          <w:szCs w:val="24"/>
        </w:rPr>
        <w:t xml:space="preserve">. </w:t>
      </w:r>
    </w:p>
    <w:p w:rsidR="001017B6" w:rsidRPr="006B589B" w:rsidRDefault="001017B6" w:rsidP="006B589B">
      <w:pPr>
        <w:spacing w:after="0"/>
        <w:rPr>
          <w:sz w:val="16"/>
          <w:szCs w:val="24"/>
        </w:rPr>
      </w:pPr>
    </w:p>
    <w:p w:rsidR="00CF389F" w:rsidRPr="001017B6" w:rsidRDefault="00FD6A03" w:rsidP="00D132AA">
      <w:pPr>
        <w:spacing w:after="0"/>
        <w:rPr>
          <w:b/>
          <w:szCs w:val="24"/>
        </w:rPr>
      </w:pPr>
      <w:r>
        <w:rPr>
          <w:b/>
          <w:szCs w:val="24"/>
        </w:rPr>
        <w:t>Διάγραμμα 1</w:t>
      </w:r>
      <w:r w:rsidR="00AF665B" w:rsidRPr="00AF665B">
        <w:rPr>
          <w:b/>
          <w:szCs w:val="24"/>
        </w:rPr>
        <w:t>:</w:t>
      </w:r>
      <w:r w:rsidR="00CF389F" w:rsidRPr="001017B6">
        <w:rPr>
          <w:b/>
          <w:szCs w:val="24"/>
        </w:rPr>
        <w:t xml:space="preserve"> Εξέλιξη ΑΕΠ μεταξύ διαδοχικών τριμήνων στην Ελλάδα και την Ευρωζώνη </w:t>
      </w:r>
    </w:p>
    <w:p w:rsidR="00CF389F" w:rsidRDefault="00CF389F" w:rsidP="00D132AA">
      <w:pPr>
        <w:spacing w:after="0"/>
        <w:rPr>
          <w:szCs w:val="24"/>
        </w:rPr>
      </w:pPr>
      <w:r w:rsidRPr="001017B6">
        <w:rPr>
          <w:szCs w:val="24"/>
        </w:rPr>
        <w:t>(εποχικά διορθωμένα στοιχεία, % μεταβολές, σταθερές τιμές)</w:t>
      </w:r>
    </w:p>
    <w:p w:rsidR="006E09C1" w:rsidRPr="001017B6" w:rsidRDefault="006E09C1" w:rsidP="00D132AA">
      <w:pPr>
        <w:spacing w:after="0"/>
        <w:rPr>
          <w:color w:val="FF0000"/>
          <w:szCs w:val="24"/>
        </w:rPr>
      </w:pPr>
      <w:r>
        <w:rPr>
          <w:noProof/>
          <w:color w:val="FF0000"/>
          <w:szCs w:val="24"/>
        </w:rPr>
        <w:drawing>
          <wp:inline distT="0" distB="0" distL="0" distR="0">
            <wp:extent cx="6480000" cy="2981947"/>
            <wp:effectExtent l="19050" t="0" r="0" b="0"/>
            <wp:docPr id="1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6480000" cy="2981947"/>
                    </a:xfrm>
                    <a:prstGeom prst="rect">
                      <a:avLst/>
                    </a:prstGeom>
                    <a:noFill/>
                  </pic:spPr>
                </pic:pic>
              </a:graphicData>
            </a:graphic>
          </wp:inline>
        </w:drawing>
      </w:r>
    </w:p>
    <w:p w:rsidR="00CF389F" w:rsidRDefault="00CF389F" w:rsidP="006B589B">
      <w:pPr>
        <w:tabs>
          <w:tab w:val="left" w:pos="142"/>
        </w:tabs>
        <w:spacing w:after="240"/>
        <w:ind w:right="423"/>
        <w:jc w:val="both"/>
        <w:rPr>
          <w:iCs/>
          <w:szCs w:val="18"/>
        </w:rPr>
      </w:pPr>
      <w:bookmarkStart w:id="4" w:name="_Hlk71996529"/>
      <w:r w:rsidRPr="001017B6">
        <w:rPr>
          <w:iCs/>
          <w:szCs w:val="18"/>
        </w:rPr>
        <w:t xml:space="preserve">Πηγή: Τριμηνιαίοι Εθνικοί Λογαριασμοί (Ελληνική Στατιστική Αρχή, </w:t>
      </w:r>
      <w:proofErr w:type="spellStart"/>
      <w:r w:rsidRPr="001017B6">
        <w:rPr>
          <w:iCs/>
          <w:szCs w:val="18"/>
          <w:lang w:val="en-US"/>
        </w:rPr>
        <w:t>Eurostat</w:t>
      </w:r>
      <w:proofErr w:type="spellEnd"/>
      <w:r w:rsidRPr="001017B6">
        <w:rPr>
          <w:iCs/>
          <w:szCs w:val="18"/>
        </w:rPr>
        <w:t>)</w:t>
      </w:r>
    </w:p>
    <w:p w:rsidR="00845F5C" w:rsidRPr="006B589B" w:rsidRDefault="00845F5C" w:rsidP="006B589B">
      <w:pPr>
        <w:tabs>
          <w:tab w:val="left" w:pos="142"/>
        </w:tabs>
        <w:spacing w:after="240" w:line="240" w:lineRule="auto"/>
        <w:ind w:right="423"/>
        <w:jc w:val="both"/>
        <w:rPr>
          <w:iCs/>
          <w:sz w:val="2"/>
          <w:szCs w:val="18"/>
        </w:rPr>
      </w:pPr>
    </w:p>
    <w:bookmarkEnd w:id="4"/>
    <w:p w:rsidR="00CF389F" w:rsidRPr="001017B6" w:rsidRDefault="00CF389F" w:rsidP="006B589B">
      <w:pPr>
        <w:jc w:val="both"/>
        <w:rPr>
          <w:szCs w:val="24"/>
        </w:rPr>
      </w:pPr>
      <w:r w:rsidRPr="001017B6">
        <w:rPr>
          <w:szCs w:val="24"/>
        </w:rPr>
        <w:t>Στο σύνολο του έτους, η ύφεση της ελληνικής οικονομίας διαμορφώθηκε στο 8,2%, με την συρρίκνωση του εξωτερικού ισοζυγίου υπηρεσιών κατά 13,7 δισ. ευρώ να αναλογεί στο 91% της σωρευτικής απώλειας όγκου του ΑΕΠ. Από τη συρρίκνωση του εξωτερικού ισοζυγίου υπηρεσιών</w:t>
      </w:r>
      <w:r w:rsidRPr="001017B6">
        <w:rPr>
          <w:rStyle w:val="af1"/>
          <w:szCs w:val="24"/>
        </w:rPr>
        <w:footnoteReference w:id="11"/>
      </w:r>
      <w:r w:rsidRPr="001017B6">
        <w:rPr>
          <w:szCs w:val="24"/>
        </w:rPr>
        <w:t xml:space="preserve">, το 80,5% οφείλεται στο ισοζύγιο ταξιδιωτικών υπηρεσιών (-10,9 δισ. ευρώ έναντι του 2019 σε όρους όγκου), γεγονός που καταδεικνύει το μέγεθος της επίδρασης του εξωτερικού τουρισμού. </w:t>
      </w:r>
    </w:p>
    <w:p w:rsidR="00CF389F" w:rsidRPr="001017B6" w:rsidRDefault="00CF389F" w:rsidP="006B589B">
      <w:pPr>
        <w:jc w:val="both"/>
        <w:rPr>
          <w:szCs w:val="24"/>
        </w:rPr>
      </w:pPr>
      <w:r w:rsidRPr="001017B6">
        <w:rPr>
          <w:szCs w:val="24"/>
        </w:rPr>
        <w:t xml:space="preserve">Το μέγεθος της </w:t>
      </w:r>
      <w:proofErr w:type="spellStart"/>
      <w:r w:rsidRPr="001017B6">
        <w:rPr>
          <w:szCs w:val="24"/>
        </w:rPr>
        <w:t>υφεσιακής</w:t>
      </w:r>
      <w:proofErr w:type="spellEnd"/>
      <w:r w:rsidRPr="001017B6">
        <w:rPr>
          <w:szCs w:val="24"/>
        </w:rPr>
        <w:t xml:space="preserve"> επίπτωσης της πανδημίας στην Ελλάδα είναι συμβατό με την αντίστοιχη εικόνα που διαμορφώνεται για άλλες ευρωπαϊκές χώρες της Μεσογείου με σημαντικές αγορές τουρισμού (Ισπανία, Ιταλία, Πορτογαλία), επιβεβαιώνοντας την αρχική ανησυχία των διεθνών φορέων διενέργειας οικονομικών προβλέψεων για την ειδική βαρύτητα του τουρισμού στη διαμόρφωση της οικονομικής επίπτωσης από την πανδημία. Ειδικότερα, πέραν της Ελλάδας, η πρώτη εκτίμηση για την ύφεση του 2020 στην Ισπανία είναι 10,8%, στην Ιταλία 8,9%, και στην Πορτογαλία 7,6%, έναντι του ηπιότερου 6,6% για την Ευρωζώνη, με αντίστοιχη καταγραφή μεγάλης συρρίκνωσης στις εξαγωγές υπηρεσιών τους. </w:t>
      </w:r>
    </w:p>
    <w:p w:rsidR="00CF389F" w:rsidRPr="001017B6" w:rsidRDefault="00CF389F" w:rsidP="006B589B">
      <w:pPr>
        <w:jc w:val="both"/>
        <w:rPr>
          <w:szCs w:val="24"/>
        </w:rPr>
      </w:pPr>
      <w:r w:rsidRPr="001017B6">
        <w:rPr>
          <w:szCs w:val="24"/>
        </w:rPr>
        <w:t xml:space="preserve">Σε όρους τομέων παραγωγής της ελληνικής οικονομίας, ο τριτογενής τομέας υπέστη το συντριπτικά μεγαλύτερο κόστος, το οποίο άγγιξε σε όρους ακαθάριστης προστιθέμενης αξίας (ΑΠΑ) το 9,4% του επιπέδου όγκου του 2019. Το ποσοστό αυτό υποκρύπτει υπερδιπλάσιες μειώσεις προστιθέμενης αξίας στους κλάδους (α) εμπορίου, καταλυμάτων-εστίασης, μεταφορών (σωρευτικά κατά 22,8% έναντι του 2019) και (β) τεχνών, διασκέδασης και ψυχαγωγίας (κατά 25,4%). Μόνο από τους δύο αυτούς κλάδους, προκύπτει συρρίκνωση της πραγματικής ακαθάριστης προστιθέμενης αξίας της οικονομίας κατά 11,1 δισ. ευρώ στο σύνολο του 2020, εκ των οποίων το 40,9% υπήρξε αποτέλεσμα του πρώτου </w:t>
      </w:r>
      <w:r w:rsidRPr="001017B6">
        <w:rPr>
          <w:szCs w:val="24"/>
          <w:lang w:val="en-US"/>
        </w:rPr>
        <w:t>lockdown</w:t>
      </w:r>
      <w:r w:rsidRPr="001017B6">
        <w:rPr>
          <w:szCs w:val="24"/>
        </w:rPr>
        <w:t xml:space="preserve">, στο δεύτερο τρίμηνο του έτους. </w:t>
      </w:r>
    </w:p>
    <w:p w:rsidR="00ED5382" w:rsidRPr="001017B6" w:rsidRDefault="00ED5382" w:rsidP="00ED5382">
      <w:pPr>
        <w:jc w:val="both"/>
        <w:rPr>
          <w:szCs w:val="24"/>
        </w:rPr>
      </w:pPr>
      <w:r w:rsidRPr="001017B6">
        <w:rPr>
          <w:szCs w:val="24"/>
        </w:rPr>
        <w:lastRenderedPageBreak/>
        <w:t xml:space="preserve">Άλλοι κλάδοι υπηρεσιών που κατέγραψαν σημαντικές απώλειες </w:t>
      </w:r>
      <w:r>
        <w:rPr>
          <w:szCs w:val="24"/>
        </w:rPr>
        <w:t>Ακαθάριστης Προστιθέμενης Αξίας (</w:t>
      </w:r>
      <w:r w:rsidRPr="001017B6">
        <w:rPr>
          <w:szCs w:val="24"/>
        </w:rPr>
        <w:t>ΑΠΑ</w:t>
      </w:r>
      <w:r>
        <w:rPr>
          <w:szCs w:val="24"/>
        </w:rPr>
        <w:t>)</w:t>
      </w:r>
      <w:r w:rsidRPr="001017B6">
        <w:rPr>
          <w:szCs w:val="24"/>
        </w:rPr>
        <w:t xml:space="preserve"> λόγω της πανδημίας το 2020, ήταν οι επαγγελματικές, επιστημονικές, τεχνικές και διοικητικές δραστηριότητες (-10,7% σε ετήσια βάση) και οι χρηματοπιστωτικές και ασφαλιστικές δραστηριότητες (-7,6%). Αντίθετα, ο κλάδος  δημόσιας διοίκησης, άμυνας, κοινωνικής ασφάλισης και εκπαίδευσης, όπου περιλαμβάνονται και οι υπηρεσίες υγείας, αύξησε τη συμβολή του στη συνολική προστιθέμενη αξία της οικονομίας κατά 0,5 ποσοστιαία μονάδα έναντι του 2019 (+2,5% σε ετήσια βάση), ενώ οι κλάδοι ενημέρωσης και επικοινωνίας και διαχείρισης ακίνητης περιουσίας επέδειξαν ανθεκτικότητα, με την προστιθέμενη αξία τους στάσιμη έναντι του 2019 (+0,1% και -0,6%, αντίστοιχα). </w:t>
      </w:r>
    </w:p>
    <w:p w:rsidR="00CF389F" w:rsidRPr="001017B6" w:rsidRDefault="00CF389F" w:rsidP="006B589B">
      <w:pPr>
        <w:jc w:val="both"/>
        <w:rPr>
          <w:szCs w:val="24"/>
        </w:rPr>
      </w:pPr>
      <w:r w:rsidRPr="001017B6">
        <w:rPr>
          <w:szCs w:val="24"/>
        </w:rPr>
        <w:t>Ο πρωτογενής και ο δευτερογενής τομέας της ελληνικής οικονομίας επίσης αποδείχθηκαν ανθεκτικοί, με τις απώλειες της ΑΠΑ τους έναντι του 2019 να περιορίζονται σε 0,3 και 2,4 ποσοστιαίες μονάδες αντίστοιχα. Η πτώση του όγκου δραστηριότητας στον δευτερογενή τομέα οφείλεται αποκλειστικά στη βιομηχανία πλην κατασκευών</w:t>
      </w:r>
      <w:r w:rsidRPr="001017B6">
        <w:rPr>
          <w:rStyle w:val="af1"/>
          <w:szCs w:val="24"/>
        </w:rPr>
        <w:footnoteReference w:id="12"/>
      </w:r>
      <w:r w:rsidRPr="001017B6">
        <w:rPr>
          <w:szCs w:val="24"/>
        </w:rPr>
        <w:t>, καθώς οι κατασκευές κατέγραψαν δυναμική άνοδο παρά τη δυσμενή οικονομική συγκυρία, αυξάνοντας τον όγκο της ΑΠΑ τους κατά 10,4% σε ετήσια βάση, και τις πραγματικές επενδύσεις τους κατά 10,7%</w:t>
      </w:r>
      <w:r w:rsidRPr="001017B6">
        <w:rPr>
          <w:rStyle w:val="af1"/>
          <w:szCs w:val="24"/>
        </w:rPr>
        <w:footnoteReference w:id="13"/>
      </w:r>
      <w:r w:rsidRPr="001017B6">
        <w:rPr>
          <w:szCs w:val="24"/>
        </w:rPr>
        <w:t xml:space="preserve">. </w:t>
      </w:r>
    </w:p>
    <w:p w:rsidR="00CF389F" w:rsidRPr="001017B6" w:rsidRDefault="00CF389F" w:rsidP="006B589B">
      <w:pPr>
        <w:jc w:val="both"/>
        <w:rPr>
          <w:rStyle w:val="jlqj4b"/>
          <w:szCs w:val="24"/>
        </w:rPr>
      </w:pPr>
      <w:r w:rsidRPr="001017B6">
        <w:rPr>
          <w:szCs w:val="24"/>
        </w:rPr>
        <w:t xml:space="preserve">Από τα παραπάνω συμπεραίνεται ότι </w:t>
      </w:r>
      <w:r w:rsidRPr="001017B6">
        <w:rPr>
          <w:rStyle w:val="jlqj4b"/>
          <w:szCs w:val="24"/>
        </w:rPr>
        <w:t xml:space="preserve">περίπου το 50% των δέκα κλάδων ακαθάριστης προστιθέμενης αξίας οδήγησαν την ύφεση του 2020, έναντι του πιο ανθεκτικού υπόλοιπου 50%, γεγονός που δυνητικά σηματοδοτεί ασυμμετρίες μεταξύ κλάδων και ως προς την ταχύτητα ανάκαμψης μετά την πανδημία.  </w:t>
      </w:r>
    </w:p>
    <w:p w:rsidR="00CF389F" w:rsidRPr="001017B6" w:rsidRDefault="00CF389F" w:rsidP="006B589B">
      <w:pPr>
        <w:jc w:val="both"/>
        <w:rPr>
          <w:szCs w:val="24"/>
        </w:rPr>
      </w:pPr>
      <w:r w:rsidRPr="001017B6">
        <w:rPr>
          <w:rStyle w:val="jlqj4b"/>
          <w:szCs w:val="24"/>
        </w:rPr>
        <w:t>Σε συμβατότητα με τα παραπάνω, σ</w:t>
      </w:r>
      <w:r w:rsidRPr="001017B6">
        <w:rPr>
          <w:szCs w:val="24"/>
        </w:rPr>
        <w:t>ύμφωνα με τα στοιχεία της Ελληνικής Στατιστικής Αρχής</w:t>
      </w:r>
      <w:r w:rsidRPr="001017B6">
        <w:rPr>
          <w:rStyle w:val="af1"/>
          <w:szCs w:val="24"/>
        </w:rPr>
        <w:footnoteReference w:id="14"/>
      </w:r>
      <w:r w:rsidRPr="001017B6">
        <w:rPr>
          <w:szCs w:val="24"/>
        </w:rPr>
        <w:t xml:space="preserve">, το 2020 ο κύκλος εργασιών των επιχειρήσεων σε αναστολή λειτουργίας με υποχρέωση τήρησης διπλογραφικών βιβλίων συρρικνώθηκε κατά 38,6%, έναντι μείωσης κατά 13,4% στο σύνολο της οικονομίας. Αναμενόμενα, και οι δεκαπέντε </w:t>
      </w:r>
      <w:proofErr w:type="spellStart"/>
      <w:r w:rsidRPr="001017B6">
        <w:rPr>
          <w:szCs w:val="24"/>
        </w:rPr>
        <w:t>καταγραφόμενοι</w:t>
      </w:r>
      <w:proofErr w:type="spellEnd"/>
      <w:r w:rsidRPr="001017B6">
        <w:rPr>
          <w:szCs w:val="24"/>
        </w:rPr>
        <w:t xml:space="preserve"> κλάδοι σε αναστολή λειτουργίας κατέγραψαν μείωση του κύκλου εργασιών τους το 2020, ωστόσο τέσσερις εξ αυτών ευθύνονται για το 95,9% της μείωσης τζίρου το 2020 λόγω των αναστολών: ο κλάδος καταλυμάτων (αρνητική συμβολή 20,4 ποσοστιαίων μονάδων), τυχερών παιχνιδιών και στοιχημάτων (7,4 ποσοστιαίων μονάδων), λιανικού εμπορίου πλην οχημάτων (6,2 ποσοστιαίων μονάδων), και εστίασης (2,9 ποσοστιαίων μονάδων).</w:t>
      </w:r>
    </w:p>
    <w:p w:rsidR="00CF389F" w:rsidRPr="001017B6" w:rsidRDefault="00CF389F" w:rsidP="006B589B">
      <w:pPr>
        <w:jc w:val="both"/>
        <w:rPr>
          <w:rFonts w:ascii="Calibri" w:hAnsi="Calibri"/>
          <w:szCs w:val="24"/>
        </w:rPr>
      </w:pPr>
      <w:r w:rsidRPr="001017B6">
        <w:rPr>
          <w:rStyle w:val="jlqj4b"/>
          <w:szCs w:val="24"/>
        </w:rPr>
        <w:t xml:space="preserve">Από την πλευρά της </w:t>
      </w:r>
      <w:proofErr w:type="spellStart"/>
      <w:r w:rsidRPr="001017B6">
        <w:rPr>
          <w:rStyle w:val="jlqj4b"/>
          <w:szCs w:val="24"/>
        </w:rPr>
        <w:t>εθνικολογιστικής</w:t>
      </w:r>
      <w:proofErr w:type="spellEnd"/>
      <w:r w:rsidRPr="001017B6">
        <w:rPr>
          <w:rStyle w:val="jlqj4b"/>
          <w:szCs w:val="24"/>
        </w:rPr>
        <w:t xml:space="preserve"> προσέγγισης της δαπάνης, </w:t>
      </w:r>
      <w:r w:rsidRPr="001017B6">
        <w:rPr>
          <w:rFonts w:ascii="Calibri" w:hAnsi="Calibri"/>
          <w:szCs w:val="24"/>
        </w:rPr>
        <w:t>η διάχυση των οικονομικών επιπτώσεων της πανδημίας έγινε κυρίως μέσω της ιδιωτικής κατανάλωσης και των εξαγωγών υπηρεσιών, σε συνδυασμό με τη δυσανάλογα περιορισμένη πτώση των εισαγωγών</w:t>
      </w:r>
      <w:r w:rsidRPr="001017B6">
        <w:rPr>
          <w:rStyle w:val="jlqj4b"/>
          <w:szCs w:val="24"/>
        </w:rPr>
        <w:t>.</w:t>
      </w:r>
      <w:r w:rsidRPr="001017B6">
        <w:rPr>
          <w:rFonts w:ascii="Calibri" w:hAnsi="Calibri"/>
          <w:szCs w:val="24"/>
        </w:rPr>
        <w:t xml:space="preserve"> </w:t>
      </w:r>
    </w:p>
    <w:p w:rsidR="00CF389F" w:rsidRPr="001017B6" w:rsidRDefault="00CF389F" w:rsidP="006B589B">
      <w:pPr>
        <w:jc w:val="both"/>
        <w:rPr>
          <w:rFonts w:ascii="Calibri" w:hAnsi="Calibri"/>
          <w:szCs w:val="24"/>
        </w:rPr>
      </w:pPr>
      <w:r w:rsidRPr="001017B6">
        <w:rPr>
          <w:rFonts w:ascii="Calibri" w:hAnsi="Calibri"/>
          <w:szCs w:val="24"/>
        </w:rPr>
        <w:t>Όσον αφορά τις εξαγωγές υπηρεσιών, οι μειωμένες ευκαιρίες κατανάλωσης διεθνώς έφεραν κάμψη του διεθνούς εμπορίου και κατ’ επαγωγή των υπηρεσιών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έχουν αναλυθεί παραπάνω. Κατά συνέπεια, σε μη εποχικά διορθωμένα στοιχεία η αρνητική συμβολή των καθαρών εξαγωγών υπηρεσιών στη μεταβολή του πραγματικού ΑΕΠ το 2020 έφτασε τις 7,5 μονάδες, αποτελώντας τη δυσμενέστερη μεταξύ όλων των συνιστωσών του ΑΕΠ, με αμέσως επόμενη εκείνη της ιδιωτικής κατανάλωσης, στις -3,6 ποσοστιαίες μονάδες.</w:t>
      </w:r>
    </w:p>
    <w:p w:rsidR="00CF389F" w:rsidRPr="001017B6" w:rsidRDefault="00CF389F" w:rsidP="006B589B">
      <w:pPr>
        <w:jc w:val="both"/>
        <w:rPr>
          <w:rFonts w:ascii="Calibri" w:hAnsi="Calibri"/>
          <w:szCs w:val="24"/>
        </w:rPr>
      </w:pPr>
      <w:r w:rsidRPr="001017B6">
        <w:rPr>
          <w:rFonts w:ascii="Calibri" w:hAnsi="Calibri"/>
          <w:szCs w:val="24"/>
        </w:rPr>
        <w:t xml:space="preserve">Όσον αφορά την ιδιωτική κατανάλωση, τα αίτια μείωσής της εντοπίζονται στις μειωμένες ευκαιρίες των νοικοκυριών για κατανάλωση, την περαιτέρω συμπίεση της δαπάνης των πολιτών λόγω αποχής από συνήθεις δραστηριότητες υπό τον φόβο </w:t>
      </w:r>
      <w:proofErr w:type="spellStart"/>
      <w:r w:rsidRPr="001017B6">
        <w:rPr>
          <w:rFonts w:ascii="Calibri" w:hAnsi="Calibri"/>
          <w:szCs w:val="24"/>
        </w:rPr>
        <w:t>νόσησης</w:t>
      </w:r>
      <w:proofErr w:type="spellEnd"/>
      <w:r w:rsidRPr="001017B6">
        <w:rPr>
          <w:rFonts w:ascii="Calibri" w:hAnsi="Calibri"/>
          <w:szCs w:val="24"/>
        </w:rPr>
        <w:t xml:space="preserve"> με τον </w:t>
      </w:r>
      <w:proofErr w:type="spellStart"/>
      <w:r w:rsidRPr="001017B6">
        <w:rPr>
          <w:rFonts w:ascii="Calibri" w:hAnsi="Calibri"/>
          <w:szCs w:val="24"/>
          <w:lang w:val="en-US"/>
        </w:rPr>
        <w:t>Covid</w:t>
      </w:r>
      <w:proofErr w:type="spellEnd"/>
      <w:r w:rsidRPr="001017B6">
        <w:rPr>
          <w:rFonts w:ascii="Calibri" w:hAnsi="Calibri"/>
          <w:szCs w:val="24"/>
        </w:rPr>
        <w:t xml:space="preserve">-19, και την αύξηση των προληπτικών αποταμιεύσεων λόγω </w:t>
      </w:r>
      <w:r w:rsidRPr="001017B6">
        <w:rPr>
          <w:rFonts w:ascii="Calibri" w:hAnsi="Calibri"/>
          <w:szCs w:val="24"/>
        </w:rPr>
        <w:lastRenderedPageBreak/>
        <w:t xml:space="preserve">της υψηλής αβεβαιότητας για τη διάρκεια της κρίσης και την τυχόν μελλοντική επίπτωση στη ζήτηση για εργασία. </w:t>
      </w:r>
    </w:p>
    <w:p w:rsidR="00CF389F" w:rsidRPr="001017B6" w:rsidRDefault="00CF389F" w:rsidP="006B589B">
      <w:pPr>
        <w:jc w:val="both"/>
        <w:rPr>
          <w:rFonts w:ascii="Calibri" w:hAnsi="Calibri"/>
          <w:szCs w:val="24"/>
        </w:rPr>
      </w:pPr>
      <w:r w:rsidRPr="001017B6">
        <w:rPr>
          <w:rFonts w:ascii="Calibri" w:hAnsi="Calibri"/>
          <w:szCs w:val="24"/>
        </w:rPr>
        <w:t xml:space="preserve">Ωστόσο, τα μέτρα της ελληνικής κυβέρνησης για την οικονομική στήριξη των επιχειρήσεων και των εργαζομένων δημιούργησαν ανάχωμα κατά της μείωσης των αμοιβών εξαρτημένης εργασίας και του μέσου μισθού, με αποτέλεσμα οι μεν πρώτες να υποχωρήσουν οριακά κατά 0,9% έναντι του 2019, παραμένοντας πάνω από το επίπεδο του 2018 κατά 2,3%, ο δε δεύτερος να μείνει αμετάβλητος έναντι του 2019 και κατά 1,0% υψηλότερος από </w:t>
      </w:r>
      <w:proofErr w:type="spellStart"/>
      <w:r w:rsidRPr="001017B6">
        <w:rPr>
          <w:rFonts w:ascii="Calibri" w:hAnsi="Calibri"/>
          <w:szCs w:val="24"/>
        </w:rPr>
        <w:t>ό,τι</w:t>
      </w:r>
      <w:proofErr w:type="spellEnd"/>
      <w:r w:rsidRPr="001017B6">
        <w:rPr>
          <w:rFonts w:ascii="Calibri" w:hAnsi="Calibri"/>
          <w:szCs w:val="24"/>
        </w:rPr>
        <w:t xml:space="preserve"> το 2018.</w:t>
      </w:r>
    </w:p>
    <w:p w:rsidR="00CF389F" w:rsidRPr="001017B6" w:rsidRDefault="00CF389F" w:rsidP="006B589B">
      <w:pPr>
        <w:jc w:val="both"/>
        <w:rPr>
          <w:rFonts w:ascii="Calibri" w:hAnsi="Calibri"/>
          <w:szCs w:val="24"/>
        </w:rPr>
      </w:pPr>
      <w:r w:rsidRPr="001017B6">
        <w:rPr>
          <w:rFonts w:ascii="Calibri" w:hAnsi="Calibri"/>
          <w:szCs w:val="24"/>
        </w:rPr>
        <w:t>Λόγω των παραπάνω, στα τελευταία τρία τρίμηνα του 2020 σημειώθηκε θετική ακαθάριστη αποταμίευση των νοικοκυριών κατά 4,5 δισ. ευρώ</w:t>
      </w:r>
      <w:r w:rsidRPr="001017B6">
        <w:rPr>
          <w:rStyle w:val="af1"/>
          <w:rFonts w:ascii="Calibri" w:hAnsi="Calibri"/>
          <w:szCs w:val="24"/>
        </w:rPr>
        <w:footnoteReference w:id="15"/>
      </w:r>
      <w:r w:rsidR="00FD6A03">
        <w:rPr>
          <w:rFonts w:ascii="Calibri" w:hAnsi="Calibri"/>
          <w:szCs w:val="24"/>
        </w:rPr>
        <w:t xml:space="preserve"> (διάγραμμα </w:t>
      </w:r>
      <w:r w:rsidRPr="001017B6">
        <w:rPr>
          <w:rFonts w:ascii="Calibri" w:hAnsi="Calibri"/>
          <w:szCs w:val="24"/>
        </w:rPr>
        <w:t xml:space="preserve">2), με το ποσοστό αποταμίευσης επί του διαθέσιμου εισοδήματος να αντιστρέφεται σε θετικό στο σύνολο του έτους (+3,1%) από αρνητικό σε όλη την προηγούμενη οκταετία (-3,3% το 2019 και -4,3% κατά μέσο όρο μεταξύ 2012 και 2018). Το γεγονός αυτό αντανακλάται στην αύξηση των τραπεζικών καταθέσεων των νοικοκυριών κατά 10 δισ. ευρώ το 2020, ή 51,5% περισσότερο από </w:t>
      </w:r>
      <w:proofErr w:type="spellStart"/>
      <w:r w:rsidRPr="001017B6">
        <w:rPr>
          <w:rFonts w:ascii="Calibri" w:hAnsi="Calibri"/>
          <w:szCs w:val="24"/>
        </w:rPr>
        <w:t>ό,τι</w:t>
      </w:r>
      <w:proofErr w:type="spellEnd"/>
      <w:r w:rsidRPr="001017B6">
        <w:rPr>
          <w:rFonts w:ascii="Calibri" w:hAnsi="Calibri"/>
          <w:szCs w:val="24"/>
        </w:rPr>
        <w:t xml:space="preserve"> το 2019, σύμφωνα με τα στοιχεία της Τράπεζας της Ελλάδος</w:t>
      </w:r>
      <w:r w:rsidRPr="001017B6">
        <w:rPr>
          <w:rStyle w:val="af1"/>
          <w:rFonts w:ascii="Calibri" w:hAnsi="Calibri"/>
          <w:szCs w:val="24"/>
        </w:rPr>
        <w:footnoteReference w:id="16"/>
      </w:r>
      <w:r w:rsidRPr="001017B6">
        <w:rPr>
          <w:rFonts w:ascii="Calibri" w:hAnsi="Calibri"/>
          <w:szCs w:val="24"/>
        </w:rPr>
        <w:t xml:space="preserve">.    </w:t>
      </w:r>
    </w:p>
    <w:p w:rsidR="007F7D3F" w:rsidRPr="001017B6" w:rsidRDefault="007F7D3F" w:rsidP="007F7D3F">
      <w:pPr>
        <w:jc w:val="both"/>
        <w:rPr>
          <w:rFonts w:ascii="Calibri" w:hAnsi="Calibri"/>
          <w:szCs w:val="24"/>
        </w:rPr>
      </w:pPr>
      <w:r w:rsidRPr="001017B6">
        <w:rPr>
          <w:rFonts w:ascii="Calibri" w:hAnsi="Calibri"/>
          <w:szCs w:val="24"/>
        </w:rPr>
        <w:t>Από την άλλη πλευρά, το ακαθάριστο λειτουργικό πλεόνασμα</w:t>
      </w:r>
      <w:r>
        <w:rPr>
          <w:rFonts w:ascii="Calibri" w:hAnsi="Calibri"/>
          <w:szCs w:val="24"/>
        </w:rPr>
        <w:t xml:space="preserve"> </w:t>
      </w:r>
      <w:r w:rsidRPr="001017B6">
        <w:rPr>
          <w:rFonts w:ascii="Calibri" w:hAnsi="Calibri"/>
          <w:szCs w:val="24"/>
        </w:rPr>
        <w:t>/ μικτό εισόδημα στο σύνολο της οικονομίας συρρικνώθηκε κατά 8,3% έναντι του 2019</w:t>
      </w:r>
      <w:r w:rsidRPr="001017B6">
        <w:rPr>
          <w:szCs w:val="24"/>
          <w:vertAlign w:val="superscript"/>
        </w:rPr>
        <w:footnoteReference w:id="17"/>
      </w:r>
      <w:r w:rsidRPr="001017B6">
        <w:rPr>
          <w:rFonts w:ascii="Calibri" w:hAnsi="Calibri"/>
          <w:szCs w:val="24"/>
        </w:rPr>
        <w:t>, αντανακλώντας το βαρύ πλήγμα από τις αναστολές λειτουργίας κλάδων στο εισόδημα των επιχειρήσεων. Στις μη χρηματοοικονομικές εταιρείες</w:t>
      </w:r>
      <w:r w:rsidRPr="001017B6">
        <w:rPr>
          <w:szCs w:val="24"/>
          <w:vertAlign w:val="superscript"/>
        </w:rPr>
        <w:footnoteReference w:id="18"/>
      </w:r>
      <w:r w:rsidRPr="005540D7">
        <w:rPr>
          <w:rFonts w:ascii="Calibri" w:hAnsi="Calibri"/>
          <w:szCs w:val="24"/>
        </w:rPr>
        <w:t>,</w:t>
      </w:r>
      <w:r w:rsidRPr="001017B6">
        <w:rPr>
          <w:rFonts w:ascii="Calibri" w:hAnsi="Calibri"/>
          <w:szCs w:val="24"/>
        </w:rPr>
        <w:t xml:space="preserve"> η συρρίκνωση του λειτουργικού πλεονάσματος το 2020 έφτασε τα 5,8 δι</w:t>
      </w:r>
      <w:r>
        <w:rPr>
          <w:rFonts w:ascii="Calibri" w:hAnsi="Calibri"/>
          <w:szCs w:val="24"/>
        </w:rPr>
        <w:t>σ</w:t>
      </w:r>
      <w:r w:rsidRPr="001017B6">
        <w:rPr>
          <w:rFonts w:ascii="Calibri" w:hAnsi="Calibri"/>
          <w:szCs w:val="24"/>
        </w:rPr>
        <w:t xml:space="preserve">. ευρώ ή 24,2% του επιπέδου του 2019, καταγράφοντας το μέγιστο σημείο της στο δεύτερο τρίμηνο του έτους (-41,3% έναντι του αντίστοιχου τριμήνου του 2019), και αμβλυνόμενη σταδιακά στο τρίτο και τέταρτο τρίμηνο (-22,2%  και -18,8%, αντίστοιχα).  </w:t>
      </w:r>
    </w:p>
    <w:p w:rsidR="00D132AA" w:rsidRPr="006B589B" w:rsidRDefault="00D132AA" w:rsidP="00D132AA">
      <w:pPr>
        <w:spacing w:line="360" w:lineRule="auto"/>
        <w:jc w:val="both"/>
        <w:rPr>
          <w:rFonts w:ascii="Calibri" w:hAnsi="Calibri"/>
          <w:sz w:val="2"/>
          <w:szCs w:val="24"/>
        </w:rPr>
      </w:pPr>
    </w:p>
    <w:p w:rsidR="00CF389F" w:rsidRPr="00695268" w:rsidRDefault="00FD6A03" w:rsidP="00D132AA">
      <w:pPr>
        <w:spacing w:after="0"/>
        <w:rPr>
          <w:b/>
          <w:szCs w:val="24"/>
        </w:rPr>
      </w:pPr>
      <w:r>
        <w:rPr>
          <w:b/>
          <w:szCs w:val="24"/>
        </w:rPr>
        <w:t xml:space="preserve">Διάγραμμα </w:t>
      </w:r>
      <w:r w:rsidR="00CF389F" w:rsidRPr="00695268">
        <w:rPr>
          <w:b/>
          <w:szCs w:val="24"/>
        </w:rPr>
        <w:t>2</w:t>
      </w:r>
      <w:r w:rsidR="00AF665B" w:rsidRPr="001A28DB">
        <w:rPr>
          <w:b/>
          <w:szCs w:val="24"/>
        </w:rPr>
        <w:t>:</w:t>
      </w:r>
      <w:r w:rsidR="00F964D1" w:rsidRPr="00152B13">
        <w:rPr>
          <w:b/>
          <w:szCs w:val="24"/>
        </w:rPr>
        <w:t xml:space="preserve"> </w:t>
      </w:r>
      <w:r w:rsidR="00CF389F" w:rsidRPr="00695268">
        <w:rPr>
          <w:b/>
          <w:szCs w:val="24"/>
        </w:rPr>
        <w:t xml:space="preserve">Ακαθάριστη Αποταμίευση Θεσμικών Τομέων </w:t>
      </w:r>
    </w:p>
    <w:p w:rsidR="00CF389F" w:rsidRPr="00695268" w:rsidRDefault="00CF389F" w:rsidP="00D132AA">
      <w:pPr>
        <w:spacing w:after="0"/>
        <w:rPr>
          <w:color w:val="FF0000"/>
          <w:szCs w:val="24"/>
        </w:rPr>
      </w:pPr>
      <w:r w:rsidRPr="00695268">
        <w:rPr>
          <w:szCs w:val="24"/>
        </w:rPr>
        <w:t>(τρέχουσες τιμές, εκατομμύρια ευρώ)</w:t>
      </w:r>
    </w:p>
    <w:p w:rsidR="00D132AA" w:rsidRDefault="006E09C1" w:rsidP="00D132AA">
      <w:pPr>
        <w:jc w:val="both"/>
        <w:rPr>
          <w:rFonts w:ascii="Calibri" w:hAnsi="Calibri"/>
        </w:rPr>
      </w:pPr>
      <w:r>
        <w:rPr>
          <w:rFonts w:ascii="Calibri" w:hAnsi="Calibri"/>
          <w:noProof/>
        </w:rPr>
        <w:drawing>
          <wp:inline distT="0" distB="0" distL="0" distR="0">
            <wp:extent cx="6480000" cy="2335480"/>
            <wp:effectExtent l="19050" t="0" r="0" b="0"/>
            <wp:docPr id="17"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6480000" cy="2335480"/>
                    </a:xfrm>
                    <a:prstGeom prst="rect">
                      <a:avLst/>
                    </a:prstGeom>
                    <a:noFill/>
                  </pic:spPr>
                </pic:pic>
              </a:graphicData>
            </a:graphic>
          </wp:inline>
        </w:drawing>
      </w:r>
    </w:p>
    <w:p w:rsidR="00CF389F" w:rsidRPr="00695268" w:rsidRDefault="00CF389F" w:rsidP="00D132AA">
      <w:pPr>
        <w:jc w:val="both"/>
        <w:rPr>
          <w:iCs/>
          <w:szCs w:val="18"/>
        </w:rPr>
      </w:pPr>
      <w:r w:rsidRPr="00695268">
        <w:rPr>
          <w:iCs/>
          <w:szCs w:val="18"/>
        </w:rPr>
        <w:t>Πηγή: Μη Χρηματοοικονομικοί Λογαριασμοί Θεσμικών Τομέων, Δ’ τρίμηνο 2020 (Ελληνική Στατιστική Αρχή)</w:t>
      </w:r>
    </w:p>
    <w:p w:rsidR="00CF389F" w:rsidRPr="00845F5C" w:rsidRDefault="00CF389F" w:rsidP="006B589B">
      <w:pPr>
        <w:jc w:val="both"/>
        <w:rPr>
          <w:szCs w:val="24"/>
        </w:rPr>
      </w:pPr>
      <w:r w:rsidRPr="00845F5C">
        <w:rPr>
          <w:szCs w:val="24"/>
        </w:rPr>
        <w:t xml:space="preserve">Παρά τη συνεπαγόμενη συμπίεση του ακαθάριστου διαθέσιμου εισοδήματος των μη χρηματοοικονομικών εταιριών κατά 4,1 δισ. ευρώ, οι τραπεζικές καταθέσεις τους αυξήθηκαν κατά 9,1 δισ. ευρώ στο σύνολο του </w:t>
      </w:r>
      <w:r w:rsidRPr="00845F5C">
        <w:rPr>
          <w:szCs w:val="24"/>
        </w:rPr>
        <w:lastRenderedPageBreak/>
        <w:t>2020</w:t>
      </w:r>
      <w:r w:rsidRPr="00845F5C">
        <w:rPr>
          <w:rStyle w:val="af1"/>
          <w:szCs w:val="24"/>
        </w:rPr>
        <w:footnoteReference w:id="19"/>
      </w:r>
      <w:r w:rsidRPr="00845F5C">
        <w:rPr>
          <w:szCs w:val="24"/>
        </w:rPr>
        <w:t xml:space="preserve">. Αυτό αντανακλά τη σημασία της ρευστότητας που διοχετεύθηκε από τα κυβερνητικά μέτρα στήριξης, είτε με τη μορφή άμεσων ελαφρύνσεων και ενισχύσεων (αναστολές πληρωμών υποχρεώσεων, απευθείας χρηματοδοτήσεις επιχειρήσεων από το Δημόσιο με την επιστρεπτέα προκαταβολή), ή μέσω τραπεζικής διαμεσολάβησης (πρόγραμμα κεφαλαίου κίνησης με διετή επιδότηση επιτοκίου μέσω του Ταμείου Επιχειρηματικότητας ΙΙ,  Ταμείο Εγγυοδοσίας Επιχειρήσεων </w:t>
      </w:r>
      <w:proofErr w:type="spellStart"/>
      <w:r w:rsidRPr="00845F5C">
        <w:rPr>
          <w:szCs w:val="24"/>
          <w:lang w:val="en-US"/>
        </w:rPr>
        <w:t>Covid</w:t>
      </w:r>
      <w:proofErr w:type="spellEnd"/>
      <w:r w:rsidRPr="00845F5C">
        <w:rPr>
          <w:szCs w:val="24"/>
        </w:rPr>
        <w:t xml:space="preserve">-19 της Ελληνικής Αναπτυξιακής Τράπεζας). </w:t>
      </w:r>
    </w:p>
    <w:p w:rsidR="00CF389F" w:rsidRPr="00845F5C" w:rsidRDefault="00CF389F" w:rsidP="006B589B">
      <w:pPr>
        <w:jc w:val="both"/>
        <w:rPr>
          <w:szCs w:val="24"/>
        </w:rPr>
      </w:pPr>
      <w:r w:rsidRPr="00845F5C">
        <w:rPr>
          <w:szCs w:val="24"/>
        </w:rPr>
        <w:t xml:space="preserve">Με την εφαρμογή των ως άνω κυβερνητικών μέτρων, η τραπεζική χρηματοδότηση μη χρηματοοικονομικών εταιριών αυξήθηκε κατά 5,6% κατά μέσο όρο το 2020, ρυθμό υπερδιπλάσιο του 2019, χωρίς να παραγνωρίζεται και ο ρόλος της </w:t>
      </w:r>
      <w:proofErr w:type="spellStart"/>
      <w:r w:rsidRPr="00845F5C">
        <w:rPr>
          <w:szCs w:val="24"/>
        </w:rPr>
        <w:t>διευκολυντικής</w:t>
      </w:r>
      <w:proofErr w:type="spellEnd"/>
      <w:r w:rsidRPr="00845F5C">
        <w:rPr>
          <w:szCs w:val="24"/>
        </w:rPr>
        <w:t xml:space="preserve"> νομισματικής πολιτικής της Ευρωπαϊκής Κεντρικής Τράπεζας</w:t>
      </w:r>
      <w:r w:rsidRPr="00845F5C">
        <w:rPr>
          <w:rStyle w:val="af1"/>
          <w:szCs w:val="24"/>
        </w:rPr>
        <w:footnoteReference w:id="20"/>
      </w:r>
      <w:r w:rsidRPr="00845F5C">
        <w:rPr>
          <w:szCs w:val="24"/>
        </w:rPr>
        <w:t xml:space="preserve"> για τη ρευστότητα του ελληνικού τραπεζικού συστήματος. Υπέρ της πιστωτικής επέκτασης έδρασε επίσης, η μείωση του αποθέματος μη εξυπηρετούμενων δανείων κατά 21 δισ. ευρώ μέσα στο 2020, το 92% της οποίας επιτεύχθηκε μέσω του προγράμματος «Ηρακλής» για παροχή κρατικής εγγύησης σε </w:t>
      </w:r>
      <w:proofErr w:type="spellStart"/>
      <w:r w:rsidRPr="00845F5C">
        <w:rPr>
          <w:szCs w:val="24"/>
        </w:rPr>
        <w:t>τιτλοποιήσεις</w:t>
      </w:r>
      <w:proofErr w:type="spellEnd"/>
      <w:r w:rsidRPr="00845F5C">
        <w:rPr>
          <w:szCs w:val="24"/>
        </w:rPr>
        <w:t xml:space="preserve"> δανείων πιστωτικών ιδρυμάτων.</w:t>
      </w:r>
    </w:p>
    <w:p w:rsidR="00CF389F" w:rsidRPr="00845F5C" w:rsidRDefault="00CF389F" w:rsidP="006B589B">
      <w:pPr>
        <w:jc w:val="both"/>
        <w:rPr>
          <w:szCs w:val="24"/>
        </w:rPr>
      </w:pPr>
      <w:r w:rsidRPr="00845F5C">
        <w:rPr>
          <w:szCs w:val="24"/>
        </w:rPr>
        <w:t>Η κυβερνητική μέριμνα για τη διατήρηση επαρκούς ρευστότητας στην οικονομία εκτιμάται ότι συνέβαλε στη συγκράτηση του όγκου επενδυτικής δραστηριότητας, με τον ακαθάριστο σχηματισμό παγίου κεφαλαίου να καταγράφει την τέταρτη πιο ανθεκτική επίδοση στην Ευρωζώνη το 2020 (-0,6% σε όρους όγκου έναντι του 2019). Ως εκ τούτου, οι επενδύσεις συμμετείχαν μόνο οριακά στη διαμόρφωση της ύφεσης, κατά 0,1 ποσοστιαία μονάδα του ΑΕΠ, ενώ η συμμετοχή τους στο ονομαστικό ΑΕΠ αυξήθηκε έναντι των προηγούμενων ετών, στο 11,1% από το 10,1% το 2019 και 10,8% το 2018.</w:t>
      </w:r>
    </w:p>
    <w:p w:rsidR="00CF389F" w:rsidRPr="00845F5C" w:rsidRDefault="00CF389F" w:rsidP="006B589B">
      <w:pPr>
        <w:jc w:val="both"/>
        <w:rPr>
          <w:szCs w:val="24"/>
        </w:rPr>
      </w:pPr>
      <w:r w:rsidRPr="00845F5C">
        <w:rPr>
          <w:szCs w:val="24"/>
        </w:rPr>
        <w:t>Σε μη εποχικά διορθωμένα στοιχεία, σχεδόν όλες οι κατηγορίες επενδύσεων κινήθηκαν απροσδόκητα θετικά, πλην των επενδύσεων σε μεταφορικό εξοπλισμό (-41,3% έναντι του 2019)</w:t>
      </w:r>
      <w:r w:rsidRPr="00845F5C">
        <w:rPr>
          <w:rStyle w:val="af1"/>
          <w:szCs w:val="24"/>
        </w:rPr>
        <w:footnoteReference w:id="21"/>
      </w:r>
      <w:r w:rsidRPr="00845F5C">
        <w:rPr>
          <w:szCs w:val="24"/>
        </w:rPr>
        <w:t xml:space="preserve">, οι οποίες ακολούθησαν τη διεθνή κάμψη της οικονομικής δραστηριότητας στον κλάδο των μεταφορών. Οι επενδύσεις σε κατασκευές αυξήθηκαν κατά 10,7%, γεγονός που οφείλεται κατά 66% στις κατασκευές πλην κατοικιών και κατά 34% στις κατοικίες. Οι επενδύσεις σε μηχανολογικό εξοπλισμό και τεχνολογία πληροφορικής και επικοινωνίας αυξήθηκαν κατά 2,6% και 4,9% αντίστοιχα σε ετήσια βάση. Στην κατηγορία τεχνολογικού εξοπλισμού, η αύξηση όγκου των επενδύσεων στο δεύτερο και τρίτο τρίμηνο του 2020 έφτασε το 9,5% και 21,6% αντίστοιχα σε ετήσια βάση, γεγονός που αντανακλά τις ευκαιρίες που γεννά η τρέχουσα συγκυρία για τον ψηφιακό μετασχηματισμό και τη διαρθρωτική ανταγωνιστικότητα της ελληνικής οικονομίας. </w:t>
      </w:r>
    </w:p>
    <w:p w:rsidR="00CF389F" w:rsidRPr="00845F5C" w:rsidRDefault="00CF389F" w:rsidP="006B589B">
      <w:pPr>
        <w:jc w:val="both"/>
        <w:rPr>
          <w:szCs w:val="24"/>
        </w:rPr>
      </w:pPr>
      <w:r w:rsidRPr="00845F5C">
        <w:rPr>
          <w:szCs w:val="24"/>
        </w:rPr>
        <w:t xml:space="preserve">Άλλες πηγές θετικής συμβολής στη μεταβολή του πραγματικού ΑΕΠ το 2020 ήταν η δημόσια κατανάλωση, κατά μισή ποσοστιαία μονάδα, λόγω αυξημένων δημοσίων δαπανών για την αντιμετώπιση της πανδημίας, και οι καθαρές εξαγωγές αγαθών, κατά 1,8 ποσοστιαίες μονάδες, παρά το ότι η πτώση των εισαγωγών αγαθών (-3,7%) ήταν μικρότερη του αναμενόμενου δεδομένης της μειωμένης κατανάλωσης και των επενδύσεων σε εξοπλισμό. Η μεταβολή αποθεμάτων/στατιστικές διαφορές είχε επίσης μικρή θετική συμβολή στη μεταβολή του πραγματικού ΑΕΠ το 2020, κατά 0,5 μονάδες. </w:t>
      </w:r>
    </w:p>
    <w:p w:rsidR="00CF389F" w:rsidRPr="00845F5C" w:rsidRDefault="00CF389F" w:rsidP="006B589B">
      <w:pPr>
        <w:jc w:val="both"/>
        <w:rPr>
          <w:szCs w:val="24"/>
        </w:rPr>
      </w:pPr>
      <w:r w:rsidRPr="00845F5C">
        <w:rPr>
          <w:szCs w:val="24"/>
        </w:rPr>
        <w:t>Πιο αναλυτικά, όσον αφορά τις εξαγωγές αγαθών, ο όγκος τους αυξήθηκε κατά 4,3% το 2020 έναντι αύξησης 2,0% το 2019, ενώ στο τρίτο και τέταρτο τρίμηνο 2020 ξεπέρασε τα 8 δισ. ευρώ, φτάνοντας σε επίπεδο-ρεκόρ όλης της περιόδου διαθέσιμων στοιχείων εθνικών λογαριασμών (1995-2020). Σύμφωνα με την τυποποιημένη ταξινόμηση διεθνούς εμπορίου (</w:t>
      </w:r>
      <w:r w:rsidRPr="00845F5C">
        <w:rPr>
          <w:szCs w:val="24"/>
          <w:lang w:val="en-US"/>
        </w:rPr>
        <w:t>SITC</w:t>
      </w:r>
      <w:r w:rsidRPr="00845F5C">
        <w:rPr>
          <w:szCs w:val="24"/>
        </w:rPr>
        <w:t xml:space="preserve">), η Ελλάδα αύξησε τον όγκο των εξαγομένων προϊόντων της προς την </w:t>
      </w:r>
      <w:r w:rsidRPr="00845F5C">
        <w:rPr>
          <w:szCs w:val="24"/>
        </w:rPr>
        <w:lastRenderedPageBreak/>
        <w:t>Ευρωζώνη και την Ευρωπαϊκή Ένωση μέσα στο 2020 κατά 3,3% και 0,2%</w:t>
      </w:r>
      <w:r w:rsidRPr="00845F5C">
        <w:rPr>
          <w:rStyle w:val="af1"/>
          <w:szCs w:val="24"/>
        </w:rPr>
        <w:footnoteReference w:id="22"/>
      </w:r>
      <w:r w:rsidRPr="00845F5C">
        <w:rPr>
          <w:szCs w:val="24"/>
        </w:rPr>
        <w:t xml:space="preserve"> έναντι του 2019, με τη Γαλλία να εισέρχεται στους πέντε μεγαλύτερους εμπορικούς εταίρους για τις ελληνικές εξαγωγές, στη θέση της Τουρκίας το 2019. </w:t>
      </w:r>
    </w:p>
    <w:p w:rsidR="00CF389F" w:rsidRPr="00845F5C" w:rsidRDefault="00CF389F" w:rsidP="006B589B">
      <w:pPr>
        <w:jc w:val="both"/>
        <w:rPr>
          <w:szCs w:val="24"/>
        </w:rPr>
      </w:pPr>
      <w:r w:rsidRPr="00845F5C">
        <w:rPr>
          <w:szCs w:val="24"/>
        </w:rPr>
        <w:t xml:space="preserve">Σε όρους τρεχουσών τιμών, ωστόσο, οι εξαγωγές αγαθών σημείωσαν πτώση, κατά 9,3% σε </w:t>
      </w:r>
      <w:proofErr w:type="spellStart"/>
      <w:r w:rsidRPr="00845F5C">
        <w:rPr>
          <w:szCs w:val="24"/>
        </w:rPr>
        <w:t>εθνικολογιστική</w:t>
      </w:r>
      <w:proofErr w:type="spellEnd"/>
      <w:r w:rsidRPr="00845F5C">
        <w:rPr>
          <w:szCs w:val="24"/>
        </w:rPr>
        <w:t xml:space="preserve"> βάση. Ως κύριος προσδιοριστικός παράγοντας εκτιμάται η αναγκαστική μείωση της κατανάλωσης στις χώρες προορισμού, σε συνδυασμό με τη μείωση της διεθνούς τιμής του πετρελαίου (κατά 60,9% για το </w:t>
      </w:r>
      <w:r w:rsidRPr="00845F5C">
        <w:rPr>
          <w:szCs w:val="24"/>
          <w:lang w:val="en-US"/>
        </w:rPr>
        <w:t>Brent</w:t>
      </w:r>
      <w:r w:rsidRPr="00845F5C">
        <w:rPr>
          <w:szCs w:val="24"/>
        </w:rPr>
        <w:t xml:space="preserve"> την περίοδο Μαρτίου-Μαΐου, και κατά 36,5% στο σύνολο του 2020). Αντίθετα, η αναστολή λειτουργίας κλάδων δεν φαίνεται να έχει επιδράσει σημαντικά στην κάμψη των εξαγωγών αγαθών. Βάσει των πειραματικών στατιστικών της Ελληνικής Στατιστικής Αρχής</w:t>
      </w:r>
      <w:r w:rsidRPr="00845F5C">
        <w:rPr>
          <w:rStyle w:val="af1"/>
          <w:szCs w:val="24"/>
        </w:rPr>
        <w:footnoteReference w:id="23"/>
      </w:r>
      <w:r w:rsidRPr="00845F5C">
        <w:rPr>
          <w:szCs w:val="24"/>
        </w:rPr>
        <w:t xml:space="preserve">, την περίοδο Μαρτίου-Μαΐου 2020 η μείωση στην αξία εξαγομένων που προήλθε από επιχειρήσεις σε αναστολή λόγω </w:t>
      </w:r>
      <w:proofErr w:type="spellStart"/>
      <w:r w:rsidRPr="00845F5C">
        <w:rPr>
          <w:szCs w:val="24"/>
          <w:lang w:val="en-US"/>
        </w:rPr>
        <w:t>Covid</w:t>
      </w:r>
      <w:proofErr w:type="spellEnd"/>
      <w:r w:rsidRPr="00845F5C">
        <w:rPr>
          <w:szCs w:val="24"/>
        </w:rPr>
        <w:t xml:space="preserve">-19 αποτέλεσε το 2,9% της συνολικής μείωσης της αξίας τους, η οποία έφτασε το 24,8% έναντι της περιόδου Μαρτίου-Μαΐου 2019. </w:t>
      </w:r>
    </w:p>
    <w:p w:rsidR="00CF389F" w:rsidRPr="00845F5C" w:rsidRDefault="00CF389F" w:rsidP="006B589B">
      <w:pPr>
        <w:jc w:val="both"/>
        <w:rPr>
          <w:szCs w:val="24"/>
        </w:rPr>
      </w:pPr>
      <w:r w:rsidRPr="00845F5C">
        <w:rPr>
          <w:szCs w:val="24"/>
        </w:rPr>
        <w:t xml:space="preserve">Οι ως άνω τάσεις των συνιστωσών του ΑΕΠ διατηρήθηκαν με γενικά ομοιόμορφο τρόπο μεταξύ τριμήνων του 2020 (διάγραμμα 3), διαμορφώνοντας μία σαφή εικόνα για τα κανάλια διάχυσης των επιπτώσεων της πανδημίας στην οικονομία και στηρίζοντας την πεποίθηση για καταρχήν εξωγενή και παροδική φύση της κρίσης.  </w:t>
      </w:r>
    </w:p>
    <w:p w:rsidR="006B589B" w:rsidRDefault="006B589B" w:rsidP="008735D6">
      <w:pPr>
        <w:spacing w:after="0" w:line="240" w:lineRule="auto"/>
        <w:rPr>
          <w:szCs w:val="24"/>
        </w:rPr>
      </w:pPr>
    </w:p>
    <w:p w:rsidR="00CF389F" w:rsidRPr="00845F5C" w:rsidRDefault="00FD6A03" w:rsidP="008735D6">
      <w:pPr>
        <w:spacing w:after="0" w:line="240" w:lineRule="auto"/>
        <w:rPr>
          <w:b/>
          <w:szCs w:val="24"/>
        </w:rPr>
      </w:pPr>
      <w:r>
        <w:rPr>
          <w:b/>
          <w:szCs w:val="24"/>
        </w:rPr>
        <w:t xml:space="preserve">Διάγραμμα </w:t>
      </w:r>
      <w:r w:rsidR="00CF389F" w:rsidRPr="00845F5C">
        <w:rPr>
          <w:b/>
          <w:szCs w:val="24"/>
        </w:rPr>
        <w:t>3</w:t>
      </w:r>
      <w:r w:rsidR="00AF665B" w:rsidRPr="00AF665B">
        <w:rPr>
          <w:b/>
          <w:szCs w:val="24"/>
        </w:rPr>
        <w:t>:</w:t>
      </w:r>
      <w:r w:rsidR="00F964D1" w:rsidRPr="00F964D1">
        <w:rPr>
          <w:b/>
          <w:szCs w:val="24"/>
        </w:rPr>
        <w:t xml:space="preserve"> </w:t>
      </w:r>
      <w:r w:rsidR="00CF389F" w:rsidRPr="00845F5C">
        <w:rPr>
          <w:b/>
          <w:szCs w:val="24"/>
        </w:rPr>
        <w:t>Συμβολή συνιστωσών τριμήνων στη μεταβολή του ετήσιου ΑΕΠ το 2020</w:t>
      </w:r>
    </w:p>
    <w:p w:rsidR="00CF389F" w:rsidRDefault="00CF389F" w:rsidP="008735D6">
      <w:pPr>
        <w:spacing w:after="0" w:line="240" w:lineRule="auto"/>
        <w:rPr>
          <w:szCs w:val="24"/>
        </w:rPr>
      </w:pPr>
      <w:r w:rsidRPr="00845F5C">
        <w:rPr>
          <w:szCs w:val="24"/>
        </w:rPr>
        <w:t>(% ποσοστιαίες μονάδες του ετήσιου ΑΕΠ, σταθερές τιμές, μη εποχικά διορθωμένα στοιχεία)</w:t>
      </w:r>
    </w:p>
    <w:p w:rsidR="006E09C1" w:rsidRPr="00845F5C" w:rsidRDefault="006E09C1" w:rsidP="008735D6">
      <w:pPr>
        <w:spacing w:after="0" w:line="240" w:lineRule="auto"/>
        <w:rPr>
          <w:szCs w:val="24"/>
        </w:rPr>
      </w:pPr>
      <w:r>
        <w:rPr>
          <w:noProof/>
          <w:szCs w:val="24"/>
        </w:rPr>
        <w:drawing>
          <wp:inline distT="0" distB="0" distL="0" distR="0">
            <wp:extent cx="6480000" cy="2889474"/>
            <wp:effectExtent l="19050" t="0" r="0" b="0"/>
            <wp:docPr id="19"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6480000" cy="2889474"/>
                    </a:xfrm>
                    <a:prstGeom prst="rect">
                      <a:avLst/>
                    </a:prstGeom>
                    <a:noFill/>
                  </pic:spPr>
                </pic:pic>
              </a:graphicData>
            </a:graphic>
          </wp:inline>
        </w:drawing>
      </w:r>
    </w:p>
    <w:p w:rsidR="00CF389F" w:rsidRPr="0068400B" w:rsidRDefault="00CF389F" w:rsidP="00CF389F">
      <w:pPr>
        <w:spacing w:after="0"/>
        <w:jc w:val="center"/>
        <w:rPr>
          <w:color w:val="FF0000"/>
          <w:sz w:val="20"/>
          <w:szCs w:val="20"/>
        </w:rPr>
      </w:pPr>
    </w:p>
    <w:p w:rsidR="006B589B" w:rsidRDefault="00CF389F" w:rsidP="008735D6">
      <w:pPr>
        <w:tabs>
          <w:tab w:val="left" w:pos="142"/>
        </w:tabs>
        <w:spacing w:after="240"/>
        <w:ind w:right="423"/>
        <w:rPr>
          <w:iCs/>
        </w:rPr>
      </w:pPr>
      <w:r w:rsidRPr="00845F5C">
        <w:rPr>
          <w:iCs/>
        </w:rPr>
        <w:t>Πηγή: Τριμηνιαίοι Εθνικοί Λογαριασμοί (Ελληνική Στατιστική Αρχή)</w:t>
      </w:r>
    </w:p>
    <w:p w:rsidR="003256B8" w:rsidRDefault="003256B8" w:rsidP="008735D6">
      <w:pPr>
        <w:tabs>
          <w:tab w:val="left" w:pos="142"/>
        </w:tabs>
        <w:spacing w:after="240"/>
        <w:ind w:right="423"/>
        <w:rPr>
          <w:iCs/>
        </w:rPr>
      </w:pPr>
    </w:p>
    <w:p w:rsidR="00CB566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cstheme="minorHAnsi"/>
          <w:b/>
          <w:bCs/>
          <w:sz w:val="20"/>
          <w:szCs w:val="20"/>
        </w:rPr>
      </w:pPr>
    </w:p>
    <w:p w:rsidR="00CB5668" w:rsidRPr="002C4E4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jc w:val="both"/>
        <w:rPr>
          <w:rFonts w:cstheme="minorHAnsi"/>
          <w:b/>
          <w:bCs/>
          <w:sz w:val="20"/>
          <w:szCs w:val="20"/>
        </w:rPr>
      </w:pPr>
      <w:r w:rsidRPr="002C4E48">
        <w:rPr>
          <w:rFonts w:cstheme="minorHAnsi"/>
          <w:b/>
          <w:bCs/>
          <w:sz w:val="20"/>
          <w:szCs w:val="20"/>
        </w:rPr>
        <w:t>Πλαίσιο 1: Αναθεωρήσεις μακροοικονομικών προβλέψεων το 2020 λόγω της πανδημίας</w:t>
      </w:r>
    </w:p>
    <w:p w:rsidR="00CB5668" w:rsidRPr="002C4E4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spacing w:before="120"/>
        <w:jc w:val="both"/>
        <w:rPr>
          <w:rFonts w:cstheme="minorHAnsi"/>
          <w:sz w:val="20"/>
          <w:szCs w:val="20"/>
        </w:rPr>
      </w:pPr>
      <w:r w:rsidRPr="002C4E48">
        <w:rPr>
          <w:rFonts w:cstheme="minorHAnsi"/>
          <w:sz w:val="20"/>
          <w:szCs w:val="20"/>
        </w:rPr>
        <w:t xml:space="preserve">Καθώς η πανδημία </w:t>
      </w:r>
      <w:r>
        <w:rPr>
          <w:rFonts w:cstheme="minorHAnsi"/>
          <w:sz w:val="20"/>
          <w:szCs w:val="20"/>
        </w:rPr>
        <w:t>εξελίχθηκε</w:t>
      </w:r>
      <w:r w:rsidRPr="002C4E48">
        <w:rPr>
          <w:rFonts w:cstheme="minorHAnsi"/>
          <w:sz w:val="20"/>
          <w:szCs w:val="20"/>
        </w:rPr>
        <w:t xml:space="preserve"> με περιόδους ύφεσης και έξαρσης κατά τη διάρκεια του 2020, η αυξομείωση της έντασης των μέτρων περιορισμού της </w:t>
      </w:r>
      <w:r>
        <w:rPr>
          <w:rFonts w:cstheme="minorHAnsi"/>
          <w:sz w:val="20"/>
          <w:szCs w:val="20"/>
        </w:rPr>
        <w:t xml:space="preserve">διασποράς της </w:t>
      </w:r>
      <w:r w:rsidRPr="002C4E48">
        <w:rPr>
          <w:rFonts w:cstheme="minorHAnsi"/>
          <w:sz w:val="20"/>
          <w:szCs w:val="20"/>
        </w:rPr>
        <w:t>οδήγησε τους φορείς διενέργειας μακροοικονομικών προβλέψεων</w:t>
      </w:r>
      <w:r>
        <w:rPr>
          <w:rFonts w:cstheme="minorHAnsi"/>
          <w:sz w:val="20"/>
          <w:szCs w:val="20"/>
        </w:rPr>
        <w:t xml:space="preserve"> </w:t>
      </w:r>
      <w:r w:rsidRPr="002C4E48">
        <w:rPr>
          <w:rFonts w:cstheme="minorHAnsi"/>
          <w:sz w:val="20"/>
          <w:szCs w:val="20"/>
        </w:rPr>
        <w:t>διεθνώς σε αλλεπάλληλες προσαρμογές των εκτιμήσε</w:t>
      </w:r>
      <w:r>
        <w:rPr>
          <w:rFonts w:cstheme="minorHAnsi"/>
          <w:sz w:val="20"/>
          <w:szCs w:val="20"/>
        </w:rPr>
        <w:t>ώ</w:t>
      </w:r>
      <w:r w:rsidRPr="002C4E48">
        <w:rPr>
          <w:rFonts w:cstheme="minorHAnsi"/>
          <w:sz w:val="20"/>
          <w:szCs w:val="20"/>
        </w:rPr>
        <w:t>ν</w:t>
      </w:r>
      <w:r>
        <w:rPr>
          <w:rFonts w:cstheme="minorHAnsi"/>
          <w:sz w:val="20"/>
          <w:szCs w:val="20"/>
        </w:rPr>
        <w:t xml:space="preserve"> τους</w:t>
      </w:r>
      <w:r w:rsidRPr="002C4E48">
        <w:rPr>
          <w:rFonts w:cstheme="minorHAnsi"/>
          <w:sz w:val="20"/>
          <w:szCs w:val="20"/>
        </w:rPr>
        <w:t xml:space="preserve"> για την </w:t>
      </w:r>
      <w:r>
        <w:rPr>
          <w:rFonts w:cstheme="minorHAnsi"/>
          <w:sz w:val="20"/>
          <w:szCs w:val="20"/>
        </w:rPr>
        <w:t xml:space="preserve">οικονομική </w:t>
      </w:r>
      <w:r w:rsidRPr="002C4E48">
        <w:rPr>
          <w:rFonts w:cstheme="minorHAnsi"/>
          <w:sz w:val="20"/>
          <w:szCs w:val="20"/>
        </w:rPr>
        <w:t>επίπτωση</w:t>
      </w:r>
      <w:r>
        <w:rPr>
          <w:rFonts w:cstheme="minorHAnsi"/>
          <w:sz w:val="20"/>
          <w:szCs w:val="20"/>
        </w:rPr>
        <w:t xml:space="preserve"> της κρίσης</w:t>
      </w:r>
      <w:r w:rsidRPr="002C4E48">
        <w:rPr>
          <w:rFonts w:cstheme="minorHAnsi"/>
          <w:sz w:val="20"/>
          <w:szCs w:val="20"/>
        </w:rPr>
        <w:t xml:space="preserve">. </w:t>
      </w:r>
    </w:p>
    <w:p w:rsidR="00CB5668" w:rsidRPr="002C4E4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jc w:val="both"/>
        <w:rPr>
          <w:rFonts w:cstheme="minorHAnsi"/>
          <w:sz w:val="20"/>
          <w:szCs w:val="20"/>
        </w:rPr>
      </w:pPr>
      <w:r>
        <w:rPr>
          <w:rFonts w:cstheme="minorHAnsi"/>
          <w:sz w:val="20"/>
          <w:szCs w:val="20"/>
        </w:rPr>
        <w:lastRenderedPageBreak/>
        <w:t>Μετά την αρχική εκτίμησή της για την ύφεση του 2020 στην Ευρωζώνη στο 7,7% (Εαρινές προβλέψεις Μαΐου 2020), η</w:t>
      </w:r>
      <w:r w:rsidRPr="002C4E48">
        <w:rPr>
          <w:rFonts w:cstheme="minorHAnsi"/>
          <w:sz w:val="20"/>
          <w:szCs w:val="20"/>
        </w:rPr>
        <w:t xml:space="preserve"> Ευρωπαϊκή Επιτροπή αναθεώρησε την εκτίμηση για το πραγματικό ΑΕΠ </w:t>
      </w:r>
      <w:r>
        <w:rPr>
          <w:rFonts w:cstheme="minorHAnsi"/>
          <w:sz w:val="20"/>
          <w:szCs w:val="20"/>
        </w:rPr>
        <w:t>της</w:t>
      </w:r>
      <w:r w:rsidRPr="002C4E48">
        <w:rPr>
          <w:rFonts w:cstheme="minorHAnsi"/>
          <w:sz w:val="20"/>
          <w:szCs w:val="20"/>
        </w:rPr>
        <w:t xml:space="preserve"> Ευρωζώνη</w:t>
      </w:r>
      <w:r>
        <w:rPr>
          <w:rFonts w:cstheme="minorHAnsi"/>
          <w:sz w:val="20"/>
          <w:szCs w:val="20"/>
        </w:rPr>
        <w:t>ς</w:t>
      </w:r>
      <w:r w:rsidRPr="002C4E48">
        <w:rPr>
          <w:rFonts w:cstheme="minorHAnsi"/>
          <w:sz w:val="20"/>
          <w:szCs w:val="20"/>
        </w:rPr>
        <w:t xml:space="preserve"> προς το δυσμενέστερ</w:t>
      </w:r>
      <w:r>
        <w:rPr>
          <w:rFonts w:cstheme="minorHAnsi"/>
          <w:sz w:val="20"/>
          <w:szCs w:val="20"/>
        </w:rPr>
        <w:t>ο</w:t>
      </w:r>
      <w:r w:rsidRPr="002C4E48">
        <w:rPr>
          <w:rFonts w:cstheme="minorHAnsi"/>
          <w:sz w:val="20"/>
          <w:szCs w:val="20"/>
        </w:rPr>
        <w:t xml:space="preserve"> </w:t>
      </w:r>
      <w:r>
        <w:rPr>
          <w:rFonts w:cstheme="minorHAnsi"/>
          <w:sz w:val="20"/>
          <w:szCs w:val="20"/>
        </w:rPr>
        <w:t xml:space="preserve">(-8,7%) </w:t>
      </w:r>
      <w:r w:rsidRPr="002C4E48">
        <w:rPr>
          <w:rFonts w:cstheme="minorHAnsi"/>
          <w:sz w:val="20"/>
          <w:szCs w:val="20"/>
        </w:rPr>
        <w:t xml:space="preserve">στις </w:t>
      </w:r>
      <w:r>
        <w:rPr>
          <w:rFonts w:cstheme="minorHAnsi"/>
          <w:sz w:val="20"/>
          <w:szCs w:val="20"/>
        </w:rPr>
        <w:t>Θ</w:t>
      </w:r>
      <w:r w:rsidRPr="002C4E48">
        <w:rPr>
          <w:rFonts w:cstheme="minorHAnsi"/>
          <w:sz w:val="20"/>
          <w:szCs w:val="20"/>
        </w:rPr>
        <w:t xml:space="preserve">ερινές </w:t>
      </w:r>
      <w:r>
        <w:rPr>
          <w:rFonts w:cstheme="minorHAnsi"/>
          <w:sz w:val="20"/>
          <w:szCs w:val="20"/>
        </w:rPr>
        <w:t>ε</w:t>
      </w:r>
      <w:r w:rsidRPr="002C4E48">
        <w:rPr>
          <w:rFonts w:cstheme="minorHAnsi"/>
          <w:sz w:val="20"/>
          <w:szCs w:val="20"/>
        </w:rPr>
        <w:t>νδιάμεσες προβλέψεις της (Ιούλιος 2020), και στη συνέχεια ελαφρώς προς το βέλτιον</w:t>
      </w:r>
      <w:r w:rsidRPr="002C4E48">
        <w:rPr>
          <w:rStyle w:val="af1"/>
          <w:rFonts w:cstheme="minorHAnsi"/>
          <w:sz w:val="20"/>
          <w:szCs w:val="20"/>
        </w:rPr>
        <w:footnoteReference w:id="24"/>
      </w:r>
      <w:r w:rsidRPr="002C4E48">
        <w:rPr>
          <w:rFonts w:cstheme="minorHAnsi"/>
          <w:sz w:val="20"/>
          <w:szCs w:val="20"/>
        </w:rPr>
        <w:t xml:space="preserve"> </w:t>
      </w:r>
      <w:r>
        <w:rPr>
          <w:rFonts w:cstheme="minorHAnsi"/>
          <w:sz w:val="20"/>
          <w:szCs w:val="20"/>
        </w:rPr>
        <w:t xml:space="preserve">(-7,8%) στον Φθινοπωρινό γύρο προβλέψεων </w:t>
      </w:r>
      <w:r w:rsidRPr="002C4E48">
        <w:rPr>
          <w:rFonts w:cstheme="minorHAnsi"/>
          <w:sz w:val="20"/>
          <w:szCs w:val="20"/>
        </w:rPr>
        <w:t>(</w:t>
      </w:r>
      <w:r>
        <w:rPr>
          <w:rFonts w:cstheme="minorHAnsi"/>
          <w:sz w:val="20"/>
          <w:szCs w:val="20"/>
        </w:rPr>
        <w:t>Νοέμβριος 2020</w:t>
      </w:r>
      <w:r w:rsidRPr="002C4E48">
        <w:rPr>
          <w:rFonts w:cstheme="minorHAnsi"/>
          <w:sz w:val="20"/>
          <w:szCs w:val="20"/>
        </w:rPr>
        <w:t xml:space="preserve">), συνεχίζοντας ωστόσο να υπερεκτιμά την οικονομική ύφεση έναντι των </w:t>
      </w:r>
      <w:r>
        <w:rPr>
          <w:rFonts w:cstheme="minorHAnsi"/>
          <w:sz w:val="20"/>
          <w:szCs w:val="20"/>
        </w:rPr>
        <w:t xml:space="preserve">τελικών </w:t>
      </w:r>
      <w:r w:rsidRPr="002C4E48">
        <w:rPr>
          <w:rFonts w:cstheme="minorHAnsi"/>
          <w:sz w:val="20"/>
          <w:szCs w:val="20"/>
        </w:rPr>
        <w:t xml:space="preserve">προσωρινών στοιχείων της Ευρωπαϊκής Στατιστικής Αρχής για το </w:t>
      </w:r>
      <w:r>
        <w:rPr>
          <w:rFonts w:cstheme="minorHAnsi"/>
          <w:sz w:val="20"/>
          <w:szCs w:val="20"/>
        </w:rPr>
        <w:t>2020</w:t>
      </w:r>
      <w:r w:rsidRPr="002C4E48">
        <w:rPr>
          <w:rFonts w:cstheme="minorHAnsi"/>
          <w:sz w:val="20"/>
          <w:szCs w:val="20"/>
        </w:rPr>
        <w:t xml:space="preserve"> όπως ανακοινώθηκαν τον Μάρτιο του 2021 (-6,6%). </w:t>
      </w:r>
    </w:p>
    <w:p w:rsidR="00CB5668" w:rsidRPr="002C4E4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jc w:val="both"/>
        <w:rPr>
          <w:rFonts w:cstheme="minorHAnsi"/>
          <w:sz w:val="20"/>
          <w:szCs w:val="20"/>
        </w:rPr>
      </w:pPr>
      <w:r w:rsidRPr="002C4E48">
        <w:rPr>
          <w:rFonts w:cstheme="minorHAnsi"/>
          <w:sz w:val="20"/>
          <w:szCs w:val="20"/>
        </w:rPr>
        <w:t xml:space="preserve">Για την Ελλάδα, η Ευρωπαϊκή Επιτροπή εκτιμούσε </w:t>
      </w:r>
      <w:r>
        <w:rPr>
          <w:rFonts w:cstheme="minorHAnsi"/>
          <w:sz w:val="20"/>
          <w:szCs w:val="20"/>
        </w:rPr>
        <w:t xml:space="preserve">κατ’ αναλογία </w:t>
      </w:r>
      <w:r w:rsidRPr="002C4E48">
        <w:rPr>
          <w:rFonts w:cstheme="minorHAnsi"/>
          <w:sz w:val="20"/>
          <w:szCs w:val="20"/>
        </w:rPr>
        <w:t>βαθύτερη ύφεση λόγω της πανδημίας από την τελικώς παρατηρούμενη, με τις μεγαλύτερες αρνητικές αποκλίσεις να σημειώνονται κατά την αρχική της εκτίμηση, την άνοιξη του 2020 (κατά 1,5 ποσοστιαία μονάδα</w:t>
      </w:r>
      <w:r>
        <w:rPr>
          <w:rFonts w:cstheme="minorHAnsi"/>
          <w:sz w:val="20"/>
          <w:szCs w:val="20"/>
        </w:rPr>
        <w:t xml:space="preserve"> έναντι της ανακοίνωσης της Ελληνικής Στατιστικής Αρχής</w:t>
      </w:r>
      <w:r w:rsidRPr="002C4E48">
        <w:rPr>
          <w:rFonts w:cstheme="minorHAnsi"/>
          <w:sz w:val="20"/>
          <w:szCs w:val="20"/>
        </w:rPr>
        <w:t xml:space="preserve">), και κατά την πλέον πρόσφατη, των χειμερινών προβλέψεων Φεβρουαρίου του 2021 (κατά 1,8 ποσοστιαίες μονάδες). Η τελευταία </w:t>
      </w:r>
      <w:r>
        <w:rPr>
          <w:rFonts w:cstheme="minorHAnsi"/>
          <w:sz w:val="20"/>
          <w:szCs w:val="20"/>
        </w:rPr>
        <w:t xml:space="preserve">δυσμενής </w:t>
      </w:r>
      <w:r w:rsidRPr="002C4E48">
        <w:rPr>
          <w:rFonts w:cstheme="minorHAnsi"/>
          <w:sz w:val="20"/>
          <w:szCs w:val="20"/>
        </w:rPr>
        <w:t xml:space="preserve">αναθεώρηση ήταν απόρροια των νέων </w:t>
      </w:r>
      <w:r>
        <w:rPr>
          <w:rFonts w:cstheme="minorHAnsi"/>
          <w:sz w:val="20"/>
          <w:szCs w:val="20"/>
        </w:rPr>
        <w:t xml:space="preserve">περιοριστικών </w:t>
      </w:r>
      <w:r w:rsidRPr="002C4E48">
        <w:rPr>
          <w:rFonts w:cstheme="minorHAnsi"/>
          <w:sz w:val="20"/>
          <w:szCs w:val="20"/>
        </w:rPr>
        <w:t xml:space="preserve">μέτρων κατά της διασποράς </w:t>
      </w:r>
      <w:r>
        <w:rPr>
          <w:rFonts w:cstheme="minorHAnsi"/>
          <w:sz w:val="20"/>
          <w:szCs w:val="20"/>
        </w:rPr>
        <w:t>του</w:t>
      </w:r>
      <w:r w:rsidRPr="002C4E48">
        <w:rPr>
          <w:rFonts w:cstheme="minorHAnsi"/>
          <w:sz w:val="20"/>
          <w:szCs w:val="20"/>
        </w:rPr>
        <w:t xml:space="preserve"> </w:t>
      </w:r>
      <w:proofErr w:type="spellStart"/>
      <w:r>
        <w:rPr>
          <w:rFonts w:cstheme="minorHAnsi"/>
          <w:sz w:val="20"/>
          <w:szCs w:val="20"/>
          <w:lang w:val="en-US"/>
        </w:rPr>
        <w:t>Covid</w:t>
      </w:r>
      <w:proofErr w:type="spellEnd"/>
      <w:r w:rsidRPr="003650CB">
        <w:rPr>
          <w:rFonts w:cstheme="minorHAnsi"/>
          <w:sz w:val="20"/>
          <w:szCs w:val="20"/>
        </w:rPr>
        <w:t xml:space="preserve">-19 </w:t>
      </w:r>
      <w:r w:rsidRPr="002C4E48">
        <w:rPr>
          <w:rFonts w:cstheme="minorHAnsi"/>
          <w:sz w:val="20"/>
          <w:szCs w:val="20"/>
        </w:rPr>
        <w:t xml:space="preserve">που εφαρμόστηκαν στην Ελλάδα το τελευταίο δίμηνο του 2020, με νέα αναστολή λειτουργίας των κλάδων του λιανεμπορίου, της εστίασης και της ψυχαγωγίας και περιορισμό των μετακινήσεων στις υγειονομικά επιβαρυμένες περιφέρειες της χώρας (δεύτερο </w:t>
      </w:r>
      <w:r>
        <w:rPr>
          <w:rFonts w:cstheme="minorHAnsi"/>
          <w:sz w:val="20"/>
          <w:szCs w:val="20"/>
        </w:rPr>
        <w:t>«</w:t>
      </w:r>
      <w:r w:rsidRPr="002C4E48">
        <w:rPr>
          <w:rFonts w:cstheme="minorHAnsi"/>
          <w:sz w:val="20"/>
          <w:szCs w:val="20"/>
          <w:lang w:val="en-US"/>
        </w:rPr>
        <w:t>lockdown</w:t>
      </w:r>
      <w:r>
        <w:rPr>
          <w:rFonts w:cstheme="minorHAnsi"/>
          <w:sz w:val="20"/>
          <w:szCs w:val="20"/>
        </w:rPr>
        <w:t>»</w:t>
      </w:r>
      <w:r w:rsidRPr="002C4E48">
        <w:rPr>
          <w:rFonts w:cstheme="minorHAnsi"/>
          <w:sz w:val="20"/>
          <w:szCs w:val="20"/>
        </w:rPr>
        <w:t xml:space="preserve">). </w:t>
      </w:r>
    </w:p>
    <w:p w:rsidR="00CB5668" w:rsidRPr="002C4E48" w:rsidRDefault="00D54140" w:rsidP="00CB5668">
      <w:pPr>
        <w:pBdr>
          <w:top w:val="single" w:sz="4" w:space="1" w:color="auto"/>
          <w:left w:val="single" w:sz="4" w:space="4" w:color="auto"/>
          <w:bottom w:val="single" w:sz="4" w:space="1" w:color="auto"/>
          <w:right w:val="single" w:sz="4" w:space="4" w:color="auto"/>
        </w:pBdr>
        <w:shd w:val="clear" w:color="auto" w:fill="EEECE1" w:themeFill="background2"/>
        <w:spacing w:after="0"/>
        <w:rPr>
          <w:rFonts w:cstheme="minorHAnsi"/>
          <w:b/>
          <w:sz w:val="20"/>
          <w:szCs w:val="20"/>
        </w:rPr>
      </w:pPr>
      <w:r>
        <w:rPr>
          <w:rFonts w:cstheme="minorHAnsi"/>
          <w:b/>
          <w:sz w:val="20"/>
          <w:szCs w:val="20"/>
        </w:rPr>
        <w:t xml:space="preserve">     </w:t>
      </w:r>
      <w:r w:rsidR="00FD6A03">
        <w:rPr>
          <w:rFonts w:cstheme="minorHAnsi"/>
          <w:b/>
          <w:sz w:val="20"/>
          <w:szCs w:val="20"/>
        </w:rPr>
        <w:t xml:space="preserve">Διάγραμμα </w:t>
      </w:r>
      <w:r w:rsidR="00CB5668">
        <w:rPr>
          <w:rFonts w:cstheme="minorHAnsi"/>
          <w:b/>
          <w:sz w:val="20"/>
          <w:szCs w:val="20"/>
        </w:rPr>
        <w:t>4</w:t>
      </w:r>
      <w:r w:rsidR="00AF665B" w:rsidRPr="00AF665B">
        <w:rPr>
          <w:rFonts w:cstheme="minorHAnsi"/>
          <w:b/>
          <w:sz w:val="20"/>
          <w:szCs w:val="20"/>
        </w:rPr>
        <w:t>:</w:t>
      </w:r>
      <w:r w:rsidR="00F964D1" w:rsidRPr="00F964D1">
        <w:rPr>
          <w:rFonts w:cstheme="minorHAnsi"/>
          <w:b/>
          <w:sz w:val="20"/>
          <w:szCs w:val="20"/>
        </w:rPr>
        <w:t xml:space="preserve"> </w:t>
      </w:r>
      <w:r w:rsidR="00CB5668" w:rsidRPr="002C4E48">
        <w:rPr>
          <w:rFonts w:cstheme="minorHAnsi"/>
          <w:b/>
          <w:sz w:val="20"/>
          <w:szCs w:val="20"/>
        </w:rPr>
        <w:t xml:space="preserve">Αναθεωρήσεις </w:t>
      </w:r>
      <w:r w:rsidR="00CB5668">
        <w:rPr>
          <w:rFonts w:cstheme="minorHAnsi"/>
          <w:b/>
          <w:sz w:val="20"/>
          <w:szCs w:val="20"/>
        </w:rPr>
        <w:t>των</w:t>
      </w:r>
      <w:r w:rsidR="00CB5668" w:rsidRPr="002C4E48">
        <w:rPr>
          <w:rFonts w:cstheme="minorHAnsi"/>
          <w:b/>
          <w:sz w:val="20"/>
          <w:szCs w:val="20"/>
        </w:rPr>
        <w:t xml:space="preserve"> </w:t>
      </w:r>
      <w:r w:rsidR="00CB5668">
        <w:rPr>
          <w:rFonts w:cstheme="minorHAnsi"/>
          <w:b/>
          <w:sz w:val="20"/>
          <w:szCs w:val="20"/>
        </w:rPr>
        <w:t>προβλέψεων</w:t>
      </w:r>
      <w:r w:rsidR="00CB5668" w:rsidRPr="002C4E48">
        <w:rPr>
          <w:rFonts w:cstheme="minorHAnsi"/>
          <w:b/>
          <w:sz w:val="20"/>
          <w:szCs w:val="20"/>
        </w:rPr>
        <w:t xml:space="preserve"> ΑΕΠ για το 2020</w:t>
      </w:r>
    </w:p>
    <w:p w:rsidR="00CB5668" w:rsidRDefault="00D54140" w:rsidP="00CB5668">
      <w:pPr>
        <w:pBdr>
          <w:top w:val="single" w:sz="4" w:space="1" w:color="auto"/>
          <w:left w:val="single" w:sz="4" w:space="4" w:color="auto"/>
          <w:bottom w:val="single" w:sz="4" w:space="1" w:color="auto"/>
          <w:right w:val="single" w:sz="4" w:space="4" w:color="auto"/>
        </w:pBdr>
        <w:shd w:val="clear" w:color="auto" w:fill="EEECE1" w:themeFill="background2"/>
        <w:spacing w:after="0"/>
        <w:rPr>
          <w:rFonts w:cstheme="minorHAnsi"/>
          <w:sz w:val="20"/>
          <w:szCs w:val="20"/>
        </w:rPr>
      </w:pPr>
      <w:r>
        <w:rPr>
          <w:rFonts w:cstheme="minorHAnsi"/>
          <w:sz w:val="20"/>
          <w:szCs w:val="20"/>
        </w:rPr>
        <w:t xml:space="preserve">     </w:t>
      </w:r>
      <w:r w:rsidR="00CB5668" w:rsidRPr="002C4E48">
        <w:rPr>
          <w:rFonts w:cstheme="minorHAnsi"/>
          <w:sz w:val="20"/>
          <w:szCs w:val="20"/>
        </w:rPr>
        <w:t>(% ετήσιες μεταβολές, σταθερές τιμές)</w:t>
      </w:r>
    </w:p>
    <w:p w:rsidR="006E09C1" w:rsidRPr="002C4E48" w:rsidRDefault="006E09C1" w:rsidP="00D54140">
      <w:pPr>
        <w:pBdr>
          <w:top w:val="single" w:sz="4" w:space="1" w:color="auto"/>
          <w:left w:val="single" w:sz="4" w:space="4" w:color="auto"/>
          <w:bottom w:val="single" w:sz="4" w:space="1" w:color="auto"/>
          <w:right w:val="single" w:sz="4" w:space="4" w:color="auto"/>
        </w:pBdr>
        <w:shd w:val="clear" w:color="auto" w:fill="EEECE1" w:themeFill="background2"/>
        <w:spacing w:after="0"/>
        <w:jc w:val="center"/>
        <w:rPr>
          <w:rFonts w:cstheme="minorHAnsi"/>
          <w:color w:val="FF0000"/>
          <w:sz w:val="20"/>
          <w:szCs w:val="20"/>
        </w:rPr>
      </w:pPr>
      <w:r>
        <w:rPr>
          <w:rFonts w:cstheme="minorHAnsi"/>
          <w:noProof/>
          <w:color w:val="FF0000"/>
          <w:sz w:val="20"/>
          <w:szCs w:val="20"/>
        </w:rPr>
        <w:drawing>
          <wp:inline distT="0" distB="0" distL="0" distR="0">
            <wp:extent cx="6209222" cy="3671253"/>
            <wp:effectExtent l="19050" t="0" r="1078" b="0"/>
            <wp:docPr id="2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6217276" cy="3676015"/>
                    </a:xfrm>
                    <a:prstGeom prst="rect">
                      <a:avLst/>
                    </a:prstGeom>
                    <a:noFill/>
                  </pic:spPr>
                </pic:pic>
              </a:graphicData>
            </a:graphic>
          </wp:inline>
        </w:drawing>
      </w:r>
    </w:p>
    <w:p w:rsidR="00CB566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spacing w:after="0"/>
        <w:jc w:val="center"/>
        <w:rPr>
          <w:rFonts w:cstheme="minorHAnsi"/>
          <w:i/>
          <w:iCs/>
          <w:sz w:val="16"/>
          <w:szCs w:val="16"/>
        </w:rPr>
      </w:pPr>
    </w:p>
    <w:p w:rsidR="00CB5668" w:rsidRPr="00CB5668" w:rsidRDefault="00D54140" w:rsidP="00CB5668">
      <w:pPr>
        <w:pBdr>
          <w:top w:val="single" w:sz="4" w:space="1" w:color="auto"/>
          <w:left w:val="single" w:sz="4" w:space="4" w:color="auto"/>
          <w:bottom w:val="single" w:sz="4" w:space="1" w:color="auto"/>
          <w:right w:val="single" w:sz="4" w:space="4" w:color="auto"/>
        </w:pBdr>
        <w:shd w:val="clear" w:color="auto" w:fill="EEECE1" w:themeFill="background2"/>
        <w:spacing w:after="0"/>
        <w:rPr>
          <w:rFonts w:cstheme="minorHAnsi"/>
          <w:iCs/>
          <w:sz w:val="16"/>
          <w:szCs w:val="16"/>
        </w:rPr>
      </w:pPr>
      <w:r>
        <w:rPr>
          <w:rFonts w:cstheme="minorHAnsi"/>
          <w:iCs/>
          <w:sz w:val="16"/>
          <w:szCs w:val="16"/>
        </w:rPr>
        <w:t xml:space="preserve">       </w:t>
      </w:r>
      <w:r w:rsidR="00CB5668" w:rsidRPr="00CB5668">
        <w:rPr>
          <w:rFonts w:cstheme="minorHAnsi"/>
          <w:iCs/>
          <w:sz w:val="16"/>
          <w:szCs w:val="16"/>
        </w:rPr>
        <w:t xml:space="preserve">Πηγή: Περιοδικές Οικονομικές Προβλέψεις Ευρωπαϊκής Επιτροπής, Μακροοικονομικές Προβλέψεις Υπουργείου </w:t>
      </w:r>
    </w:p>
    <w:p w:rsidR="00CB5668" w:rsidRPr="00CB5668" w:rsidRDefault="00D54140" w:rsidP="00CB5668">
      <w:pPr>
        <w:pBdr>
          <w:top w:val="single" w:sz="4" w:space="1" w:color="auto"/>
          <w:left w:val="single" w:sz="4" w:space="4" w:color="auto"/>
          <w:bottom w:val="single" w:sz="4" w:space="1" w:color="auto"/>
          <w:right w:val="single" w:sz="4" w:space="4" w:color="auto"/>
        </w:pBdr>
        <w:shd w:val="clear" w:color="auto" w:fill="EEECE1" w:themeFill="background2"/>
        <w:spacing w:after="240"/>
        <w:rPr>
          <w:rFonts w:cstheme="minorHAnsi"/>
          <w:iCs/>
          <w:sz w:val="16"/>
          <w:szCs w:val="16"/>
        </w:rPr>
      </w:pPr>
      <w:r>
        <w:rPr>
          <w:rFonts w:cstheme="minorHAnsi"/>
          <w:iCs/>
          <w:sz w:val="16"/>
          <w:szCs w:val="16"/>
        </w:rPr>
        <w:t xml:space="preserve">       </w:t>
      </w:r>
      <w:r w:rsidR="00CB5668" w:rsidRPr="00CB5668">
        <w:rPr>
          <w:rFonts w:cstheme="minorHAnsi"/>
          <w:iCs/>
          <w:sz w:val="16"/>
          <w:szCs w:val="16"/>
        </w:rPr>
        <w:t xml:space="preserve">Οικονομικών για τον Κρατικό Προϋπολογισμό και το Πρόγραμμα Σταθερότητας  </w:t>
      </w:r>
    </w:p>
    <w:p w:rsidR="00CB566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jc w:val="both"/>
        <w:rPr>
          <w:rFonts w:cstheme="minorHAnsi"/>
          <w:sz w:val="20"/>
          <w:szCs w:val="20"/>
        </w:rPr>
      </w:pPr>
      <w:r>
        <w:rPr>
          <w:rFonts w:cstheme="minorHAnsi"/>
          <w:sz w:val="20"/>
          <w:szCs w:val="20"/>
        </w:rPr>
        <w:t xml:space="preserve">Η ανακοίνωση του δεύτερου </w:t>
      </w:r>
      <w:r>
        <w:rPr>
          <w:rFonts w:cstheme="minorHAnsi"/>
          <w:sz w:val="20"/>
          <w:szCs w:val="20"/>
          <w:lang w:val="en-US"/>
        </w:rPr>
        <w:t>lockdown</w:t>
      </w:r>
      <w:r>
        <w:rPr>
          <w:rFonts w:cstheme="minorHAnsi"/>
          <w:sz w:val="20"/>
          <w:szCs w:val="20"/>
        </w:rPr>
        <w:t xml:space="preserve"> επέφερε αντίστοιχη</w:t>
      </w:r>
      <w:r w:rsidRPr="002C4E48">
        <w:rPr>
          <w:rFonts w:cstheme="minorHAnsi"/>
          <w:sz w:val="20"/>
          <w:szCs w:val="20"/>
        </w:rPr>
        <w:t xml:space="preserve"> επιδείνωση της </w:t>
      </w:r>
      <w:r>
        <w:rPr>
          <w:rFonts w:cstheme="minorHAnsi"/>
          <w:sz w:val="20"/>
          <w:szCs w:val="20"/>
        </w:rPr>
        <w:t xml:space="preserve">εθνικής </w:t>
      </w:r>
      <w:r w:rsidRPr="002C4E48">
        <w:rPr>
          <w:rFonts w:cstheme="minorHAnsi"/>
          <w:sz w:val="20"/>
          <w:szCs w:val="20"/>
        </w:rPr>
        <w:t xml:space="preserve">εκτίμησης για την ύφεση του 2020 </w:t>
      </w:r>
      <w:r>
        <w:rPr>
          <w:rFonts w:cstheme="minorHAnsi"/>
          <w:sz w:val="20"/>
          <w:szCs w:val="20"/>
        </w:rPr>
        <w:t>από</w:t>
      </w:r>
      <w:r w:rsidRPr="002C4E48">
        <w:rPr>
          <w:rFonts w:cstheme="minorHAnsi"/>
          <w:sz w:val="20"/>
          <w:szCs w:val="20"/>
        </w:rPr>
        <w:t xml:space="preserve"> το Υπουργείο Οικονομικών</w:t>
      </w:r>
      <w:r>
        <w:rPr>
          <w:rFonts w:cstheme="minorHAnsi"/>
          <w:sz w:val="20"/>
          <w:szCs w:val="20"/>
        </w:rPr>
        <w:t xml:space="preserve">, κατά </w:t>
      </w:r>
      <w:r w:rsidRPr="002C4E48">
        <w:rPr>
          <w:rFonts w:cstheme="minorHAnsi"/>
          <w:sz w:val="20"/>
          <w:szCs w:val="20"/>
        </w:rPr>
        <w:t>2,3 ποσοστιαίες μονάδες του ΑΕΠ στην Εισηγητική Έκθεση του Κρατικού Προϋπολογισμού 2021 έναντι της εκτίμησης του Προσχεδίου του Οκτωβρίου 2020</w:t>
      </w:r>
      <w:r>
        <w:rPr>
          <w:rFonts w:cstheme="minorHAnsi"/>
          <w:sz w:val="20"/>
          <w:szCs w:val="20"/>
        </w:rPr>
        <w:t xml:space="preserve"> (-8,2%)</w:t>
      </w:r>
      <w:r w:rsidRPr="002C4E48">
        <w:rPr>
          <w:rFonts w:cstheme="minorHAnsi"/>
          <w:sz w:val="20"/>
          <w:szCs w:val="20"/>
        </w:rPr>
        <w:t>.</w:t>
      </w:r>
      <w:r>
        <w:rPr>
          <w:rFonts w:cstheme="minorHAnsi"/>
          <w:sz w:val="20"/>
          <w:szCs w:val="20"/>
        </w:rPr>
        <w:t xml:space="preserve"> </w:t>
      </w:r>
    </w:p>
    <w:p w:rsidR="00CB5668" w:rsidRDefault="00CB5668" w:rsidP="00CB5668">
      <w:pPr>
        <w:pBdr>
          <w:top w:val="single" w:sz="4" w:space="1" w:color="auto"/>
          <w:left w:val="single" w:sz="4" w:space="4" w:color="auto"/>
          <w:bottom w:val="single" w:sz="4" w:space="1" w:color="auto"/>
          <w:right w:val="single" w:sz="4" w:space="4" w:color="auto"/>
        </w:pBdr>
        <w:shd w:val="clear" w:color="auto" w:fill="EEECE1" w:themeFill="background2"/>
        <w:jc w:val="both"/>
        <w:rPr>
          <w:rFonts w:cstheme="minorHAnsi"/>
          <w:sz w:val="20"/>
          <w:szCs w:val="20"/>
        </w:rPr>
      </w:pPr>
      <w:r w:rsidRPr="002C4E48">
        <w:rPr>
          <w:rFonts w:cstheme="minorHAnsi"/>
          <w:sz w:val="20"/>
          <w:szCs w:val="20"/>
        </w:rPr>
        <w:lastRenderedPageBreak/>
        <w:t>Ωστόσο, η τελευταία αποδείχθηκε τελικώς συμβατή με τα προσωρινά αποτελέσματα της Ελληνικής Στατιστικής Αρχής για το έτος.</w:t>
      </w:r>
      <w:r>
        <w:rPr>
          <w:rFonts w:cstheme="minorHAnsi"/>
          <w:sz w:val="20"/>
          <w:szCs w:val="20"/>
        </w:rPr>
        <w:t xml:space="preserve"> Σε αυτό συνέβαλε αφενός η ευμενής αναθεώρηση, έκτοτε, των στοιχείων πρώτου εξαμήνου 2020 από την Ελληνική Στατιστική Αρχή κατά </w:t>
      </w:r>
      <w:r w:rsidRPr="002C4E48">
        <w:rPr>
          <w:rFonts w:cstheme="minorHAnsi"/>
          <w:sz w:val="20"/>
          <w:szCs w:val="20"/>
        </w:rPr>
        <w:t xml:space="preserve">1,1 ποσοστιαία μονάδα (από </w:t>
      </w:r>
      <w:r>
        <w:rPr>
          <w:rFonts w:cstheme="minorHAnsi"/>
          <w:sz w:val="20"/>
          <w:szCs w:val="20"/>
        </w:rPr>
        <w:t>-</w:t>
      </w:r>
      <w:r w:rsidRPr="002C4E48">
        <w:rPr>
          <w:rFonts w:cstheme="minorHAnsi"/>
          <w:sz w:val="20"/>
          <w:szCs w:val="20"/>
        </w:rPr>
        <w:t xml:space="preserve">7,9% </w:t>
      </w:r>
      <w:r>
        <w:rPr>
          <w:rFonts w:cstheme="minorHAnsi"/>
          <w:sz w:val="20"/>
          <w:szCs w:val="20"/>
        </w:rPr>
        <w:t>σε</w:t>
      </w:r>
      <w:r w:rsidRPr="002C4E48">
        <w:rPr>
          <w:rFonts w:cstheme="minorHAnsi"/>
          <w:sz w:val="20"/>
          <w:szCs w:val="20"/>
        </w:rPr>
        <w:t xml:space="preserve"> </w:t>
      </w:r>
      <w:r>
        <w:rPr>
          <w:rFonts w:cstheme="minorHAnsi"/>
          <w:sz w:val="20"/>
          <w:szCs w:val="20"/>
        </w:rPr>
        <w:t>-</w:t>
      </w:r>
      <w:r w:rsidRPr="002C4E48">
        <w:rPr>
          <w:rFonts w:cstheme="minorHAnsi"/>
          <w:sz w:val="20"/>
          <w:szCs w:val="20"/>
        </w:rPr>
        <w:t>6,8%</w:t>
      </w:r>
      <w:r>
        <w:rPr>
          <w:rFonts w:cstheme="minorHAnsi"/>
          <w:sz w:val="20"/>
          <w:szCs w:val="20"/>
        </w:rPr>
        <w:t xml:space="preserve"> σε εποχικά διορθωμένα στοιχεία</w:t>
      </w:r>
      <w:r w:rsidRPr="002C4E48">
        <w:rPr>
          <w:rFonts w:cstheme="minorHAnsi"/>
          <w:sz w:val="20"/>
          <w:szCs w:val="20"/>
        </w:rPr>
        <w:t>)</w:t>
      </w:r>
      <w:r>
        <w:rPr>
          <w:rFonts w:cstheme="minorHAnsi"/>
          <w:sz w:val="20"/>
          <w:szCs w:val="20"/>
        </w:rPr>
        <w:t>. Αφετέρου, τα στοιχεία για το 4</w:t>
      </w:r>
      <w:r w:rsidRPr="00026E39">
        <w:rPr>
          <w:rFonts w:cstheme="minorHAnsi"/>
          <w:sz w:val="20"/>
          <w:szCs w:val="20"/>
          <w:vertAlign w:val="superscript"/>
        </w:rPr>
        <w:t>ο</w:t>
      </w:r>
      <w:r>
        <w:rPr>
          <w:rFonts w:cstheme="minorHAnsi"/>
          <w:sz w:val="20"/>
          <w:szCs w:val="20"/>
        </w:rPr>
        <w:t xml:space="preserve"> τρίμηνο 2020 έδειξαν ότι η δυσμενής αναθεώρηση του Κρατικού Προϋπολογισμού 2021 υπερεκτίμησε την</w:t>
      </w:r>
      <w:r w:rsidRPr="002C4E48">
        <w:rPr>
          <w:rFonts w:cstheme="minorHAnsi"/>
          <w:sz w:val="20"/>
          <w:szCs w:val="20"/>
        </w:rPr>
        <w:t xml:space="preserve"> επίπτωση στην οικονομία από το δεύτερο κύμα της πανδημίας και το δεύτερο </w:t>
      </w:r>
      <w:r w:rsidRPr="002C4E48">
        <w:rPr>
          <w:rFonts w:cstheme="minorHAnsi"/>
          <w:sz w:val="20"/>
          <w:szCs w:val="20"/>
          <w:lang w:val="en-US"/>
        </w:rPr>
        <w:t>lockdown</w:t>
      </w:r>
      <w:r>
        <w:rPr>
          <w:rFonts w:cstheme="minorHAnsi"/>
          <w:sz w:val="20"/>
          <w:szCs w:val="20"/>
        </w:rPr>
        <w:t>, καθώς αυτή</w:t>
      </w:r>
      <w:r w:rsidRPr="00026E39">
        <w:rPr>
          <w:rFonts w:cstheme="minorHAnsi"/>
          <w:sz w:val="20"/>
          <w:szCs w:val="20"/>
        </w:rPr>
        <w:t xml:space="preserve"> </w:t>
      </w:r>
      <w:r>
        <w:rPr>
          <w:rFonts w:cstheme="minorHAnsi"/>
          <w:sz w:val="20"/>
          <w:szCs w:val="20"/>
        </w:rPr>
        <w:t>δεν τέλεσε σε αναλογία με την πρώτη εμπειρία του Μαρτίου-Απριλίου 2020.</w:t>
      </w:r>
    </w:p>
    <w:p w:rsidR="00CB5668" w:rsidRDefault="00CB5668" w:rsidP="008735D6">
      <w:pPr>
        <w:tabs>
          <w:tab w:val="left" w:pos="142"/>
        </w:tabs>
        <w:spacing w:after="240"/>
        <w:ind w:right="423"/>
        <w:rPr>
          <w:iCs/>
        </w:rPr>
      </w:pPr>
    </w:p>
    <w:p w:rsidR="00CF389F" w:rsidRPr="00845F5C" w:rsidRDefault="00FD6A03" w:rsidP="00AA248C">
      <w:pPr>
        <w:jc w:val="both"/>
        <w:rPr>
          <w:szCs w:val="24"/>
        </w:rPr>
      </w:pPr>
      <w:r>
        <w:rPr>
          <w:szCs w:val="24"/>
        </w:rPr>
        <w:t xml:space="preserve">Από το διάγραμμα </w:t>
      </w:r>
      <w:r w:rsidR="00CF389F" w:rsidRPr="00845F5C">
        <w:rPr>
          <w:szCs w:val="24"/>
        </w:rPr>
        <w:t xml:space="preserve">3, διακρίνεται ότι το δεύτερο </w:t>
      </w:r>
      <w:r w:rsidR="00CF389F" w:rsidRPr="00845F5C">
        <w:rPr>
          <w:szCs w:val="24"/>
          <w:lang w:val="en-US"/>
        </w:rPr>
        <w:t>lockdown</w:t>
      </w:r>
      <w:r w:rsidR="00CF389F" w:rsidRPr="00845F5C">
        <w:rPr>
          <w:szCs w:val="24"/>
        </w:rPr>
        <w:t xml:space="preserve"> είχε σημαντικά ηπιότερες συνέπειες για την οικονομική δραστηριότητα το 2020 έναντι του πρώτου, παρά την παρόμοια διάρκεια των δύο εντός του έτους. </w:t>
      </w:r>
    </w:p>
    <w:p w:rsidR="00CF389F" w:rsidRPr="00845F5C" w:rsidRDefault="00CF389F" w:rsidP="00AA248C">
      <w:pPr>
        <w:jc w:val="both"/>
        <w:rPr>
          <w:szCs w:val="24"/>
        </w:rPr>
      </w:pPr>
      <w:r w:rsidRPr="00845F5C">
        <w:rPr>
          <w:szCs w:val="24"/>
        </w:rPr>
        <w:t xml:space="preserve">Από την πλευρά της παραγωγής, παρά την επανεφαρμογή αναστολών δραστηριότητας στο τέταρτο τρίμηνο, η μείωση της ΑΠΑ στο τρίμηνο αυτό περιορίστηκε στο 1/3 της αντίστοιχης πτώσης του δεύτερου τριμήνου σε ετήσια βάση (-5,6% από -15,0% στο δεύτερο τρίμηνο, σε μη εποχικά διορθωμένα στοιχεία και σταθερές τιμές). Η αύξουσα ανθεκτικότητα εκδηλώθηκε κατά το δεύτερο </w:t>
      </w:r>
      <w:r w:rsidRPr="00845F5C">
        <w:rPr>
          <w:szCs w:val="24"/>
          <w:lang w:val="en-US"/>
        </w:rPr>
        <w:t>lockdown</w:t>
      </w:r>
      <w:r w:rsidRPr="00845F5C">
        <w:rPr>
          <w:szCs w:val="24"/>
        </w:rPr>
        <w:t xml:space="preserve"> κατά τρόπο συμμετρικό, αφορώντας τους οκτώ</w:t>
      </w:r>
      <w:r w:rsidRPr="00845F5C">
        <w:rPr>
          <w:rStyle w:val="af1"/>
          <w:szCs w:val="24"/>
        </w:rPr>
        <w:footnoteReference w:id="25"/>
      </w:r>
      <w:r w:rsidRPr="00845F5C">
        <w:rPr>
          <w:szCs w:val="24"/>
        </w:rPr>
        <w:t xml:space="preserve"> από τους δέκα κλάδους οικονομικής δραστηριότητας, συμπεριλαμβανομένων και των άμεσα πληττόμενων κλάδων (σε νέα αναστολή λειτουργίας). </w:t>
      </w:r>
    </w:p>
    <w:p w:rsidR="00CF389F" w:rsidRPr="00845F5C" w:rsidRDefault="00CF389F" w:rsidP="00AA248C">
      <w:pPr>
        <w:jc w:val="both"/>
        <w:rPr>
          <w:szCs w:val="24"/>
        </w:rPr>
      </w:pPr>
      <w:r w:rsidRPr="00845F5C">
        <w:rPr>
          <w:szCs w:val="24"/>
        </w:rPr>
        <w:t>Για τον κλάδο εμπορίου, καταλυμάτων-εστίασης και μεταφορών, η μείωση της πραγματικής ΑΠΑ στο τέταρτο τρίμηνο του 2020 κυμάνθηκε στο 48% των απωλειών του δεύτερου τριμήνου. Σε αυτό συνέβαλε η διαχρονικά χαμηλή τουριστική δραστηριότητα του τέταρτου τριμήνου, δεδομένης της συγκέντρωσης περίπου του 85% των ετήσιων εισπράξεων από τον εξωτερικό τουρισμό στο δεύτερο και τρίτο τρίμηνο κάθε έτους</w:t>
      </w:r>
      <w:r w:rsidRPr="00845F5C">
        <w:rPr>
          <w:rStyle w:val="af1"/>
          <w:szCs w:val="24"/>
        </w:rPr>
        <w:footnoteReference w:id="26"/>
      </w:r>
      <w:r w:rsidRPr="00845F5C">
        <w:rPr>
          <w:szCs w:val="24"/>
        </w:rPr>
        <w:t xml:space="preserve">. Από την άλλη πλευρά, για τους κλάδους των τεχνών, διασκέδασης, ψυχαγωγίας και της διαχείρισης ακίνητης περιουσίας, οι απώλειες όγκου ΑΠΑ στο τέταρτο τρίμηνο του 2020 ήταν οι λιγότερο περιορισμένες ως ποσοστό των αντίστοιχων απωλειών του δεύτερου τριμήνου, στο 65,8% και 72,8% αντίστοιχα, ωστόσο και σε αυτούς τους κλάδους διαπιστώνεται τάση </w:t>
      </w:r>
      <w:proofErr w:type="spellStart"/>
      <w:r w:rsidRPr="00845F5C">
        <w:rPr>
          <w:szCs w:val="24"/>
        </w:rPr>
        <w:t>αποσυμπίεσης</w:t>
      </w:r>
      <w:proofErr w:type="spellEnd"/>
      <w:r w:rsidRPr="00845F5C">
        <w:rPr>
          <w:szCs w:val="24"/>
        </w:rPr>
        <w:t>.</w:t>
      </w:r>
    </w:p>
    <w:p w:rsidR="000F7935" w:rsidRPr="00845F5C" w:rsidRDefault="000F7935" w:rsidP="000F7935">
      <w:pPr>
        <w:jc w:val="both"/>
        <w:rPr>
          <w:szCs w:val="24"/>
        </w:rPr>
      </w:pPr>
      <w:r w:rsidRPr="00845F5C">
        <w:rPr>
          <w:szCs w:val="24"/>
        </w:rPr>
        <w:t xml:space="preserve">Η σύγκριση των απωλειών μεταξύ του δεύτερου και του τέταρτου τριμήνου 2020 από την προσέγγιση της δαπάνης αφενός επιβεβαιώνει τα παραπάνω, με τις αρνητικές συμβολές της ιδιωτικής κατανάλωσης και των καθαρών εξαγωγών υπηρεσιών στο τριμηνιαίο ΑΕΠ σημαντικά περιορισμένες προς </w:t>
      </w:r>
      <w:r>
        <w:rPr>
          <w:szCs w:val="24"/>
        </w:rPr>
        <w:t>το τέλος του έτους  (Πίνακας 1</w:t>
      </w:r>
      <w:r w:rsidRPr="00845F5C">
        <w:rPr>
          <w:szCs w:val="24"/>
        </w:rPr>
        <w:t xml:space="preserve">). Αφετέρου, καταδεικνύει τη συσσώρευση αποθεμάτων κατά το πρώτο εξάμηνο μετά τη διασπορά της πανδημίας, εν μέσω της απότομης και αναγκαστικής κάμψης της ενεργού ζήτησης, και στη συνέχεια τη διακοπή της συσσώρευσης κατά το τέταρτο τρίμηνο του έτους εν μέσω του δεύτερου </w:t>
      </w:r>
      <w:r w:rsidRPr="00845F5C">
        <w:rPr>
          <w:szCs w:val="24"/>
          <w:lang w:val="en-US"/>
        </w:rPr>
        <w:t>lockdown</w:t>
      </w:r>
      <w:r w:rsidRPr="00845F5C">
        <w:rPr>
          <w:szCs w:val="24"/>
        </w:rPr>
        <w:t xml:space="preserve">. </w:t>
      </w:r>
    </w:p>
    <w:p w:rsidR="000F7935" w:rsidRPr="00465271" w:rsidRDefault="000F7935" w:rsidP="00AA248C">
      <w:pPr>
        <w:spacing w:after="0"/>
        <w:rPr>
          <w:b/>
          <w:szCs w:val="20"/>
        </w:rPr>
      </w:pPr>
    </w:p>
    <w:p w:rsidR="00465271" w:rsidRDefault="00465271" w:rsidP="00AA248C">
      <w:pPr>
        <w:spacing w:after="0"/>
        <w:rPr>
          <w:b/>
          <w:szCs w:val="20"/>
        </w:rPr>
      </w:pPr>
    </w:p>
    <w:p w:rsidR="00465271" w:rsidRDefault="00465271" w:rsidP="00AA248C">
      <w:pPr>
        <w:spacing w:after="0"/>
        <w:rPr>
          <w:b/>
          <w:szCs w:val="20"/>
        </w:rPr>
      </w:pPr>
    </w:p>
    <w:p w:rsidR="00465271" w:rsidRDefault="00465271" w:rsidP="00AA248C">
      <w:pPr>
        <w:spacing w:after="0"/>
        <w:rPr>
          <w:b/>
          <w:szCs w:val="20"/>
        </w:rPr>
      </w:pPr>
    </w:p>
    <w:p w:rsidR="00CF389F" w:rsidRPr="00845F5C" w:rsidRDefault="00FD6A03" w:rsidP="00AA248C">
      <w:pPr>
        <w:spacing w:after="0"/>
        <w:rPr>
          <w:b/>
          <w:szCs w:val="20"/>
        </w:rPr>
      </w:pPr>
      <w:r>
        <w:rPr>
          <w:b/>
          <w:szCs w:val="20"/>
        </w:rPr>
        <w:lastRenderedPageBreak/>
        <w:t>Πίνακας 1</w:t>
      </w:r>
      <w:r w:rsidR="00CF389F" w:rsidRPr="00845F5C">
        <w:rPr>
          <w:b/>
          <w:szCs w:val="20"/>
        </w:rPr>
        <w:t xml:space="preserve"> Συμβολή των συνιστωσών του ΑΕΠ στη μεταβολή του τριμηνιαίου ΑΕΠ </w:t>
      </w:r>
    </w:p>
    <w:p w:rsidR="00CF389F" w:rsidRPr="00845F5C" w:rsidRDefault="00CF389F" w:rsidP="00AA248C">
      <w:pPr>
        <w:spacing w:after="0"/>
        <w:rPr>
          <w:color w:val="FF0000"/>
          <w:szCs w:val="20"/>
        </w:rPr>
      </w:pPr>
      <w:r w:rsidRPr="00845F5C">
        <w:rPr>
          <w:szCs w:val="20"/>
        </w:rPr>
        <w:t>(% ποσοστιαίες μονάδες του τριμηνιαίου ΑΕΠ, σταθερές τιμές,  μη εποχικά διορθωμένα στοιχεία)</w:t>
      </w:r>
    </w:p>
    <w:p w:rsidR="00CF389F" w:rsidRPr="00651F12" w:rsidRDefault="00CF389F" w:rsidP="00CF389F">
      <w:pPr>
        <w:spacing w:after="0"/>
        <w:jc w:val="both"/>
      </w:pPr>
      <w:r>
        <w:rPr>
          <w:noProof/>
        </w:rPr>
        <w:drawing>
          <wp:inline distT="0" distB="0" distL="0" distR="0">
            <wp:extent cx="6480000" cy="1512483"/>
            <wp:effectExtent l="19050" t="0" r="0" b="0"/>
            <wp:docPr id="5" name="Εικόνα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6AC00EB-2B7C-479F-9320-4B84E09D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6AC00EB-2B7C-479F-9320-4B84E09D277F}"/>
                        </a:ext>
                      </a:extLst>
                    </pic:cNvPr>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000" cy="1512483"/>
                    </a:xfrm>
                    <a:prstGeom prst="rect">
                      <a:avLst/>
                    </a:prstGeom>
                    <a:noFill/>
                  </pic:spPr>
                </pic:pic>
              </a:graphicData>
            </a:graphic>
          </wp:inline>
        </w:drawing>
      </w:r>
    </w:p>
    <w:p w:rsidR="000F7935" w:rsidRDefault="000F7935" w:rsidP="000F7935">
      <w:pPr>
        <w:tabs>
          <w:tab w:val="left" w:pos="142"/>
        </w:tabs>
        <w:spacing w:after="240"/>
        <w:ind w:right="423"/>
        <w:jc w:val="both"/>
        <w:rPr>
          <w:iCs/>
          <w:szCs w:val="18"/>
        </w:rPr>
      </w:pPr>
      <w:r w:rsidRPr="00845F5C">
        <w:rPr>
          <w:iCs/>
          <w:szCs w:val="18"/>
        </w:rPr>
        <w:t>Πηγή: Τριμηνιαίοι Εθνικοί Λογαριασμοί (Ελληνική Στατιστική Αρχή), υπολογισμοί Υπουργείου Οικονομικών</w:t>
      </w:r>
      <w:r>
        <w:rPr>
          <w:iCs/>
          <w:szCs w:val="18"/>
        </w:rPr>
        <w:t>.</w:t>
      </w:r>
    </w:p>
    <w:p w:rsidR="00465271" w:rsidRDefault="00465271" w:rsidP="000F7935">
      <w:pPr>
        <w:jc w:val="both"/>
      </w:pPr>
    </w:p>
    <w:p w:rsidR="000F7935" w:rsidRPr="00845F5C" w:rsidRDefault="000F7935" w:rsidP="000F7935">
      <w:pPr>
        <w:jc w:val="both"/>
      </w:pPr>
      <w:r w:rsidRPr="00845F5C">
        <w:t xml:space="preserve">Στη σταδιακή αποκλιμάκωση της επιβάρυνσης της οικονομίας μεταξύ πρώτου και δεύτερου </w:t>
      </w:r>
      <w:r w:rsidRPr="00845F5C">
        <w:rPr>
          <w:lang w:val="en-US"/>
        </w:rPr>
        <w:t>lockdown</w:t>
      </w:r>
      <w:r w:rsidRPr="00845F5C">
        <w:t xml:space="preserve"> εκτιμάται ότι συνέβαλαν: </w:t>
      </w:r>
      <w:r w:rsidRPr="00845F5C">
        <w:rPr>
          <w:i/>
          <w:iCs/>
        </w:rPr>
        <w:t>(α)</w:t>
      </w:r>
      <w:r w:rsidRPr="00845F5C">
        <w:t xml:space="preserve"> η κατά το ενδιάμεσο διάστημα προσαρμογή των νοικοκυριών και των επιχειρήσεων στις νέες συνθήκες, με την καλύτερη προετοιμασία της προσφοράς έναντι μιας νέας διαταραχής και τη μεταστροφή επιχειρήσεων και νοικοκυριών σε νέους διαύλους κατανάλωσης (ηλεκτρονικό εμπόριο, </w:t>
      </w:r>
      <w:r w:rsidRPr="00845F5C">
        <w:rPr>
          <w:lang w:val="en-US"/>
        </w:rPr>
        <w:t>click</w:t>
      </w:r>
      <w:r w:rsidRPr="00845F5C">
        <w:t xml:space="preserve"> </w:t>
      </w:r>
      <w:r w:rsidRPr="00845F5C">
        <w:rPr>
          <w:lang w:val="en-US"/>
        </w:rPr>
        <w:t>away</w:t>
      </w:r>
      <w:r w:rsidRPr="00845F5C">
        <w:t xml:space="preserve">, </w:t>
      </w:r>
      <w:r w:rsidRPr="00845F5C">
        <w:rPr>
          <w:lang w:val="en-US"/>
        </w:rPr>
        <w:t>click</w:t>
      </w:r>
      <w:r w:rsidRPr="00845F5C">
        <w:t xml:space="preserve"> </w:t>
      </w:r>
      <w:r w:rsidRPr="00845F5C">
        <w:rPr>
          <w:lang w:val="en-US"/>
        </w:rPr>
        <w:t>in</w:t>
      </w:r>
      <w:r w:rsidRPr="00845F5C">
        <w:t xml:space="preserve"> </w:t>
      </w:r>
      <w:r w:rsidRPr="00845F5C">
        <w:rPr>
          <w:lang w:val="en-US"/>
        </w:rPr>
        <w:t>shop</w:t>
      </w:r>
      <w:r w:rsidRPr="00845F5C">
        <w:t xml:space="preserve">), </w:t>
      </w:r>
      <w:r w:rsidRPr="00845F5C">
        <w:rPr>
          <w:i/>
          <w:iCs/>
        </w:rPr>
        <w:t>(β)</w:t>
      </w:r>
      <w:r w:rsidRPr="00845F5C">
        <w:t xml:space="preserve"> τα λιγότερο αυστηρά μέτρα κοινωνικής αποστασιοποίησης κατά το δεύτερο </w:t>
      </w:r>
      <w:r w:rsidRPr="00845F5C">
        <w:rPr>
          <w:lang w:val="en-US"/>
        </w:rPr>
        <w:t>lockdown</w:t>
      </w:r>
      <w:r w:rsidRPr="00845F5C">
        <w:t xml:space="preserve"> και η πιο χαλαρή εφαρμογή τους από τον πληθυσμό, όπως υποδηλώνεται από </w:t>
      </w:r>
      <w:r w:rsidRPr="00845F5C">
        <w:rPr>
          <w:rStyle w:val="acopre"/>
        </w:rPr>
        <w:t xml:space="preserve">τους </w:t>
      </w:r>
      <w:r w:rsidRPr="00845F5C">
        <w:rPr>
          <w:rStyle w:val="af4"/>
          <w:i w:val="0"/>
          <w:iCs w:val="0"/>
        </w:rPr>
        <w:t>δείκτες κινητικότητας</w:t>
      </w:r>
      <w:r w:rsidRPr="00845F5C">
        <w:rPr>
          <w:rStyle w:val="acopre"/>
        </w:rPr>
        <w:t xml:space="preserve"> κοινότητας για τον </w:t>
      </w:r>
      <w:proofErr w:type="spellStart"/>
      <w:r w:rsidRPr="00845F5C">
        <w:rPr>
          <w:rStyle w:val="acopre"/>
          <w:lang w:val="en-US"/>
        </w:rPr>
        <w:t>Covid</w:t>
      </w:r>
      <w:proofErr w:type="spellEnd"/>
      <w:r w:rsidRPr="00845F5C">
        <w:rPr>
          <w:rStyle w:val="acopre"/>
        </w:rPr>
        <w:t>-19</w:t>
      </w:r>
      <w:r w:rsidRPr="00845F5C">
        <w:rPr>
          <w:rStyle w:val="af1"/>
        </w:rPr>
        <w:footnoteReference w:id="27"/>
      </w:r>
      <w:r w:rsidRPr="00845F5C">
        <w:rPr>
          <w:rStyle w:val="acopre"/>
        </w:rPr>
        <w:t xml:space="preserve">, </w:t>
      </w:r>
      <w:r w:rsidRPr="00845F5C">
        <w:rPr>
          <w:rStyle w:val="acopre"/>
          <w:i/>
          <w:iCs/>
        </w:rPr>
        <w:t>(γ)</w:t>
      </w:r>
      <w:r w:rsidRPr="00845F5C">
        <w:rPr>
          <w:rStyle w:val="acopre"/>
        </w:rPr>
        <w:t xml:space="preserve"> </w:t>
      </w:r>
      <w:r w:rsidRPr="00845F5C">
        <w:t xml:space="preserve">η τόνωση των προσδοκιών για τη λήξη της πανδημίας εν μέσω ταχείας προόδου της ιατρικής επιστημονικής κοινότητας στην εύρεση εμβολίων κατά του </w:t>
      </w:r>
      <w:proofErr w:type="spellStart"/>
      <w:r w:rsidRPr="00845F5C">
        <w:rPr>
          <w:lang w:val="en-US"/>
        </w:rPr>
        <w:t>Covid</w:t>
      </w:r>
      <w:proofErr w:type="spellEnd"/>
      <w:r w:rsidRPr="00845F5C">
        <w:t xml:space="preserve">-19 προς το τέλος του 2020, και </w:t>
      </w:r>
      <w:r w:rsidRPr="00845F5C">
        <w:rPr>
          <w:i/>
          <w:iCs/>
        </w:rPr>
        <w:t xml:space="preserve">(δ) </w:t>
      </w:r>
      <w:r w:rsidRPr="00845F5C">
        <w:t xml:space="preserve">η οικονομική ενίσχυση της </w:t>
      </w:r>
      <w:r>
        <w:t xml:space="preserve">πολιτείας </w:t>
      </w:r>
      <w:r w:rsidRPr="00845F5C">
        <w:t>προς τους πληττόμενους κλάδους, με τη μορφή δημοσιονομικής στήριξης</w:t>
      </w:r>
      <w:r w:rsidRPr="00845F5C">
        <w:rPr>
          <w:rStyle w:val="af1"/>
        </w:rPr>
        <w:footnoteReference w:id="28"/>
      </w:r>
      <w:r w:rsidRPr="00845F5C">
        <w:t>, αναστολής πληρωμής υποχρεώσεων</w:t>
      </w:r>
      <w:r w:rsidRPr="00845F5C">
        <w:rPr>
          <w:rStyle w:val="af1"/>
        </w:rPr>
        <w:footnoteReference w:id="29"/>
      </w:r>
      <w:r w:rsidRPr="00845F5C">
        <w:t xml:space="preserve"> και ενίσχυσης της ρευστότητας</w:t>
      </w:r>
      <w:r w:rsidRPr="00845F5C">
        <w:rPr>
          <w:rStyle w:val="af1"/>
        </w:rPr>
        <w:footnoteReference w:id="30"/>
      </w:r>
      <w:r w:rsidRPr="00845F5C">
        <w:t xml:space="preserve">, η οποία έλαβε μεγαλύτερες διαστάσεις στο δεύτερο </w:t>
      </w:r>
      <w:r w:rsidRPr="00845F5C">
        <w:rPr>
          <w:lang w:val="en-US"/>
        </w:rPr>
        <w:t>lockdown</w:t>
      </w:r>
      <w:r w:rsidRPr="00845F5C">
        <w:t xml:space="preserve"> συγκριτικά με το πρώτο. </w:t>
      </w:r>
    </w:p>
    <w:p w:rsidR="00CF389F" w:rsidRPr="00845F5C" w:rsidRDefault="00CF389F" w:rsidP="00AA248C">
      <w:pPr>
        <w:jc w:val="both"/>
      </w:pPr>
      <w:r w:rsidRPr="00845F5C">
        <w:t xml:space="preserve">Η εντατικοποίηση της στήριξης της οικονομίας από την ελληνική κυβέρνηση κατά τη διάρκεια του 2020 είχε κυρίαρχο ρόλο στον αποτελεσματικό περιορισμό των απωλειών παραγόμενου προϊόντος και θέσεων εργασίας λόγω της πανδημίας. Τόσο στο πρώτο όσο και στο δεύτερο </w:t>
      </w:r>
      <w:r w:rsidRPr="00845F5C">
        <w:rPr>
          <w:lang w:val="en-US"/>
        </w:rPr>
        <w:t>lockdown</w:t>
      </w:r>
      <w:r w:rsidRPr="00845F5C">
        <w:t>, τα άμεσα βραχυπρόθεσμα μέτρα κάλυψαν κατά το μέγιστο δυνατόν το σύνολο των πληττόμενων φορέων της οικονομικής ζωής (μισθωτούς, ελεύθερους επαγγελματίες, ανέργους, επιχειρήσεις, αγρότες, δανειολήπτες, ιδιοκτήτες ακινήτων), με το συνολικό ύψος τους να ανέρχεται το 2020 στο 13,9% του ΑΕΠ (συμπεριλαμβανομένης της μόχλευσης από το τραπεζικό σύστημα). Εξ αυτών, το 43,1% αποδεσμεύθηκε εντός του τέταρτου τριμήνου του 2020, με το δεύτερο και τρίτο τρίμηνο να ακολουθούν με κατανομή του 30,2% και 25% του συνολικού ύψους μέτρων του έτους, αντίστοιχα</w:t>
      </w:r>
      <w:r w:rsidRPr="00845F5C">
        <w:rPr>
          <w:rStyle w:val="af1"/>
        </w:rPr>
        <w:footnoteReference w:id="31"/>
      </w:r>
      <w:r w:rsidRPr="00845F5C">
        <w:t xml:space="preserve">. </w:t>
      </w:r>
    </w:p>
    <w:p w:rsidR="00CF389F" w:rsidRPr="00845F5C" w:rsidRDefault="00CF389F" w:rsidP="00AA248C">
      <w:pPr>
        <w:jc w:val="both"/>
      </w:pPr>
      <w:r w:rsidRPr="00845F5C">
        <w:lastRenderedPageBreak/>
        <w:t xml:space="preserve">Τα ως άνω μέτρα εκτιμάται ότι περιόρισαν την ύφεση του 2020 κατά 7,3 ποσοστιαίες μονάδες, με την καθαρή επίδραση να διοχετεύεται στην οικονομία μέσω των επενδύσεων, της ιδιωτικής καταναλωτικής δαπάνης και της αγοράς εργασίας. </w:t>
      </w:r>
      <w:r w:rsidRPr="00845F5C">
        <w:rPr>
          <w:rFonts w:ascii="Calibri" w:hAnsi="Calibri"/>
          <w:iCs/>
        </w:rPr>
        <w:t xml:space="preserve">Ειδικότερα για την αγορά εργασίας, η </w:t>
      </w:r>
      <w:r w:rsidRPr="00845F5C">
        <w:t xml:space="preserve">«ρήτρα μη απόλυσης», που αποτέλεσε προϋπόθεση για την οικονομική στήριξη των επιχειρήσεων μέσω της επιστρεπτέας προκαταβολής, αλλά και τα λοιπά μέτρα στήριξης της απασχόλησης (πρόγραμμα ΣΥΝΕ-ΕΡΓΑΣΙΑ, αναστολή συμβάσεων εργασίας με αποζημίωση ειδικού σκοπού εργαζομένων, αναστολή ασφαλιστικών υποχρεώσεων), εκμηδένισαν την ευαισθησία του ποσοστού ανεργίας στη μεταβολή του ΑΕΠ έναντι των προ κρίσης εκτιμήσεων </w:t>
      </w:r>
      <w:r w:rsidR="00FD6A03">
        <w:t xml:space="preserve">για την Ελλάδα. Στο διάγραμμα </w:t>
      </w:r>
      <w:r w:rsidRPr="00845F5C">
        <w:t xml:space="preserve">5 αυτό αποτυπώνεται στη μεγάλη απόκλιση, στην περίπτωση της Ελλάδας, της αρχικής πρόβλεψης για την ανεργία του 2020 από την τελικά διαμορφωμένη, παρά την ελάχιστη αντίστοιχη απόκλιση όσον αφορά το ΑΕΠ.  </w:t>
      </w:r>
    </w:p>
    <w:p w:rsidR="00CF389F" w:rsidRPr="00845F5C" w:rsidRDefault="00CF389F" w:rsidP="00AA248C">
      <w:pPr>
        <w:jc w:val="both"/>
        <w:rPr>
          <w:rFonts w:ascii="Calibri" w:hAnsi="Calibri"/>
          <w:iCs/>
        </w:rPr>
      </w:pPr>
      <w:r w:rsidRPr="00845F5C">
        <w:t xml:space="preserve">Ως εκ τούτου, και σε αντίθεση με το αναμενόμενο, η ανεργία ως ποσοστό του εργατικού δυναμικού βελτιώθηκε το 2020 στο 16,3% έναντι 17,3% το 2019. </w:t>
      </w:r>
      <w:r w:rsidRPr="00845F5C">
        <w:rPr>
          <w:rFonts w:ascii="Calibri" w:hAnsi="Calibri"/>
          <w:iCs/>
        </w:rPr>
        <w:t xml:space="preserve">Στο ίδιο πλαίσιο, η απασχόληση μειώθηκε μόνο οριακά στο σύνολο του έτους, κατά 1,3% </w:t>
      </w:r>
      <w:r w:rsidRPr="00845F5C">
        <w:rPr>
          <w:rFonts w:ascii="Calibri" w:hAnsi="Calibri"/>
          <w:iCs/>
          <w:lang w:val="en-US"/>
        </w:rPr>
        <w:t>y</w:t>
      </w:r>
      <w:r w:rsidRPr="00845F5C">
        <w:rPr>
          <w:rFonts w:ascii="Calibri" w:hAnsi="Calibri"/>
          <w:iCs/>
        </w:rPr>
        <w:t>-</w:t>
      </w:r>
      <w:r w:rsidRPr="00845F5C">
        <w:rPr>
          <w:rFonts w:ascii="Calibri" w:hAnsi="Calibri"/>
          <w:iCs/>
          <w:lang w:val="en-US"/>
        </w:rPr>
        <w:t>o</w:t>
      </w:r>
      <w:r w:rsidRPr="00845F5C">
        <w:rPr>
          <w:rFonts w:ascii="Calibri" w:hAnsi="Calibri"/>
          <w:iCs/>
        </w:rPr>
        <w:t>-</w:t>
      </w:r>
      <w:r w:rsidRPr="00845F5C">
        <w:rPr>
          <w:rFonts w:ascii="Calibri" w:hAnsi="Calibri"/>
          <w:iCs/>
          <w:lang w:val="en-US"/>
        </w:rPr>
        <w:t>y</w:t>
      </w:r>
      <w:r w:rsidRPr="00845F5C">
        <w:rPr>
          <w:rFonts w:ascii="Calibri" w:hAnsi="Calibri"/>
          <w:iCs/>
        </w:rPr>
        <w:t xml:space="preserve"> στο σύνολο των απασχολούμενων και κατά 1,0% στους μισθωτούς, έναντι σημαντικότερης μείωσης 2,3% στους αυτοαπασχολούμενους. </w:t>
      </w:r>
    </w:p>
    <w:p w:rsidR="009E6D38" w:rsidRPr="00845F5C" w:rsidRDefault="009E6D38" w:rsidP="00AA248C">
      <w:pPr>
        <w:spacing w:before="120"/>
        <w:ind w:right="-7"/>
        <w:jc w:val="both"/>
      </w:pPr>
    </w:p>
    <w:p w:rsidR="00CF389F" w:rsidRPr="00845F5C" w:rsidRDefault="00FD6A03" w:rsidP="009A7DA5">
      <w:pPr>
        <w:spacing w:after="0"/>
        <w:ind w:right="-2"/>
        <w:jc w:val="both"/>
        <w:rPr>
          <w:b/>
          <w:szCs w:val="20"/>
        </w:rPr>
      </w:pPr>
      <w:r>
        <w:rPr>
          <w:b/>
          <w:szCs w:val="20"/>
        </w:rPr>
        <w:t xml:space="preserve">Διάγραμμα </w:t>
      </w:r>
      <w:r w:rsidR="00CF389F" w:rsidRPr="00845F5C">
        <w:rPr>
          <w:b/>
          <w:szCs w:val="20"/>
        </w:rPr>
        <w:t>5</w:t>
      </w:r>
      <w:r w:rsidR="00AF665B" w:rsidRPr="00AF665B">
        <w:rPr>
          <w:b/>
          <w:szCs w:val="20"/>
        </w:rPr>
        <w:t>:</w:t>
      </w:r>
      <w:r w:rsidR="00CF389F" w:rsidRPr="00845F5C">
        <w:rPr>
          <w:b/>
          <w:szCs w:val="20"/>
        </w:rPr>
        <w:t xml:space="preserve"> Προσωρινά στοιχεία ΑΕΠ-ανεργίας 2020 για την Ελλάδα και την Ευρωζώνη έναντι προβλέψεων </w:t>
      </w:r>
    </w:p>
    <w:p w:rsidR="00CF389F" w:rsidRPr="00845F5C" w:rsidRDefault="00CF389F" w:rsidP="009E6D38">
      <w:pPr>
        <w:spacing w:after="0"/>
        <w:rPr>
          <w:color w:val="FF0000"/>
          <w:szCs w:val="20"/>
        </w:rPr>
      </w:pPr>
      <w:r w:rsidRPr="00845F5C">
        <w:rPr>
          <w:szCs w:val="20"/>
        </w:rPr>
        <w:t>(όγκος ΑΕΠ σε % ετήσιες μεταβολές, ποσοστό ανεργίας % επί του εργατικού δυναμικού )</w:t>
      </w:r>
    </w:p>
    <w:p w:rsidR="00CF389F" w:rsidRDefault="00CF3BF5" w:rsidP="00CF389F">
      <w:pPr>
        <w:spacing w:before="120"/>
        <w:ind w:right="-7"/>
        <w:jc w:val="center"/>
        <w:rPr>
          <w:rFonts w:ascii="Calibri" w:hAnsi="Calibri"/>
          <w:iCs/>
        </w:rPr>
      </w:pPr>
      <w:r>
        <w:rPr>
          <w:rFonts w:ascii="Calibri" w:hAnsi="Calibri"/>
          <w:iCs/>
          <w:noProof/>
        </w:rPr>
        <w:drawing>
          <wp:inline distT="0" distB="0" distL="0" distR="0">
            <wp:extent cx="6480000" cy="2688074"/>
            <wp:effectExtent l="19050" t="0" r="0" b="0"/>
            <wp:docPr id="23"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6480000" cy="2688074"/>
                    </a:xfrm>
                    <a:prstGeom prst="rect">
                      <a:avLst/>
                    </a:prstGeom>
                    <a:noFill/>
                  </pic:spPr>
                </pic:pic>
              </a:graphicData>
            </a:graphic>
          </wp:inline>
        </w:drawing>
      </w:r>
    </w:p>
    <w:p w:rsidR="00CF389F" w:rsidRPr="00845F5C" w:rsidRDefault="00CF389F" w:rsidP="009E6D38">
      <w:pPr>
        <w:spacing w:before="120" w:after="0"/>
        <w:ind w:right="-7"/>
        <w:jc w:val="both"/>
        <w:rPr>
          <w:rFonts w:ascii="Calibri" w:hAnsi="Calibri"/>
          <w:szCs w:val="18"/>
        </w:rPr>
      </w:pPr>
      <w:r w:rsidRPr="00845F5C">
        <w:rPr>
          <w:rFonts w:ascii="Calibri" w:hAnsi="Calibri"/>
          <w:szCs w:val="18"/>
        </w:rPr>
        <w:t>*προβλέψεις Άνοιξης 2020 (για την Ελλάδα: Εναλλακτικό σενάριο Προγράμματος Σταθερότητας 2020, για την Ευρωζώνη: Εαρινές Προβλέψεις Ευρωπαϊκής Επιτροπής 2020)</w:t>
      </w:r>
    </w:p>
    <w:p w:rsidR="00CF389F" w:rsidRPr="00845F5C" w:rsidRDefault="00CF389F" w:rsidP="009E6D38">
      <w:pPr>
        <w:spacing w:after="0"/>
        <w:ind w:right="-7"/>
        <w:jc w:val="both"/>
        <w:rPr>
          <w:rFonts w:ascii="Calibri" w:hAnsi="Calibri"/>
          <w:szCs w:val="18"/>
        </w:rPr>
      </w:pPr>
      <w:r w:rsidRPr="00845F5C">
        <w:rPr>
          <w:rFonts w:ascii="Calibri" w:hAnsi="Calibri"/>
          <w:szCs w:val="18"/>
        </w:rPr>
        <w:t xml:space="preserve">**ΕΛΣΤΑΤ/ </w:t>
      </w:r>
      <w:proofErr w:type="spellStart"/>
      <w:r w:rsidRPr="00845F5C">
        <w:rPr>
          <w:rFonts w:ascii="Calibri" w:hAnsi="Calibri"/>
          <w:szCs w:val="18"/>
        </w:rPr>
        <w:t>Eurostat</w:t>
      </w:r>
      <w:proofErr w:type="spellEnd"/>
      <w:r w:rsidRPr="00845F5C">
        <w:rPr>
          <w:rFonts w:ascii="Calibri" w:hAnsi="Calibri"/>
          <w:szCs w:val="18"/>
        </w:rPr>
        <w:t xml:space="preserve"> (άθροισμα τριμηνιαίων Εθνικών Λογαριασμών, τριμηνιαία Έρευνα Εργατικού Δυναμικού)</w:t>
      </w:r>
    </w:p>
    <w:p w:rsidR="009E6D38" w:rsidRPr="00845F5C" w:rsidRDefault="009E6D38" w:rsidP="00AA248C">
      <w:pPr>
        <w:jc w:val="both"/>
        <w:rPr>
          <w:rFonts w:ascii="Calibri" w:hAnsi="Calibri"/>
          <w:szCs w:val="18"/>
        </w:rPr>
      </w:pPr>
    </w:p>
    <w:p w:rsidR="00CF389F" w:rsidRPr="00845F5C" w:rsidRDefault="00CF389F" w:rsidP="00AA248C">
      <w:pPr>
        <w:jc w:val="both"/>
        <w:rPr>
          <w:rFonts w:ascii="Calibri" w:hAnsi="Calibri"/>
          <w:iCs/>
        </w:rPr>
      </w:pPr>
      <w:r w:rsidRPr="00845F5C">
        <w:rPr>
          <w:rFonts w:ascii="Calibri" w:hAnsi="Calibri"/>
          <w:iCs/>
        </w:rPr>
        <w:t xml:space="preserve">Ωστόσο, τα ανωτέρω δεν ισοδυναμούν με τέλεια αποσόβηση του πλήγματος από την πανδημία στην αγορά εργασίας, καθώς το 2020 καταγράφηκε: (α) αποδυνάμωση της δημιουργίας νέων θέσεων εργασίας, όπως αποτυπώθηκε στο μικρότερο θετικό ισοζύγιο ροών μισθωτής απασχόλησης έναντι του 2019, κατά 34.641 θέσεις σύμφωνα με το πληροφοριακό σύστημα ΕΡΓΑΝΗ, και (β) μείωση των μέσων ωρών εργασίας ανά εργαζόμενο ανά εβδομάδα έναντι του 2019, κατά 23,3% στο δεύτερο τρίμηνο, κατά 9,7% στο τέταρτο τρίμηνο, και κατά 10,2% στο σύνολο του έτους, σύμφωνα με τα τριμηνιαία στοιχεία της Έρευνας Εργατικού Δυναμικού της Ελληνικής Στατιστικής Αρχής.   </w:t>
      </w:r>
    </w:p>
    <w:p w:rsidR="00CF389F" w:rsidRPr="00845F5C" w:rsidRDefault="00CF389F" w:rsidP="00AA248C">
      <w:pPr>
        <w:jc w:val="both"/>
        <w:rPr>
          <w:rFonts w:ascii="Calibri" w:hAnsi="Calibri"/>
          <w:iCs/>
        </w:rPr>
      </w:pPr>
      <w:r w:rsidRPr="00845F5C">
        <w:rPr>
          <w:rFonts w:ascii="Calibri" w:hAnsi="Calibri"/>
          <w:iCs/>
        </w:rPr>
        <w:lastRenderedPageBreak/>
        <w:t>Ακόμα, το 2020 επήλθε επιδείνωση της δημοσιονομικής θέσης της χώρας, ως αποτέλεσμα των κυβερνητικών μέτρων οικονομικής στήριξης, σε συνδυασμό με την κάμψη της οικονομικής δραστηριότητας. Το πρωτογενές δημοσιονομικό αποτέλεσμα διαμορφώθηκε σε αρνητικό έδαφος (-6,7% του ΑΕΠ), ενώ ο λόγος δημόσιου χρέους προς ΑΕΠ ανήλθε στο 205,6% του ΑΕΠ. Επιδείνωση σημειώθηκε και στο ισοζύγιο τρεχουσών συναλλαγών, στο -7,8%</w:t>
      </w:r>
      <w:r w:rsidRPr="00845F5C">
        <w:rPr>
          <w:rStyle w:val="af1"/>
          <w:rFonts w:ascii="Calibri" w:hAnsi="Calibri"/>
          <w:iCs/>
        </w:rPr>
        <w:footnoteReference w:id="32"/>
      </w:r>
      <w:r w:rsidRPr="00845F5C">
        <w:rPr>
          <w:rFonts w:ascii="Calibri" w:hAnsi="Calibri"/>
          <w:iCs/>
        </w:rPr>
        <w:t xml:space="preserve"> του ΑΕΠ από -2,2% το 2019, λόγω της συρρίκνωσης του ισοζυγίου υπηρεσιών. </w:t>
      </w:r>
    </w:p>
    <w:p w:rsidR="00867F22" w:rsidRPr="00845F5C" w:rsidRDefault="00867F22" w:rsidP="00867F22">
      <w:pPr>
        <w:jc w:val="both"/>
        <w:rPr>
          <w:rFonts w:ascii="Calibri" w:hAnsi="Calibri"/>
          <w:iCs/>
        </w:rPr>
      </w:pPr>
      <w:r w:rsidRPr="00845F5C">
        <w:rPr>
          <w:rFonts w:ascii="Calibri" w:hAnsi="Calibri"/>
          <w:iCs/>
        </w:rPr>
        <w:t xml:space="preserve">Σε αυτή τη βάση, σε πρώτη ανάγνωση </w:t>
      </w:r>
      <w:r w:rsidRPr="00845F5C">
        <w:t xml:space="preserve">η ύφεση του 2020 στην Ελλάδα προσομοιάζει σε τάξη μεγέθους με το βαθύτερο </w:t>
      </w:r>
      <w:proofErr w:type="spellStart"/>
      <w:r w:rsidRPr="00845F5C">
        <w:t>υφεσιακό</w:t>
      </w:r>
      <w:proofErr w:type="spellEnd"/>
      <w:r w:rsidRPr="00845F5C">
        <w:t xml:space="preserve"> σημείο της περιόδου της προηγούμενης οικονομικής κρίσης (2011-2012), με αντίστοιχη επιδείνωση των «δίδυμων ελλειμμάτων» της οικονομίας. Εντούτοις, </w:t>
      </w:r>
      <w:r w:rsidRPr="00845F5C">
        <w:rPr>
          <w:rFonts w:ascii="Calibri" w:hAnsi="Calibri"/>
          <w:iCs/>
        </w:rPr>
        <w:t xml:space="preserve">το αποτέλεσμα </w:t>
      </w:r>
      <w:r>
        <w:rPr>
          <w:rFonts w:ascii="Calibri" w:hAnsi="Calibri"/>
          <w:iCs/>
        </w:rPr>
        <w:t xml:space="preserve">στο </w:t>
      </w:r>
      <w:r w:rsidRPr="00845F5C">
        <w:rPr>
          <w:rFonts w:ascii="Calibri" w:hAnsi="Calibri"/>
          <w:iCs/>
        </w:rPr>
        <w:t xml:space="preserve">ΑΕΠ του 2020 δεν αποτυπώνει επαρκώς την αποτελεσματικότητα της </w:t>
      </w:r>
      <w:proofErr w:type="spellStart"/>
      <w:r w:rsidRPr="00845F5C">
        <w:rPr>
          <w:rFonts w:ascii="Calibri" w:hAnsi="Calibri"/>
          <w:iCs/>
        </w:rPr>
        <w:t>αντικυκλικής</w:t>
      </w:r>
      <w:proofErr w:type="spellEnd"/>
      <w:r w:rsidRPr="00845F5C">
        <w:rPr>
          <w:rFonts w:ascii="Calibri" w:hAnsi="Calibri"/>
          <w:iCs/>
        </w:rPr>
        <w:t xml:space="preserve"> οικονομικής πολιτικής που εφαρμόστηκε, </w:t>
      </w:r>
      <w:r w:rsidRPr="00845F5C">
        <w:t>δ</w:t>
      </w:r>
      <w:r w:rsidRPr="00845F5C">
        <w:rPr>
          <w:rFonts w:ascii="Calibri" w:hAnsi="Calibri"/>
          <w:iCs/>
        </w:rPr>
        <w:t xml:space="preserve">εδομένης της μεγάλης αρνητικής συμβολής στο ΑΕΠ από τις εξαγωγές υπηρεσιών (τουρισμό), η οποία απέρρευσε από παράγοντες εκτός της σφαίρας επιρροής των ως άνω μέτρων πολιτικής. Η ανθεκτικότητα της απασχόλησης, του μέσου μισθού και των επενδύσεων, αντίθετα, ενδυναμώνουν τη θετική αξιολόγηση της εν λόγω πολιτικής. </w:t>
      </w:r>
    </w:p>
    <w:p w:rsidR="00CF389F" w:rsidRPr="00845F5C" w:rsidRDefault="00CF389F" w:rsidP="00AA248C">
      <w:pPr>
        <w:jc w:val="both"/>
      </w:pPr>
      <w:r w:rsidRPr="00845F5C">
        <w:t xml:space="preserve">Άλλες σημαντικές διαφοροποιήσεις της παρούσας κρίσης της ελληνικής οικονομίας σε σχέση με την προηγούμενη αποτελούν ο αμιγώς εξωγενής χαρακτήρας της, που την καθιστά παροδική, η επεκτατική νομισματική πολιτική στην τρέχουσα συγκυρία, και η διαρθρωτικά ισχυρότερη θέση της Ελλάδας, όπως αντανακλάται, μεταξύ άλλων, σε όρους πιστοληπτικής ικανότητας, κόστους χρηματοδότησης και δεικτών ανταγωνιστικότητας. Αυτό συνδέεται με τη δυνατότητα αποτροπής μόνιμων υστερήσεων στην οικονομία μετά το τέλος της πανδημίας εν </w:t>
      </w:r>
      <w:proofErr w:type="spellStart"/>
      <w:r w:rsidRPr="00845F5C">
        <w:t>είδει</w:t>
      </w:r>
      <w:proofErr w:type="spellEnd"/>
      <w:r w:rsidRPr="00845F5C">
        <w:t xml:space="preserve"> κληροδοτήματος της υγειονομικής κρίσης, υπό την προϋπόθεση της αξιοποίησης των ευκαιριών τεχνολογικού και διαρθρωτικού μετασχηματισμού, που πολλαπλασιάστηκαν από την πανδημία και εκτείνονται εμπρός την περίοδο 2021-2027 χάρη στους ευρωπαϊκούς πόρους του νέου πολυετούς δημοσιονομικού πλαισίου.</w:t>
      </w:r>
    </w:p>
    <w:p w:rsidR="009E6D38" w:rsidRPr="00845F5C" w:rsidRDefault="009E6D38" w:rsidP="00AA248C">
      <w:pPr>
        <w:jc w:val="both"/>
      </w:pPr>
    </w:p>
    <w:p w:rsidR="00CF389F" w:rsidRPr="00845F5C" w:rsidRDefault="00CF389F" w:rsidP="00AA248C">
      <w:pPr>
        <w:jc w:val="both"/>
        <w:rPr>
          <w:b/>
          <w:bCs/>
          <w:color w:val="365F91" w:themeColor="accent1" w:themeShade="BF"/>
        </w:rPr>
      </w:pPr>
      <w:r w:rsidRPr="00845F5C">
        <w:rPr>
          <w:b/>
          <w:bCs/>
          <w:color w:val="365F91" w:themeColor="accent1" w:themeShade="BF"/>
        </w:rPr>
        <w:t>Οικονομικές εξελίξεις το 2021 (τρέχον έτος)</w:t>
      </w:r>
    </w:p>
    <w:p w:rsidR="00CF389F" w:rsidRPr="00845F5C" w:rsidRDefault="00CF389F" w:rsidP="00AA248C">
      <w:pPr>
        <w:widowControl w:val="0"/>
        <w:jc w:val="both"/>
      </w:pPr>
      <w:r w:rsidRPr="00845F5C">
        <w:t xml:space="preserve">Από την έναρξη της πανδημίας έως σήμερα, οι οικονομικές προοπτικές διακρίνονται από υψηλή αβεβαιότητα, η οποία συνδέεται πρωτίστως με τον χρονικό ορίζοντα της υγειονομικής κρίσης. </w:t>
      </w:r>
    </w:p>
    <w:p w:rsidR="00CF389F" w:rsidRPr="00845F5C" w:rsidRDefault="00CF389F" w:rsidP="00AA248C">
      <w:pPr>
        <w:widowControl w:val="0"/>
        <w:jc w:val="both"/>
      </w:pPr>
      <w:r w:rsidRPr="00845F5C">
        <w:t xml:space="preserve">Παρόλα αυτά, το τρέχον έτος αναμένεται να είναι έτος μερικής ανάκαμψης έναντι του 2020, καθώς η συνισταμένη μεταξύ δυσμενών οικονομικών επιδράσεων (λόγω της πανδημίας) και ευνοϊκών αντισταθμιστικών παραγόντων (λόγω των πολιτικών αντιμετώπισής της) τείνει προς το θετικότερο κατά τη διάρκεια του έτους. </w:t>
      </w:r>
    </w:p>
    <w:p w:rsidR="006C49DF" w:rsidRPr="00845F5C" w:rsidRDefault="006C49DF" w:rsidP="006C49DF">
      <w:pPr>
        <w:widowControl w:val="0"/>
        <w:jc w:val="both"/>
      </w:pPr>
      <w:r w:rsidRPr="00845F5C">
        <w:t xml:space="preserve">Στην αρχή του 2021, η οικονομική επίπτωση της υγειονομικής κρίσης παρέμεινε διεθνώς ισχυρή, καθώς το δεύτερο και το τρίτο κύμα </w:t>
      </w:r>
      <w:proofErr w:type="spellStart"/>
      <w:r w:rsidRPr="00845F5C">
        <w:rPr>
          <w:lang w:val="en-US"/>
        </w:rPr>
        <w:t>Covid</w:t>
      </w:r>
      <w:proofErr w:type="spellEnd"/>
      <w:r w:rsidRPr="00845F5C">
        <w:t xml:space="preserve">-19 επέβαλαν διαδοχικές παρατάσεις των μέτρων  κατά της διασποράς του. Στην Ελλάδα, η άρση των περιορισμών του δεύτερου </w:t>
      </w:r>
      <w:r w:rsidRPr="00845F5C">
        <w:rPr>
          <w:lang w:val="en-US"/>
        </w:rPr>
        <w:t>lockdown</w:t>
      </w:r>
      <w:r w:rsidRPr="00845F5C">
        <w:t xml:space="preserve"> πραγματοποιήθηκε σταδιακά μετά το πέρας του πρώτου τριμήνου του 2021</w:t>
      </w:r>
      <w:r w:rsidRPr="00845F5C">
        <w:rPr>
          <w:rStyle w:val="af1"/>
        </w:rPr>
        <w:footnoteReference w:id="33"/>
      </w:r>
      <w:r w:rsidRPr="00845F5C">
        <w:t>, έναντι της υπόθεσης στον Κρατικό Προϋπολογισμό 2021 για βαθμιαία άρση από τον Ιανουάριο του τρέχοντος έτους. Αυτό ενέτεινε τους βραχυπρόθεσμους κινδύνους αναφορικά με τις αντοχές της ελληνικής οικονομίας, υπαγορεύοντας νέα επέκταση της υποστηρικτικής δημοσιονομικής πολιτικής. Ταυτόχρονα, σε συνδυασμό με τις καθυστερήσεις χωρών στην υλοποίηση των εμβολιαστικών προγραμμάτων τους, επέβαλε πιο συντηρητικές εκτιμήσεις για τις διεθνείς τουριστικές αφίξεις στην Ελλάδα κατά το καίριο τρίτο τρίμηνο του τρέχοντος έτους, με τις αναμενόμενες εισπράξεις από το εξωτερικό σήμερα στο 45% του επιπέδου του 2019, από 60% που ήταν η υπόθεση στον Κρατικό Προϋπολογισμό 2021.</w:t>
      </w:r>
    </w:p>
    <w:p w:rsidR="00CF389F" w:rsidRPr="00845F5C" w:rsidRDefault="00CF389F" w:rsidP="00AA248C">
      <w:pPr>
        <w:jc w:val="both"/>
      </w:pPr>
      <w:r w:rsidRPr="00845F5C">
        <w:lastRenderedPageBreak/>
        <w:t xml:space="preserve">Από την άλλη πλευρά, η καλύτερη της εκτιμώμενης επίδοση του τέταρτου τριμήνου 2020, έχει επίδραση μεταφοράς στο 2021 ευμενέστερη από </w:t>
      </w:r>
      <w:proofErr w:type="spellStart"/>
      <w:r w:rsidRPr="00845F5C">
        <w:t>ό,τι</w:t>
      </w:r>
      <w:proofErr w:type="spellEnd"/>
      <w:r w:rsidRPr="00845F5C">
        <w:t xml:space="preserve"> ήταν η εκτίμηση στον Κρατικό Προϋπολογισμό 2021 κατά περισσότερες από 6 ποσοστιαίες μονάδες του ΑΕΠ. Την ίδια στιγμή, η επίπτωση του δεύτερου </w:t>
      </w:r>
      <w:r w:rsidRPr="00845F5C">
        <w:rPr>
          <w:lang w:val="en-US"/>
        </w:rPr>
        <w:t>lockdown</w:t>
      </w:r>
      <w:r w:rsidRPr="00845F5C">
        <w:t xml:space="preserve"> αναμένεται να παραμείνει μειούμενη και στο πρώτο τρίμηνο του 2021, όπως φαίνεται από τα προσωρινά στοιχεία. </w:t>
      </w:r>
    </w:p>
    <w:p w:rsidR="006C49DF" w:rsidRDefault="006C49DF" w:rsidP="006C49DF">
      <w:pPr>
        <w:jc w:val="both"/>
      </w:pPr>
      <w:r w:rsidRPr="00845F5C">
        <w:t xml:space="preserve">Συγκεκριμένα, μετά τη μεγάλη μείωση της βιομηχανικής παραγωγής τον Απρίλιο του 2020 (-10,8% σε ετήσια βάση) και την καταγραφή αρνητικής τάσης </w:t>
      </w:r>
      <w:r>
        <w:t>έως</w:t>
      </w:r>
      <w:r w:rsidRPr="00845F5C">
        <w:t xml:space="preserve"> τον Οκτώβριο του ίδιου έτους, από τον Νοέμβριο 2020 υπήρξε μεταστροφή του δείκτη σε θετικούς ρυθμούς, με τάση επιτάχυνσης στο πρώτο τρίμηνο 2021 τόσο στον γενικό δείκτη (+4,5%) όσο και στη μεταποίηση (+2,6%). Αυτό συνδέεται με τη σαφή βελτίωση, στο πρώτο τετράμηνο του 2021, του δείκτη υπευθύνων προμηθειών (κατά 5,8 μονάδες σε ετήσια βάση), και των επιχειρηματικών προσδοκιών στη βιομηχανία και τις κατασκευές (κατά 7,5 και 41 μονάδες βάσης έναντι του προηγουμένου τετραμήνου). Οι προσδοκίες στις κατασκευές κυμάνθηκαν σε επίπεδα ρεκόρ το ίδιο διάστημα (σταθερά πάνω από το κατώφλι των 100 μονάδων), εν αναμονή της έναρξης υλοποίησης του Εθνικού Σχεδίου Ανάκαμψης και Ανθεκτικότητας, ενώ θετική τάση καταγράφηκε και στους πρόδρομους δείκτες που σχετίζονται με την ιδιωτική κατανάλωση (+10,4 μονάδες για τις επιχειρηματικές προσδοκίες στο λιανεμπόριο και +4 μονάδες για την εμπιστοσύνη καταναλωτή, έναντι του προηγούμενου τετραμήνου). Ως εκ τούτου, την περίοδο Ιανουαρίου-Απριλίου 2021, ο δείκτης οικονομικού κλίματος (</w:t>
      </w:r>
      <w:r w:rsidRPr="00845F5C">
        <w:rPr>
          <w:lang w:val="en-US"/>
        </w:rPr>
        <w:t>ESI</w:t>
      </w:r>
      <w:r w:rsidRPr="00845F5C">
        <w:t>) κυμάνθηκε υψηλότερα από το τελευταίο τετράμηνο του 2020 κατά</w:t>
      </w:r>
      <w:r>
        <w:t xml:space="preserve"> 3,1 μονάδες βάσης (διάγραμμα </w:t>
      </w:r>
      <w:r w:rsidRPr="00845F5C">
        <w:t xml:space="preserve">6). </w:t>
      </w:r>
    </w:p>
    <w:p w:rsidR="00845F5C" w:rsidRDefault="00845F5C" w:rsidP="00AA248C">
      <w:pPr>
        <w:jc w:val="both"/>
      </w:pPr>
    </w:p>
    <w:p w:rsidR="007D74F7" w:rsidRDefault="00FD6A03" w:rsidP="009E6D38">
      <w:pPr>
        <w:spacing w:after="0"/>
        <w:ind w:right="-625"/>
        <w:rPr>
          <w:b/>
          <w:szCs w:val="20"/>
        </w:rPr>
      </w:pPr>
      <w:r>
        <w:rPr>
          <w:b/>
          <w:szCs w:val="20"/>
        </w:rPr>
        <w:t xml:space="preserve">Διάγραμμα </w:t>
      </w:r>
      <w:r w:rsidR="00CF389F" w:rsidRPr="00845F5C">
        <w:rPr>
          <w:b/>
          <w:szCs w:val="20"/>
        </w:rPr>
        <w:t>6</w:t>
      </w:r>
      <w:r w:rsidR="00AF665B" w:rsidRPr="001A28DB">
        <w:rPr>
          <w:b/>
          <w:szCs w:val="20"/>
        </w:rPr>
        <w:t>:</w:t>
      </w:r>
      <w:r w:rsidR="00CF389F" w:rsidRPr="00845F5C">
        <w:rPr>
          <w:b/>
          <w:szCs w:val="20"/>
        </w:rPr>
        <w:t xml:space="preserve"> Βραχυχρόνιοι δείκτες οικονομικής συγκυρίας </w:t>
      </w:r>
    </w:p>
    <w:p w:rsidR="00CF389F" w:rsidRPr="007D74F7" w:rsidRDefault="00CF389F" w:rsidP="009E6D38">
      <w:pPr>
        <w:spacing w:after="0"/>
        <w:ind w:right="-625"/>
        <w:rPr>
          <w:b/>
          <w:szCs w:val="20"/>
        </w:rPr>
      </w:pPr>
      <w:r w:rsidRPr="007D74F7">
        <w:rPr>
          <w:bCs/>
          <w:iCs/>
          <w:szCs w:val="20"/>
        </w:rPr>
        <w:t>(επίπεδο)</w:t>
      </w:r>
    </w:p>
    <w:p w:rsidR="009E6D38" w:rsidRDefault="00CF3BF5" w:rsidP="009E6D38">
      <w:pPr>
        <w:tabs>
          <w:tab w:val="left" w:pos="142"/>
        </w:tabs>
        <w:spacing w:after="240"/>
        <w:ind w:right="423"/>
        <w:jc w:val="both"/>
        <w:rPr>
          <w:rFonts w:ascii="Arial Narrow" w:hAnsi="Arial Narrow"/>
          <w:i/>
          <w:iCs/>
          <w:sz w:val="18"/>
          <w:szCs w:val="18"/>
        </w:rPr>
      </w:pPr>
      <w:r>
        <w:rPr>
          <w:rFonts w:ascii="Arial Narrow" w:hAnsi="Arial Narrow"/>
          <w:i/>
          <w:iCs/>
          <w:noProof/>
          <w:sz w:val="18"/>
          <w:szCs w:val="18"/>
        </w:rPr>
        <w:drawing>
          <wp:inline distT="0" distB="0" distL="0" distR="0">
            <wp:extent cx="6480000" cy="3234223"/>
            <wp:effectExtent l="19050" t="0" r="0" b="0"/>
            <wp:docPr id="25"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6480000" cy="3234223"/>
                    </a:xfrm>
                    <a:prstGeom prst="rect">
                      <a:avLst/>
                    </a:prstGeom>
                    <a:noFill/>
                  </pic:spPr>
                </pic:pic>
              </a:graphicData>
            </a:graphic>
          </wp:inline>
        </w:drawing>
      </w:r>
    </w:p>
    <w:p w:rsidR="009E6D38" w:rsidRPr="00845F5C" w:rsidRDefault="00CF389F" w:rsidP="009E6D38">
      <w:pPr>
        <w:tabs>
          <w:tab w:val="left" w:pos="142"/>
        </w:tabs>
        <w:spacing w:after="240"/>
        <w:ind w:right="423"/>
        <w:jc w:val="both"/>
        <w:rPr>
          <w:iCs/>
          <w:szCs w:val="18"/>
        </w:rPr>
      </w:pPr>
      <w:r w:rsidRPr="00845F5C">
        <w:rPr>
          <w:iCs/>
          <w:szCs w:val="18"/>
        </w:rPr>
        <w:t xml:space="preserve">Πηγή: Έρευνες Οικονομικής Συγκυρίας (ΙΟΒΕ), </w:t>
      </w:r>
      <w:r w:rsidRPr="00845F5C">
        <w:rPr>
          <w:iCs/>
          <w:szCs w:val="18"/>
          <w:lang w:val="en-US"/>
        </w:rPr>
        <w:t>HIS</w:t>
      </w:r>
      <w:r w:rsidRPr="00845F5C">
        <w:rPr>
          <w:iCs/>
          <w:szCs w:val="18"/>
        </w:rPr>
        <w:t xml:space="preserve"> </w:t>
      </w:r>
      <w:proofErr w:type="spellStart"/>
      <w:r w:rsidRPr="00845F5C">
        <w:rPr>
          <w:iCs/>
          <w:szCs w:val="18"/>
          <w:lang w:val="en-US"/>
        </w:rPr>
        <w:t>Markit</w:t>
      </w:r>
      <w:proofErr w:type="spellEnd"/>
    </w:p>
    <w:p w:rsidR="00E35423" w:rsidRDefault="00E35423" w:rsidP="00AA248C">
      <w:pPr>
        <w:tabs>
          <w:tab w:val="left" w:pos="142"/>
        </w:tabs>
        <w:jc w:val="both"/>
      </w:pPr>
    </w:p>
    <w:p w:rsidR="00CF389F" w:rsidRPr="00AA248C" w:rsidRDefault="00CF389F" w:rsidP="00AA248C">
      <w:pPr>
        <w:tabs>
          <w:tab w:val="left" w:pos="142"/>
        </w:tabs>
        <w:jc w:val="both"/>
        <w:rPr>
          <w:iCs/>
          <w:sz w:val="24"/>
          <w:szCs w:val="18"/>
        </w:rPr>
      </w:pPr>
      <w:r w:rsidRPr="00845F5C">
        <w:t xml:space="preserve">Η βελτίωση του οικονομικού κλίματος συνδέεται με το ορατό πλέον τέλος της πανδημίας, χάρη στη συντεταγμένη υλοποίηση του ελληνικού εμβολιαστικού προγράμματος και τη διαθεσιμότητα ολοένα μεγαλύτερου αριθμού εμβολίων για την κάλυψη του πληθυσμού και τη δημιουργία συνθηκών ανοσίας. Ακόμα, </w:t>
      </w:r>
      <w:r w:rsidRPr="00845F5C">
        <w:lastRenderedPageBreak/>
        <w:t xml:space="preserve">τα συνεχιζόμενα μέτρα οικονομικής στήριξης των πληττόμενων κλάδων, που αποτιμώνται στο 9,1% του ΑΕΠ για το τρέχον έτος, ενισχύουν την οικονομική εμπιστοσύνη και συνεισφέρουν στην ενίσχυση της οικονομικής δραστηριότητας κατά πάνω από 4 ποσοστιαίες μονάδες του ΑΕΠ κατ’ εκτίμηση. </w:t>
      </w:r>
    </w:p>
    <w:p w:rsidR="003A7BB2" w:rsidRPr="00845F5C" w:rsidRDefault="003A7BB2" w:rsidP="003A7BB2">
      <w:pPr>
        <w:jc w:val="both"/>
      </w:pPr>
      <w:r w:rsidRPr="00845F5C">
        <w:t>Πέραν των μέτρων στήριξης του 2020 που παρατάθηκαν και για το διάστημα ισχύος των περιοριστικών μέτρων μέσα στο 2021, υλοποιούνται και νέα μέτρα, με έναρξη ισχύος το τρέχον έτος, προκειμένου να διευκολυνθεί η μετάβαση των επιχειρήσεων και των νοικοκυριών στη μετά-</w:t>
      </w:r>
      <w:proofErr w:type="spellStart"/>
      <w:r w:rsidRPr="00845F5C">
        <w:rPr>
          <w:lang w:val="en-US"/>
        </w:rPr>
        <w:t>Covid</w:t>
      </w:r>
      <w:proofErr w:type="spellEnd"/>
      <w:r w:rsidRPr="00845F5C">
        <w:t xml:space="preserve"> εποχή χωρίς έξοδο βιώσιμων επιχειρήσεων από την αγορά και χωρίς απώλεια θέσεων εργασίας. Προς τον σκοπό αυτό, τα νέα μέτρα εστιάζουν κυρίως στις μικρομεσαίες επιχειρήσεις, που αποτελούν τον κύριο κορμό του παραγωγικού ιστού της οικονομίας και απασχολούν το συντριπτικά μεγαλύτερο ποσοστό εργαζομένων. Σε αυτά περιλαμβάνονται η αναστολή της εισφοράς αλληλεγγύης στον ιδιωτικό τομέα και η μείωση των ασφαλιστικών εισφορών ιδιωτικών υπαλλήλων κατά 3 ποσοστιαίες μονάδες για την περίοδο 2021-2022, η μη επιστρεπτέα επιχορήγηση προς μικρές επιχειρήσεις μέσω των Οργανισμών Τοπικής Αυτοδιοίκησης, το νέο πρόγραμμα εγγυημένης χρηματοδότησης για πολύ μικρές επιχειρήσεις από το Ταμείο Εγγυοδοσίας Επιχειρήσεων </w:t>
      </w:r>
      <w:proofErr w:type="spellStart"/>
      <w:r w:rsidRPr="00845F5C">
        <w:rPr>
          <w:lang w:val="en-US"/>
        </w:rPr>
        <w:t>Covid</w:t>
      </w:r>
      <w:proofErr w:type="spellEnd"/>
      <w:r w:rsidRPr="00845F5C">
        <w:t>-19 της Ελληνικής Αναπτυξιακής Τράπεζας, το πρόγραμμα «Γέφυρα 2» για επιδότηση δανείων μικρομεσαίων επιχειρήσεων πληγεισών από την πανδημία, το πρόγραμμα επιδότησης παγίων δαπανών πληγεισών επιχειρήσεων, η μη επιστροφή μέρους των ενισχύσεων από τους τρεις πρώτους κύκλους της επιστρεπτέας προκαταβολής (σε σύνδεση με τη μείωση του κύκλου εργασιών), το πρόγραμμα κεφαλαίου κίνησης για την εστίαση</w:t>
      </w:r>
      <w:r>
        <w:t xml:space="preserve"> και τον τουρισμό και άλλα μέτρα ενίσχυσης των κλάδων που πλήττονται από την πανδημία</w:t>
      </w:r>
      <w:r w:rsidRPr="00845F5C">
        <w:t xml:space="preserve">. </w:t>
      </w:r>
    </w:p>
    <w:p w:rsidR="003A7BB2" w:rsidRPr="00845F5C" w:rsidRDefault="003A7BB2" w:rsidP="003A7BB2">
      <w:pPr>
        <w:jc w:val="both"/>
      </w:pPr>
      <w:r w:rsidRPr="00845F5C">
        <w:t>Οι ανάγκες χρηματοδότησης των κυβερνητικών μέτρων στήριξης και ο προσανατολισμός στη διατήρηση υψηλών ταμειακών διαθεσίμων ασφαλείας οδήγησαν μέσα στο 2021 σε τ</w:t>
      </w:r>
      <w:r>
        <w:t>έσσερις</w:t>
      </w:r>
      <w:r w:rsidRPr="00845F5C">
        <w:t xml:space="preserve"> νέες επιτυχημένες εξόδους της Ελλάδας στις αγορές, από τις οποίες αντλήθηκαν συνολικά </w:t>
      </w:r>
      <w:r>
        <w:t>11,5</w:t>
      </w:r>
      <w:r w:rsidRPr="00845F5C">
        <w:t xml:space="preserve"> δισεκατομμύρια ευρώ με όρους που σηματοδοτούν την περαιτέρω εξομάλυνση της ελληνικής καμπύλης αποδόσεων παρά τη δυσμενή συγκυρία. Για παράδειγμα, στην έκδοση πενταετούς ομολόγου (Μαΐου 2021), το κουπόνι διαμορφώθηκε στο 0% για πρώτη φορά στα ελληνικά χρονικά, ενώ η έκδοση Μαρτίου 2021 ήταν τριακονταετής για πρώτη φορά από το 2007 με προσφορές που ξεπέρασαν το δεκαπλάσιο του στόχου. </w:t>
      </w:r>
    </w:p>
    <w:p w:rsidR="00CF389F" w:rsidRPr="00845F5C" w:rsidRDefault="00CF389F" w:rsidP="00AA248C">
      <w:pPr>
        <w:jc w:val="both"/>
      </w:pPr>
      <w:r w:rsidRPr="00845F5C">
        <w:t xml:space="preserve">Παρά τη βελτιωμένη πρόσβαση της Ελλάδας στις αγορές και στη </w:t>
      </w:r>
      <w:proofErr w:type="spellStart"/>
      <w:r w:rsidRPr="00845F5C">
        <w:t>διευκολυντική</w:t>
      </w:r>
      <w:proofErr w:type="spellEnd"/>
      <w:r w:rsidRPr="00845F5C">
        <w:t xml:space="preserve"> νομισματική πολιτική της ΕΚΤ, η χρηματοδότηση της ανάκαμψης είναι κυρίως συνδεδεμένη με την υλοποίηση του νέου πολυετούς δημοσιονομικού πλαισίου 2021-2027 της Ευρωπαϊκής Ένωσης (ύψους 1074 δισεκατομμυρίων ευρώ) και, κυρίως, του ευρωπαϊκού πακέτου ανάκαμψης από την </w:t>
      </w:r>
      <w:proofErr w:type="spellStart"/>
      <w:r w:rsidRPr="00845F5C">
        <w:rPr>
          <w:lang w:val="en-US"/>
        </w:rPr>
        <w:t>Covid</w:t>
      </w:r>
      <w:proofErr w:type="spellEnd"/>
      <w:r w:rsidRPr="00845F5C">
        <w:t>-19 «</w:t>
      </w:r>
      <w:r w:rsidRPr="00845F5C">
        <w:rPr>
          <w:lang w:val="en-US"/>
        </w:rPr>
        <w:t>Next</w:t>
      </w:r>
      <w:r w:rsidRPr="00845F5C">
        <w:t xml:space="preserve"> </w:t>
      </w:r>
      <w:r w:rsidRPr="00845F5C">
        <w:rPr>
          <w:lang w:val="en-US"/>
        </w:rPr>
        <w:t>Generation</w:t>
      </w:r>
      <w:r w:rsidRPr="00845F5C">
        <w:t xml:space="preserve"> </w:t>
      </w:r>
      <w:r w:rsidRPr="00845F5C">
        <w:rPr>
          <w:lang w:val="en-US"/>
        </w:rPr>
        <w:t>EU</w:t>
      </w:r>
      <w:r w:rsidRPr="00845F5C">
        <w:t>» (</w:t>
      </w:r>
      <w:r w:rsidRPr="00845F5C">
        <w:rPr>
          <w:lang w:val="en-US"/>
        </w:rPr>
        <w:t>NGEU</w:t>
      </w:r>
      <w:r w:rsidRPr="00845F5C">
        <w:t xml:space="preserve">), επιπρόσθετου ύψους 750 δισεκατομμυρίων ευρώ. Στην καρδιά του </w:t>
      </w:r>
      <w:r w:rsidRPr="00845F5C">
        <w:rPr>
          <w:lang w:val="en-US"/>
        </w:rPr>
        <w:t>NGEU</w:t>
      </w:r>
      <w:r w:rsidRPr="00845F5C">
        <w:t xml:space="preserve"> βρίσκεται το Ταμείο Ανάκαμψης και Ανθεκτικότητας (</w:t>
      </w:r>
      <w:r w:rsidRPr="00845F5C">
        <w:rPr>
          <w:lang w:val="en-US"/>
        </w:rPr>
        <w:t>Recovery</w:t>
      </w:r>
      <w:r w:rsidRPr="00845F5C">
        <w:t xml:space="preserve"> </w:t>
      </w:r>
      <w:r w:rsidRPr="00845F5C">
        <w:rPr>
          <w:lang w:val="en-US"/>
        </w:rPr>
        <w:t>and</w:t>
      </w:r>
      <w:r w:rsidRPr="00845F5C">
        <w:t xml:space="preserve"> </w:t>
      </w:r>
      <w:r w:rsidRPr="00845F5C">
        <w:rPr>
          <w:lang w:val="en-US"/>
        </w:rPr>
        <w:t>Resilience</w:t>
      </w:r>
      <w:r w:rsidRPr="00845F5C">
        <w:t xml:space="preserve"> </w:t>
      </w:r>
      <w:r w:rsidRPr="00845F5C">
        <w:rPr>
          <w:lang w:val="en-US"/>
        </w:rPr>
        <w:t>Facility</w:t>
      </w:r>
      <w:r w:rsidRPr="00845F5C">
        <w:t xml:space="preserve"> – </w:t>
      </w:r>
      <w:r w:rsidRPr="00845F5C">
        <w:rPr>
          <w:lang w:val="en-US"/>
        </w:rPr>
        <w:t>RRF</w:t>
      </w:r>
      <w:r w:rsidRPr="00845F5C">
        <w:t xml:space="preserve">), μέσω του οποίου θα διατεθεί το 90% των κονδυλίων του πακέτου ανάκαμψης προς τα κράτη μέλη. </w:t>
      </w:r>
    </w:p>
    <w:p w:rsidR="00CF389F" w:rsidRPr="00845F5C" w:rsidRDefault="00CF389F" w:rsidP="00AA248C">
      <w:pPr>
        <w:jc w:val="both"/>
      </w:pPr>
      <w:r w:rsidRPr="00845F5C">
        <w:t xml:space="preserve">Από το νέο δημοσιονομικό πλαίσιο, έχουν κατανεμηθεί στην Ελλάδα κονδύλια ύψους 70 δισεκατομμυρίων ευρώ για τα επόμενα επτά έτη, από τα οποία περισσότερα από 30 δισεκατομμύρια ευρώ εντάσσονται στο πλαίσιο του Ταμείου Ανάκαμψης και Ανθεκτικότητας για την περίοδο 2021-2026, αντιστοιχώντας στην έκτη μεγαλύτερη κατανομή του Ταμείου μεταξύ των 27 κρατών μελών της ΕΕ. Οι υπόλοιπες εισροές προέρχονται από ευρωπαϊκά διαρθρωτικά ταμεία και την πρόσθετη χρηματοδότηση της πρωτοβουλίας </w:t>
      </w:r>
      <w:r w:rsidRPr="00845F5C">
        <w:rPr>
          <w:lang w:val="en-US"/>
        </w:rPr>
        <w:t>REACT</w:t>
      </w:r>
      <w:r w:rsidRPr="00845F5C">
        <w:t>-</w:t>
      </w:r>
      <w:r w:rsidRPr="00845F5C">
        <w:rPr>
          <w:lang w:val="en-US"/>
        </w:rPr>
        <w:t>EU</w:t>
      </w:r>
      <w:r w:rsidRPr="00845F5C">
        <w:t xml:space="preserve"> για την αποκατάσταση των επιπτώσεων της κρίσης (μέρος του </w:t>
      </w:r>
      <w:r w:rsidRPr="00845F5C">
        <w:rPr>
          <w:lang w:val="en-US"/>
        </w:rPr>
        <w:t>NGEU</w:t>
      </w:r>
      <w:r w:rsidRPr="00845F5C">
        <w:t xml:space="preserve">). </w:t>
      </w:r>
    </w:p>
    <w:p w:rsidR="00CF389F" w:rsidRPr="00845F5C" w:rsidRDefault="00CF389F" w:rsidP="00AA248C">
      <w:pPr>
        <w:jc w:val="both"/>
      </w:pPr>
      <w:r w:rsidRPr="00845F5C">
        <w:t xml:space="preserve">Στο πλαίσιο της στρατηγικής υλοποίησης του </w:t>
      </w:r>
      <w:r w:rsidRPr="00845F5C">
        <w:rPr>
          <w:lang w:val="en-US"/>
        </w:rPr>
        <w:t>NGEU</w:t>
      </w:r>
      <w:r w:rsidRPr="00845F5C">
        <w:t xml:space="preserve">, στις 31 Μαρτίου 2021 η ελληνική κυβέρνηση παρουσίασε το Εθνικό Σχέδιο Ανάκαμψης και Ανθεκτικότητας </w:t>
      </w:r>
      <w:r w:rsidR="00F004FA">
        <w:t>«</w:t>
      </w:r>
      <w:r w:rsidRPr="00845F5C">
        <w:t>Ελλάδα 2.0</w:t>
      </w:r>
      <w:r w:rsidR="00F004FA">
        <w:t>»</w:t>
      </w:r>
      <w:r w:rsidRPr="00845F5C">
        <w:t xml:space="preserve"> για τον οικονομικό, τεχνολογικό και κοινωνικό μετασχηματισμό της χώρας υπό τέσσερις πυλώνες</w:t>
      </w:r>
      <w:r w:rsidRPr="00845F5C">
        <w:rPr>
          <w:rStyle w:val="af1"/>
        </w:rPr>
        <w:footnoteReference w:id="34"/>
      </w:r>
      <w:r w:rsidRPr="00845F5C">
        <w:t xml:space="preserve"> επενδύσεων και μεταρρυθμίσεων στη βάση του </w:t>
      </w:r>
      <w:r w:rsidRPr="00845F5C">
        <w:lastRenderedPageBreak/>
        <w:t xml:space="preserve">προϋπολογισμού του Ταμείου Ανάκαμψης και Ανθεκτικότητας. Η εκτίμηση του προγράμματος </w:t>
      </w:r>
      <w:r w:rsidR="00F004FA">
        <w:t>«</w:t>
      </w:r>
      <w:r w:rsidRPr="00845F5C">
        <w:t>Ελλάδα 2.0</w:t>
      </w:r>
      <w:r w:rsidR="00F004FA">
        <w:t>»</w:t>
      </w:r>
      <w:r w:rsidRPr="00845F5C">
        <w:t xml:space="preserve"> για τη συνολική κινητοποίηση επενδυτικών πόρων είναι σχεδόν διπλάσια του προϋπολογισμού του Ταμείου, με συντελεστές 1,4 για το σκέλος των επιχορηγήσεων και 2,5 για το σκέλος των δανείων, μέσω στόχευσης σε αναπτυξιακά επενδυτικά προγράμματα υψηλής προστιθέμενης αξίας. Ήδη για το 2021, υπολογίζεται θετική συμβολή στην ανάπτυξη κατά 1,4% από το Ταμείο Ανάκαμψης</w:t>
      </w:r>
      <w:r w:rsidR="00040000">
        <w:t xml:space="preserve"> και Ανθεκτικότητας</w:t>
      </w:r>
      <w:r w:rsidRPr="00845F5C">
        <w:rPr>
          <w:rStyle w:val="af1"/>
          <w:lang w:val="en-US"/>
        </w:rPr>
        <w:footnoteReference w:id="35"/>
      </w:r>
      <w:r w:rsidRPr="00845F5C">
        <w:t xml:space="preserve">, ενώ η συνεπαγόμενη μέση αύξηση στον ετήσιο ρυθμό ανάπτυξης της περιόδου 2021-2025 εκτιμάται σε 1,3 ποσοστιαίες μονάδες. </w:t>
      </w:r>
    </w:p>
    <w:p w:rsidR="00CF389F" w:rsidRPr="00845F5C" w:rsidRDefault="00CF389F" w:rsidP="00AA248C">
      <w:pPr>
        <w:jc w:val="both"/>
      </w:pPr>
      <w:r w:rsidRPr="00845F5C">
        <w:t>Το Ταμείο Ανάκαμψης</w:t>
      </w:r>
      <w:r w:rsidR="000320D2">
        <w:t xml:space="preserve"> και Ανθεκτικότητας</w:t>
      </w:r>
      <w:r w:rsidRPr="00845F5C">
        <w:t xml:space="preserve"> θα έχει καθοριστική συμβολή στο κλείσιμο του επενδυτικού κενού της Ελλάδας, που αποτελεί κληροδότημα της οικονομικής κρίσης της προηγούμενης δεκαετίας </w:t>
      </w:r>
      <w:r w:rsidR="00FD6A03">
        <w:t xml:space="preserve">(διάγραμμα </w:t>
      </w:r>
      <w:r w:rsidRPr="00845F5C">
        <w:t>7). Η ενεργοποίηση του Ταμείου από το δεύτερο εξάμηνο του 2021 αναμένεται να ωθήσει το ποσοστό επενδύσεων στο ελληνικό ΑΕΠ στο 11,5% στο σύνολο του τρέχοντος έτους έναντι 11,1% το 2020 και 10,1% το 2019, λειτουργώντας ανασταλτικά προς την επιδείνωση των μακροοικονομικών ανισορροπιών κατά την επαναφορά της ιδιωτικής οικονομίας σε συνθήκες πλήρους λειτουργίας (όπως η ενδεχόμενη αύξηση του ιδιωτικού χρέους και η δημιουργία νέων μη εξυπηρετούμενων δανείων</w:t>
      </w:r>
      <w:r w:rsidRPr="00845F5C">
        <w:rPr>
          <w:rStyle w:val="af1"/>
        </w:rPr>
        <w:footnoteReference w:id="36"/>
      </w:r>
      <w:r w:rsidRPr="00845F5C">
        <w:t>). Η ανοδική πορεία του ποσοστού επενδύσεων στο ΑΕΠ αναμένεται να επιταχυνθεί τα επόμενα έτη, λόγω των αυξημένων ροών του Ταμείου και της κινητοποίησης μεγαλύτερου όγκου ιδιωτικών επενδυτικών πόρων, αλλά και της διαρθρωτικής επίδρασης των μεταρρυθμίσεων του Σχεδίου. Μεταξύ του 2020 και του 2025, από τη συνολική μείωση του επενδυτικού κενού της Ελλάδας έναντι της Ευρωζώνης περίπου στο ήμισυ (ή κατά 4,4 ποσοστιαίες μονάδες του ΑΕΠ), το 73% εκτιμάται ότι θα έχει προέλθει από επενδύσεις χρηματοδοτούμενες μέσω του Ταμείου Ανάκαμψης</w:t>
      </w:r>
      <w:r w:rsidR="000320D2">
        <w:t xml:space="preserve"> και Ανθεκτικότητας</w:t>
      </w:r>
      <w:r w:rsidRPr="00845F5C">
        <w:t xml:space="preserve">. </w:t>
      </w:r>
    </w:p>
    <w:p w:rsidR="00845F5C" w:rsidRDefault="00845F5C" w:rsidP="009E6D38">
      <w:pPr>
        <w:spacing w:after="0"/>
        <w:ind w:right="-625"/>
        <w:rPr>
          <w:sz w:val="24"/>
        </w:rPr>
      </w:pPr>
    </w:p>
    <w:p w:rsidR="00CF389F" w:rsidRPr="00845F5C" w:rsidRDefault="00FD6A03" w:rsidP="009E6D38">
      <w:pPr>
        <w:spacing w:after="0"/>
        <w:ind w:right="-625"/>
        <w:rPr>
          <w:b/>
          <w:szCs w:val="20"/>
        </w:rPr>
      </w:pPr>
      <w:r>
        <w:rPr>
          <w:b/>
          <w:szCs w:val="20"/>
        </w:rPr>
        <w:t xml:space="preserve">Διάγραμμα </w:t>
      </w:r>
      <w:r w:rsidR="00CF389F" w:rsidRPr="00845F5C">
        <w:rPr>
          <w:b/>
          <w:szCs w:val="20"/>
        </w:rPr>
        <w:t>7</w:t>
      </w:r>
      <w:r w:rsidR="00AF665B" w:rsidRPr="00AF665B">
        <w:rPr>
          <w:b/>
          <w:szCs w:val="20"/>
        </w:rPr>
        <w:t>:</w:t>
      </w:r>
      <w:r w:rsidR="007E1308">
        <w:rPr>
          <w:b/>
          <w:szCs w:val="20"/>
        </w:rPr>
        <w:t xml:space="preserve"> Επενδύσεις στην Ελλάδα και την</w:t>
      </w:r>
      <w:r w:rsidR="00CF389F" w:rsidRPr="00845F5C">
        <w:rPr>
          <w:b/>
          <w:szCs w:val="20"/>
        </w:rPr>
        <w:t xml:space="preserve"> Ευρωζώνη και ελληνικό επενδυτικό κενό</w:t>
      </w:r>
    </w:p>
    <w:p w:rsidR="00CF389F" w:rsidRPr="00845F5C" w:rsidRDefault="00CF389F" w:rsidP="009E6D38">
      <w:pPr>
        <w:spacing w:after="0"/>
        <w:rPr>
          <w:color w:val="FF0000"/>
          <w:szCs w:val="20"/>
        </w:rPr>
      </w:pPr>
      <w:r w:rsidRPr="00845F5C">
        <w:rPr>
          <w:szCs w:val="20"/>
        </w:rPr>
        <w:t>(% ονομαστικού ΑΕΠ )</w:t>
      </w:r>
    </w:p>
    <w:p w:rsidR="00CF389F" w:rsidRDefault="00CF389F" w:rsidP="00CF389F">
      <w:pPr>
        <w:jc w:val="center"/>
      </w:pPr>
      <w:r>
        <w:rPr>
          <w:noProof/>
        </w:rPr>
        <w:drawing>
          <wp:inline distT="0" distB="0" distL="0" distR="0">
            <wp:extent cx="6480000" cy="3257772"/>
            <wp:effectExtent l="19050" t="0" r="0" b="0"/>
            <wp:docPr id="10" name="Εικόνα 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3C91D99-49D8-49F5-A7C1-F27F3686C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3C91D99-49D8-49F5-A7C1-F27F3686CDB8}"/>
                        </a:ext>
                      </a:extLst>
                    </pic:cNvPr>
                    <pic:cNvPicPr>
                      <a:picLocks noChangeAspect="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80000" cy="3257772"/>
                    </a:xfrm>
                    <a:prstGeom prst="rect">
                      <a:avLst/>
                    </a:prstGeom>
                  </pic:spPr>
                </pic:pic>
              </a:graphicData>
            </a:graphic>
          </wp:inline>
        </w:drawing>
      </w:r>
    </w:p>
    <w:p w:rsidR="00CF389F" w:rsidRPr="00845F5C" w:rsidRDefault="00CF389F" w:rsidP="00CF389F">
      <w:pPr>
        <w:jc w:val="both"/>
        <w:rPr>
          <w:iCs/>
          <w:szCs w:val="18"/>
        </w:rPr>
      </w:pPr>
      <w:r w:rsidRPr="00845F5C">
        <w:rPr>
          <w:iCs/>
          <w:szCs w:val="18"/>
        </w:rPr>
        <w:t xml:space="preserve">Πηγή: Τριμηνιαίοι Εθνικοί Λογαριασμοί (Ελληνική Στατιστική Αρχή), Προβλέψεις ΔΝΤ για την Ευρωζώνη (Έκθεση για τις προοπτικές της παγκόσμιας οικονομίας Απριλίου 2021) </w:t>
      </w:r>
    </w:p>
    <w:p w:rsidR="00D66C07" w:rsidRDefault="00D66C07" w:rsidP="00AA248C">
      <w:pPr>
        <w:jc w:val="both"/>
      </w:pPr>
    </w:p>
    <w:p w:rsidR="00CF389F" w:rsidRPr="00845F5C" w:rsidRDefault="00CF389F" w:rsidP="00AA248C">
      <w:pPr>
        <w:jc w:val="both"/>
      </w:pPr>
      <w:r w:rsidRPr="00845F5C">
        <w:t xml:space="preserve">Ως συνισταμένη των παραπάνω τάσεων, το 2021 το ποσοστό ανάκτησης των απωλειών παραγόμενου προϊόντος του 2020 αναμένεται να κυμανθεί στο 40%, κοντά στην αντίστοιχη εκτίμηση του Κρατικού Προϋπολογισμού 2021. Αυτό υποδηλώνει έναν πιο εύρωστο ρυθμό ανάκαμψης στο δεύτερο εξάμηνο του έτους, με βασικούς παράγοντες τις συσσωρευμένες αποταμιεύσεις και την εκτιμώμενη αυξημένη ροπή για κατανάλωση την πρώτη περίοδο μετά το παρατεταμένο </w:t>
      </w:r>
      <w:r w:rsidRPr="00845F5C">
        <w:rPr>
          <w:lang w:val="en-US"/>
        </w:rPr>
        <w:t>lockdown</w:t>
      </w:r>
      <w:r w:rsidRPr="00845F5C">
        <w:t xml:space="preserve">. </w:t>
      </w:r>
    </w:p>
    <w:p w:rsidR="00497DBC" w:rsidRPr="00845F5C" w:rsidRDefault="00CF389F" w:rsidP="00497DBC">
      <w:pPr>
        <w:jc w:val="both"/>
      </w:pPr>
      <w:r w:rsidRPr="00845F5C">
        <w:t xml:space="preserve">Σε όρους ετήσιων μεταβολών, ο ρυθμός πραγματικού ΑΕΠ εκτιμάται σε 3,6% το τρέχον έτος. Παράγοντες της ανάκαμψης αναμένεται να είναι όλες οι συνιστώσες της εγχώριας ζήτησης, καθώς και οι καθαρές εξαγωγές υπηρεσιών. </w:t>
      </w:r>
      <w:r w:rsidR="00497DBC">
        <w:rPr>
          <w:szCs w:val="24"/>
        </w:rPr>
        <w:t>Όπως προαναφέρθηκε η ανάπτυξη φέτος είναι πιθανόν να είναι μεγαλύτερη αν επιβεβαιωθούν και στους επόμενους μήνες οι πολύ θετικές εξελίξεις που κατέγραψε για το ΑΕΠ η ΕΛΣΤΑΤ για το πρώτο τρίμηνο του 2021.</w:t>
      </w:r>
    </w:p>
    <w:p w:rsidR="00CF389F" w:rsidRPr="00845F5C" w:rsidRDefault="00CF389F" w:rsidP="00AA248C">
      <w:pPr>
        <w:jc w:val="both"/>
      </w:pPr>
      <w:r w:rsidRPr="00845F5C">
        <w:t xml:space="preserve">Η πραγματική ιδιωτική κατανάλωση αναμένεται να αυξηθεί κατά 2,6% έναντι του 2020, τόσο σε τρέχουσες όσο και σε σταθερές τιμές, με βάση την εκτίμηση για μηδενικό πληθωρισμό. Οι αμοιβές εξαρτημένης εργασίας αναμένεται να επανέλθουν σχεδόν εξολοκλήρου στο επίπεδο πριν την πανδημία (+0,8% έναντι του 2020), χάρη στην αύξηση της απασχόλησης κατά 0,7% (0,8% στους μισθωτούς), ενώ η ανεργία ως ποσοστό του εργατικού δυναμικού εκτιμάται αμετάβλητη έναντι του 2020, στο 16,3%. Ο ονομαστικός μέσος μισθός αναμένεται να παραμείνει στο επίπεδο του 2019, με τα κέρδη του 2020 σε όρους πραγματικού μισθού να διατηρούνται το τρέχον έτος λόγω του μηδενικού πληθωρισμού.  </w:t>
      </w:r>
    </w:p>
    <w:p w:rsidR="000B4E29" w:rsidRPr="00845F5C" w:rsidRDefault="000B4E29" w:rsidP="000B4E29">
      <w:pPr>
        <w:jc w:val="both"/>
      </w:pPr>
      <w:r w:rsidRPr="00845F5C">
        <w:t>Η εκτίμηση για στ</w:t>
      </w:r>
      <w:r>
        <w:t>αθερό</w:t>
      </w:r>
      <w:r w:rsidRPr="00845F5C">
        <w:t xml:space="preserve"> πληθωρισμό είναι συνισταμένη καθοδικών και ανοδικών επιδράσεων στις τιμές. Στις καθοδικές, περιλαμβάνονται η αναγκαστική συμπίεση της ζήτησης στο πρώτο τρίμηνο του έτους και η διατήρηση της μείωσης του ΦΠΑ σε υπηρεσίες τουρισμού και αναψυχής</w:t>
      </w:r>
      <w:r w:rsidRPr="00845F5C">
        <w:rPr>
          <w:rStyle w:val="af1"/>
        </w:rPr>
        <w:footnoteReference w:id="37"/>
      </w:r>
      <w:r w:rsidRPr="00845F5C">
        <w:t xml:space="preserve"> και το 2021. Στις ανοδικές, περιλαμβάνονται οι τελευταίες προβολές για τη διεθνή τιμή του πετρελαίου, αυξημένες κατά πάνω από 40% έναντι του 2020, καθώς και η αναθέρμανση της ενεργού ζήτησης μετά την άρση των μέτρων περιορισμού της </w:t>
      </w:r>
      <w:proofErr w:type="spellStart"/>
      <w:r w:rsidRPr="00845F5C">
        <w:rPr>
          <w:lang w:val="en-US"/>
        </w:rPr>
        <w:t>Covid</w:t>
      </w:r>
      <w:proofErr w:type="spellEnd"/>
      <w:r w:rsidRPr="00845F5C">
        <w:t xml:space="preserve">-19. </w:t>
      </w:r>
    </w:p>
    <w:p w:rsidR="00CF389F" w:rsidRPr="00845F5C" w:rsidRDefault="00CF389F" w:rsidP="00AA248C">
      <w:pPr>
        <w:jc w:val="both"/>
      </w:pPr>
      <w:r w:rsidRPr="00845F5C">
        <w:t>Οι επενδύσεις το 2021 εκτιμώνται αυξημένες κατά 7%, και το ποσοστό τους στο ΑΕΠ ενισχυμένο κατά 0,4 και 1,4 ποσοστιαίες μονάδες έναντι του 2020 και του 2019, αντιστοίχως. Η ώθηση των επενδύσεων αναμένεται να κατανεμηθεί με αναλογία 3 προς 2 μεταξύ επενδύσεων σε κατασκευές (κυρίως εκτός κατοικιών) και επενδύσεων σε εξοπλισμό. Ως εκ τούτου, οι απώλειες επενδύσεων σε εξοπλισμό το προηγούμενο έτος, που ευθύνονταν για την εικόνα στασιμότητας των συνολικών επενδύσεων, αναμένεται να ανακτηθούν σχεδόν εξ ολοκλήρου το τρέχον έτος (+7,0% σε ετήσια βάση, έναντι -7,0% το 2020), ενώ ο ετήσιος ρυθμός επενδύσεων σε κατασκευές αναμένεται να επιταχυνθεί περαιτέρω (+14,0% σε ετήσια βάση έναντι +10,7% το 2020).</w:t>
      </w:r>
    </w:p>
    <w:p w:rsidR="00CF389F" w:rsidRPr="00845F5C" w:rsidRDefault="00CF389F" w:rsidP="00AA248C">
      <w:pPr>
        <w:jc w:val="both"/>
      </w:pPr>
      <w:r w:rsidRPr="00845F5C">
        <w:t xml:space="preserve">Η δημόσια κατανάλωση αναμένεται συνεχίσει την ανοδική πορεία της για τρίτο συνεχόμενο έτος το 2021 (+1,5% σε ετήσια βάση), εν μέσω συνέχισης των μέτρων στήριξης της οικονομίας και αυξημένης πρόβλεψης για την ενδιάμεση ανάλωση της Γενικής Κυβέρνησης. </w:t>
      </w:r>
    </w:p>
    <w:p w:rsidR="00CF389F" w:rsidRPr="00845F5C" w:rsidRDefault="00CF389F" w:rsidP="00AA248C">
      <w:pPr>
        <w:jc w:val="both"/>
      </w:pPr>
      <w:r w:rsidRPr="00845F5C">
        <w:t xml:space="preserve">Για τις καθαρές εξαγωγές υπηρεσιών εκτιμάται θετική συμβολή στο πραγματικό ΑΕΠ κατά 2,2 ποσοστιαίες μονάδες, καθώς η αύξηση των τουριστικών εισπράξεων από το εξωτερικό κατά 3,7 δισεκατομμύρια ευρώ ή 87,1% έναντι του 2020 και η αντίστοιχη ανάκαμψη των μεταφορικών και λοιπών εξαγωγών υπηρεσιών κατά 9,4% </w:t>
      </w:r>
      <w:proofErr w:type="spellStart"/>
      <w:r w:rsidRPr="00845F5C">
        <w:t>υπεραντισταθμίζουν</w:t>
      </w:r>
      <w:proofErr w:type="spellEnd"/>
      <w:r w:rsidRPr="00845F5C">
        <w:t xml:space="preserve"> την εκτιμώμενη αύξηση εισαγωγών υπηρεσιών (+9,7% σε σταθερές τιμές). </w:t>
      </w:r>
    </w:p>
    <w:p w:rsidR="00CF389F" w:rsidRPr="00845F5C" w:rsidRDefault="00CF389F" w:rsidP="00AA248C">
      <w:pPr>
        <w:jc w:val="both"/>
      </w:pPr>
      <w:r w:rsidRPr="00845F5C">
        <w:lastRenderedPageBreak/>
        <w:t xml:space="preserve">Από την άλλη πλευρά, οι καθαρές εξαγωγές αγαθών αναμένεται να συμβάλουν αρνητικά στην αύξηση του όγκου του ΑΕΠ, χωρίς ωστόσο αυτό να οφείλεται σε μείωση της ζήτησης των χωρών προορισμού για ελληνικά αγαθά. Αιτία της αρνητικής συμβολής αποτελεί η εκτιμώμενη αύξηση των εισαγωγών αγαθών κατά 6,2%, δηλαδή ετήσιο ρυθμό μεγαλύτερο από τον ρυθμό της μείωσής τους το 2020 (-3,7%). Η ανάκαμψη των εισαγωγών αγαθών πάνω από το επίπεδο του 2019 οφείλεται κυρίως στην ώθηση των επενδύσεων σε εξοπλισμό μέσω του </w:t>
      </w:r>
      <w:r w:rsidRPr="00845F5C">
        <w:rPr>
          <w:lang w:val="en-US"/>
        </w:rPr>
        <w:t>NGEU</w:t>
      </w:r>
      <w:r w:rsidRPr="00845F5C">
        <w:t xml:space="preserve"> (οι οποίες συνδέονται στενά με εισαγωγές εξοπλισμού). Πάντως, οι πραγματικές εξαγωγές αγαθών αναμένεται να διατηρήσουν αδιάλειπτη τη θετική πορεία που σημειώνουν από το 2010, με επιβραδυνόμενο ωστόσο ρυθμό στο 2,4% το 2021 από 4,3% το 2020, λόγω της αύξησης της διεθνούς τιμής του πετρελαίου. </w:t>
      </w:r>
    </w:p>
    <w:p w:rsidR="00CF389F" w:rsidRPr="00845F5C" w:rsidRDefault="00CF389F" w:rsidP="00AA248C">
      <w:pPr>
        <w:jc w:val="both"/>
      </w:pPr>
      <w:r w:rsidRPr="00845F5C">
        <w:t xml:space="preserve">Οι προσδοκίες για γρήγορη βελτίωση της οικονομικής και δημοσιονομικής επίδοσης της Ελλάδας αντανακλώνται σε αναβαθμίσεις της πιστοληπτικής ικανότητας της χώρας που έλαβαν χώρα ακόμη κι εν μέσω της δυσμενούς συγκυρίας της πανδημίας. Τον Νοέμβριο του 2020, ο οίκος αξιολόγησης </w:t>
      </w:r>
      <w:r w:rsidRPr="00845F5C">
        <w:rPr>
          <w:lang w:val="en-US"/>
        </w:rPr>
        <w:t>Moody</w:t>
      </w:r>
      <w:r w:rsidRPr="00845F5C">
        <w:t>’</w:t>
      </w:r>
      <w:r w:rsidRPr="00845F5C">
        <w:rPr>
          <w:lang w:val="en-US"/>
        </w:rPr>
        <w:t>s</w:t>
      </w:r>
      <w:r w:rsidRPr="00845F5C">
        <w:t xml:space="preserve"> αναβάθμισε το ελληνικό αξιόχρεο από Β1 σε </w:t>
      </w:r>
      <w:proofErr w:type="spellStart"/>
      <w:r w:rsidRPr="00845F5C">
        <w:rPr>
          <w:lang w:val="en-US"/>
        </w:rPr>
        <w:t>Ba</w:t>
      </w:r>
      <w:proofErr w:type="spellEnd"/>
      <w:r w:rsidRPr="00845F5C">
        <w:t xml:space="preserve">3, με σταθερές προοπτικές, ενώ τον Απρίλιο του 2021 η Standard </w:t>
      </w:r>
      <w:proofErr w:type="spellStart"/>
      <w:r w:rsidRPr="00845F5C">
        <w:t>and</w:t>
      </w:r>
      <w:proofErr w:type="spellEnd"/>
      <w:r w:rsidRPr="00845F5C">
        <w:t xml:space="preserve"> </w:t>
      </w:r>
      <w:proofErr w:type="spellStart"/>
      <w:r w:rsidRPr="00845F5C">
        <w:t>Poor’s</w:t>
      </w:r>
      <w:proofErr w:type="spellEnd"/>
      <w:r w:rsidRPr="00845F5C">
        <w:t xml:space="preserve"> από ΒΒ- σε ΒΒ, με θετικές προοπτικές, σηματοδοτώντας μια νέα πιθανή αναβάθμιση εντός των επόμενων 12-18 μηνών. Αυτό θα φέρει την Ελλάδα μία ανάσα από την επενδυτική βαθμίδα για πρώτη φορά για πάνω από μια δεκαετία, με την κατάκτησή της τα επόμενα έτη να συναρτάται με την εξυγίανση των ισολογισμών των ελληνικών τραπεζών και την περαιτέρω μείωση του αποθέματος μη εξυπηρετούμενων δανείων. </w:t>
      </w:r>
    </w:p>
    <w:p w:rsidR="00CB4473" w:rsidRPr="00845F5C" w:rsidRDefault="00CB4473" w:rsidP="00AA248C">
      <w:pPr>
        <w:jc w:val="both"/>
      </w:pPr>
    </w:p>
    <w:p w:rsidR="00CF389F" w:rsidRPr="00845F5C" w:rsidRDefault="00CF389F" w:rsidP="00AA248C">
      <w:pPr>
        <w:jc w:val="both"/>
        <w:rPr>
          <w:b/>
          <w:bCs/>
          <w:color w:val="365F91" w:themeColor="accent1" w:themeShade="BF"/>
        </w:rPr>
      </w:pPr>
      <w:r w:rsidRPr="00845F5C">
        <w:rPr>
          <w:b/>
          <w:bCs/>
          <w:color w:val="365F91" w:themeColor="accent1" w:themeShade="BF"/>
        </w:rPr>
        <w:t>Μεσοπρόθεσμες προοπτικές</w:t>
      </w:r>
    </w:p>
    <w:p w:rsidR="00CF389F" w:rsidRPr="00845F5C" w:rsidRDefault="00CF389F" w:rsidP="00AA248C">
      <w:pPr>
        <w:jc w:val="both"/>
      </w:pPr>
      <w:r w:rsidRPr="00845F5C">
        <w:t xml:space="preserve">Η οικονομική πολιτική του 2020 και του 2021 στόχευσε στη μείωση του βάθους της κρίσης της πανδημίας και στην αποτροπή εξόδου βιώσιμων επιχειρήσεων από την αγορά και απώλειας θέσεων εργασίας, προκειμένου να καταστεί ταχύτερη η επαναφορά της οικονομικής δραστηριότητας στα προ κρίσης επίπεδα μετά το τέλος της πανδημίας.  </w:t>
      </w:r>
    </w:p>
    <w:p w:rsidR="00CF389F" w:rsidRPr="00845F5C" w:rsidRDefault="00CF389F" w:rsidP="00AA248C">
      <w:pPr>
        <w:jc w:val="both"/>
      </w:pPr>
      <w:r w:rsidRPr="00845F5C">
        <w:t xml:space="preserve">Χτίζοντας σε αυτή τη βάση, το 2022 αναμένεται σημαντική επιτάχυνση του ετήσιου ρυθμού οικονομικής ανάκαμψης στο 6,2%, με διατήρησή του κοντά στο 4% κατά μέσο όρο στην υπόλοιπη μεσοπρόθεσμη περίοδο.  </w:t>
      </w:r>
    </w:p>
    <w:p w:rsidR="000B4E29" w:rsidRPr="00845F5C" w:rsidRDefault="000B4E29" w:rsidP="000B4E29">
      <w:pPr>
        <w:jc w:val="both"/>
      </w:pPr>
      <w:r w:rsidRPr="00845F5C">
        <w:t xml:space="preserve">Η ισχυρή αναπτυξιακή δυναμική του 2022 αντανακλά την ανάκτηση του συνόλου των οικονομικών απωλειών λόγω της πανδημίας κατά τη διάρκεια του τέταρτου τριμήνου του έτους, με το πραγματικό ΑΕΠ να υπερβαίνει στο τέλος του 2022 το επίπεδο του 2019 κατά 1%. Η κύρια οικονομική ώθηση αναμένεται να προέλθει από τις ροές του Ταμείου Ανάκαμψης και Ανθεκτικότητας, την επιταχυνόμενη ανάκαμψη του εξωτερικού τουρισμού (στο 80% του προ κρίσης επιπέδου εισπράξεων), και τη θετική επίδραση μεταφοράς από το 2021, υπό την εξωτερική υπόθεση επαρκούς εμβολιαστικής κάλυψης του πληθυσμού από το δεύτερο εξάμηνο του 2021. </w:t>
      </w:r>
    </w:p>
    <w:p w:rsidR="00CF389F" w:rsidRPr="00845F5C" w:rsidRDefault="00CF389F" w:rsidP="00AA248C">
      <w:pPr>
        <w:jc w:val="both"/>
      </w:pPr>
      <w:r w:rsidRPr="00845F5C">
        <w:t>Ακόμα, ευνοϊκός παράγοντας για τη διαμόρφωση υψηλού ρυθμού ανάπτυξης το 2022 είναι η παράταση της γενικής ρήτρας διαφυγής του Συμφώνου Σταθερότητας και Ανάπτυξης και το 2022</w:t>
      </w:r>
      <w:r w:rsidRPr="00845F5C">
        <w:rPr>
          <w:rStyle w:val="af1"/>
        </w:rPr>
        <w:footnoteReference w:id="38"/>
      </w:r>
      <w:r w:rsidRPr="00845F5C">
        <w:t xml:space="preserve">, καθώς δίνει τη δυνατότητα για πιο ομαλή μετάβαση σε δημοσιονομικά πρωτογενή πλεονάσματα από το 2023, και η συνέχιση της </w:t>
      </w:r>
      <w:proofErr w:type="spellStart"/>
      <w:r w:rsidRPr="00845F5C">
        <w:t>διευκολυντικής</w:t>
      </w:r>
      <w:proofErr w:type="spellEnd"/>
      <w:r w:rsidRPr="00845F5C">
        <w:t xml:space="preserve"> νομισματικής πολιτικής από την Ευρωπαϊκή Τράπεζα, μέσω του προγράμματος αγοράς στοιχείων ενεργητικού λόγω της πανδημίας (</w:t>
      </w:r>
      <w:r w:rsidRPr="00845F5C">
        <w:rPr>
          <w:lang w:val="en-US"/>
        </w:rPr>
        <w:t>PEPP</w:t>
      </w:r>
      <w:r w:rsidRPr="00845F5C">
        <w:t>), έως τουλάχιστον τον Μάρτιο του 2022.</w:t>
      </w:r>
    </w:p>
    <w:p w:rsidR="00CF389F" w:rsidRPr="00845F5C" w:rsidRDefault="00CF389F" w:rsidP="00AA248C">
      <w:pPr>
        <w:jc w:val="both"/>
      </w:pPr>
      <w:r w:rsidRPr="00845F5C">
        <w:t>Από το 2023, η εξομάλυνση της αναπτυξιακής δυναμικής σε σχέση με το 2022 οφείλεται κυρίως στην εξάλειψη της υποαπασχόλησης πόρων της οικονομίας έναντι της περιόδου της πανδημίας, και δευτερευόντως σε επιδράσεις βάσης από το δημοσιονομικό πεδίο και την κατανομή ροών του Εθνικού Σχεδίου Ανάκαμψης και Ανθεκτικότητας.</w:t>
      </w:r>
    </w:p>
    <w:p w:rsidR="00CF389F" w:rsidRPr="00845F5C" w:rsidRDefault="00CF389F" w:rsidP="00AA248C">
      <w:pPr>
        <w:jc w:val="both"/>
      </w:pPr>
      <w:r w:rsidRPr="00845F5C">
        <w:lastRenderedPageBreak/>
        <w:t xml:space="preserve">Στο σύνολο της περιόδου 2022-2025, τα τρία τέταρτα της ανάπτυξης αναμένεται να προέλθουν </w:t>
      </w:r>
      <w:proofErr w:type="spellStart"/>
      <w:r w:rsidRPr="00845F5C">
        <w:t>μεσοσταθμικά</w:t>
      </w:r>
      <w:proofErr w:type="spellEnd"/>
      <w:r w:rsidRPr="00845F5C">
        <w:t xml:space="preserve"> από τις συνιστώσες της εγχώριας ζήτησης, με τον εξωτερικό τομέα να συνεισφέρει κατά το υπόλοιπο ένα τέταρτο. </w:t>
      </w:r>
    </w:p>
    <w:p w:rsidR="00CF389F" w:rsidRPr="00845F5C" w:rsidRDefault="00CF389F" w:rsidP="00AA248C">
      <w:pPr>
        <w:jc w:val="both"/>
      </w:pPr>
      <w:r w:rsidRPr="00845F5C">
        <w:t xml:space="preserve">Κινητήρια δύναμη της εγχώριας ζήτησης αναμένεται να αποτελέσουν οι επενδύσεις, φτάνοντας τη συμμετοχή τους στο ΑΕΠ στο 16,7% το 2025, από 11,1% το 2020. Το 2022, δεδομένης της επιτάχυνσης υλοποίησης του </w:t>
      </w:r>
      <w:r w:rsidR="00F004FA">
        <w:t>«</w:t>
      </w:r>
      <w:r w:rsidRPr="00845F5C">
        <w:t>Ελλάδα 2.0</w:t>
      </w:r>
      <w:r w:rsidR="00F004FA">
        <w:t>»</w:t>
      </w:r>
      <w:r w:rsidRPr="00845F5C">
        <w:t>, ο ετήσιος ρυθμός πραγματικών επενδύσεων προβλέπεται στο 30,3% για πρώτη φορά σε όλη την περίοδο διαθέσιμων στοιχείων</w:t>
      </w:r>
      <w:r w:rsidRPr="00845F5C">
        <w:rPr>
          <w:rStyle w:val="af1"/>
        </w:rPr>
        <w:footnoteReference w:id="39"/>
      </w:r>
      <w:r w:rsidRPr="00845F5C">
        <w:t xml:space="preserve">. Το ίδιο έτος, η συμβολή τους στην ανάπτυξη εκτιμάται άνω του 57% της σωρευτικής αύξησης ΑΕΠ από όλες τις συνιστώσες του. Στην υπόλοιπη μεσοπρόθεσμη περίοδο, ο μέσος ετήσιος ρυθμός μεταβολής των επενδύσεων αναμένεται να παραμείνει πάνω από τον μέσο όρο της περιόδου πριν την οικονομική κρίση του 2008 κατά 2,5 ποσοστιαίες μονάδες, χάρη στο ευνοϊκότερο επενδυτικό περιβάλλον που θα έχει διαμορφωθεί από τις μεταρρυθμίσεις του </w:t>
      </w:r>
      <w:r w:rsidR="00F004FA">
        <w:t>«</w:t>
      </w:r>
      <w:r w:rsidRPr="00845F5C">
        <w:t>Ελλάδα 2.0</w:t>
      </w:r>
      <w:r w:rsidR="00F004FA">
        <w:t>»</w:t>
      </w:r>
      <w:r w:rsidRPr="00845F5C">
        <w:t xml:space="preserve"> και στη μεγαλύτερη πρόσβαση σε χρηματοδότηση από το εξυγιασμένο ελληνικό τραπεζικό σύστημα. </w:t>
      </w:r>
    </w:p>
    <w:p w:rsidR="00CF389F" w:rsidRPr="00845F5C" w:rsidRDefault="00CF389F" w:rsidP="00AA248C">
      <w:pPr>
        <w:jc w:val="both"/>
      </w:pPr>
      <w:r w:rsidRPr="00845F5C">
        <w:t xml:space="preserve">Ο όγκος ιδιωτικής κατανάλωσης αναμένεται να επανέλθει το 2022 στο επίπεδο του 2019, ανακτώντας το σύνολο των απωλειών της υγειονομικής κρίσης, με το επίπεδο της απασχόλησης και του ονομαστικού μέσου μισθού μάλιστα να ξεπερνούν το επίπεδο του 2019 (κατά 1,6% και 1,1%, αντίστοιχα). Ωστόσο, η συμμετοχή της ιδιωτικής κατανάλωσης στο ΑΕΠ αναμένεται να διαμορφωθεί σε χαμηλότερο επίπεδο το 2022 από </w:t>
      </w:r>
      <w:proofErr w:type="spellStart"/>
      <w:r w:rsidRPr="00845F5C">
        <w:t>ό,τι</w:t>
      </w:r>
      <w:proofErr w:type="spellEnd"/>
      <w:r w:rsidRPr="00845F5C">
        <w:t xml:space="preserve"> το 2019 (στο 68,5%, έναντι 69,3% το 2019 και 71,3% κατά μέσο όρο το 2020-2021), εν αντιθέσει με τη συμμετοχή των επενδύσεων. Στην ίδια βάση, στο τέλος της μεσοπρόθεσμης περιόδου η ιδιωτική κατανάλωση αναμένεται να έχει περιοριστεί στο 65,5% του ΑΕΠ, το χαμηλότερο ποσοστό από το 2007. Η μεταστροφή αυτή τελεί σε συμβατότητα με τον μεσοπρόθεσμο στόχο μετάβασης σε ένα παραγωγικό μοντέλο μεγαλύτερης εξωστρέφειας και επενδυτικής δραστηριότητας. </w:t>
      </w:r>
    </w:p>
    <w:p w:rsidR="00CF389F" w:rsidRPr="00845F5C" w:rsidRDefault="00CF389F" w:rsidP="00AA248C">
      <w:pPr>
        <w:jc w:val="both"/>
      </w:pPr>
      <w:r w:rsidRPr="00845F5C">
        <w:t xml:space="preserve">Σε όρους ετήσιων μεταβολών, το 2022 η ετήσια αύξηση της πραγματικής ιδιωτικής κατανάλωσης προβλέπεται στο 2,9%, με τον μέσο ρυθμό της περιόδου 2023-2025 ελαφρώς πιο χαμηλό, στο 2,4%. Την ίδια περίοδο, ο μέσος ετήσιος ρυθμός αύξησης του ονομαστικού μισθού προβλέπεται επίσης στο 2,4%, ωστόσο η βαθμιαία άνοδος του πληθωρισμού (από το 1,3% το 2023 στο 1,7% στο τέλος της περιόδου προβλέψεων) αναμένεται να περιορίσει τη μέση αύξηση του πραγματικού μισθού στο 0,8%. Στήριξη στην αύξηση της πραγματικής ιδιωτικής καταναλωτικής δαπάνης αναμένεται και από τη σωρευτική βελτίωση της συνολικής απασχόλησης κατά 3,4 ποσοστιαίες μονάδες μεταξύ 2022 και 2025, η οποία συμβάλλει στην αύξηση της μισθοδοτικής δαπάνης κατά 3,5% ετησίως κατά μέσο όρο. </w:t>
      </w:r>
    </w:p>
    <w:p w:rsidR="00CF389F" w:rsidRPr="00845F5C" w:rsidRDefault="00CF389F" w:rsidP="00AA248C">
      <w:pPr>
        <w:jc w:val="both"/>
      </w:pPr>
      <w:r w:rsidRPr="00845F5C">
        <w:t xml:space="preserve">Η πραγματική δημόσια κατανάλωση αναμένεται να επανέλθει σε καθοδική πορεία από το 2022, καθώς η προηγουμένως έντονα επεκτατική δημοσιονομική πολιτική λόγω της πανδημίας θα επαναπροσδιορίζεται σταδιακά προς την επίτευξη ρεαλιστικών πρωτογενών πλεονασμάτων από το επόμενο έτος. Στο σύνολο της περιόδου 2022-2025, προβλέπεται μέσος ετήσιος ρυθμός της δημόσιας κατανάλωσης -1,0%, με την φθίνουσα πορεία του όγκου της να εξομαλύνεται βαθμιαία προς το τέλος της </w:t>
      </w:r>
      <w:proofErr w:type="spellStart"/>
      <w:r w:rsidRPr="00845F5C">
        <w:t>μεσοπρόσθεσμης</w:t>
      </w:r>
      <w:proofErr w:type="spellEnd"/>
      <w:r w:rsidRPr="00845F5C">
        <w:t xml:space="preserve"> περιόδου.</w:t>
      </w:r>
    </w:p>
    <w:p w:rsidR="00CF389F" w:rsidRPr="00845F5C" w:rsidRDefault="00CF389F" w:rsidP="00AA248C">
      <w:pPr>
        <w:jc w:val="both"/>
      </w:pPr>
      <w:r w:rsidRPr="00845F5C">
        <w:t>Ο εξωτερικός τομέας αναμένεται σε όλη τη μεσοπρόθεσμη περίοδο να έχει θετική συμβολή στην ανάπτυξη, η οποία εκτιμάται την περίοδο 2022-2024 σημαντικά μεγαλύτερη κατ’ έτος έναντι της αντίστοιχης περιόδου πριν την πανδημία. Αυτό εξηγείται από τη δυναμική των καθαρών εξαγωγών τουρισμού, η οποία αναμένεται να εξομαλυνθεί μόνο από το 2025, μετά την επαναφορά των τουριστικών εισπράξεων στα προ πανδημίας επίπεδα το 2024.</w:t>
      </w:r>
    </w:p>
    <w:p w:rsidR="00CF389F" w:rsidRPr="00845F5C" w:rsidRDefault="00CF389F" w:rsidP="00AA248C">
      <w:pPr>
        <w:pStyle w:val="Web"/>
        <w:tabs>
          <w:tab w:val="left" w:pos="9072"/>
          <w:tab w:val="left" w:pos="9214"/>
        </w:tabs>
        <w:suppressAutoHyphens/>
        <w:spacing w:before="0" w:beforeAutospacing="0" w:after="200" w:afterAutospacing="0" w:line="276" w:lineRule="auto"/>
        <w:ind w:right="46"/>
        <w:jc w:val="both"/>
        <w:rPr>
          <w:rFonts w:asciiTheme="minorHAnsi" w:eastAsiaTheme="minorHAnsi" w:hAnsiTheme="minorHAnsi" w:cstheme="minorBidi"/>
          <w:sz w:val="22"/>
          <w:szCs w:val="22"/>
          <w:lang w:eastAsia="en-US"/>
        </w:rPr>
      </w:pPr>
      <w:r w:rsidRPr="00845F5C">
        <w:rPr>
          <w:rFonts w:asciiTheme="minorHAnsi" w:eastAsiaTheme="minorHAnsi" w:hAnsiTheme="minorHAnsi" w:cstheme="minorBidi"/>
          <w:sz w:val="22"/>
          <w:szCs w:val="22"/>
          <w:lang w:eastAsia="en-US"/>
        </w:rPr>
        <w:lastRenderedPageBreak/>
        <w:t xml:space="preserve">Η αλλαγή του παραγωγικού μοντέλου προς το τέλος της μεσοπρόθεσμης περιόδου προβλέπεται να συγκρατήσει τις εισαγωγές αγαθών σε θετικούς αλλά χαμηλούς ρυθμούς μεταβολής την περίοδο 2023-2025 (3,6% κατά μέσο όρο), μετά την αύξησή τους το 2022 κατά 8,9% σε σύνδεση με την υλοποίηση εξοπλιστικών επενδύσεων στο πλαίσιο του Εθνικού Σχεδίου Ανάκαμψης και Ανθεκτικότητας. Αντίθετα, τα κέρδη ανταγωνιστικότητας προς το τέλος της μεσοπρόθεσμης περιόδου από τις μεταρρυθμίσεις του </w:t>
      </w:r>
      <w:r w:rsidR="006C0FDC">
        <w:rPr>
          <w:rFonts w:asciiTheme="minorHAnsi" w:eastAsiaTheme="minorHAnsi" w:hAnsiTheme="minorHAnsi" w:cstheme="minorBidi"/>
          <w:sz w:val="22"/>
          <w:szCs w:val="22"/>
          <w:lang w:eastAsia="en-US"/>
        </w:rPr>
        <w:t>«</w:t>
      </w:r>
      <w:r w:rsidRPr="00845F5C">
        <w:rPr>
          <w:rFonts w:asciiTheme="minorHAnsi" w:eastAsiaTheme="minorHAnsi" w:hAnsiTheme="minorHAnsi" w:cstheme="minorBidi"/>
          <w:sz w:val="22"/>
          <w:szCs w:val="22"/>
          <w:lang w:eastAsia="en-US"/>
        </w:rPr>
        <w:t>Ελλάδα 2.0</w:t>
      </w:r>
      <w:r w:rsidR="006C0FDC">
        <w:rPr>
          <w:rFonts w:asciiTheme="minorHAnsi" w:eastAsiaTheme="minorHAnsi" w:hAnsiTheme="minorHAnsi" w:cstheme="minorBidi"/>
          <w:sz w:val="22"/>
          <w:szCs w:val="22"/>
          <w:lang w:eastAsia="en-US"/>
        </w:rPr>
        <w:t>»</w:t>
      </w:r>
      <w:r w:rsidRPr="00845F5C">
        <w:rPr>
          <w:rFonts w:asciiTheme="minorHAnsi" w:eastAsiaTheme="minorHAnsi" w:hAnsiTheme="minorHAnsi" w:cstheme="minorBidi"/>
          <w:sz w:val="22"/>
          <w:szCs w:val="22"/>
          <w:lang w:eastAsia="en-US"/>
        </w:rPr>
        <w:t xml:space="preserve"> συντηρούν σχετικά υψηλότερους ρυθμούς εξαγωγών αγαθών την ίδια περίοδο (5,6% κατά μέσο όρο), υποδηλώνοντας την προοπτική ενισχυμένης εξωστρέφειας της οικονομίας στο μακροπρόθεσμο διάστημα.  </w:t>
      </w:r>
    </w:p>
    <w:p w:rsidR="00845F5C" w:rsidRDefault="00845F5C" w:rsidP="009E6D38">
      <w:pPr>
        <w:pStyle w:val="Web"/>
        <w:tabs>
          <w:tab w:val="left" w:pos="9072"/>
          <w:tab w:val="left" w:pos="9214"/>
        </w:tabs>
        <w:suppressAutoHyphens/>
        <w:spacing w:before="0" w:beforeAutospacing="0" w:after="200" w:afterAutospacing="0" w:line="360" w:lineRule="auto"/>
        <w:ind w:right="46"/>
        <w:jc w:val="both"/>
        <w:rPr>
          <w:rFonts w:asciiTheme="minorHAnsi" w:eastAsiaTheme="minorHAnsi" w:hAnsiTheme="minorHAnsi" w:cstheme="minorBidi"/>
          <w:sz w:val="22"/>
          <w:szCs w:val="22"/>
          <w:lang w:eastAsia="en-US"/>
        </w:rPr>
      </w:pPr>
    </w:p>
    <w:p w:rsidR="008719F3" w:rsidRPr="008719F3" w:rsidRDefault="008719F3" w:rsidP="008719F3">
      <w:pPr>
        <w:snapToGrid w:val="0"/>
        <w:spacing w:after="0"/>
        <w:rPr>
          <w:b/>
          <w:bCs/>
        </w:rPr>
      </w:pPr>
      <w:r w:rsidRPr="008719F3">
        <w:rPr>
          <w:b/>
          <w:bCs/>
        </w:rPr>
        <w:t>Πίνακας 2</w:t>
      </w:r>
      <w:r w:rsidR="00F964D1" w:rsidRPr="00F964D1">
        <w:rPr>
          <w:b/>
          <w:bCs/>
        </w:rPr>
        <w:t xml:space="preserve"> </w:t>
      </w:r>
      <w:r w:rsidRPr="008719F3">
        <w:rPr>
          <w:b/>
          <w:bCs/>
        </w:rPr>
        <w:t>Βασικά μεγέθη της Ελληνικής Οικονομίας</w:t>
      </w:r>
    </w:p>
    <w:p w:rsidR="008719F3" w:rsidRPr="0076542C" w:rsidRDefault="008719F3" w:rsidP="008719F3">
      <w:pPr>
        <w:pStyle w:val="Web"/>
        <w:tabs>
          <w:tab w:val="left" w:pos="9072"/>
          <w:tab w:val="left" w:pos="9214"/>
        </w:tabs>
        <w:suppressAutoHyphens/>
        <w:spacing w:before="0" w:beforeAutospacing="0" w:after="200" w:afterAutospacing="0" w:line="276" w:lineRule="auto"/>
        <w:ind w:right="46"/>
        <w:jc w:val="both"/>
        <w:rPr>
          <w:rFonts w:asciiTheme="minorHAnsi" w:eastAsiaTheme="minorHAnsi" w:hAnsiTheme="minorHAnsi" w:cstheme="minorBidi"/>
          <w:sz w:val="22"/>
          <w:szCs w:val="22"/>
          <w:lang w:eastAsia="en-US"/>
        </w:rPr>
      </w:pPr>
      <w:r w:rsidRPr="0076542C">
        <w:rPr>
          <w:rFonts w:asciiTheme="minorHAnsi" w:hAnsiTheme="minorHAnsi"/>
          <w:bCs/>
          <w:sz w:val="22"/>
          <w:szCs w:val="22"/>
        </w:rPr>
        <w:t>(% ετήσιες μεταβολές, σταθερές τιμές)</w:t>
      </w:r>
    </w:p>
    <w:p w:rsidR="00BA462D" w:rsidRPr="00845F5C" w:rsidRDefault="008719F3" w:rsidP="00D22436">
      <w:pPr>
        <w:pStyle w:val="Web"/>
        <w:tabs>
          <w:tab w:val="left" w:pos="9072"/>
          <w:tab w:val="left" w:pos="9214"/>
        </w:tabs>
        <w:suppressAutoHyphens/>
        <w:spacing w:before="0" w:beforeAutospacing="0" w:after="0" w:afterAutospacing="0" w:line="360" w:lineRule="auto"/>
        <w:ind w:right="46"/>
        <w:jc w:val="both"/>
        <w:rPr>
          <w:rFonts w:asciiTheme="minorHAnsi" w:eastAsiaTheme="minorHAnsi" w:hAnsiTheme="minorHAnsi" w:cstheme="minorBidi"/>
          <w:sz w:val="22"/>
          <w:szCs w:val="22"/>
          <w:lang w:eastAsia="en-US"/>
        </w:rPr>
      </w:pPr>
      <w:r w:rsidRPr="008719F3">
        <w:rPr>
          <w:rFonts w:eastAsiaTheme="minorHAnsi"/>
          <w:noProof/>
          <w:szCs w:val="22"/>
        </w:rPr>
        <w:drawing>
          <wp:inline distT="0" distB="0" distL="0" distR="0">
            <wp:extent cx="6479540" cy="2934792"/>
            <wp:effectExtent l="19050" t="0" r="0" b="0"/>
            <wp:docPr id="1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6479540" cy="2934792"/>
                    </a:xfrm>
                    <a:prstGeom prst="rect">
                      <a:avLst/>
                    </a:prstGeom>
                    <a:noFill/>
                    <a:ln w="9525">
                      <a:noFill/>
                      <a:miter lim="800000"/>
                      <a:headEnd/>
                      <a:tailEnd/>
                    </a:ln>
                  </pic:spPr>
                </pic:pic>
              </a:graphicData>
            </a:graphic>
          </wp:inline>
        </w:drawing>
      </w:r>
    </w:p>
    <w:p w:rsidR="00CF389F" w:rsidRPr="00503394" w:rsidRDefault="00CF389F" w:rsidP="00D22436">
      <w:pPr>
        <w:spacing w:after="0"/>
        <w:jc w:val="both"/>
        <w:rPr>
          <w:sz w:val="18"/>
          <w:szCs w:val="18"/>
        </w:rPr>
      </w:pPr>
      <w:r w:rsidRPr="00503394">
        <w:rPr>
          <w:sz w:val="18"/>
          <w:szCs w:val="18"/>
        </w:rPr>
        <w:t>Πηγή: Ετήσιοι Εθνικοί Λογαριασμοί (Ελληνική Στατιστική Αρχή), εκτιμήσεις/προβλέψεις Υπουργείου Οικονομικών.</w:t>
      </w:r>
    </w:p>
    <w:p w:rsidR="00CF389F" w:rsidRPr="00503394" w:rsidRDefault="00CF389F" w:rsidP="00D22436">
      <w:pPr>
        <w:spacing w:after="0"/>
        <w:jc w:val="both"/>
        <w:rPr>
          <w:sz w:val="18"/>
          <w:szCs w:val="18"/>
        </w:rPr>
      </w:pPr>
      <w:r w:rsidRPr="00503394">
        <w:rPr>
          <w:sz w:val="18"/>
          <w:szCs w:val="18"/>
        </w:rPr>
        <w:t xml:space="preserve">*  Σε </w:t>
      </w:r>
      <w:proofErr w:type="spellStart"/>
      <w:r w:rsidRPr="00503394">
        <w:rPr>
          <w:sz w:val="18"/>
          <w:szCs w:val="18"/>
        </w:rPr>
        <w:t>εθνικολογιστική</w:t>
      </w:r>
      <w:proofErr w:type="spellEnd"/>
      <w:r w:rsidRPr="00503394">
        <w:rPr>
          <w:sz w:val="18"/>
          <w:szCs w:val="18"/>
        </w:rPr>
        <w:t xml:space="preserve"> βάση</w:t>
      </w:r>
    </w:p>
    <w:p w:rsidR="00CF389F" w:rsidRPr="00503394" w:rsidRDefault="00CF389F" w:rsidP="00D22436">
      <w:pPr>
        <w:spacing w:after="0"/>
        <w:jc w:val="both"/>
        <w:rPr>
          <w:sz w:val="18"/>
          <w:szCs w:val="18"/>
        </w:rPr>
      </w:pPr>
      <w:r w:rsidRPr="00503394">
        <w:rPr>
          <w:sz w:val="18"/>
          <w:szCs w:val="18"/>
        </w:rPr>
        <w:t>** Εκτιμήσεις/προβλέψεις</w:t>
      </w:r>
    </w:p>
    <w:p w:rsidR="00CF389F" w:rsidRPr="000F6218" w:rsidRDefault="00CF389F" w:rsidP="00CF389F">
      <w:pPr>
        <w:jc w:val="both"/>
      </w:pPr>
    </w:p>
    <w:p w:rsidR="00CF389F" w:rsidRDefault="00CF389F" w:rsidP="00CF389F">
      <w:pPr>
        <w:jc w:val="both"/>
      </w:pPr>
    </w:p>
    <w:p w:rsidR="00A93DA7" w:rsidRPr="00721672" w:rsidRDefault="00213333" w:rsidP="00F635B8">
      <w:pPr>
        <w:spacing w:line="360" w:lineRule="auto"/>
        <w:jc w:val="both"/>
        <w:rPr>
          <w:sz w:val="24"/>
          <w:szCs w:val="24"/>
        </w:rPr>
      </w:pPr>
      <w:r w:rsidRPr="00721672">
        <w:rPr>
          <w:sz w:val="24"/>
          <w:szCs w:val="24"/>
        </w:rPr>
        <w:br w:type="page"/>
      </w:r>
    </w:p>
    <w:p w:rsidR="00A93DA7" w:rsidRPr="00204FB8" w:rsidRDefault="00A62CA0" w:rsidP="00AA248C">
      <w:pPr>
        <w:pStyle w:val="2"/>
        <w:spacing w:before="0" w:after="200"/>
        <w:jc w:val="both"/>
        <w:rPr>
          <w:rFonts w:asciiTheme="minorHAnsi" w:hAnsiTheme="minorHAnsi"/>
          <w:b/>
          <w:sz w:val="24"/>
          <w:szCs w:val="24"/>
        </w:rPr>
      </w:pPr>
      <w:bookmarkStart w:id="5" w:name="_Toc74930185"/>
      <w:r w:rsidRPr="00204FB8">
        <w:rPr>
          <w:rFonts w:asciiTheme="minorHAnsi" w:hAnsiTheme="minorHAnsi"/>
          <w:b/>
          <w:sz w:val="24"/>
          <w:szCs w:val="24"/>
        </w:rPr>
        <w:lastRenderedPageBreak/>
        <w:t>1</w:t>
      </w:r>
      <w:r w:rsidR="00A93DA7" w:rsidRPr="00204FB8">
        <w:rPr>
          <w:rFonts w:asciiTheme="minorHAnsi" w:hAnsiTheme="minorHAnsi"/>
          <w:b/>
          <w:sz w:val="24"/>
          <w:szCs w:val="24"/>
        </w:rPr>
        <w:t xml:space="preserve">.2 </w:t>
      </w:r>
      <w:r w:rsidR="009E6D38" w:rsidRPr="00204FB8">
        <w:rPr>
          <w:rFonts w:asciiTheme="minorHAnsi" w:hAnsiTheme="minorHAnsi"/>
          <w:b/>
          <w:sz w:val="24"/>
          <w:szCs w:val="24"/>
        </w:rPr>
        <w:t>Μακροοικονομικοί και δημοσιονομικοί κίνδυνοι για το ΜΠΔΣ</w:t>
      </w:r>
      <w:bookmarkEnd w:id="5"/>
    </w:p>
    <w:p w:rsidR="00C3295B" w:rsidRPr="00C37D1A" w:rsidRDefault="00C3295B" w:rsidP="00AA248C">
      <w:pPr>
        <w:jc w:val="both"/>
        <w:rPr>
          <w:szCs w:val="24"/>
        </w:rPr>
      </w:pPr>
    </w:p>
    <w:p w:rsidR="009E6D38" w:rsidRPr="00C37D1A" w:rsidRDefault="009E6D38" w:rsidP="00AA248C">
      <w:pPr>
        <w:jc w:val="both"/>
        <w:rPr>
          <w:szCs w:val="24"/>
        </w:rPr>
      </w:pPr>
      <w:r w:rsidRPr="00C37D1A">
        <w:rPr>
          <w:szCs w:val="24"/>
        </w:rPr>
        <w:t xml:space="preserve">Η πανδημία διαμόρφωσε το τελευταίο ενάμισι έτος ένα περιβάλλον μεγάλων αβεβαιοτήτων εντός του οποίου οι μακροοικονομικές προβλέψεις διενεργούνται με μεγάλη επισφάλεια. Οι εξωτερικές μακροοικονομικές υποθέσεις εμφάνισαν σε όλο αυτό το διάστημα υψηλή μεταβλητότητα, ενώ συναρτήθηκαν πρωταρχικά με μη οικονομικούς παράγοντες που </w:t>
      </w:r>
      <w:proofErr w:type="spellStart"/>
      <w:r w:rsidRPr="00C37D1A">
        <w:rPr>
          <w:szCs w:val="24"/>
        </w:rPr>
        <w:t>εκφεύγουν</w:t>
      </w:r>
      <w:proofErr w:type="spellEnd"/>
      <w:r w:rsidRPr="00C37D1A">
        <w:rPr>
          <w:szCs w:val="24"/>
        </w:rPr>
        <w:t xml:space="preserve"> της σφαίρας επιρροής των κυβερνήσεων (εξάρσεις διασποράς του Covid-19,  διαθεσιμότητα εμβολίων).  </w:t>
      </w:r>
    </w:p>
    <w:p w:rsidR="009E6D38" w:rsidRPr="00C37D1A" w:rsidRDefault="009E6D38" w:rsidP="00AA248C">
      <w:pPr>
        <w:jc w:val="both"/>
        <w:rPr>
          <w:szCs w:val="24"/>
        </w:rPr>
      </w:pPr>
      <w:r w:rsidRPr="00C37D1A">
        <w:rPr>
          <w:szCs w:val="24"/>
        </w:rPr>
        <w:t xml:space="preserve">Σήμερα, η υλοποίηση των εμβολιαστικών προγραμμάτων διεθνώς δίνει διέξοδο στην αντιμετώπιση της υγειονομικής κρίσης, και διαμορφώνει ένα λιγότερο ασταθές περιβάλλον για τις οικονομίες και τις κοινωνίες. Ως εκ τούτου, το ισοζύγιο των ευμενών και δυσμενών δυνητικών επιδράσεων στο μακροοικονομικό σενάριο είναι πλέον πιο ισορροπημένο, παρά τη μετατόπισή τους από εξωγενείς σε ενδογενείς και από μη οικονομικής φύσης σε οικονομικής.  </w:t>
      </w:r>
    </w:p>
    <w:p w:rsidR="009E6D38" w:rsidRPr="00C37D1A" w:rsidRDefault="009E6D38" w:rsidP="00AA248C">
      <w:pPr>
        <w:jc w:val="both"/>
        <w:rPr>
          <w:szCs w:val="24"/>
        </w:rPr>
      </w:pPr>
      <w:r w:rsidRPr="00C37D1A">
        <w:rPr>
          <w:szCs w:val="24"/>
        </w:rPr>
        <w:t xml:space="preserve">Οι εξωγενείς κίνδυνοι για τις οικονομικές προοπτικές περιλαμβάνουν, αφενός, μία μεγαλύτερη επιμονή της πανδημίας (μεταλλάξεις, νέα έξαρση), η οποία θα ανέβαλλε εκ νέου την ανάκαμψη προς το 2022 και, αφετέρου, μεγαλύτερες ασυμμετρίες στην ανάκτηση των οικονομικών απωλειών μεταξύ χωρών, σε συνάρτηση με την έκθεση στον τουρισμό. Πέραν αυτών, εξωτερικούς κινδύνους για την ελληνική οικονομία συνεχίζουν να αποτελούν τυχόν διαταραχές της γεωπολιτικής σταθερότητας, του προσφυγικού και μεταναστευτικού ζητήματος, και της υλοποίησης του </w:t>
      </w:r>
      <w:proofErr w:type="spellStart"/>
      <w:r w:rsidRPr="00C37D1A">
        <w:rPr>
          <w:szCs w:val="24"/>
        </w:rPr>
        <w:t>Brexit</w:t>
      </w:r>
      <w:proofErr w:type="spellEnd"/>
      <w:r w:rsidRPr="00C37D1A">
        <w:rPr>
          <w:szCs w:val="24"/>
        </w:rPr>
        <w:t xml:space="preserve">. </w:t>
      </w:r>
    </w:p>
    <w:p w:rsidR="00C850DE" w:rsidRPr="00C37D1A" w:rsidRDefault="00C850DE" w:rsidP="00C850DE">
      <w:pPr>
        <w:jc w:val="both"/>
        <w:rPr>
          <w:szCs w:val="24"/>
        </w:rPr>
      </w:pPr>
      <w:r w:rsidRPr="00C37D1A">
        <w:rPr>
          <w:szCs w:val="24"/>
        </w:rPr>
        <w:t>Από την άλλη πλευρά, ευμενείς εξωτερικές επιδράσεις για το μακροοικονομικό σενάριο θα μπορούσαν να προέλθουν από μία πιο γρήγορη ανάκαμψη του τουριστικού κλάδου, λόγω ταχύτερης βελτίωσης των επιδημιολογικών δεδομένων, και από δυνητικά μόνιμα κέρδη από την ψηφιακή εξοικείωση επιχειρήσεων και νοικοκυριών κατά τη διάρκεια της πανδημίας (</w:t>
      </w:r>
      <w:proofErr w:type="spellStart"/>
      <w:r w:rsidRPr="00C37D1A">
        <w:rPr>
          <w:szCs w:val="24"/>
        </w:rPr>
        <w:t>τηλεκπαίδευση</w:t>
      </w:r>
      <w:proofErr w:type="spellEnd"/>
      <w:r w:rsidRPr="00C37D1A">
        <w:rPr>
          <w:szCs w:val="24"/>
        </w:rPr>
        <w:t>, τηλεργασία</w:t>
      </w:r>
      <w:r>
        <w:rPr>
          <w:szCs w:val="24"/>
        </w:rPr>
        <w:t>, ηλεκτρονικές συναλλαγές</w:t>
      </w:r>
      <w:r w:rsidRPr="00C37D1A">
        <w:rPr>
          <w:szCs w:val="24"/>
        </w:rPr>
        <w:t xml:space="preserve">).   </w:t>
      </w:r>
    </w:p>
    <w:p w:rsidR="00C850DE" w:rsidRPr="00C37D1A" w:rsidRDefault="00C850DE" w:rsidP="00C850DE">
      <w:pPr>
        <w:jc w:val="both"/>
        <w:rPr>
          <w:szCs w:val="24"/>
        </w:rPr>
      </w:pPr>
      <w:r w:rsidRPr="00C37D1A">
        <w:rPr>
          <w:szCs w:val="24"/>
        </w:rPr>
        <w:t xml:space="preserve">Οι ενδογενείς προκλήσεις είναι κυρίως οικονομικές, και συνοψίζονται, βραχυπρόθεσμα, στη στήριξη της ρευστότητας και της αγοράς εργασίας κατά τη μετάβαση στην μετά-Covid19 εποχή ώστε να αποσοβηθούν μόνιμες επιπτώσεις στον παραγωγικό ιστό λόγω της πανδημίας, ενώ παράλληλα θα επιδιώκεται βιώσιμη δημοσιονομική πολιτική προς ρεαλιστικά πρωτογενή πλεονάσματα σε μεσοπρόθεσμο ορίζοντα. Τα ανωτέρω συνδέονται με την πρόκληση να διατηρηθεί αδιασάλευτη η πρόοδος των μεταρρυθμίσεων και η βελτίωση των μακροοικονομικών ανισορροπιών της ελληνικής οικονομίας. Για τον σκοπό αυτό, μέτρα πολιτικής για την αποφυγή μεγάλων ασυμμετριών στην ανάκαμψη μεταξύ κλάδων, διόγκωσης του ιδιωτικού χρέους και των μη εξυπηρετούμενων δανείων λόγω των συνεπειών της πανδημίας, επίπτωσης των μέτρων στήριξης κατά της πανδημίας στο δημόσιο χρέος, αύξησης της μακροχρόνιας ανεργίας, συμπίεσης της απασχόλησης και κάμψης της παραγωγικότητας, αποτελούν προτεραιότητα της οικονομικής πολιτικής. Προς τούτο, την τρέχουσα περίοδο έχει ήδη αρχίσει η υλοποίηση νέων μέτρων που εστιάζουν στην επανεκκίνηση της οικονομίας και στους φορείς οικονομικής δραστηριότητας που αποδεδειγμένα έχουν πληγεί από την κρίση. </w:t>
      </w:r>
    </w:p>
    <w:p w:rsidR="00F77B42" w:rsidRPr="00C37D1A" w:rsidRDefault="00F77B42" w:rsidP="00F77B42">
      <w:pPr>
        <w:jc w:val="both"/>
        <w:rPr>
          <w:szCs w:val="24"/>
        </w:rPr>
      </w:pPr>
      <w:r w:rsidRPr="00C37D1A">
        <w:rPr>
          <w:szCs w:val="24"/>
        </w:rPr>
        <w:t>Στο ίδιο πλαίσιο, πρωτεύουσα σημασία έχει η υλοποίηση του σχεδιασμού του Ταμείου Ανάκαμψης και Ανθεκτικότητας, με την οποία συνδέονται τόσο ευκαιρίες για μεγαλύτερη κινητοποίηση πόρων και δημιουργία τεχνολογικών συνεργειών, όσο και προκλήσεις αναφορικά με τη μεγιστοποίηση απορρόφησης των ροών.</w:t>
      </w:r>
    </w:p>
    <w:p w:rsidR="00C3295B" w:rsidRPr="00C37D1A" w:rsidRDefault="00C3295B" w:rsidP="00AA248C">
      <w:pPr>
        <w:jc w:val="both"/>
        <w:rPr>
          <w:rFonts w:cstheme="minorHAnsi"/>
          <w:szCs w:val="24"/>
        </w:rPr>
      </w:pPr>
    </w:p>
    <w:p w:rsidR="00213333" w:rsidRPr="00C37D1A" w:rsidRDefault="00213333" w:rsidP="00F635B8">
      <w:pPr>
        <w:spacing w:line="360" w:lineRule="auto"/>
        <w:jc w:val="both"/>
        <w:rPr>
          <w:rFonts w:eastAsiaTheme="majorEastAsia" w:cstheme="majorBidi"/>
          <w:b/>
          <w:color w:val="365F91" w:themeColor="accent1" w:themeShade="BF"/>
          <w:szCs w:val="24"/>
        </w:rPr>
      </w:pPr>
      <w:r w:rsidRPr="00C37D1A">
        <w:rPr>
          <w:rFonts w:eastAsiaTheme="majorEastAsia" w:cstheme="majorBidi"/>
          <w:b/>
          <w:color w:val="365F91" w:themeColor="accent1" w:themeShade="BF"/>
          <w:szCs w:val="24"/>
        </w:rPr>
        <w:br w:type="page"/>
      </w:r>
    </w:p>
    <w:p w:rsidR="00A57F3A" w:rsidRPr="00204FB8" w:rsidRDefault="00A62CA0" w:rsidP="003D01AB">
      <w:pPr>
        <w:pStyle w:val="2"/>
        <w:spacing w:before="0" w:after="200"/>
        <w:jc w:val="both"/>
        <w:rPr>
          <w:rFonts w:asciiTheme="minorHAnsi" w:hAnsiTheme="minorHAnsi"/>
          <w:b/>
          <w:sz w:val="24"/>
          <w:szCs w:val="24"/>
        </w:rPr>
      </w:pPr>
      <w:bookmarkStart w:id="6" w:name="_Toc74930186"/>
      <w:r w:rsidRPr="00204FB8">
        <w:rPr>
          <w:rFonts w:asciiTheme="minorHAnsi" w:hAnsiTheme="minorHAnsi"/>
          <w:b/>
          <w:sz w:val="24"/>
          <w:szCs w:val="24"/>
        </w:rPr>
        <w:lastRenderedPageBreak/>
        <w:t>1</w:t>
      </w:r>
      <w:r w:rsidR="007F474A" w:rsidRPr="00204FB8">
        <w:rPr>
          <w:rFonts w:asciiTheme="minorHAnsi" w:hAnsiTheme="minorHAnsi"/>
          <w:b/>
          <w:sz w:val="24"/>
          <w:szCs w:val="24"/>
        </w:rPr>
        <w:t xml:space="preserve">.3 </w:t>
      </w:r>
      <w:r w:rsidR="00C3295B" w:rsidRPr="00204FB8">
        <w:rPr>
          <w:rFonts w:asciiTheme="minorHAnsi" w:hAnsiTheme="minorHAnsi"/>
          <w:b/>
          <w:sz w:val="24"/>
          <w:szCs w:val="24"/>
        </w:rPr>
        <w:t>Δημοσιονομικά απολογιστικά στοιχεία 2019 και 2020</w:t>
      </w:r>
      <w:bookmarkEnd w:id="6"/>
    </w:p>
    <w:p w:rsidR="00C3295B" w:rsidRPr="00C37D1A" w:rsidRDefault="00C3295B" w:rsidP="003D01AB">
      <w:pPr>
        <w:jc w:val="both"/>
        <w:rPr>
          <w:rFonts w:eastAsiaTheme="minorHAnsi" w:cstheme="minorHAnsi"/>
          <w:color w:val="000000"/>
          <w:szCs w:val="24"/>
          <w:lang w:eastAsia="en-US"/>
        </w:rPr>
      </w:pPr>
    </w:p>
    <w:p w:rsidR="003D01AB" w:rsidRPr="003D01AB" w:rsidRDefault="003D01AB" w:rsidP="003D01AB">
      <w:pPr>
        <w:tabs>
          <w:tab w:val="left" w:pos="284"/>
        </w:tabs>
        <w:jc w:val="both"/>
        <w:rPr>
          <w:rFonts w:eastAsia="Calibri" w:cstheme="minorHAnsi"/>
          <w:szCs w:val="24"/>
        </w:rPr>
      </w:pPr>
      <w:r w:rsidRPr="003D01AB">
        <w:rPr>
          <w:rFonts w:eastAsia="Calibri" w:cstheme="minorHAnsi"/>
          <w:szCs w:val="24"/>
        </w:rPr>
        <w:t xml:space="preserve">Το έτος 2020 χαρακτηρίστηκε από την πρωτοφανή υγειονομική κρίση που προκάλεσε το ξέσπασμα της πανδημίας, η οποία είχε σημαντικό αρνητικό αποτύπωμα στα δημοσιονομικά μεγέθη, λόγω αφενός της σημαντικής κάμψης της οικονομικής δραστηριότητας και αφετέρου της έντονα επεκτατικής δημοσιονομικής πολιτικής που ακολουθήθηκε προκειμένου να στηριχθούν τα φυσικά πρόσωπα, οι επιχειρήσεις αλλά και το Εθνικό Σύστημα Υγείας. </w:t>
      </w:r>
    </w:p>
    <w:p w:rsidR="003D01AB" w:rsidRPr="003D01AB" w:rsidRDefault="003D01AB" w:rsidP="003D01AB">
      <w:pPr>
        <w:tabs>
          <w:tab w:val="left" w:pos="284"/>
        </w:tabs>
        <w:jc w:val="both"/>
        <w:rPr>
          <w:rFonts w:eastAsia="Calibri" w:cstheme="minorHAnsi"/>
          <w:szCs w:val="24"/>
        </w:rPr>
      </w:pPr>
      <w:r w:rsidRPr="003D01AB">
        <w:rPr>
          <w:rFonts w:eastAsia="Calibri" w:cstheme="minorHAnsi"/>
          <w:szCs w:val="24"/>
        </w:rPr>
        <w:t xml:space="preserve">Το δημοσιονομικό αποτέλεσμα της γενικής κυβέρνησης του έτους 2020 διαμορφώθηκε στο -9,7% του ΑΕΠ και το πρωτογενές αποτέλεσμα στο -6,7% του ΑΕΠ, στα ίδια περίπου επίπεδα με τις εκτιμήσεις της εισηγητικής έκθεσης του προϋπολογισμού 2021, παρά τις αποκλίσεις των επιμέρους μεγεθών εσόδων και δαπανών. Αντίστοιχα, το πρωτογενές αποτέλεσμα σε όρους ενισχυμένης εποπτείας του 2020 διαμορφώθηκε στο -7,5% του ΑΕΠ.     </w:t>
      </w:r>
    </w:p>
    <w:p w:rsidR="003D01AB" w:rsidRPr="003D01AB" w:rsidRDefault="003D01AB" w:rsidP="003D01AB">
      <w:pPr>
        <w:tabs>
          <w:tab w:val="left" w:pos="284"/>
        </w:tabs>
        <w:jc w:val="both"/>
        <w:rPr>
          <w:rFonts w:eastAsia="Calibri" w:cstheme="minorHAnsi"/>
          <w:szCs w:val="24"/>
        </w:rPr>
      </w:pPr>
      <w:r w:rsidRPr="003D01AB">
        <w:rPr>
          <w:rFonts w:eastAsia="Calibri" w:cstheme="minorHAnsi"/>
          <w:szCs w:val="24"/>
        </w:rPr>
        <w:t xml:space="preserve"> Επισημαίνεται ότι το Συμβούλιο της Ευρώπης αποφάσισε για το έτος 2020 την ενεργοποίηση της γενικής ρήτρας διαφυγής του Συμφώνου Σταθερότητας και Ανάπτυξης. Η ρήτρα αυτή θα παραμείνει ενεργή και τα έτη 2021 και 2022, ενώ αναμένεται να απενεργοποιηθεί το έτος 2023. Η ενεργοποίηση της γενικής ρήτρας διαφυγής επιτρέπει την προσωρινή απόκλιση από την πορεία προσαρμογής προς τον Μεσοπρόθεσμο Δημοσιονομικό Στόχο και παρέχει έτσι στα κράτη-μέλη της Ευρωπαϊκής Ένωσης τη δυνατότητα να λάβουν τα αναγκαία μέτρα για την ανάκαμψη της οικονομικής δραστηριότητας, λαμβάνοντας παράλληλα μέριμνα ώστε να μην υπονομεύεται η βιωσιμότητα των δημόσιων οικονομικών στο μεσοπρόθεσμο διάστημα. Στο πλαίσιο αυτό ανεστάλη και η υποχρέωση για επίτευξη πρωτογενών πλεονασμάτων, σύμφωνα με τους όρους της ενισχυμένης εποπτείας για τα έτη 2020-2022.</w:t>
      </w:r>
    </w:p>
    <w:p w:rsidR="00C3295B" w:rsidRPr="00A264FB" w:rsidRDefault="003D01AB" w:rsidP="003D01AB">
      <w:pPr>
        <w:tabs>
          <w:tab w:val="left" w:pos="284"/>
        </w:tabs>
        <w:jc w:val="both"/>
        <w:rPr>
          <w:rFonts w:eastAsia="Calibri" w:cstheme="minorHAnsi"/>
          <w:szCs w:val="24"/>
        </w:rPr>
      </w:pPr>
      <w:r w:rsidRPr="003D01AB">
        <w:rPr>
          <w:rFonts w:eastAsia="Calibri" w:cstheme="minorHAnsi"/>
          <w:szCs w:val="24"/>
        </w:rPr>
        <w:t xml:space="preserve">Το έτος 2019, βάσει της πρόσφατης ανακοίνωσης της ΕΛΣΤΑΤ (ΔΥΕ Απριλίου 2021), η χώρα πέτυχε σημαντικό δημοσιονομικό και πρωτογενές πλεόνασμα γενικής κυβέρνησης ύψους 1,1% και 4,1% του ΑΕΠ, αντίστοιχα. Τα παραπάνω μεγέθη αναθεωρήθηκαν προς τα κάτω σε σχέση με την προηγούμενη ανακοίνωση του Οκτωβρίου 2020, κατά -0,4%, κυρίως λόγω της στατιστικής αλλαγής της μεθοδολογίας καταγραφής των εσόδων </w:t>
      </w:r>
      <w:proofErr w:type="spellStart"/>
      <w:r w:rsidRPr="003D01AB">
        <w:rPr>
          <w:rFonts w:eastAsia="Calibri" w:cstheme="minorHAnsi"/>
          <w:szCs w:val="24"/>
        </w:rPr>
        <w:t>clawback</w:t>
      </w:r>
      <w:proofErr w:type="spellEnd"/>
      <w:r w:rsidRPr="003D01AB">
        <w:rPr>
          <w:rFonts w:eastAsia="Calibri" w:cstheme="minorHAnsi"/>
          <w:szCs w:val="24"/>
        </w:rPr>
        <w:t xml:space="preserve"> και </w:t>
      </w:r>
      <w:proofErr w:type="spellStart"/>
      <w:r w:rsidRPr="003D01AB">
        <w:rPr>
          <w:rFonts w:eastAsia="Calibri" w:cstheme="minorHAnsi"/>
          <w:szCs w:val="24"/>
        </w:rPr>
        <w:t>rebate</w:t>
      </w:r>
      <w:proofErr w:type="spellEnd"/>
      <w:r w:rsidRPr="003D01AB">
        <w:rPr>
          <w:rFonts w:eastAsia="Calibri" w:cstheme="minorHAnsi"/>
          <w:szCs w:val="24"/>
        </w:rPr>
        <w:t xml:space="preserve"> των νοσοκομείων και του ΕΟΠΥΥ, τα οποία πλέον θα καταγράφονται σε ταμειακή και όχι σε δεδουλευμένη βάση. Ως εκ τούτου, και το πρωτογενές αποτέλεσμα σε όρους ενισχυμένης εποπτείας του 2019 αναθεωρήθηκε προς τα κάτω κατά το ίδιο ποσοστό και διαμορφώθηκε στο 3,2% του ΑΕΠ.     </w:t>
      </w:r>
    </w:p>
    <w:p w:rsidR="00213333" w:rsidRPr="00A8267D" w:rsidRDefault="00B4663D" w:rsidP="00F635B8">
      <w:pPr>
        <w:tabs>
          <w:tab w:val="left" w:pos="284"/>
        </w:tabs>
        <w:spacing w:line="360" w:lineRule="auto"/>
        <w:jc w:val="both"/>
        <w:rPr>
          <w:rFonts w:eastAsia="Calibri" w:cstheme="minorHAnsi"/>
          <w:sz w:val="24"/>
          <w:szCs w:val="24"/>
        </w:rPr>
      </w:pPr>
      <w:r w:rsidRPr="00B4663D">
        <w:rPr>
          <w:noProof/>
          <w:szCs w:val="24"/>
        </w:rPr>
        <w:lastRenderedPageBreak/>
        <w:drawing>
          <wp:inline distT="0" distB="0" distL="0" distR="0">
            <wp:extent cx="6505575" cy="912495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6505380" cy="9124676"/>
                    </a:xfrm>
                    <a:prstGeom prst="rect">
                      <a:avLst/>
                    </a:prstGeom>
                    <a:noFill/>
                    <a:ln w="9525">
                      <a:noFill/>
                      <a:miter lim="800000"/>
                      <a:headEnd/>
                      <a:tailEnd/>
                    </a:ln>
                  </pic:spPr>
                </pic:pic>
              </a:graphicData>
            </a:graphic>
          </wp:inline>
        </w:drawing>
      </w:r>
    </w:p>
    <w:p w:rsidR="00213333" w:rsidRPr="00991EDA" w:rsidRDefault="000E03A1" w:rsidP="00800C14">
      <w:pPr>
        <w:rPr>
          <w:rFonts w:eastAsia="Calibri" w:cstheme="minorHAnsi"/>
          <w:sz w:val="24"/>
          <w:szCs w:val="24"/>
        </w:rPr>
      </w:pPr>
      <w:r w:rsidRPr="000E03A1">
        <w:rPr>
          <w:noProof/>
          <w:szCs w:val="24"/>
        </w:rPr>
        <w:lastRenderedPageBreak/>
        <w:drawing>
          <wp:inline distT="0" distB="0" distL="0" distR="0">
            <wp:extent cx="6479540" cy="8078656"/>
            <wp:effectExtent l="19050" t="0" r="0" b="0"/>
            <wp:docPr id="13"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6479540" cy="8078656"/>
                    </a:xfrm>
                    <a:prstGeom prst="rect">
                      <a:avLst/>
                    </a:prstGeom>
                    <a:noFill/>
                    <a:ln w="9525">
                      <a:noFill/>
                      <a:miter lim="800000"/>
                      <a:headEnd/>
                      <a:tailEnd/>
                    </a:ln>
                  </pic:spPr>
                </pic:pic>
              </a:graphicData>
            </a:graphic>
          </wp:inline>
        </w:drawing>
      </w:r>
      <w:r w:rsidR="00A264FB">
        <w:rPr>
          <w:rFonts w:eastAsia="Calibri" w:cstheme="minorHAnsi"/>
          <w:sz w:val="24"/>
          <w:szCs w:val="24"/>
        </w:rPr>
        <w:br w:type="page"/>
      </w:r>
    </w:p>
    <w:p w:rsidR="00482736" w:rsidRDefault="00A454C1" w:rsidP="00482736">
      <w:pPr>
        <w:rPr>
          <w:lang w:val="en-US"/>
        </w:rPr>
      </w:pPr>
      <w:r w:rsidRPr="00A454C1">
        <w:rPr>
          <w:noProof/>
        </w:rPr>
        <w:lastRenderedPageBreak/>
        <w:drawing>
          <wp:inline distT="0" distB="0" distL="0" distR="0">
            <wp:extent cx="6479540" cy="4828157"/>
            <wp:effectExtent l="19050" t="0" r="0" b="0"/>
            <wp:docPr id="2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479540" cy="4828157"/>
                    </a:xfrm>
                    <a:prstGeom prst="rect">
                      <a:avLst/>
                    </a:prstGeom>
                    <a:noFill/>
                    <a:ln w="9525">
                      <a:noFill/>
                      <a:miter lim="800000"/>
                      <a:headEnd/>
                      <a:tailEnd/>
                    </a:ln>
                  </pic:spPr>
                </pic:pic>
              </a:graphicData>
            </a:graphic>
          </wp:inline>
        </w:drawing>
      </w:r>
    </w:p>
    <w:p w:rsidR="00482736" w:rsidRDefault="00482736" w:rsidP="00482736"/>
    <w:p w:rsidR="00AA29AF" w:rsidRPr="00FC7285" w:rsidRDefault="00397804" w:rsidP="00226AF9">
      <w:pPr>
        <w:pStyle w:val="1"/>
        <w:rPr>
          <w:rFonts w:asciiTheme="minorHAnsi" w:hAnsiTheme="minorHAnsi"/>
          <w:sz w:val="24"/>
          <w:szCs w:val="24"/>
        </w:rPr>
      </w:pPr>
      <w:bookmarkStart w:id="7" w:name="_Toc74930187"/>
      <w:r w:rsidRPr="00FC7285">
        <w:rPr>
          <w:rFonts w:asciiTheme="minorHAnsi" w:hAnsiTheme="minorHAnsi"/>
          <w:sz w:val="24"/>
          <w:szCs w:val="24"/>
        </w:rPr>
        <w:t xml:space="preserve">2. </w:t>
      </w:r>
      <w:r w:rsidR="007262C5" w:rsidRPr="00FC7285">
        <w:rPr>
          <w:rFonts w:asciiTheme="minorHAnsi" w:hAnsiTheme="minorHAnsi"/>
          <w:sz w:val="24"/>
          <w:szCs w:val="24"/>
        </w:rPr>
        <w:t>Μεσοπρόθεσμο  Πλαίσιο Δημοσιονομικής Στρατηγικής 2022-2025</w:t>
      </w:r>
      <w:bookmarkEnd w:id="7"/>
    </w:p>
    <w:p w:rsidR="00197E35" w:rsidRPr="00EE62F0" w:rsidRDefault="00197E35" w:rsidP="00197E35"/>
    <w:p w:rsidR="0004523E" w:rsidRPr="00FC7285" w:rsidRDefault="00A62CA0" w:rsidP="008F130E">
      <w:pPr>
        <w:pStyle w:val="2"/>
        <w:spacing w:before="0" w:after="200"/>
        <w:jc w:val="both"/>
        <w:rPr>
          <w:rFonts w:asciiTheme="minorHAnsi" w:hAnsiTheme="minorHAnsi"/>
          <w:b/>
          <w:sz w:val="24"/>
          <w:szCs w:val="24"/>
        </w:rPr>
      </w:pPr>
      <w:bookmarkStart w:id="8" w:name="_Toc74930188"/>
      <w:r w:rsidRPr="00FC7285">
        <w:rPr>
          <w:rFonts w:asciiTheme="minorHAnsi" w:eastAsia="Calibri" w:hAnsiTheme="minorHAnsi"/>
          <w:b/>
          <w:sz w:val="24"/>
          <w:szCs w:val="24"/>
        </w:rPr>
        <w:t>2</w:t>
      </w:r>
      <w:r w:rsidR="0004523E" w:rsidRPr="00FC7285">
        <w:rPr>
          <w:rFonts w:asciiTheme="minorHAnsi" w:eastAsia="Calibri" w:hAnsiTheme="minorHAnsi"/>
          <w:b/>
          <w:sz w:val="24"/>
          <w:szCs w:val="24"/>
        </w:rPr>
        <w:t>.</w:t>
      </w:r>
      <w:r w:rsidR="0004523E" w:rsidRPr="00FC7285">
        <w:rPr>
          <w:rFonts w:asciiTheme="minorHAnsi" w:hAnsiTheme="minorHAnsi"/>
          <w:b/>
          <w:sz w:val="24"/>
          <w:szCs w:val="24"/>
        </w:rPr>
        <w:t xml:space="preserve">1 </w:t>
      </w:r>
      <w:r w:rsidR="001B70FD" w:rsidRPr="00FC7285">
        <w:rPr>
          <w:rFonts w:asciiTheme="minorHAnsi" w:hAnsiTheme="minorHAnsi"/>
          <w:b/>
          <w:sz w:val="24"/>
          <w:szCs w:val="24"/>
        </w:rPr>
        <w:t>Δημοσιονομικές εκτιμήσεις ΜΠΔΣ 2022-2025</w:t>
      </w:r>
      <w:bookmarkEnd w:id="8"/>
    </w:p>
    <w:p w:rsidR="004E0AFA" w:rsidRDefault="004E0AFA" w:rsidP="004E0AFA">
      <w:pPr>
        <w:jc w:val="both"/>
      </w:pPr>
      <w:r w:rsidRPr="00284612">
        <w:t xml:space="preserve">Το Μεσοπρόθεσμο Πλαίσιο Δημοσιονομικής Στρατηγικής 2022-2025 απεικονίζεται στον </w:t>
      </w:r>
      <w:r>
        <w:t>Π</w:t>
      </w:r>
      <w:r w:rsidRPr="00284612">
        <w:t xml:space="preserve">ίνακα 5 και παρουσιάζει τις προβλέψεις για την εξέλιξη των δημοσιονομικών μεγεθών στην περίοδο αυτή. Δεδομένου ότι οι δημοσιονομικές παρεμβάσεις που περιλαμβάνονται στο ΜΠΔΣ 2022-2025 </w:t>
      </w:r>
      <w:r w:rsidR="00497DBC">
        <w:t xml:space="preserve">αφορούν παρεμβάσεις που </w:t>
      </w:r>
      <w:r w:rsidRPr="00284612">
        <w:t xml:space="preserve">έχουν ήδη θεσμοθετηθεί, δεν υπάρχει διάκριση μεταξύ «βασικού» και «μετά μέτρων» σεναρίου και τα μεγέθη του παρακάτω πίνακα των ετών 2021-2025 περιλαμβάνουν τις </w:t>
      </w:r>
      <w:proofErr w:type="spellStart"/>
      <w:r w:rsidRPr="00284612">
        <w:t>επικαιροποιημένες</w:t>
      </w:r>
      <w:proofErr w:type="spellEnd"/>
      <w:r w:rsidRPr="00284612">
        <w:t xml:space="preserve"> αποδόσεις των παρεμβάσεων που παρουσιάζονται στο κεφάλαιο </w:t>
      </w:r>
      <w:r w:rsidRPr="00637C54">
        <w:t>2.5.</w:t>
      </w:r>
    </w:p>
    <w:p w:rsidR="0089496F" w:rsidRDefault="00630E7C">
      <w:r w:rsidRPr="00630E7C">
        <w:rPr>
          <w:noProof/>
        </w:rPr>
        <w:lastRenderedPageBreak/>
        <w:drawing>
          <wp:inline distT="0" distB="0" distL="0" distR="0">
            <wp:extent cx="6479540" cy="8660117"/>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6479540" cy="8660117"/>
                    </a:xfrm>
                    <a:prstGeom prst="rect">
                      <a:avLst/>
                    </a:prstGeom>
                    <a:noFill/>
                    <a:ln w="9525">
                      <a:noFill/>
                      <a:miter lim="800000"/>
                      <a:headEnd/>
                      <a:tailEnd/>
                    </a:ln>
                  </pic:spPr>
                </pic:pic>
              </a:graphicData>
            </a:graphic>
          </wp:inline>
        </w:drawing>
      </w:r>
    </w:p>
    <w:p w:rsidR="002123AF" w:rsidRPr="0089496F" w:rsidRDefault="002123AF" w:rsidP="00AA248C">
      <w:pPr>
        <w:jc w:val="both"/>
      </w:pPr>
    </w:p>
    <w:p w:rsidR="00A64E0A" w:rsidRPr="004553EE" w:rsidRDefault="004553EE">
      <w:pPr>
        <w:rPr>
          <w:noProof/>
        </w:rPr>
      </w:pPr>
      <w:r w:rsidRPr="004553EE">
        <w:rPr>
          <w:rFonts w:eastAsia="Calibri"/>
          <w:b/>
        </w:rPr>
        <w:lastRenderedPageBreak/>
        <w:t xml:space="preserve"> </w:t>
      </w:r>
      <w:r w:rsidR="006B3C39" w:rsidRPr="006B3C39">
        <w:rPr>
          <w:noProof/>
        </w:rPr>
        <w:drawing>
          <wp:inline distT="0" distB="0" distL="0" distR="0">
            <wp:extent cx="6480000" cy="7940541"/>
            <wp:effectExtent l="19050" t="0" r="0" b="0"/>
            <wp:docPr id="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6480000" cy="7940541"/>
                    </a:xfrm>
                    <a:prstGeom prst="rect">
                      <a:avLst/>
                    </a:prstGeom>
                    <a:noFill/>
                    <a:ln w="9525">
                      <a:noFill/>
                      <a:miter lim="800000"/>
                      <a:headEnd/>
                      <a:tailEnd/>
                    </a:ln>
                  </pic:spPr>
                </pic:pic>
              </a:graphicData>
            </a:graphic>
          </wp:inline>
        </w:drawing>
      </w:r>
      <w:r w:rsidR="00233D90" w:rsidRPr="00C37D1A">
        <w:rPr>
          <w:rFonts w:eastAsia="Calibri"/>
          <w:b/>
        </w:rPr>
        <w:br w:type="page"/>
      </w:r>
    </w:p>
    <w:p w:rsidR="00A64E0A" w:rsidRPr="00A64E0A" w:rsidRDefault="00F85E41" w:rsidP="00A64E0A">
      <w:pPr>
        <w:rPr>
          <w:rFonts w:eastAsia="Calibri"/>
          <w:b/>
          <w:lang w:val="en-US"/>
        </w:rPr>
      </w:pPr>
      <w:r w:rsidRPr="00F85E41">
        <w:rPr>
          <w:noProof/>
        </w:rPr>
        <w:lastRenderedPageBreak/>
        <w:drawing>
          <wp:inline distT="0" distB="0" distL="0" distR="0">
            <wp:extent cx="6479540" cy="4305216"/>
            <wp:effectExtent l="19050" t="0" r="0" b="0"/>
            <wp:docPr id="5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6479540" cy="4305216"/>
                    </a:xfrm>
                    <a:prstGeom prst="rect">
                      <a:avLst/>
                    </a:prstGeom>
                    <a:noFill/>
                    <a:ln w="9525">
                      <a:noFill/>
                      <a:miter lim="800000"/>
                      <a:headEnd/>
                      <a:tailEnd/>
                    </a:ln>
                  </pic:spPr>
                </pic:pic>
              </a:graphicData>
            </a:graphic>
          </wp:inline>
        </w:drawing>
      </w:r>
    </w:p>
    <w:p w:rsidR="002A1564" w:rsidRDefault="002A1564" w:rsidP="008D0319">
      <w:pPr>
        <w:jc w:val="both"/>
        <w:rPr>
          <w:rFonts w:eastAsia="Calibri"/>
          <w:lang w:val="en-US"/>
        </w:rPr>
      </w:pPr>
    </w:p>
    <w:p w:rsidR="008D0319" w:rsidRPr="008D0319" w:rsidRDefault="008D0319" w:rsidP="008D0319">
      <w:pPr>
        <w:jc w:val="both"/>
        <w:rPr>
          <w:rFonts w:eastAsia="Calibri"/>
        </w:rPr>
      </w:pPr>
      <w:r w:rsidRPr="008D0319">
        <w:rPr>
          <w:rFonts w:eastAsia="Calibri"/>
        </w:rPr>
        <w:t>Όπως προκύπτει από τον παραπάνω πίνακα, το έτος 2021 ο δημοσιονομικός προσανατολισμός θα εξακολουθήσει να είναι επεκτατικός, λόγω της παράτασης της εφαρμογής των έκτακτων δημοσιονομικών μέτρων που υιοθετήθηκαν από την ελληνική κυβέρνηση το έτος 2020, καθώς και τη λήψη νέων μέτρων για τη στήριξη της ελληνικής οικονομίας και κοινωνίας. Ως εκ τούτου, το δημοσιονομικό αποτέλεσμα εκτιμάται ότι θα διαμορφωθεί σε έλλειμμα ύψους -</w:t>
      </w:r>
      <w:r w:rsidR="002A38F0">
        <w:rPr>
          <w:rFonts w:eastAsia="Calibri"/>
        </w:rPr>
        <w:t>9</w:t>
      </w:r>
      <w:r w:rsidRPr="008D0319">
        <w:rPr>
          <w:rFonts w:eastAsia="Calibri"/>
        </w:rPr>
        <w:t>,</w:t>
      </w:r>
      <w:r w:rsidR="002A38F0">
        <w:rPr>
          <w:rFonts w:eastAsia="Calibri"/>
        </w:rPr>
        <w:t>9</w:t>
      </w:r>
      <w:r w:rsidRPr="008D0319">
        <w:rPr>
          <w:rFonts w:eastAsia="Calibri"/>
        </w:rPr>
        <w:t>% του ΑΕΠ.</w:t>
      </w:r>
    </w:p>
    <w:p w:rsidR="00A64E0A" w:rsidRPr="00720631" w:rsidRDefault="008D0319" w:rsidP="008D0319">
      <w:pPr>
        <w:jc w:val="both"/>
        <w:rPr>
          <w:rFonts w:eastAsia="Calibri"/>
        </w:rPr>
      </w:pPr>
      <w:r w:rsidRPr="008D0319">
        <w:rPr>
          <w:rFonts w:eastAsia="Calibri"/>
        </w:rPr>
        <w:t>Το έτος 2022, η προβλεπόμενη περαιτέρω ανάκαμψη της οικονομικής δραστηριότητας και η σημαντική αποκλιμάκωση των μέτρων αντιμετώπισης των συνεπειών της πανδημίας αναμένεται να οδηγήσει σε σημαντική βελτίωση των δημοσιονομικών επιδόσεων της γενικής κυβέρνησης. Ειδικότερα, το δημοσιονομικό αποτέλεσμα αναμένεται να διαμορφωθεί στο -3</w:t>
      </w:r>
      <w:r w:rsidR="002A38F0">
        <w:rPr>
          <w:rFonts w:eastAsia="Calibri"/>
        </w:rPr>
        <w:t>,1</w:t>
      </w:r>
      <w:r w:rsidRPr="008D0319">
        <w:rPr>
          <w:rFonts w:eastAsia="Calibri"/>
        </w:rPr>
        <w:t>% του ΑΕΠ και το πρωτογενές αποτέλεσμα θα ανέλθει  σε έλλειμμα ύψους 0,5% του ΑΕΠ.</w:t>
      </w:r>
    </w:p>
    <w:p w:rsidR="00A64E0A" w:rsidRPr="00720631" w:rsidRDefault="00A64E0A" w:rsidP="00A64E0A">
      <w:pPr>
        <w:jc w:val="both"/>
        <w:rPr>
          <w:rFonts w:eastAsia="Calibri"/>
        </w:rPr>
      </w:pPr>
    </w:p>
    <w:p w:rsidR="00A64E0A" w:rsidRPr="00720631" w:rsidRDefault="00A64E0A" w:rsidP="00A64E0A">
      <w:pPr>
        <w:jc w:val="both"/>
        <w:rPr>
          <w:rFonts w:eastAsia="Calibri"/>
        </w:rPr>
      </w:pPr>
    </w:p>
    <w:p w:rsidR="00A64E0A" w:rsidRDefault="00A64E0A" w:rsidP="00A64E0A">
      <w:pPr>
        <w:jc w:val="both"/>
        <w:rPr>
          <w:rFonts w:eastAsia="Calibri"/>
        </w:rPr>
      </w:pPr>
    </w:p>
    <w:p w:rsidR="007B25BB" w:rsidRPr="008F2160" w:rsidRDefault="007B25BB" w:rsidP="00A64E0A">
      <w:pPr>
        <w:jc w:val="both"/>
        <w:rPr>
          <w:rFonts w:eastAsia="Calibri"/>
        </w:rPr>
      </w:pPr>
    </w:p>
    <w:p w:rsidR="00482736" w:rsidRPr="008F2160" w:rsidRDefault="00482736" w:rsidP="00A64E0A">
      <w:pPr>
        <w:jc w:val="both"/>
        <w:rPr>
          <w:rFonts w:eastAsia="Calibri"/>
        </w:rPr>
      </w:pPr>
    </w:p>
    <w:p w:rsidR="00482736" w:rsidRPr="008F2160" w:rsidRDefault="00482736" w:rsidP="00A64E0A">
      <w:pPr>
        <w:jc w:val="both"/>
        <w:rPr>
          <w:rFonts w:eastAsia="Calibri"/>
        </w:rPr>
      </w:pPr>
    </w:p>
    <w:p w:rsidR="00482736" w:rsidRPr="008F2160" w:rsidRDefault="00482736" w:rsidP="00A64E0A">
      <w:pPr>
        <w:jc w:val="both"/>
        <w:rPr>
          <w:rFonts w:eastAsia="Calibri"/>
        </w:rPr>
      </w:pPr>
    </w:p>
    <w:p w:rsidR="00A64E0A" w:rsidRPr="001A28DB" w:rsidRDefault="00A64E0A" w:rsidP="00A64E0A">
      <w:pPr>
        <w:jc w:val="both"/>
        <w:rPr>
          <w:rFonts w:eastAsia="Calibri"/>
        </w:rPr>
      </w:pPr>
      <w:r w:rsidRPr="007B25BB">
        <w:rPr>
          <w:rFonts w:eastAsia="Calibri"/>
          <w:b/>
        </w:rPr>
        <w:lastRenderedPageBreak/>
        <w:t xml:space="preserve">Διάγραμμα </w:t>
      </w:r>
      <w:r w:rsidR="007B25BB" w:rsidRPr="007B25BB">
        <w:rPr>
          <w:rFonts w:eastAsia="Calibri"/>
          <w:b/>
        </w:rPr>
        <w:t>8</w:t>
      </w:r>
      <w:r w:rsidR="003A3257" w:rsidRPr="00197E35">
        <w:rPr>
          <w:rFonts w:eastAsia="Calibri"/>
          <w:b/>
        </w:rPr>
        <w:t>:</w:t>
      </w:r>
      <w:r w:rsidRPr="007B25BB">
        <w:rPr>
          <w:rFonts w:eastAsia="Calibri"/>
          <w:b/>
        </w:rPr>
        <w:t xml:space="preserve"> Αποτέλεσμα Γενικής Κυβέρνησης κατά ESA, Ενοποιημένοι Τόκοι και Πρωτογενές Αποτέλεσμα</w:t>
      </w:r>
      <w:r w:rsidRPr="00A64E0A">
        <w:rPr>
          <w:rFonts w:eastAsia="Calibri"/>
        </w:rPr>
        <w:t xml:space="preserve"> (ως % του ΑΕΠ).</w:t>
      </w:r>
    </w:p>
    <w:p w:rsidR="00B95DDC" w:rsidRDefault="00B95DDC" w:rsidP="00A64E0A">
      <w:pPr>
        <w:jc w:val="both"/>
        <w:rPr>
          <w:rFonts w:eastAsia="Calibri"/>
          <w:lang w:val="en-US"/>
        </w:rPr>
      </w:pPr>
      <w:r w:rsidRPr="00B95DDC">
        <w:rPr>
          <w:rFonts w:eastAsia="Calibri"/>
          <w:noProof/>
        </w:rPr>
        <w:drawing>
          <wp:inline distT="0" distB="0" distL="0" distR="0">
            <wp:extent cx="6323228" cy="3233318"/>
            <wp:effectExtent l="19050" t="0" r="20422" b="5182"/>
            <wp:docPr id="42" name="Γράφημ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64E0A" w:rsidRPr="00720631" w:rsidRDefault="00330A51" w:rsidP="00A64E0A">
      <w:pPr>
        <w:jc w:val="both"/>
        <w:rPr>
          <w:sz w:val="16"/>
          <w:szCs w:val="16"/>
        </w:rPr>
      </w:pPr>
      <w:r w:rsidRPr="001A28DB">
        <w:rPr>
          <w:sz w:val="16"/>
          <w:szCs w:val="16"/>
        </w:rPr>
        <w:t>*</w:t>
      </w:r>
      <w:r w:rsidR="00A64E0A" w:rsidRPr="007B4E76">
        <w:rPr>
          <w:sz w:val="16"/>
          <w:szCs w:val="16"/>
        </w:rPr>
        <w:t>Προβλέψεις</w:t>
      </w:r>
    </w:p>
    <w:p w:rsidR="00A64E0A" w:rsidRPr="008F2160" w:rsidRDefault="00A64E0A" w:rsidP="00A64E0A">
      <w:pPr>
        <w:spacing w:line="240" w:lineRule="auto"/>
        <w:jc w:val="both"/>
        <w:rPr>
          <w:rFonts w:eastAsia="Calibri"/>
        </w:rPr>
      </w:pPr>
    </w:p>
    <w:p w:rsidR="008E256B" w:rsidRPr="00482736" w:rsidRDefault="008E256B" w:rsidP="008E256B">
      <w:pPr>
        <w:jc w:val="both"/>
        <w:rPr>
          <w:rFonts w:eastAsia="Calibri"/>
        </w:rPr>
      </w:pPr>
      <w:r w:rsidRPr="00482736">
        <w:rPr>
          <w:rFonts w:eastAsia="Calibri"/>
        </w:rPr>
        <w:t xml:space="preserve">Τα επόμενα έτη που καλύπτει το ΜΠΔΣ, ήτοι τα έτη 2023, 2024 και 2025, προβλέπονται πρωτογενή πλεονάσματα καθ’ όλη την περίοδο αναφοράς, λόγω της επικράτησης βελτιωμένων μακροοικονομικών συνθηκών και της πλήρους άρσης των έκτακτων δημοσιονομικών μέτρων που θεσπίστηκαν για την αντιμετώπιση του </w:t>
      </w:r>
      <w:proofErr w:type="spellStart"/>
      <w:r w:rsidRPr="00482736">
        <w:rPr>
          <w:rFonts w:eastAsia="Calibri"/>
        </w:rPr>
        <w:t>κορωνοϊού</w:t>
      </w:r>
      <w:proofErr w:type="spellEnd"/>
      <w:r w:rsidRPr="00482736">
        <w:rPr>
          <w:rFonts w:eastAsia="Calibri"/>
        </w:rPr>
        <w:t>. Τα δύο τελευταία έτη της προγραμματικής περιόδου, προβλέπονται μάλιστα πλεονασματικοί προϋπολογισμοί σε επίπεδο Γενικής Κυβέρνησης, με το αποτέλεσμα του έτους 2025 να αναμένεται να ανέλθει σε πλεόνασμα ύψους 1,</w:t>
      </w:r>
      <w:r>
        <w:rPr>
          <w:rFonts w:eastAsia="Calibri"/>
        </w:rPr>
        <w:t>4</w:t>
      </w:r>
      <w:r w:rsidRPr="00482736">
        <w:rPr>
          <w:rFonts w:eastAsia="Calibri"/>
        </w:rPr>
        <w:t>% του ΑΕΠ.</w:t>
      </w:r>
    </w:p>
    <w:p w:rsidR="008E256B" w:rsidRPr="008F2160" w:rsidRDefault="008E256B" w:rsidP="008E256B">
      <w:pPr>
        <w:jc w:val="both"/>
        <w:rPr>
          <w:rFonts w:eastAsia="Calibri"/>
        </w:rPr>
      </w:pPr>
      <w:r w:rsidRPr="00482736">
        <w:rPr>
          <w:rFonts w:eastAsia="Calibri"/>
        </w:rPr>
        <w:t>Σε διαρθρωτικό επίπεδο, το ισοζύγιο κινείται σε θετικό έδαφος ήδη από το 2023, παρουσιάζοντας πλεόνασμα ύψους 1% του ΑΕΠ, το οποίο αυξάνεται σε 1,3% και 1</w:t>
      </w:r>
      <w:r>
        <w:rPr>
          <w:rFonts w:eastAsia="Calibri"/>
        </w:rPr>
        <w:t>,4</w:t>
      </w:r>
      <w:r w:rsidRPr="00482736">
        <w:rPr>
          <w:rFonts w:eastAsia="Calibri"/>
        </w:rPr>
        <w:t>% του ΑΕΠ τα έτη 2024 και 2025, αντίστοιχα.</w:t>
      </w:r>
    </w:p>
    <w:p w:rsidR="00482736" w:rsidRPr="008F2160" w:rsidRDefault="00482736" w:rsidP="00482736">
      <w:pPr>
        <w:spacing w:line="240" w:lineRule="auto"/>
        <w:jc w:val="both"/>
        <w:rPr>
          <w:rFonts w:eastAsia="Calibri"/>
        </w:rPr>
      </w:pPr>
    </w:p>
    <w:tbl>
      <w:tblPr>
        <w:tblW w:w="9501" w:type="dxa"/>
        <w:tblInd w:w="96" w:type="dxa"/>
        <w:tblLook w:val="04A0"/>
      </w:tblPr>
      <w:tblGrid>
        <w:gridCol w:w="5214"/>
        <w:gridCol w:w="727"/>
        <w:gridCol w:w="712"/>
        <w:gridCol w:w="712"/>
        <w:gridCol w:w="712"/>
        <w:gridCol w:w="712"/>
        <w:gridCol w:w="712"/>
      </w:tblGrid>
      <w:tr w:rsidR="004623C0" w:rsidRPr="004623C0" w:rsidTr="004623C0">
        <w:trPr>
          <w:trHeight w:val="810"/>
        </w:trPr>
        <w:tc>
          <w:tcPr>
            <w:tcW w:w="9501" w:type="dxa"/>
            <w:gridSpan w:val="7"/>
            <w:tcBorders>
              <w:top w:val="single" w:sz="8" w:space="0" w:color="auto"/>
              <w:left w:val="single" w:sz="8" w:space="0" w:color="auto"/>
              <w:bottom w:val="nil"/>
              <w:right w:val="single" w:sz="8" w:space="0" w:color="000000"/>
            </w:tcBorders>
            <w:shd w:val="clear" w:color="000000" w:fill="5A5A5A"/>
            <w:noWrap/>
            <w:vAlign w:val="center"/>
            <w:hideMark/>
          </w:tcPr>
          <w:p w:rsidR="004623C0" w:rsidRPr="004623C0" w:rsidRDefault="004623C0" w:rsidP="004623C0">
            <w:pPr>
              <w:spacing w:after="0" w:line="240" w:lineRule="auto"/>
              <w:jc w:val="center"/>
              <w:rPr>
                <w:rFonts w:ascii="Calibri" w:eastAsia="Times New Roman" w:hAnsi="Calibri" w:cs="Times New Roman"/>
                <w:b/>
                <w:bCs/>
                <w:color w:val="FFFFFF"/>
              </w:rPr>
            </w:pPr>
            <w:r w:rsidRPr="004623C0">
              <w:rPr>
                <w:rFonts w:ascii="Calibri" w:eastAsia="Times New Roman" w:hAnsi="Calibri" w:cs="Times New Roman"/>
                <w:b/>
                <w:bCs/>
                <w:color w:val="FFFFFF"/>
              </w:rPr>
              <w:t>Πίνακας 7  Εξέλιξη διαρθρωτικού αποτελέσματος</w:t>
            </w:r>
          </w:p>
        </w:tc>
      </w:tr>
      <w:tr w:rsidR="004623C0" w:rsidRPr="004623C0" w:rsidTr="004623C0">
        <w:trPr>
          <w:trHeight w:val="300"/>
        </w:trPr>
        <w:tc>
          <w:tcPr>
            <w:tcW w:w="5214" w:type="dxa"/>
            <w:tcBorders>
              <w:top w:val="nil"/>
              <w:left w:val="single" w:sz="8" w:space="0" w:color="auto"/>
              <w:bottom w:val="nil"/>
              <w:right w:val="nil"/>
            </w:tcBorders>
            <w:shd w:val="clear" w:color="000000" w:fill="D8D8D8"/>
            <w:noWrap/>
            <w:vAlign w:val="bottom"/>
            <w:hideMark/>
          </w:tcPr>
          <w:p w:rsidR="004623C0" w:rsidRPr="004623C0" w:rsidRDefault="004623C0" w:rsidP="004623C0">
            <w:pPr>
              <w:spacing w:after="0" w:line="240" w:lineRule="auto"/>
              <w:rPr>
                <w:rFonts w:ascii="Calibri" w:eastAsia="Times New Roman" w:hAnsi="Calibri" w:cs="Times New Roman"/>
                <w:b/>
                <w:bCs/>
                <w:color w:val="000000"/>
              </w:rPr>
            </w:pPr>
            <w:r w:rsidRPr="004623C0">
              <w:rPr>
                <w:rFonts w:ascii="Calibri" w:eastAsia="Times New Roman" w:hAnsi="Calibri" w:cs="Times New Roman"/>
                <w:b/>
                <w:bCs/>
                <w:color w:val="000000"/>
              </w:rPr>
              <w:t>(%)</w:t>
            </w:r>
          </w:p>
        </w:tc>
        <w:tc>
          <w:tcPr>
            <w:tcW w:w="727" w:type="dxa"/>
            <w:tcBorders>
              <w:top w:val="nil"/>
              <w:left w:val="nil"/>
              <w:bottom w:val="nil"/>
              <w:right w:val="nil"/>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2020</w:t>
            </w:r>
          </w:p>
        </w:tc>
        <w:tc>
          <w:tcPr>
            <w:tcW w:w="712" w:type="dxa"/>
            <w:tcBorders>
              <w:top w:val="nil"/>
              <w:left w:val="nil"/>
              <w:bottom w:val="nil"/>
              <w:right w:val="nil"/>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2021</w:t>
            </w:r>
          </w:p>
        </w:tc>
        <w:tc>
          <w:tcPr>
            <w:tcW w:w="712" w:type="dxa"/>
            <w:tcBorders>
              <w:top w:val="nil"/>
              <w:left w:val="nil"/>
              <w:bottom w:val="nil"/>
              <w:right w:val="nil"/>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2022</w:t>
            </w:r>
          </w:p>
        </w:tc>
        <w:tc>
          <w:tcPr>
            <w:tcW w:w="712" w:type="dxa"/>
            <w:tcBorders>
              <w:top w:val="nil"/>
              <w:left w:val="nil"/>
              <w:bottom w:val="nil"/>
              <w:right w:val="nil"/>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2023</w:t>
            </w:r>
          </w:p>
        </w:tc>
        <w:tc>
          <w:tcPr>
            <w:tcW w:w="712" w:type="dxa"/>
            <w:tcBorders>
              <w:top w:val="nil"/>
              <w:left w:val="nil"/>
              <w:bottom w:val="nil"/>
              <w:right w:val="nil"/>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2024</w:t>
            </w:r>
          </w:p>
        </w:tc>
        <w:tc>
          <w:tcPr>
            <w:tcW w:w="712" w:type="dxa"/>
            <w:tcBorders>
              <w:top w:val="nil"/>
              <w:left w:val="nil"/>
              <w:bottom w:val="nil"/>
              <w:right w:val="single" w:sz="8" w:space="0" w:color="auto"/>
            </w:tcBorders>
            <w:shd w:val="clear" w:color="000000" w:fill="D8D8D8"/>
            <w:noWrap/>
            <w:vAlign w:val="bottom"/>
            <w:hideMark/>
          </w:tcPr>
          <w:p w:rsidR="004623C0" w:rsidRPr="004623C0" w:rsidRDefault="004623C0" w:rsidP="004623C0">
            <w:pPr>
              <w:spacing w:after="0" w:line="240" w:lineRule="auto"/>
              <w:jc w:val="center"/>
              <w:rPr>
                <w:rFonts w:ascii="Calibri" w:eastAsia="Times New Roman" w:hAnsi="Calibri" w:cs="Times New Roman"/>
                <w:b/>
                <w:bCs/>
                <w:color w:val="000000"/>
              </w:rPr>
            </w:pPr>
            <w:r w:rsidRPr="004623C0">
              <w:rPr>
                <w:rFonts w:ascii="Calibri" w:eastAsia="Times New Roman" w:hAnsi="Calibri" w:cs="Times New Roman"/>
                <w:b/>
                <w:bCs/>
                <w:color w:val="000000"/>
              </w:rPr>
              <w:t>2025</w:t>
            </w:r>
          </w:p>
        </w:tc>
      </w:tr>
      <w:tr w:rsidR="004623C0" w:rsidRPr="004623C0" w:rsidTr="004623C0">
        <w:trPr>
          <w:trHeight w:val="300"/>
        </w:trPr>
        <w:tc>
          <w:tcPr>
            <w:tcW w:w="5214" w:type="dxa"/>
            <w:tcBorders>
              <w:top w:val="nil"/>
              <w:left w:val="single" w:sz="8" w:space="0" w:color="auto"/>
              <w:bottom w:val="nil"/>
              <w:right w:val="nil"/>
            </w:tcBorders>
            <w:shd w:val="clear" w:color="auto" w:fill="auto"/>
            <w:noWrap/>
            <w:vAlign w:val="bottom"/>
            <w:hideMark/>
          </w:tcPr>
          <w:p w:rsidR="004623C0" w:rsidRPr="004623C0" w:rsidRDefault="004623C0" w:rsidP="004623C0">
            <w:pPr>
              <w:spacing w:after="0" w:line="240" w:lineRule="auto"/>
              <w:rPr>
                <w:rFonts w:ascii="Calibri" w:eastAsia="Times New Roman" w:hAnsi="Calibri" w:cs="Times New Roman"/>
                <w:color w:val="000000"/>
              </w:rPr>
            </w:pPr>
            <w:r w:rsidRPr="004623C0">
              <w:rPr>
                <w:rFonts w:ascii="Calibri" w:eastAsia="Times New Roman" w:hAnsi="Calibri" w:cs="Times New Roman"/>
                <w:color w:val="000000"/>
              </w:rPr>
              <w:t>ΑΕΠ σε σταθερές τιμές</w:t>
            </w:r>
          </w:p>
        </w:tc>
        <w:tc>
          <w:tcPr>
            <w:tcW w:w="727"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-8,2</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3,6</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6,2</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4,1</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4,4</w:t>
            </w:r>
          </w:p>
        </w:tc>
        <w:tc>
          <w:tcPr>
            <w:tcW w:w="712" w:type="dxa"/>
            <w:tcBorders>
              <w:top w:val="nil"/>
              <w:left w:val="nil"/>
              <w:bottom w:val="nil"/>
              <w:right w:val="single" w:sz="8" w:space="0" w:color="auto"/>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3,3</w:t>
            </w:r>
          </w:p>
        </w:tc>
      </w:tr>
      <w:tr w:rsidR="004623C0" w:rsidRPr="004623C0" w:rsidTr="004623C0">
        <w:trPr>
          <w:trHeight w:val="300"/>
        </w:trPr>
        <w:tc>
          <w:tcPr>
            <w:tcW w:w="5214" w:type="dxa"/>
            <w:tcBorders>
              <w:top w:val="nil"/>
              <w:left w:val="single" w:sz="8" w:space="0" w:color="auto"/>
              <w:bottom w:val="nil"/>
              <w:right w:val="nil"/>
            </w:tcBorders>
            <w:shd w:val="clear" w:color="auto" w:fill="auto"/>
            <w:noWrap/>
            <w:vAlign w:val="bottom"/>
            <w:hideMark/>
          </w:tcPr>
          <w:p w:rsidR="004623C0" w:rsidRPr="004623C0" w:rsidRDefault="004623C0" w:rsidP="004623C0">
            <w:pPr>
              <w:spacing w:after="0" w:line="240" w:lineRule="auto"/>
              <w:rPr>
                <w:rFonts w:ascii="Calibri" w:eastAsia="Times New Roman" w:hAnsi="Calibri" w:cs="Times New Roman"/>
                <w:color w:val="000000"/>
              </w:rPr>
            </w:pPr>
            <w:r w:rsidRPr="004623C0">
              <w:rPr>
                <w:rFonts w:ascii="Calibri" w:eastAsia="Times New Roman" w:hAnsi="Calibri" w:cs="Times New Roman"/>
                <w:color w:val="000000"/>
              </w:rPr>
              <w:t>Δημοσιονομικό αποτέλεσμα</w:t>
            </w:r>
          </w:p>
        </w:tc>
        <w:tc>
          <w:tcPr>
            <w:tcW w:w="727"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-9,7</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-9,9</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-3,1</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-0,4</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0,5</w:t>
            </w:r>
          </w:p>
        </w:tc>
        <w:tc>
          <w:tcPr>
            <w:tcW w:w="712" w:type="dxa"/>
            <w:tcBorders>
              <w:top w:val="nil"/>
              <w:left w:val="nil"/>
              <w:bottom w:val="nil"/>
              <w:right w:val="single" w:sz="8" w:space="0" w:color="auto"/>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1,4</w:t>
            </w:r>
          </w:p>
        </w:tc>
      </w:tr>
      <w:tr w:rsidR="004623C0" w:rsidRPr="004623C0" w:rsidTr="004623C0">
        <w:trPr>
          <w:trHeight w:val="300"/>
        </w:trPr>
        <w:tc>
          <w:tcPr>
            <w:tcW w:w="5214" w:type="dxa"/>
            <w:tcBorders>
              <w:top w:val="nil"/>
              <w:left w:val="single" w:sz="8" w:space="0" w:color="auto"/>
              <w:bottom w:val="nil"/>
              <w:right w:val="nil"/>
            </w:tcBorders>
            <w:shd w:val="clear" w:color="auto" w:fill="auto"/>
            <w:noWrap/>
            <w:vAlign w:val="bottom"/>
            <w:hideMark/>
          </w:tcPr>
          <w:p w:rsidR="004623C0" w:rsidRPr="004623C0" w:rsidRDefault="004623C0" w:rsidP="004623C0">
            <w:pPr>
              <w:spacing w:after="0" w:line="240" w:lineRule="auto"/>
              <w:rPr>
                <w:rFonts w:ascii="Calibri" w:eastAsia="Times New Roman" w:hAnsi="Calibri" w:cs="Times New Roman"/>
                <w:color w:val="000000"/>
              </w:rPr>
            </w:pPr>
            <w:r w:rsidRPr="004623C0">
              <w:rPr>
                <w:rFonts w:ascii="Calibri" w:eastAsia="Times New Roman" w:hAnsi="Calibri" w:cs="Times New Roman"/>
                <w:color w:val="000000"/>
              </w:rPr>
              <w:t>Παραγωγικό κενό</w:t>
            </w:r>
          </w:p>
        </w:tc>
        <w:tc>
          <w:tcPr>
            <w:tcW w:w="727"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-12,3</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-7,5</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-4,4</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-2,9</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-1,5</w:t>
            </w:r>
          </w:p>
        </w:tc>
        <w:tc>
          <w:tcPr>
            <w:tcW w:w="712" w:type="dxa"/>
            <w:tcBorders>
              <w:top w:val="nil"/>
              <w:left w:val="nil"/>
              <w:bottom w:val="nil"/>
              <w:right w:val="single" w:sz="8" w:space="0" w:color="auto"/>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0</w:t>
            </w:r>
          </w:p>
        </w:tc>
      </w:tr>
      <w:tr w:rsidR="004623C0" w:rsidRPr="004623C0" w:rsidTr="004623C0">
        <w:trPr>
          <w:trHeight w:val="300"/>
        </w:trPr>
        <w:tc>
          <w:tcPr>
            <w:tcW w:w="5214" w:type="dxa"/>
            <w:tcBorders>
              <w:top w:val="nil"/>
              <w:left w:val="single" w:sz="8" w:space="0" w:color="auto"/>
              <w:bottom w:val="nil"/>
              <w:right w:val="nil"/>
            </w:tcBorders>
            <w:shd w:val="clear" w:color="auto" w:fill="auto"/>
            <w:noWrap/>
            <w:vAlign w:val="bottom"/>
            <w:hideMark/>
          </w:tcPr>
          <w:p w:rsidR="004623C0" w:rsidRPr="004623C0" w:rsidRDefault="004623C0" w:rsidP="004623C0">
            <w:pPr>
              <w:spacing w:after="0" w:line="240" w:lineRule="auto"/>
              <w:rPr>
                <w:rFonts w:ascii="Calibri" w:eastAsia="Times New Roman" w:hAnsi="Calibri" w:cs="Times New Roman"/>
                <w:color w:val="000000"/>
              </w:rPr>
            </w:pPr>
            <w:r w:rsidRPr="004623C0">
              <w:rPr>
                <w:rFonts w:ascii="Calibri" w:eastAsia="Times New Roman" w:hAnsi="Calibri" w:cs="Times New Roman"/>
                <w:color w:val="000000"/>
              </w:rPr>
              <w:t>Κυκλικά προσαρμοσμένο αποτέλεσμα</w:t>
            </w:r>
          </w:p>
        </w:tc>
        <w:tc>
          <w:tcPr>
            <w:tcW w:w="727"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-3,3</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-6,0</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-0,8</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1,1</w:t>
            </w:r>
          </w:p>
        </w:tc>
        <w:tc>
          <w:tcPr>
            <w:tcW w:w="712" w:type="dxa"/>
            <w:tcBorders>
              <w:top w:val="nil"/>
              <w:left w:val="nil"/>
              <w:bottom w:val="nil"/>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1,3</w:t>
            </w:r>
          </w:p>
        </w:tc>
        <w:tc>
          <w:tcPr>
            <w:tcW w:w="712" w:type="dxa"/>
            <w:tcBorders>
              <w:top w:val="nil"/>
              <w:left w:val="nil"/>
              <w:bottom w:val="nil"/>
              <w:right w:val="single" w:sz="8" w:space="0" w:color="auto"/>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1,4</w:t>
            </w:r>
          </w:p>
        </w:tc>
      </w:tr>
      <w:tr w:rsidR="004623C0" w:rsidRPr="004623C0" w:rsidTr="004623C0">
        <w:trPr>
          <w:trHeight w:val="315"/>
        </w:trPr>
        <w:tc>
          <w:tcPr>
            <w:tcW w:w="5214" w:type="dxa"/>
            <w:tcBorders>
              <w:top w:val="nil"/>
              <w:left w:val="single" w:sz="8" w:space="0" w:color="auto"/>
              <w:bottom w:val="single" w:sz="8" w:space="0" w:color="auto"/>
              <w:right w:val="nil"/>
            </w:tcBorders>
            <w:shd w:val="clear" w:color="auto" w:fill="auto"/>
            <w:noWrap/>
            <w:vAlign w:val="bottom"/>
            <w:hideMark/>
          </w:tcPr>
          <w:p w:rsidR="004623C0" w:rsidRPr="004623C0" w:rsidRDefault="004623C0" w:rsidP="004623C0">
            <w:pPr>
              <w:spacing w:after="0" w:line="240" w:lineRule="auto"/>
              <w:rPr>
                <w:rFonts w:ascii="Calibri" w:eastAsia="Times New Roman" w:hAnsi="Calibri" w:cs="Times New Roman"/>
                <w:color w:val="000000"/>
              </w:rPr>
            </w:pPr>
            <w:r w:rsidRPr="004623C0">
              <w:rPr>
                <w:rFonts w:ascii="Calibri" w:eastAsia="Times New Roman" w:hAnsi="Calibri" w:cs="Times New Roman"/>
                <w:color w:val="000000"/>
              </w:rPr>
              <w:t>Διαρθρωτικό αποτέλεσμα</w:t>
            </w:r>
          </w:p>
        </w:tc>
        <w:tc>
          <w:tcPr>
            <w:tcW w:w="727" w:type="dxa"/>
            <w:tcBorders>
              <w:top w:val="nil"/>
              <w:left w:val="nil"/>
              <w:bottom w:val="single" w:sz="8" w:space="0" w:color="auto"/>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-3,5</w:t>
            </w:r>
          </w:p>
        </w:tc>
        <w:tc>
          <w:tcPr>
            <w:tcW w:w="712" w:type="dxa"/>
            <w:tcBorders>
              <w:top w:val="nil"/>
              <w:left w:val="nil"/>
              <w:bottom w:val="single" w:sz="8" w:space="0" w:color="auto"/>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-6,3</w:t>
            </w:r>
          </w:p>
        </w:tc>
        <w:tc>
          <w:tcPr>
            <w:tcW w:w="712" w:type="dxa"/>
            <w:tcBorders>
              <w:top w:val="nil"/>
              <w:left w:val="nil"/>
              <w:bottom w:val="single" w:sz="8" w:space="0" w:color="auto"/>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-0,4</w:t>
            </w:r>
          </w:p>
        </w:tc>
        <w:tc>
          <w:tcPr>
            <w:tcW w:w="712" w:type="dxa"/>
            <w:tcBorders>
              <w:top w:val="nil"/>
              <w:left w:val="nil"/>
              <w:bottom w:val="single" w:sz="8" w:space="0" w:color="auto"/>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1,0</w:t>
            </w:r>
          </w:p>
        </w:tc>
        <w:tc>
          <w:tcPr>
            <w:tcW w:w="712" w:type="dxa"/>
            <w:tcBorders>
              <w:top w:val="nil"/>
              <w:left w:val="nil"/>
              <w:bottom w:val="single" w:sz="8" w:space="0" w:color="auto"/>
              <w:right w:val="nil"/>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1,3</w:t>
            </w:r>
          </w:p>
        </w:tc>
        <w:tc>
          <w:tcPr>
            <w:tcW w:w="712" w:type="dxa"/>
            <w:tcBorders>
              <w:top w:val="nil"/>
              <w:left w:val="nil"/>
              <w:bottom w:val="single" w:sz="8" w:space="0" w:color="auto"/>
              <w:right w:val="single" w:sz="8" w:space="0" w:color="auto"/>
            </w:tcBorders>
            <w:shd w:val="clear" w:color="auto" w:fill="auto"/>
            <w:noWrap/>
            <w:vAlign w:val="bottom"/>
            <w:hideMark/>
          </w:tcPr>
          <w:p w:rsidR="004623C0" w:rsidRPr="004623C0" w:rsidRDefault="004623C0" w:rsidP="004623C0">
            <w:pPr>
              <w:spacing w:after="0" w:line="240" w:lineRule="auto"/>
              <w:jc w:val="center"/>
              <w:rPr>
                <w:rFonts w:ascii="Calibri" w:eastAsia="Times New Roman" w:hAnsi="Calibri" w:cs="Times New Roman"/>
                <w:color w:val="000000"/>
              </w:rPr>
            </w:pPr>
            <w:r w:rsidRPr="004623C0">
              <w:rPr>
                <w:rFonts w:ascii="Calibri" w:eastAsia="Times New Roman" w:hAnsi="Calibri" w:cs="Times New Roman"/>
                <w:color w:val="000000"/>
              </w:rPr>
              <w:t>1,4</w:t>
            </w:r>
          </w:p>
        </w:tc>
      </w:tr>
    </w:tbl>
    <w:p w:rsidR="00482736" w:rsidRDefault="00482736" w:rsidP="00A64E0A">
      <w:pPr>
        <w:spacing w:line="240" w:lineRule="auto"/>
        <w:jc w:val="both"/>
        <w:rPr>
          <w:rFonts w:eastAsia="Calibri"/>
          <w:lang w:val="en-US"/>
        </w:rPr>
      </w:pPr>
    </w:p>
    <w:p w:rsidR="00482736" w:rsidRDefault="00482736" w:rsidP="00A64E0A">
      <w:pPr>
        <w:spacing w:line="240" w:lineRule="auto"/>
        <w:jc w:val="both"/>
        <w:rPr>
          <w:rFonts w:eastAsia="Calibri"/>
        </w:rPr>
      </w:pPr>
    </w:p>
    <w:p w:rsidR="00070F78" w:rsidRDefault="00070F78" w:rsidP="00A64E0A">
      <w:pPr>
        <w:spacing w:line="240" w:lineRule="auto"/>
        <w:jc w:val="both"/>
        <w:rPr>
          <w:rFonts w:eastAsia="Calibri"/>
        </w:rPr>
      </w:pPr>
    </w:p>
    <w:p w:rsidR="00482736" w:rsidRPr="003C2989" w:rsidRDefault="00F70457" w:rsidP="00A64E0A">
      <w:pPr>
        <w:spacing w:line="240" w:lineRule="auto"/>
        <w:jc w:val="both"/>
        <w:rPr>
          <w:rFonts w:eastAsia="Calibri"/>
          <w:b/>
        </w:rPr>
      </w:pPr>
      <w:r w:rsidRPr="00637C54">
        <w:rPr>
          <w:rFonts w:eastAsia="Calibri"/>
          <w:b/>
          <w:color w:val="000000" w:themeColor="text1"/>
        </w:rPr>
        <w:lastRenderedPageBreak/>
        <w:t>Διάγραμμα</w:t>
      </w:r>
      <w:r w:rsidR="00282BD2">
        <w:rPr>
          <w:rFonts w:eastAsia="Calibri"/>
          <w:b/>
          <w:color w:val="000000" w:themeColor="text1"/>
        </w:rPr>
        <w:t xml:space="preserve"> </w:t>
      </w:r>
      <w:r w:rsidR="00637C54" w:rsidRPr="00637C54">
        <w:rPr>
          <w:rFonts w:eastAsia="Calibri"/>
          <w:b/>
          <w:color w:val="000000" w:themeColor="text1"/>
        </w:rPr>
        <w:t>9</w:t>
      </w:r>
      <w:r w:rsidR="00FE5582" w:rsidRPr="00FE5582">
        <w:rPr>
          <w:rFonts w:eastAsia="Calibri"/>
          <w:b/>
          <w:color w:val="000000" w:themeColor="text1"/>
        </w:rPr>
        <w:t>:</w:t>
      </w:r>
      <w:r w:rsidRPr="00637C54">
        <w:rPr>
          <w:rFonts w:eastAsia="Calibri"/>
          <w:b/>
          <w:color w:val="000000" w:themeColor="text1"/>
        </w:rPr>
        <w:t xml:space="preserve"> Συστατικά</w:t>
      </w:r>
      <w:r w:rsidRPr="00F70457">
        <w:rPr>
          <w:rFonts w:eastAsia="Calibri"/>
          <w:b/>
        </w:rPr>
        <w:t xml:space="preserve"> στοιχεία ισοζυγίου Γενικής Κυβέρνησης</w:t>
      </w:r>
    </w:p>
    <w:p w:rsidR="00482736" w:rsidRPr="001A28DB" w:rsidRDefault="00753D3A" w:rsidP="00A64E0A">
      <w:pPr>
        <w:spacing w:line="240" w:lineRule="auto"/>
        <w:jc w:val="both"/>
        <w:rPr>
          <w:rFonts w:eastAsia="Calibri"/>
        </w:rPr>
      </w:pPr>
      <w:r w:rsidRPr="00753D3A">
        <w:rPr>
          <w:rFonts w:eastAsia="Calibri"/>
          <w:noProof/>
        </w:rPr>
        <w:drawing>
          <wp:inline distT="0" distB="0" distL="0" distR="0">
            <wp:extent cx="6241297" cy="3189767"/>
            <wp:effectExtent l="19050" t="0" r="26153" b="0"/>
            <wp:docPr id="20"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E5582" w:rsidRDefault="00FE5582" w:rsidP="00A64E0A">
      <w:pPr>
        <w:spacing w:line="240" w:lineRule="auto"/>
        <w:jc w:val="both"/>
        <w:rPr>
          <w:rFonts w:eastAsia="Calibri"/>
          <w:lang w:val="en-US"/>
        </w:rPr>
      </w:pPr>
    </w:p>
    <w:p w:rsidR="0004523E" w:rsidRPr="00070F78" w:rsidRDefault="00A62CA0" w:rsidP="00A64E0A">
      <w:pPr>
        <w:pStyle w:val="2"/>
        <w:spacing w:before="0" w:after="200" w:line="240" w:lineRule="auto"/>
        <w:jc w:val="both"/>
        <w:rPr>
          <w:rFonts w:asciiTheme="minorHAnsi" w:eastAsia="Calibri" w:hAnsiTheme="minorHAnsi"/>
          <w:b/>
          <w:sz w:val="24"/>
          <w:szCs w:val="24"/>
        </w:rPr>
      </w:pPr>
      <w:bookmarkStart w:id="9" w:name="_Toc74930189"/>
      <w:r w:rsidRPr="00070F78">
        <w:rPr>
          <w:rFonts w:asciiTheme="minorHAnsi" w:eastAsia="Calibri" w:hAnsiTheme="minorHAnsi"/>
          <w:b/>
          <w:sz w:val="24"/>
          <w:szCs w:val="24"/>
        </w:rPr>
        <w:t>2</w:t>
      </w:r>
      <w:r w:rsidR="0004523E" w:rsidRPr="00070F78">
        <w:rPr>
          <w:rFonts w:asciiTheme="minorHAnsi" w:eastAsia="Calibri" w:hAnsiTheme="minorHAnsi"/>
          <w:b/>
          <w:sz w:val="24"/>
          <w:szCs w:val="24"/>
        </w:rPr>
        <w:t>.</w:t>
      </w:r>
      <w:r w:rsidR="009353C0" w:rsidRPr="00070F78">
        <w:rPr>
          <w:rFonts w:asciiTheme="minorHAnsi" w:eastAsia="Calibri" w:hAnsiTheme="minorHAnsi"/>
          <w:b/>
          <w:sz w:val="24"/>
          <w:szCs w:val="24"/>
        </w:rPr>
        <w:t>2</w:t>
      </w:r>
      <w:r w:rsidR="0004523E" w:rsidRPr="00070F78">
        <w:rPr>
          <w:rFonts w:asciiTheme="minorHAnsi" w:eastAsia="Calibri" w:hAnsiTheme="minorHAnsi"/>
          <w:b/>
          <w:sz w:val="24"/>
          <w:szCs w:val="24"/>
        </w:rPr>
        <w:t xml:space="preserve"> </w:t>
      </w:r>
      <w:r w:rsidR="00233D90" w:rsidRPr="00070F78">
        <w:rPr>
          <w:rFonts w:asciiTheme="minorHAnsi" w:eastAsia="Calibri" w:hAnsiTheme="minorHAnsi"/>
          <w:b/>
          <w:sz w:val="24"/>
          <w:szCs w:val="24"/>
        </w:rPr>
        <w:t>Ανάλυση ανά υποτομέα</w:t>
      </w:r>
      <w:bookmarkEnd w:id="9"/>
    </w:p>
    <w:p w:rsidR="00233D90" w:rsidRPr="00A64E0A" w:rsidRDefault="00233D90" w:rsidP="00A64E0A">
      <w:pPr>
        <w:spacing w:line="240" w:lineRule="auto"/>
        <w:jc w:val="both"/>
        <w:rPr>
          <w:sz w:val="14"/>
        </w:rPr>
      </w:pPr>
    </w:p>
    <w:p w:rsidR="00233D90" w:rsidRPr="00070F78" w:rsidRDefault="00233D90" w:rsidP="00A64E0A">
      <w:pPr>
        <w:pStyle w:val="3"/>
        <w:spacing w:line="240" w:lineRule="auto"/>
        <w:rPr>
          <w:rFonts w:asciiTheme="minorHAnsi" w:hAnsiTheme="minorHAnsi"/>
          <w:color w:val="365F91" w:themeColor="accent1" w:themeShade="BF"/>
          <w:sz w:val="24"/>
          <w:szCs w:val="24"/>
        </w:rPr>
      </w:pPr>
      <w:bookmarkStart w:id="10" w:name="_Toc74930190"/>
      <w:r w:rsidRPr="00070F78">
        <w:rPr>
          <w:rFonts w:asciiTheme="minorHAnsi" w:hAnsiTheme="minorHAnsi"/>
          <w:color w:val="365F91" w:themeColor="accent1" w:themeShade="BF"/>
          <w:sz w:val="24"/>
          <w:szCs w:val="24"/>
        </w:rPr>
        <w:t>2.</w:t>
      </w:r>
      <w:r w:rsidR="009353C0" w:rsidRPr="00070F78">
        <w:rPr>
          <w:rFonts w:asciiTheme="minorHAnsi" w:hAnsiTheme="minorHAnsi"/>
          <w:color w:val="365F91" w:themeColor="accent1" w:themeShade="BF"/>
          <w:sz w:val="24"/>
          <w:szCs w:val="24"/>
        </w:rPr>
        <w:t>2</w:t>
      </w:r>
      <w:r w:rsidRPr="00070F78">
        <w:rPr>
          <w:rFonts w:asciiTheme="minorHAnsi" w:hAnsiTheme="minorHAnsi"/>
          <w:color w:val="365F91" w:themeColor="accent1" w:themeShade="BF"/>
          <w:sz w:val="24"/>
          <w:szCs w:val="24"/>
        </w:rPr>
        <w:t xml:space="preserve">.1 </w:t>
      </w:r>
      <w:r w:rsidR="009F2D40" w:rsidRPr="00070F78">
        <w:rPr>
          <w:rFonts w:asciiTheme="minorHAnsi" w:hAnsiTheme="minorHAnsi"/>
          <w:color w:val="365F91" w:themeColor="accent1" w:themeShade="BF"/>
          <w:sz w:val="24"/>
          <w:szCs w:val="24"/>
        </w:rPr>
        <w:t>Κράτο</w:t>
      </w:r>
      <w:r w:rsidRPr="00070F78">
        <w:rPr>
          <w:rFonts w:asciiTheme="minorHAnsi" w:hAnsiTheme="minorHAnsi"/>
          <w:color w:val="365F91" w:themeColor="accent1" w:themeShade="BF"/>
          <w:sz w:val="24"/>
          <w:szCs w:val="24"/>
        </w:rPr>
        <w:t>ς</w:t>
      </w:r>
      <w:bookmarkEnd w:id="10"/>
    </w:p>
    <w:p w:rsidR="00233D90" w:rsidRPr="00A64E0A" w:rsidRDefault="00233D90" w:rsidP="00A64E0A">
      <w:pPr>
        <w:spacing w:line="240" w:lineRule="auto"/>
        <w:jc w:val="both"/>
        <w:rPr>
          <w:rFonts w:eastAsia="Calibri" w:cstheme="majorBidi"/>
          <w:b/>
          <w:color w:val="365F91" w:themeColor="accent1" w:themeShade="BF"/>
          <w:sz w:val="16"/>
        </w:rPr>
      </w:pPr>
    </w:p>
    <w:p w:rsidR="00B20B9D" w:rsidRPr="009F2D40" w:rsidRDefault="00B20B9D" w:rsidP="00B20B9D">
      <w:pPr>
        <w:jc w:val="both"/>
        <w:rPr>
          <w:rFonts w:eastAsia="Calibri" w:cstheme="majorBidi"/>
        </w:rPr>
      </w:pPr>
      <w:r w:rsidRPr="009F2D40">
        <w:rPr>
          <w:rFonts w:eastAsia="Calibri" w:cstheme="majorBidi"/>
        </w:rPr>
        <w:t xml:space="preserve">Οι προβλέψεις για την εξέλιξη των μεγεθών των εσόδων και των δαπανών του Τακτικού Προϋπολογισμού βασίζονται στα απολογιστικά μεγέθη του 2020, τις προβλέψεις μακροοικονομικών μεταβλητών και τις αποδόσεις των σχετικών δημοσιονομικών παρεμβάσεων, όπως περιγράφονται στον </w:t>
      </w:r>
      <w:r>
        <w:rPr>
          <w:rFonts w:eastAsia="Calibri" w:cstheme="majorBidi"/>
        </w:rPr>
        <w:t>Π</w:t>
      </w:r>
      <w:r w:rsidRPr="009F2D40">
        <w:rPr>
          <w:rFonts w:eastAsia="Calibri" w:cstheme="majorBidi"/>
        </w:rPr>
        <w:t xml:space="preserve">ίνακα </w:t>
      </w:r>
      <w:r w:rsidRPr="00102A3A">
        <w:rPr>
          <w:rFonts w:eastAsia="Calibri" w:cstheme="majorBidi"/>
        </w:rPr>
        <w:t>18.</w:t>
      </w:r>
      <w:r w:rsidRPr="009F2D40">
        <w:rPr>
          <w:rFonts w:eastAsia="Calibri" w:cstheme="majorBidi"/>
        </w:rPr>
        <w:t xml:space="preserve"> </w:t>
      </w:r>
    </w:p>
    <w:p w:rsidR="00B20B9D" w:rsidRPr="009F2D40" w:rsidRDefault="00B20B9D" w:rsidP="00B20B9D">
      <w:pPr>
        <w:jc w:val="both"/>
        <w:rPr>
          <w:rFonts w:eastAsia="Calibri" w:cstheme="majorBidi"/>
        </w:rPr>
      </w:pPr>
      <w:r w:rsidRPr="009F2D40">
        <w:rPr>
          <w:rFonts w:eastAsia="Calibri" w:cstheme="majorBidi"/>
        </w:rPr>
        <w:t xml:space="preserve">Τα φορολογικά έσοδα, μετά τη σημαντική μείωση των ετών 2020, 2021 λόγω του περιορισμού της οικονομικής δραστηριότητας και των μέτρων στήριξης νοικοκυριών και επιχειρήσεων, αναμένεται να ανακάμψουν από το 2022 και μετά. Το μεγαλύτερο μέρος των μη φορολογικών εσόδων του Κράτους αποτελούν οι εισροές από την Ευρωπαϊκή Ένωση για τη χρηματοδότηση έργων του Προγράμματος Δημοσίων Επενδύσεων και του Ταμείου Ανάκαμψης και Ανθεκτικότητας, όπως περιγράφονται στα πληροφοριακά στοιχεία εσόδων του </w:t>
      </w:r>
      <w:r>
        <w:rPr>
          <w:rFonts w:eastAsia="Calibri" w:cstheme="majorBidi"/>
        </w:rPr>
        <w:t>Π</w:t>
      </w:r>
      <w:r w:rsidRPr="009F2D40">
        <w:rPr>
          <w:rFonts w:eastAsia="Calibri" w:cstheme="majorBidi"/>
        </w:rPr>
        <w:t xml:space="preserve">ίνακα </w:t>
      </w:r>
      <w:r>
        <w:rPr>
          <w:rFonts w:eastAsia="Calibri" w:cstheme="majorBidi"/>
        </w:rPr>
        <w:t>5</w:t>
      </w:r>
      <w:r w:rsidRPr="002A1564">
        <w:rPr>
          <w:rFonts w:eastAsia="Calibri" w:cstheme="majorBidi"/>
        </w:rPr>
        <w:t>.</w:t>
      </w:r>
      <w:r w:rsidRPr="009F2D40">
        <w:rPr>
          <w:rFonts w:eastAsia="Calibri" w:cstheme="majorBidi"/>
        </w:rPr>
        <w:t xml:space="preserve"> </w:t>
      </w:r>
    </w:p>
    <w:p w:rsidR="00B20B9D" w:rsidRPr="009F2D40" w:rsidRDefault="00B20B9D" w:rsidP="00B20B9D">
      <w:pPr>
        <w:jc w:val="both"/>
        <w:rPr>
          <w:rFonts w:eastAsia="Calibri" w:cstheme="majorBidi"/>
        </w:rPr>
      </w:pPr>
      <w:r w:rsidRPr="009F2D40">
        <w:rPr>
          <w:rFonts w:eastAsia="Calibri" w:cstheme="majorBidi"/>
        </w:rPr>
        <w:t xml:space="preserve">Η εξέλιξη των πρωτογενών δαπανών του Κράτους, μετά την εκτίναξη των ετών 2020 και 2021 λόγω της εκταμίευσης σημαντικών ποσών στήριξης του εισοδήματος φυσικών προσώπων και επιχειρήσεων, του συστήματος υγείας κ.ά., αναμένεται </w:t>
      </w:r>
      <w:r>
        <w:rPr>
          <w:rFonts w:eastAsia="Calibri" w:cstheme="majorBidi"/>
        </w:rPr>
        <w:t xml:space="preserve">να </w:t>
      </w:r>
      <w:r w:rsidRPr="009F2D40">
        <w:rPr>
          <w:rFonts w:eastAsia="Calibri" w:cstheme="majorBidi"/>
        </w:rPr>
        <w:t>ομαλοποιηθεί από το 2022 και μετά. Επισημαίνεται ότι στην κατηγορία «Πιστώσεις υπό κατανομή» περιλαμβάνονται οι δαπάνες του Προγράμματος Δημοσίων Επενδύσεων, του Ταμείου Ανάκαμψης και Ανθεκτικότητας, καθώς και τακτικό και ειδικό αποθεματικό ύψους 1 δι</w:t>
      </w:r>
      <w:r w:rsidR="00BC443A">
        <w:rPr>
          <w:rFonts w:eastAsia="Calibri" w:cstheme="majorBidi"/>
        </w:rPr>
        <w:t>σ.</w:t>
      </w:r>
      <w:r w:rsidRPr="009F2D40">
        <w:rPr>
          <w:rFonts w:eastAsia="Calibri" w:cstheme="majorBidi"/>
        </w:rPr>
        <w:t xml:space="preserve"> ευρώ που θα κατανεμηθεί ανάλογα με τις ανάγκες που θα προκύψουν.</w:t>
      </w:r>
    </w:p>
    <w:p w:rsidR="00B20B9D" w:rsidRPr="005109A5" w:rsidRDefault="00B20B9D" w:rsidP="00B20B9D">
      <w:pPr>
        <w:jc w:val="both"/>
        <w:rPr>
          <w:rFonts w:eastAsia="Calibri" w:cstheme="majorBidi"/>
        </w:rPr>
      </w:pPr>
      <w:r w:rsidRPr="009F2D40">
        <w:rPr>
          <w:rFonts w:eastAsia="Calibri" w:cstheme="majorBidi"/>
        </w:rPr>
        <w:t xml:space="preserve">Ειδικά, στον </w:t>
      </w:r>
      <w:r>
        <w:rPr>
          <w:rFonts w:eastAsia="Calibri" w:cstheme="majorBidi"/>
        </w:rPr>
        <w:t>Π</w:t>
      </w:r>
      <w:r w:rsidRPr="009F2D40">
        <w:rPr>
          <w:rFonts w:eastAsia="Calibri" w:cstheme="majorBidi"/>
        </w:rPr>
        <w:t xml:space="preserve">ίνακα </w:t>
      </w:r>
      <w:r w:rsidRPr="009638F3">
        <w:rPr>
          <w:rFonts w:eastAsia="Calibri" w:cstheme="majorBidi"/>
        </w:rPr>
        <w:t>8</w:t>
      </w:r>
      <w:r w:rsidRPr="009F2D40">
        <w:rPr>
          <w:rFonts w:eastAsia="Calibri" w:cstheme="majorBidi"/>
        </w:rPr>
        <w:t xml:space="preserve"> παρουσιάζεται ανάλυση της κατηγορίας δαπανών «Μεταβιβάσεις» που περιλαμβάνει ενδεικτικά επιχορηγήσεις και αποδόσεις σε φορείς εντός και εκτός γενικής κυβέρνησης, καταπτώσεις εγγυήσεων, μεταβιβάσεις προς οργανισμούς του εξωτερικού, μεταξύ των οποίων και η Ευρωπαϊκή Ένωση. Τα ποσά του πίνακα παρουσιάζονται σε ταμειακή βάση.</w:t>
      </w:r>
    </w:p>
    <w:p w:rsidR="009F2D40" w:rsidRDefault="009F2D40" w:rsidP="009F2D40">
      <w:pPr>
        <w:jc w:val="both"/>
        <w:rPr>
          <w:rFonts w:eastAsia="Calibri" w:cstheme="majorBidi"/>
        </w:rPr>
      </w:pPr>
    </w:p>
    <w:p w:rsidR="0013757E" w:rsidRDefault="00946C36" w:rsidP="009F2D40">
      <w:pPr>
        <w:jc w:val="both"/>
        <w:rPr>
          <w:rFonts w:eastAsia="Calibri" w:cstheme="majorBidi"/>
          <w:lang w:val="en-US"/>
        </w:rPr>
      </w:pPr>
      <w:r w:rsidRPr="00946C36">
        <w:rPr>
          <w:noProof/>
        </w:rPr>
        <w:lastRenderedPageBreak/>
        <w:drawing>
          <wp:inline distT="0" distB="0" distL="0" distR="0">
            <wp:extent cx="6660000" cy="5391459"/>
            <wp:effectExtent l="19050" t="0" r="7500" b="0"/>
            <wp:docPr id="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660000" cy="5391459"/>
                    </a:xfrm>
                    <a:prstGeom prst="rect">
                      <a:avLst/>
                    </a:prstGeom>
                    <a:noFill/>
                    <a:ln w="9525">
                      <a:noFill/>
                      <a:miter lim="800000"/>
                      <a:headEnd/>
                      <a:tailEnd/>
                    </a:ln>
                  </pic:spPr>
                </pic:pic>
              </a:graphicData>
            </a:graphic>
          </wp:inline>
        </w:drawing>
      </w:r>
    </w:p>
    <w:p w:rsidR="00A43F06" w:rsidRDefault="00A43F06" w:rsidP="009F2D40">
      <w:pPr>
        <w:jc w:val="both"/>
        <w:rPr>
          <w:rFonts w:eastAsia="Calibri" w:cstheme="majorBidi"/>
          <w:lang w:val="en-US"/>
        </w:rPr>
      </w:pPr>
    </w:p>
    <w:p w:rsidR="003B227A" w:rsidRDefault="009F2D40" w:rsidP="009F2D40">
      <w:pPr>
        <w:jc w:val="both"/>
        <w:rPr>
          <w:rFonts w:eastAsia="Calibri" w:cstheme="majorBidi"/>
        </w:rPr>
      </w:pPr>
      <w:r w:rsidRPr="009F2D40">
        <w:rPr>
          <w:rFonts w:eastAsia="Calibri" w:cstheme="majorBidi"/>
        </w:rPr>
        <w:t xml:space="preserve">Στον </w:t>
      </w:r>
      <w:r w:rsidR="00321644">
        <w:rPr>
          <w:rFonts w:eastAsia="Calibri" w:cstheme="majorBidi"/>
        </w:rPr>
        <w:t>Π</w:t>
      </w:r>
      <w:r w:rsidRPr="009F2D40">
        <w:rPr>
          <w:rFonts w:eastAsia="Calibri" w:cstheme="majorBidi"/>
        </w:rPr>
        <w:t xml:space="preserve">ίνακα </w:t>
      </w:r>
      <w:r w:rsidR="00862EE5" w:rsidRPr="009638F3">
        <w:rPr>
          <w:rFonts w:eastAsia="Calibri" w:cstheme="majorBidi"/>
        </w:rPr>
        <w:t>9</w:t>
      </w:r>
      <w:r w:rsidRPr="009F2D40">
        <w:rPr>
          <w:rFonts w:eastAsia="Calibri" w:cstheme="majorBidi"/>
        </w:rPr>
        <w:t xml:space="preserve"> παρουσιάζονται τα ανώτατα όρια δαπανών (οροφές) των φορέων του Κρατικού Προϋπολογισμού τόσο σε ταμειακή όσο και σε </w:t>
      </w:r>
      <w:proofErr w:type="spellStart"/>
      <w:r w:rsidRPr="009F2D40">
        <w:rPr>
          <w:rFonts w:eastAsia="Calibri" w:cstheme="majorBidi"/>
        </w:rPr>
        <w:t>δημοσιολογιστική</w:t>
      </w:r>
      <w:proofErr w:type="spellEnd"/>
      <w:r w:rsidRPr="009F2D40">
        <w:rPr>
          <w:rFonts w:eastAsia="Calibri" w:cstheme="majorBidi"/>
        </w:rPr>
        <w:t xml:space="preserve"> βάση. Για το έτος 2021, τα αρχικά όρια δαπανών ορίστηκαν στην εισηγητική έκθεση του προϋπολογισμού και μετά την ενσωμάτωση των νέων παρεμβάσεων που υιοθετήθηκαν μέσα στο έτος και λοιπών </w:t>
      </w:r>
      <w:proofErr w:type="spellStart"/>
      <w:r w:rsidRPr="009F2D40">
        <w:rPr>
          <w:rFonts w:eastAsia="Calibri" w:cstheme="majorBidi"/>
        </w:rPr>
        <w:t>επικαιροποιήσεων</w:t>
      </w:r>
      <w:proofErr w:type="spellEnd"/>
      <w:r w:rsidRPr="009F2D40">
        <w:rPr>
          <w:rFonts w:eastAsia="Calibri" w:cstheme="majorBidi"/>
        </w:rPr>
        <w:t xml:space="preserve">, διαμορφώνεται η στήλη των εκτιμήσεων 2021. Τα όρια ανά φορέα περιλαμβάνουν και τις Ανεξάρτητες Διοικητικές Αρχές που αποτελούν φορείς του Κράτους και αναφέρονται διακριτά σε κάθε αντίστοιχο Υπουργείο. </w:t>
      </w:r>
    </w:p>
    <w:p w:rsidR="00D82411" w:rsidRPr="00C1496A" w:rsidRDefault="00D82411" w:rsidP="00D82411">
      <w:pPr>
        <w:jc w:val="both"/>
        <w:rPr>
          <w:rFonts w:eastAsia="Calibri" w:cstheme="majorBidi"/>
        </w:rPr>
      </w:pPr>
      <w:r>
        <w:rPr>
          <w:rFonts w:eastAsia="Calibri" w:cstheme="majorBidi"/>
        </w:rPr>
        <w:t>Πέρα από τα ανώτατα όρια δαπανών των Φορέων, παρουσιάζεται για κάθε Υπουργείο εκτίμηση της κατανομής των πόρων του Ταμείου Ανάκαμψης και Ανθεκτικότητας. Σημειώνεται ότι εάν και στο σχέδιο «Ελλάδα 2.0» οι αναμενόμενες εκροές για το έτος 2022 είναι υψηλότερες (υπερβαίνουν τα 5 δισ. ευρώ)και προβλέπεται διάθεση όλων των κονδυλίων έως το 2025, η χρονική κατανομή που έχει ληφθεί υπόψη στο μακροοικονομικό σενάριο έχει προσαρμοστεί σε πιο συντηρητικές εκτιμήσεις, παρέχοντας δίχτυ ασφαλείας αναφορικά με τους αναμενόμενους ρυθμούς ανάπτυξης, χωρίς να επηρεάζεται το δημοσιονομικό αποτέλεσμα δοθέντος ότι οι δαπάνες του Ταμείου Ανάκαμψης και Ανθεκτικότητας είναι δημοσιονομικά ουδέτερες.</w:t>
      </w:r>
    </w:p>
    <w:p w:rsidR="009F2D40" w:rsidRDefault="00F905A6" w:rsidP="00AA248C">
      <w:pPr>
        <w:jc w:val="both"/>
        <w:rPr>
          <w:rFonts w:eastAsia="Calibri" w:cstheme="majorBidi"/>
          <w:b/>
          <w:color w:val="365F91" w:themeColor="accent1" w:themeShade="BF"/>
          <w:lang w:val="en-US"/>
        </w:rPr>
      </w:pPr>
      <w:r w:rsidRPr="00F905A6">
        <w:rPr>
          <w:noProof/>
        </w:rPr>
        <w:lastRenderedPageBreak/>
        <w:drawing>
          <wp:inline distT="0" distB="0" distL="0" distR="0">
            <wp:extent cx="6477000" cy="8997661"/>
            <wp:effectExtent l="19050" t="0" r="0" b="0"/>
            <wp:docPr id="4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6479540" cy="9001189"/>
                    </a:xfrm>
                    <a:prstGeom prst="rect">
                      <a:avLst/>
                    </a:prstGeom>
                    <a:noFill/>
                    <a:ln w="9525">
                      <a:noFill/>
                      <a:miter lim="800000"/>
                      <a:headEnd/>
                      <a:tailEnd/>
                    </a:ln>
                  </pic:spPr>
                </pic:pic>
              </a:graphicData>
            </a:graphic>
          </wp:inline>
        </w:drawing>
      </w:r>
    </w:p>
    <w:p w:rsidR="006F2FEA" w:rsidRDefault="00D83FD9">
      <w:pPr>
        <w:rPr>
          <w:noProof/>
          <w:lang w:val="en-US"/>
        </w:rPr>
      </w:pPr>
      <w:r w:rsidRPr="00D83FD9">
        <w:rPr>
          <w:noProof/>
        </w:rPr>
        <w:lastRenderedPageBreak/>
        <w:drawing>
          <wp:inline distT="0" distB="0" distL="0" distR="0">
            <wp:extent cx="6474678" cy="9086850"/>
            <wp:effectExtent l="19050" t="0" r="2322" b="0"/>
            <wp:docPr id="49"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srcRect/>
                    <a:stretch>
                      <a:fillRect/>
                    </a:stretch>
                  </pic:blipFill>
                  <pic:spPr bwMode="auto">
                    <a:xfrm>
                      <a:off x="0" y="0"/>
                      <a:ext cx="6479540" cy="9093673"/>
                    </a:xfrm>
                    <a:prstGeom prst="rect">
                      <a:avLst/>
                    </a:prstGeom>
                    <a:noFill/>
                    <a:ln w="9525">
                      <a:noFill/>
                      <a:miter lim="800000"/>
                      <a:headEnd/>
                      <a:tailEnd/>
                    </a:ln>
                  </pic:spPr>
                </pic:pic>
              </a:graphicData>
            </a:graphic>
          </wp:inline>
        </w:drawing>
      </w:r>
    </w:p>
    <w:p w:rsidR="00577965" w:rsidRDefault="00577965">
      <w:pPr>
        <w:rPr>
          <w:lang w:val="en-US"/>
        </w:rPr>
      </w:pPr>
      <w:r w:rsidRPr="00577965">
        <w:rPr>
          <w:noProof/>
        </w:rPr>
        <w:lastRenderedPageBreak/>
        <w:drawing>
          <wp:inline distT="0" distB="0" distL="0" distR="0">
            <wp:extent cx="6477000" cy="8858250"/>
            <wp:effectExtent l="19050" t="0" r="0" b="0"/>
            <wp:docPr id="2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6479540" cy="8861724"/>
                    </a:xfrm>
                    <a:prstGeom prst="rect">
                      <a:avLst/>
                    </a:prstGeom>
                    <a:noFill/>
                    <a:ln w="9525">
                      <a:noFill/>
                      <a:miter lim="800000"/>
                      <a:headEnd/>
                      <a:tailEnd/>
                    </a:ln>
                  </pic:spPr>
                </pic:pic>
              </a:graphicData>
            </a:graphic>
          </wp:inline>
        </w:drawing>
      </w:r>
    </w:p>
    <w:p w:rsidR="00703E91" w:rsidRPr="00482736" w:rsidRDefault="003B227A">
      <w:pPr>
        <w:rPr>
          <w:rFonts w:eastAsia="Calibri"/>
          <w:color w:val="365F91" w:themeColor="accent1" w:themeShade="BF"/>
        </w:rPr>
      </w:pPr>
      <w:r>
        <w:rPr>
          <w:rFonts w:eastAsia="Calibri"/>
          <w:color w:val="365F91" w:themeColor="accent1" w:themeShade="BF"/>
        </w:rPr>
        <w:br w:type="page"/>
      </w:r>
      <w:r w:rsidR="00541B2B" w:rsidRPr="00541B2B">
        <w:rPr>
          <w:noProof/>
        </w:rPr>
        <w:lastRenderedPageBreak/>
        <w:drawing>
          <wp:inline distT="0" distB="0" distL="0" distR="0">
            <wp:extent cx="6008203" cy="9144000"/>
            <wp:effectExtent l="19050" t="0" r="0" b="0"/>
            <wp:docPr id="64"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srcRect/>
                    <a:stretch>
                      <a:fillRect/>
                    </a:stretch>
                  </pic:blipFill>
                  <pic:spPr bwMode="auto">
                    <a:xfrm>
                      <a:off x="0" y="0"/>
                      <a:ext cx="6012540" cy="9150601"/>
                    </a:xfrm>
                    <a:prstGeom prst="rect">
                      <a:avLst/>
                    </a:prstGeom>
                    <a:noFill/>
                    <a:ln w="9525">
                      <a:noFill/>
                      <a:miter lim="800000"/>
                      <a:headEnd/>
                      <a:tailEnd/>
                    </a:ln>
                  </pic:spPr>
                </pic:pic>
              </a:graphicData>
            </a:graphic>
          </wp:inline>
        </w:drawing>
      </w:r>
    </w:p>
    <w:p w:rsidR="00800C14" w:rsidRPr="00482736" w:rsidRDefault="00703E91">
      <w:pPr>
        <w:rPr>
          <w:rFonts w:eastAsia="Calibri"/>
          <w:color w:val="365F91" w:themeColor="accent1" w:themeShade="BF"/>
        </w:rPr>
      </w:pPr>
      <w:r w:rsidRPr="00703E91">
        <w:rPr>
          <w:noProof/>
        </w:rPr>
        <w:lastRenderedPageBreak/>
        <w:drawing>
          <wp:inline distT="0" distB="0" distL="0" distR="0">
            <wp:extent cx="5876925" cy="9144000"/>
            <wp:effectExtent l="19050" t="0" r="9525" b="0"/>
            <wp:docPr id="62"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srcRect/>
                    <a:stretch>
                      <a:fillRect/>
                    </a:stretch>
                  </pic:blipFill>
                  <pic:spPr bwMode="auto">
                    <a:xfrm>
                      <a:off x="0" y="0"/>
                      <a:ext cx="5882887" cy="9153276"/>
                    </a:xfrm>
                    <a:prstGeom prst="rect">
                      <a:avLst/>
                    </a:prstGeom>
                    <a:noFill/>
                    <a:ln w="9525">
                      <a:noFill/>
                      <a:miter lim="800000"/>
                      <a:headEnd/>
                      <a:tailEnd/>
                    </a:ln>
                  </pic:spPr>
                </pic:pic>
              </a:graphicData>
            </a:graphic>
          </wp:inline>
        </w:drawing>
      </w:r>
      <w:r w:rsidR="00800C14">
        <w:rPr>
          <w:rFonts w:eastAsia="Calibri"/>
          <w:color w:val="365F91" w:themeColor="accent1" w:themeShade="BF"/>
        </w:rPr>
        <w:br w:type="page"/>
      </w:r>
    </w:p>
    <w:p w:rsidR="00233D90" w:rsidRPr="00070F78" w:rsidRDefault="00F635B8" w:rsidP="00AA248C">
      <w:pPr>
        <w:pStyle w:val="3"/>
        <w:spacing w:before="0" w:after="200"/>
        <w:jc w:val="both"/>
        <w:rPr>
          <w:rFonts w:asciiTheme="minorHAnsi" w:eastAsia="Calibri" w:hAnsiTheme="minorHAnsi"/>
          <w:color w:val="365F91" w:themeColor="accent1" w:themeShade="BF"/>
          <w:sz w:val="24"/>
          <w:szCs w:val="24"/>
        </w:rPr>
      </w:pPr>
      <w:bookmarkStart w:id="11" w:name="_Toc74930191"/>
      <w:r w:rsidRPr="00070F78">
        <w:rPr>
          <w:rFonts w:asciiTheme="minorHAnsi" w:eastAsia="Calibri" w:hAnsiTheme="minorHAnsi"/>
          <w:color w:val="365F91" w:themeColor="accent1" w:themeShade="BF"/>
          <w:sz w:val="24"/>
          <w:szCs w:val="24"/>
        </w:rPr>
        <w:lastRenderedPageBreak/>
        <w:t>2.</w:t>
      </w:r>
      <w:r w:rsidR="009353C0" w:rsidRPr="00070F78">
        <w:rPr>
          <w:rFonts w:asciiTheme="minorHAnsi" w:eastAsia="Calibri" w:hAnsiTheme="minorHAnsi"/>
          <w:color w:val="365F91" w:themeColor="accent1" w:themeShade="BF"/>
          <w:sz w:val="24"/>
          <w:szCs w:val="24"/>
        </w:rPr>
        <w:t>2</w:t>
      </w:r>
      <w:r w:rsidR="009F2D40" w:rsidRPr="00070F78">
        <w:rPr>
          <w:rFonts w:asciiTheme="minorHAnsi" w:eastAsia="Calibri" w:hAnsiTheme="minorHAnsi"/>
          <w:color w:val="365F91" w:themeColor="accent1" w:themeShade="BF"/>
          <w:sz w:val="24"/>
          <w:szCs w:val="24"/>
        </w:rPr>
        <w:t>.2</w:t>
      </w:r>
      <w:r w:rsidRPr="00070F78">
        <w:rPr>
          <w:rFonts w:asciiTheme="minorHAnsi" w:eastAsia="Calibri" w:hAnsiTheme="minorHAnsi"/>
          <w:color w:val="365F91" w:themeColor="accent1" w:themeShade="BF"/>
          <w:sz w:val="24"/>
          <w:szCs w:val="24"/>
        </w:rPr>
        <w:t xml:space="preserve"> Νομικά Π</w:t>
      </w:r>
      <w:r w:rsidR="00233D90" w:rsidRPr="00070F78">
        <w:rPr>
          <w:rFonts w:asciiTheme="minorHAnsi" w:eastAsia="Calibri" w:hAnsiTheme="minorHAnsi"/>
          <w:color w:val="365F91" w:themeColor="accent1" w:themeShade="BF"/>
          <w:sz w:val="24"/>
          <w:szCs w:val="24"/>
        </w:rPr>
        <w:t>ρόσωπα</w:t>
      </w:r>
      <w:bookmarkEnd w:id="11"/>
    </w:p>
    <w:p w:rsidR="00233D90" w:rsidRPr="002A1564" w:rsidRDefault="00233D90" w:rsidP="00720631">
      <w:pPr>
        <w:spacing w:line="240" w:lineRule="auto"/>
        <w:jc w:val="both"/>
        <w:rPr>
          <w:rFonts w:eastAsia="Calibri" w:cstheme="majorBidi"/>
          <w:b/>
          <w:color w:val="365F91" w:themeColor="accent1" w:themeShade="BF"/>
          <w:sz w:val="2"/>
        </w:rPr>
      </w:pPr>
    </w:p>
    <w:p w:rsidR="0025692D" w:rsidRDefault="0025692D" w:rsidP="0025692D">
      <w:pPr>
        <w:jc w:val="both"/>
      </w:pPr>
      <w:r>
        <w:t xml:space="preserve">Στον υποτομέα των νομικών προσώπων περιλαμβάνονται τα νομικά πρόσωπα δημοσίου και ιδιωτικού δικαίου της κεντρικής κυβέρνησης και οι δημόσιες επιχειρήσεις (Ν.Π.Δ.Δ., Ν.Π.Ι.Δ., Α.Ε.) που είναι ενταγμένα στο μητρώο φορέων Γενικής Κυβέρνησης. Σε αυτά ανήκουν, μεταξύ άλλων, και οι Ανεξάρτητες Διοικητικές Αρχές (ΑΔΑ) που έχουν νομική προσωπικότητα, και το Ασφαλιστικό Κεφάλαιο Αλληλεγγύης Γενεών (ΑΚΑΓΕ). Τα νομικά πρόσωπα του υποτομέα είναι ανομοιογενή μεταξύ τους, ποικίλουν ευρύτατα ως προς τον σκοπό, την αποστολή και τη λειτουργία τους και εποπτεύονται από διαφορετικά Υπουργεία. </w:t>
      </w:r>
    </w:p>
    <w:p w:rsidR="0025692D" w:rsidRDefault="0025692D" w:rsidP="0025692D">
      <w:pPr>
        <w:jc w:val="both"/>
      </w:pPr>
      <w:r>
        <w:t xml:space="preserve">Τα έτη του ΜΠΔΣ, από το 2022 έως το 2025, η εξέλιξη του δημοσιονομικού αποτελέσματος του υποτομέα δεν παρουσιάζει αξιοσημείωτες διακυμάνσεις. Η μείωση που παρατηρείται στις εκτιμήσεις του δημοσιονομικού αποτελέσματος του υποτομέα, σε σχέση με τα απολογιστικά μεγέθη του 2020, οφείλεται κυρίως στις αυξημένες μεταβιβάσεις που πραγματοποιήθηκαν το έτος 2020 προς την Ελληνική Αναπτυξιακή Τράπεζα ΑΕ για την υλοποίηση δανειοδοτικών και </w:t>
      </w:r>
      <w:proofErr w:type="spellStart"/>
      <w:r>
        <w:t>εγγυοδοτικών</w:t>
      </w:r>
      <w:proofErr w:type="spellEnd"/>
      <w:r>
        <w:t xml:space="preserve"> προγραμμάτων, στο πλαίσιο των παρεμβάσεων αντιμετώπισης της υγειονομικής κρίσης.  </w:t>
      </w:r>
    </w:p>
    <w:p w:rsidR="00D97D64" w:rsidRDefault="00D97D64" w:rsidP="00D97D64">
      <w:pPr>
        <w:jc w:val="both"/>
      </w:pPr>
      <w:r>
        <w:t>Οι εκτιμήσεις των οικονομικών μεγεθών των ΑΔΑ των ετών 2022-2025 παρουσιάζονται αναλυτικότερα στον Πίνακα 10 και δεν παρουσιάζουν αξιοσημείωτες μεταβολές. Εξαίρεση αποτελούν τα μεγέθη της Ελληνικής Στατιστικής Αρχής του έτους 2022, κατά το οποίο η Αρχή αναμένεται να επιβαρυνθεί με τις δαπάνες διεξαγωγής της απογραφής κτιρίων και πληθυσμού-κατοικιών, οι οποίες θα χρηματοδοτηθούν από επιχορηγήσεις που έλαβε από τον Τακτικό Προϋπολογισμό τα προηγούμενα έτη και παραμένουν στα ταμειακά της διαθέσιμα.</w:t>
      </w:r>
    </w:p>
    <w:p w:rsidR="00C637E7" w:rsidRPr="002A1564" w:rsidRDefault="00C637E7" w:rsidP="00720631">
      <w:pPr>
        <w:spacing w:line="240" w:lineRule="auto"/>
        <w:jc w:val="both"/>
        <w:rPr>
          <w:sz w:val="2"/>
        </w:rPr>
      </w:pPr>
    </w:p>
    <w:p w:rsidR="002D18D9" w:rsidRDefault="003A6D3E" w:rsidP="0025692D">
      <w:pPr>
        <w:jc w:val="both"/>
      </w:pPr>
      <w:r w:rsidRPr="003A6D3E">
        <w:rPr>
          <w:noProof/>
        </w:rPr>
        <w:drawing>
          <wp:inline distT="0" distB="0" distL="0" distR="0">
            <wp:extent cx="6476071" cy="2819400"/>
            <wp:effectExtent l="19050" t="0" r="929" b="0"/>
            <wp:docPr id="52"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6479540" cy="2820910"/>
                    </a:xfrm>
                    <a:prstGeom prst="rect">
                      <a:avLst/>
                    </a:prstGeom>
                    <a:noFill/>
                    <a:ln w="9525">
                      <a:noFill/>
                      <a:miter lim="800000"/>
                      <a:headEnd/>
                      <a:tailEnd/>
                    </a:ln>
                  </pic:spPr>
                </pic:pic>
              </a:graphicData>
            </a:graphic>
          </wp:inline>
        </w:drawing>
      </w:r>
    </w:p>
    <w:p w:rsidR="002D18D9" w:rsidRPr="002A1564" w:rsidRDefault="002D18D9" w:rsidP="00720631">
      <w:pPr>
        <w:spacing w:line="240" w:lineRule="auto"/>
        <w:jc w:val="both"/>
        <w:rPr>
          <w:sz w:val="16"/>
        </w:rPr>
      </w:pPr>
    </w:p>
    <w:p w:rsidR="00233D90" w:rsidRPr="00070F78" w:rsidRDefault="00233D90" w:rsidP="00070F78">
      <w:pPr>
        <w:pStyle w:val="3"/>
        <w:spacing w:before="0" w:after="200"/>
        <w:jc w:val="both"/>
        <w:rPr>
          <w:rFonts w:asciiTheme="minorHAnsi" w:eastAsia="Calibri" w:hAnsiTheme="minorHAnsi"/>
          <w:color w:val="365F91" w:themeColor="accent1" w:themeShade="BF"/>
          <w:sz w:val="24"/>
          <w:szCs w:val="24"/>
        </w:rPr>
      </w:pPr>
      <w:bookmarkStart w:id="12" w:name="_Toc74930192"/>
      <w:r w:rsidRPr="00070F78">
        <w:rPr>
          <w:rFonts w:asciiTheme="minorHAnsi" w:eastAsia="Calibri" w:hAnsiTheme="minorHAnsi"/>
          <w:color w:val="365F91" w:themeColor="accent1" w:themeShade="BF"/>
          <w:sz w:val="24"/>
          <w:szCs w:val="24"/>
        </w:rPr>
        <w:t>2.</w:t>
      </w:r>
      <w:r w:rsidR="009353C0" w:rsidRPr="00070F78">
        <w:rPr>
          <w:rFonts w:asciiTheme="minorHAnsi" w:eastAsia="Calibri" w:hAnsiTheme="minorHAnsi"/>
          <w:color w:val="365F91" w:themeColor="accent1" w:themeShade="BF"/>
          <w:sz w:val="24"/>
          <w:szCs w:val="24"/>
        </w:rPr>
        <w:t>2</w:t>
      </w:r>
      <w:r w:rsidR="009F2D40" w:rsidRPr="00070F78">
        <w:rPr>
          <w:rFonts w:asciiTheme="minorHAnsi" w:eastAsia="Calibri" w:hAnsiTheme="minorHAnsi"/>
          <w:color w:val="365F91" w:themeColor="accent1" w:themeShade="BF"/>
          <w:sz w:val="24"/>
          <w:szCs w:val="24"/>
        </w:rPr>
        <w:t>.3</w:t>
      </w:r>
      <w:r w:rsidRPr="00070F78">
        <w:rPr>
          <w:rFonts w:asciiTheme="minorHAnsi" w:eastAsia="Calibri" w:hAnsiTheme="minorHAnsi"/>
          <w:color w:val="365F91" w:themeColor="accent1" w:themeShade="BF"/>
          <w:sz w:val="24"/>
          <w:szCs w:val="24"/>
        </w:rPr>
        <w:t xml:space="preserve"> Νοσοκομεία</w:t>
      </w:r>
      <w:r w:rsidR="0025692D" w:rsidRPr="00070F78">
        <w:rPr>
          <w:rFonts w:asciiTheme="minorHAnsi" w:eastAsia="Calibri" w:hAnsiTheme="minorHAnsi"/>
          <w:color w:val="365F91" w:themeColor="accent1" w:themeShade="BF"/>
          <w:sz w:val="24"/>
          <w:szCs w:val="24"/>
        </w:rPr>
        <w:t>-Πρωτοβάθμια Φροντίδα Υγείας</w:t>
      </w:r>
      <w:bookmarkEnd w:id="12"/>
      <w:r w:rsidR="0025692D" w:rsidRPr="00070F78">
        <w:rPr>
          <w:rFonts w:asciiTheme="minorHAnsi" w:eastAsia="Calibri" w:hAnsiTheme="minorHAnsi"/>
          <w:color w:val="365F91" w:themeColor="accent1" w:themeShade="BF"/>
          <w:sz w:val="24"/>
          <w:szCs w:val="24"/>
        </w:rPr>
        <w:t xml:space="preserve">   </w:t>
      </w:r>
    </w:p>
    <w:p w:rsidR="00233D90" w:rsidRPr="002A1564" w:rsidRDefault="00233D90" w:rsidP="00720631">
      <w:pPr>
        <w:spacing w:line="240" w:lineRule="auto"/>
        <w:jc w:val="both"/>
        <w:rPr>
          <w:sz w:val="2"/>
        </w:rPr>
      </w:pPr>
    </w:p>
    <w:p w:rsidR="0025692D" w:rsidRDefault="0025692D" w:rsidP="0025692D">
      <w:pPr>
        <w:jc w:val="both"/>
      </w:pPr>
      <w:r>
        <w:t xml:space="preserve">Ο υποτομέας των Νοσοκομείων περιλαμβάνει τα νοσοκομεία του ΕΣΥ (ΝΠΔΔ), το νοσοκομείο Παπαγεωργίου (ΝΠΙΔ), τα Νοσοκομεία </w:t>
      </w:r>
      <w:proofErr w:type="spellStart"/>
      <w:r>
        <w:t>Αρεταίειο</w:t>
      </w:r>
      <w:proofErr w:type="spellEnd"/>
      <w:r>
        <w:t xml:space="preserve"> και </w:t>
      </w:r>
      <w:proofErr w:type="spellStart"/>
      <w:r>
        <w:t>Αιγινήτειο</w:t>
      </w:r>
      <w:proofErr w:type="spellEnd"/>
      <w:r>
        <w:t xml:space="preserve">, το ΝΙΜΤΣ, το </w:t>
      </w:r>
      <w:proofErr w:type="spellStart"/>
      <w:r>
        <w:t>Ωνάσειο</w:t>
      </w:r>
      <w:proofErr w:type="spellEnd"/>
      <w:r>
        <w:t xml:space="preserve"> Καρδιοχειρουργικό Κέντρο, καθώς και τις δημόσιες δομές πρωτοβάθμιας φροντίδας υγείας.</w:t>
      </w:r>
    </w:p>
    <w:p w:rsidR="0025692D" w:rsidRDefault="0025692D" w:rsidP="0025692D">
      <w:pPr>
        <w:jc w:val="both"/>
      </w:pPr>
      <w:r>
        <w:lastRenderedPageBreak/>
        <w:t xml:space="preserve">Τα έσοδα του υποτομέα </w:t>
      </w:r>
      <w:r w:rsidR="002D0CF9">
        <w:t xml:space="preserve">που </w:t>
      </w:r>
      <w:r>
        <w:t>προέρχονται κατά κύριο λόγο από μεταβιβάσεις από τον Κρατικ</w:t>
      </w:r>
      <w:r w:rsidR="00440D1B">
        <w:t>ό Προϋπολογισμό και τον Ε.Ο.Π.Υ.Υ.</w:t>
      </w:r>
      <w:r>
        <w:t xml:space="preserve"> παρουσιάζουν σχετική σταθερότητα τα έτη του Μ</w:t>
      </w:r>
      <w:r w:rsidR="006C73DC">
        <w:t>Π</w:t>
      </w:r>
      <w:r>
        <w:t xml:space="preserve">ΔΣ και τυχόν μεταβολές τους έχουν ουδέτερη δημοσιονομική επίπτωση, σε επίπεδο Γενικής Κυβέρνησης. </w:t>
      </w:r>
    </w:p>
    <w:p w:rsidR="00D97D64" w:rsidRPr="00C37D1A" w:rsidRDefault="00D97D64" w:rsidP="00D97D64">
      <w:pPr>
        <w:jc w:val="both"/>
      </w:pPr>
      <w:r>
        <w:t>Οι ετήσιες δαπάνες του υποτομέα κατά το διάστημα του ΜΠΔΣ αναμένεται να διαμορφωθούν στο επίπεδο των 2,8 δισ. ευρώ, με μικρές διακυμάνσεις μεταξύ των ετών. Σε αυτές περιλαμβάνεται φαρμακευτική δαπάνη ύψους</w:t>
      </w:r>
      <w:r w:rsidRPr="00DE4222">
        <w:t xml:space="preserve"> 702 </w:t>
      </w:r>
      <w:r>
        <w:t xml:space="preserve">εκατ. ευρώ για το 2022, 717 εκατ. ευρώ για το 2023, 735 εκατ. ευρώ για το 2024 και 755 εκατ. ευρώ για το 2025. Σημειώνεται ότι στις δαπάνες του υποτομέα δεν περιλαμβάνονται οι αμοιβές του μονίμου προσωπικού των νοσοκομείων/ΠΦΥ, οι οποίες καταβάλλονται από τον τακτικό προϋπολογισμό του Υπ. Υγείας. Οι προβλέψεις των δαπανών βασίζονται κυρίως στα απολογιστικά μεγέθη του 2020, στις αποδόσεις των σχετικών δημοσιονομικών παρεμβάσεων που περιλαμβάνονται στον Πίνακα </w:t>
      </w:r>
      <w:r w:rsidRPr="00740610">
        <w:t>18</w:t>
      </w:r>
      <w:r>
        <w:t xml:space="preserve"> και στον μηχανισμό αυτόματης επιστροφής φαρμακευτικής δαπάνης (</w:t>
      </w:r>
      <w:proofErr w:type="spellStart"/>
      <w:r>
        <w:t>clawback</w:t>
      </w:r>
      <w:proofErr w:type="spellEnd"/>
      <w:r>
        <w:t xml:space="preserve">), με την υπόθεση ότι θα επεκταθεί μέχρι το έτος 2025. Επισημαίνεται ότι έχει ενσωματωθεί η στατιστική αλλαγή της μεθοδολογίας καταγραφής των εσόδων </w:t>
      </w:r>
      <w:proofErr w:type="spellStart"/>
      <w:r>
        <w:t>clawback</w:t>
      </w:r>
      <w:proofErr w:type="spellEnd"/>
      <w:r>
        <w:t xml:space="preserve"> και </w:t>
      </w:r>
      <w:proofErr w:type="spellStart"/>
      <w:r>
        <w:t>rebate</w:t>
      </w:r>
      <w:proofErr w:type="spellEnd"/>
      <w:r>
        <w:t>, τα οποία πλέον καταγράφονται σε ταμειακή και όχι σε δεδουλευμένη βάση.</w:t>
      </w:r>
    </w:p>
    <w:p w:rsidR="00233D90" w:rsidRPr="00720631" w:rsidRDefault="00233D90" w:rsidP="00720631">
      <w:pPr>
        <w:spacing w:line="240" w:lineRule="auto"/>
        <w:jc w:val="both"/>
        <w:rPr>
          <w:rFonts w:eastAsia="Calibri" w:cstheme="majorBidi"/>
          <w:b/>
          <w:color w:val="365F91" w:themeColor="accent1" w:themeShade="BF"/>
          <w:sz w:val="2"/>
        </w:rPr>
      </w:pPr>
    </w:p>
    <w:p w:rsidR="00233D90" w:rsidRPr="00070F78" w:rsidRDefault="00233D90" w:rsidP="00070F78">
      <w:pPr>
        <w:pStyle w:val="3"/>
        <w:spacing w:before="0" w:after="200"/>
        <w:jc w:val="both"/>
        <w:rPr>
          <w:rFonts w:asciiTheme="minorHAnsi" w:eastAsia="Calibri" w:hAnsiTheme="minorHAnsi"/>
          <w:color w:val="365F91" w:themeColor="accent1" w:themeShade="BF"/>
          <w:sz w:val="24"/>
          <w:szCs w:val="24"/>
        </w:rPr>
      </w:pPr>
      <w:bookmarkStart w:id="13" w:name="_Toc74930193"/>
      <w:r w:rsidRPr="00070F78">
        <w:rPr>
          <w:rFonts w:asciiTheme="minorHAnsi" w:eastAsia="Calibri" w:hAnsiTheme="minorHAnsi"/>
          <w:color w:val="365F91" w:themeColor="accent1" w:themeShade="BF"/>
          <w:sz w:val="24"/>
          <w:szCs w:val="24"/>
        </w:rPr>
        <w:t>2.</w:t>
      </w:r>
      <w:r w:rsidR="009353C0" w:rsidRPr="00070F78">
        <w:rPr>
          <w:rFonts w:asciiTheme="minorHAnsi" w:eastAsia="Calibri" w:hAnsiTheme="minorHAnsi"/>
          <w:color w:val="365F91" w:themeColor="accent1" w:themeShade="BF"/>
          <w:sz w:val="24"/>
          <w:szCs w:val="24"/>
        </w:rPr>
        <w:t>2</w:t>
      </w:r>
      <w:r w:rsidRPr="00070F78">
        <w:rPr>
          <w:rFonts w:asciiTheme="minorHAnsi" w:eastAsia="Calibri" w:hAnsiTheme="minorHAnsi"/>
          <w:color w:val="365F91" w:themeColor="accent1" w:themeShade="BF"/>
          <w:sz w:val="24"/>
          <w:szCs w:val="24"/>
        </w:rPr>
        <w:t>.</w:t>
      </w:r>
      <w:r w:rsidR="009F2D40" w:rsidRPr="00070F78">
        <w:rPr>
          <w:rFonts w:asciiTheme="minorHAnsi" w:eastAsia="Calibri" w:hAnsiTheme="minorHAnsi"/>
          <w:color w:val="365F91" w:themeColor="accent1" w:themeShade="BF"/>
          <w:sz w:val="24"/>
          <w:szCs w:val="24"/>
        </w:rPr>
        <w:t>4</w:t>
      </w:r>
      <w:r w:rsidRPr="00070F78">
        <w:rPr>
          <w:rFonts w:asciiTheme="minorHAnsi" w:eastAsia="Calibri" w:hAnsiTheme="minorHAnsi"/>
          <w:color w:val="365F91" w:themeColor="accent1" w:themeShade="BF"/>
          <w:sz w:val="24"/>
          <w:szCs w:val="24"/>
        </w:rPr>
        <w:t xml:space="preserve"> Ο.Τ.Α.</w:t>
      </w:r>
      <w:bookmarkEnd w:id="13"/>
    </w:p>
    <w:p w:rsidR="00233D90" w:rsidRPr="00720631" w:rsidRDefault="00233D90" w:rsidP="00720631">
      <w:pPr>
        <w:spacing w:line="240" w:lineRule="auto"/>
        <w:jc w:val="both"/>
        <w:rPr>
          <w:rFonts w:eastAsia="Calibri" w:cstheme="majorBidi"/>
          <w:b/>
          <w:color w:val="365F91" w:themeColor="accent1" w:themeShade="BF"/>
          <w:sz w:val="2"/>
        </w:rPr>
      </w:pPr>
    </w:p>
    <w:p w:rsidR="00C91EF6" w:rsidRPr="00C91EF6" w:rsidRDefault="00C91EF6" w:rsidP="00C91EF6">
      <w:pPr>
        <w:jc w:val="both"/>
        <w:rPr>
          <w:rFonts w:eastAsia="Calibri" w:cstheme="majorBidi"/>
        </w:rPr>
      </w:pPr>
      <w:r w:rsidRPr="00C91EF6">
        <w:rPr>
          <w:rFonts w:eastAsia="Calibri" w:cstheme="majorBidi"/>
        </w:rPr>
        <w:t xml:space="preserve">Στον υποτομέα των ΟΤΑ, το δημοσιονομικό αποτέλεσμα του 2020 διαμορφώθηκε σχεδόν στα ίδια επίπεδα με του προηγούμενου έτους. Η σημαντική πτώση στα Λοιπά (Ίδια) Έσοδα λόγω της πανδημίας, τουλάχιστον ως προς το σκέλος των οριστικών απωλειών, αλλά και το μέρος των Λοιπών Εξόδων που σχετίζονταν με αυτήν, καλύφθηκαν σε μεγάλο βαθμό από τη σημαντική αύξηση των Μεταβιβάσεων από τον Τακτικό Προϋπολογισμό. Εκτός αυτού, μέρος της αύξησης στις Μεταβιβάσεις χρηματοδότησε την αποπληρωμή ληξιπρόθεσμων υποχρεώσεων των ΟΤΑ προς τρίτους, καθώς και την ανάληψη από τον υποτομέα του μισθολογικού κόστους για το προσωπικό καθαριότητας των σχολικών μονάδων από την έναρξη του σχολικού έτους 2020-2021. Τέλος, στην εμφανιζόμενη αύξηση του μισθολογικού κόστους συνετέλεσε και η ολοκλήρωση της - ουδέτερης στη Γενική Κυβέρνηση – μεταρρύθμισης του ΕΦΚΑ, ενώ οι επενδυτικές δαπάνες συνέχισαν την ανοδική πορεία τους, κυρίως λόγω της σταδιακής κλιμάκωσης των δύο (2) αναπτυξιακών προγραμμάτων του Υπουργείου Εσωτερικών: «Φιλόδημος ΙΙ» και «Αντώνης </w:t>
      </w:r>
      <w:proofErr w:type="spellStart"/>
      <w:r w:rsidRPr="00C91EF6">
        <w:rPr>
          <w:rFonts w:eastAsia="Calibri" w:cstheme="majorBidi"/>
        </w:rPr>
        <w:t>Τρίτσης</w:t>
      </w:r>
      <w:proofErr w:type="spellEnd"/>
      <w:r w:rsidRPr="00C91EF6">
        <w:rPr>
          <w:rFonts w:eastAsia="Calibri" w:cstheme="majorBidi"/>
        </w:rPr>
        <w:t>».</w:t>
      </w:r>
    </w:p>
    <w:p w:rsidR="00C91EF6" w:rsidRPr="00A8267D" w:rsidRDefault="00C91EF6" w:rsidP="00C91EF6">
      <w:pPr>
        <w:jc w:val="both"/>
        <w:rPr>
          <w:rFonts w:eastAsia="Calibri" w:cstheme="majorBidi"/>
        </w:rPr>
      </w:pPr>
      <w:r w:rsidRPr="00C91EF6">
        <w:rPr>
          <w:rFonts w:eastAsia="Calibri" w:cstheme="majorBidi"/>
        </w:rPr>
        <w:t>Σημειώνεται ότι ειδικά για τα έτη 2019 και 2020, ποσά ύψους 3 και 71 εκατ. ευρώ αντίστοιχα, εκ της συνολικής δαπάνης για τη Δράση «Εναρμόνιση οικογενειακής και επαγγελματικής ζωής», που παρέχει σε μητέρες δικαιούχους μεταξύ άλλων τη δωρεάν φοίτηση των παιδιών τους σε παιδικούς και βρεφονηπιακούς σταθμούς, χρηματοδοτήθηκ</w:t>
      </w:r>
      <w:r w:rsidR="00BF1025">
        <w:rPr>
          <w:rFonts w:eastAsia="Calibri" w:cstheme="majorBidi"/>
        </w:rPr>
        <w:t>αν</w:t>
      </w:r>
      <w:r w:rsidRPr="00C91EF6">
        <w:rPr>
          <w:rFonts w:eastAsia="Calibri" w:cstheme="majorBidi"/>
        </w:rPr>
        <w:t xml:space="preserve"> από τον Τακτικό Π/Υ αντί του ΠΔΕ. </w:t>
      </w:r>
      <w:r w:rsidR="00B63696">
        <w:rPr>
          <w:rFonts w:eastAsia="Calibri" w:cstheme="majorBidi"/>
        </w:rPr>
        <w:t xml:space="preserve">Για την ορθή αποτύπωση  </w:t>
      </w:r>
      <w:r w:rsidRPr="00C91EF6">
        <w:rPr>
          <w:rFonts w:eastAsia="Calibri" w:cstheme="majorBidi"/>
        </w:rPr>
        <w:t xml:space="preserve">του αποτελέσματος της Γενικής Κυβέρνησης, το συγκεκριμένο ποσό καταγράφηκε τόσο στα έσοδα όσο και στις Κοινωνικές Παροχές των δύο αυτών ετών για τον υποτομέα, κάτι που δεν επαναλαμβάνεται στα επόμενα έτη, καθώς ήδη από το σχολικό έτος 2020-2021 το σύνολο του προϋπολογισμού της Δράσης χρηματοδοτείται και πάλι εξ ολοκλήρου από το ΠΔΕ, με αυξημένο ύψος. Κατά τα λοιπά, η κατηγορία δαπανών Κοινωνικές Παροχές περιλαμβάνει κυρίως δαπάνες για τη μεταφορά μαθητών στις σχολικές μονάδες, δαπάνες οι οποίες συμπιέστηκαν κυρίως το 2020, αλλά και το 2021, λόγω του κλεισίματος των σχολείων και της διεξαγωγής των μαθημάτων μέσω </w:t>
      </w:r>
      <w:proofErr w:type="spellStart"/>
      <w:r w:rsidRPr="00C91EF6">
        <w:rPr>
          <w:rFonts w:eastAsia="Calibri" w:cstheme="majorBidi"/>
        </w:rPr>
        <w:t>τηλεκπαίδευσης</w:t>
      </w:r>
      <w:proofErr w:type="spellEnd"/>
      <w:r w:rsidRPr="00C91EF6">
        <w:rPr>
          <w:rFonts w:eastAsia="Calibri" w:cstheme="majorBidi"/>
        </w:rPr>
        <w:t>.</w:t>
      </w:r>
    </w:p>
    <w:p w:rsidR="00C91EF6" w:rsidRPr="00A8267D" w:rsidRDefault="00C91EF6" w:rsidP="00C91EF6">
      <w:pPr>
        <w:jc w:val="both"/>
        <w:rPr>
          <w:rFonts w:eastAsia="Calibri" w:cstheme="majorBidi"/>
        </w:rPr>
      </w:pPr>
      <w:r w:rsidRPr="00C91EF6">
        <w:rPr>
          <w:rFonts w:eastAsia="Calibri" w:cstheme="majorBidi"/>
        </w:rPr>
        <w:t>Οι προβλέψεις για τα επόμενα έτη διαμορφώθηκαν κυρίως με βάση τα εξής:</w:t>
      </w:r>
    </w:p>
    <w:p w:rsidR="00C91EF6" w:rsidRPr="0036433C" w:rsidRDefault="00C91EF6" w:rsidP="00C91EF6">
      <w:pPr>
        <w:pStyle w:val="a4"/>
        <w:numPr>
          <w:ilvl w:val="0"/>
          <w:numId w:val="25"/>
        </w:numPr>
        <w:jc w:val="both"/>
        <w:rPr>
          <w:rFonts w:eastAsia="Calibri" w:cstheme="majorBidi"/>
        </w:rPr>
      </w:pPr>
      <w:r w:rsidRPr="00C91EF6">
        <w:rPr>
          <w:rFonts w:eastAsia="Calibri" w:cstheme="majorBidi"/>
        </w:rPr>
        <w:t xml:space="preserve">Την εκτέλεση του </w:t>
      </w:r>
      <w:r w:rsidR="0036433C">
        <w:rPr>
          <w:rFonts w:eastAsia="Calibri" w:cstheme="majorBidi"/>
        </w:rPr>
        <w:t xml:space="preserve">προϋπολογισμού του </w:t>
      </w:r>
      <w:r w:rsidRPr="00C91EF6">
        <w:rPr>
          <w:rFonts w:eastAsia="Calibri" w:cstheme="majorBidi"/>
        </w:rPr>
        <w:t>2020.</w:t>
      </w:r>
    </w:p>
    <w:p w:rsidR="00C91EF6" w:rsidRPr="00C91EF6" w:rsidRDefault="00C91EF6" w:rsidP="00C91EF6">
      <w:pPr>
        <w:pStyle w:val="a4"/>
        <w:numPr>
          <w:ilvl w:val="0"/>
          <w:numId w:val="25"/>
        </w:numPr>
        <w:jc w:val="both"/>
        <w:rPr>
          <w:rFonts w:eastAsia="Calibri" w:cstheme="majorBidi"/>
        </w:rPr>
      </w:pPr>
      <w:r w:rsidRPr="00C91EF6">
        <w:rPr>
          <w:rFonts w:eastAsia="Calibri" w:cstheme="majorBidi"/>
        </w:rPr>
        <w:t xml:space="preserve">Τις </w:t>
      </w:r>
      <w:proofErr w:type="spellStart"/>
      <w:r w:rsidRPr="00C91EF6">
        <w:rPr>
          <w:rFonts w:eastAsia="Calibri" w:cstheme="majorBidi"/>
        </w:rPr>
        <w:t>μακρο</w:t>
      </w:r>
      <w:proofErr w:type="spellEnd"/>
      <w:r w:rsidRPr="00C91EF6">
        <w:rPr>
          <w:rFonts w:eastAsia="Calibri" w:cstheme="majorBidi"/>
        </w:rPr>
        <w:t>-οικονομικές προβλέψεις, όσον αφορά τα Λοιπά Έσοδα και τις Λοιπές Δαπάνες.</w:t>
      </w:r>
    </w:p>
    <w:p w:rsidR="00C91EF6" w:rsidRPr="00C91EF6" w:rsidRDefault="00C91EF6" w:rsidP="00C91EF6">
      <w:pPr>
        <w:pStyle w:val="a4"/>
        <w:numPr>
          <w:ilvl w:val="0"/>
          <w:numId w:val="25"/>
        </w:numPr>
        <w:jc w:val="both"/>
        <w:rPr>
          <w:rFonts w:eastAsia="Calibri" w:cstheme="majorBidi"/>
        </w:rPr>
      </w:pPr>
      <w:r w:rsidRPr="00C91EF6">
        <w:rPr>
          <w:rFonts w:eastAsia="Calibri" w:cstheme="majorBidi"/>
        </w:rPr>
        <w:t xml:space="preserve">Τις εκτιμήσεις για την περαιτέρω ενίσχυση της επενδυτικής δραστηριότητας των φορέων του υποτομέα, λόγω και της περαιτέρω ωρίμανσης των έργων των επενδυτικών προγραμμάτων «Αντώνης </w:t>
      </w:r>
      <w:proofErr w:type="spellStart"/>
      <w:r w:rsidRPr="00C91EF6">
        <w:rPr>
          <w:rFonts w:eastAsia="Calibri" w:cstheme="majorBidi"/>
        </w:rPr>
        <w:t>Τρίτσης</w:t>
      </w:r>
      <w:proofErr w:type="spellEnd"/>
      <w:r w:rsidRPr="00C91EF6">
        <w:rPr>
          <w:rFonts w:eastAsia="Calibri" w:cstheme="majorBidi"/>
        </w:rPr>
        <w:t xml:space="preserve">» και «Φιλόδημος ΙΙ». Επισημαίνεται ότι στα επόμενα οικονομικά έτη, τα οικονομικά αποτελέσματα του </w:t>
      </w:r>
      <w:r w:rsidRPr="00C91EF6">
        <w:rPr>
          <w:rFonts w:eastAsia="Calibri" w:cstheme="majorBidi"/>
        </w:rPr>
        <w:lastRenderedPageBreak/>
        <w:t>υποτομέα θα επιβαρυνθούν λόγω της κλιμάκωσης στην υλοποίηση των δύο προγραμμάτων, ως απόρροια της χρηματοδοτικής τους αρχιτεκτονικής και της συνεπαγόμενης ετεροχρονισμένης αποτύπωσης εσόδου και δαπάνης.</w:t>
      </w:r>
    </w:p>
    <w:p w:rsidR="00C91EF6" w:rsidRPr="00C91EF6" w:rsidRDefault="00C91EF6" w:rsidP="00C91EF6">
      <w:pPr>
        <w:pStyle w:val="a4"/>
        <w:numPr>
          <w:ilvl w:val="0"/>
          <w:numId w:val="25"/>
        </w:numPr>
        <w:jc w:val="both"/>
        <w:rPr>
          <w:rFonts w:eastAsia="Calibri" w:cstheme="majorBidi"/>
        </w:rPr>
      </w:pPr>
      <w:r w:rsidRPr="00C91EF6">
        <w:rPr>
          <w:rFonts w:eastAsia="Calibri" w:cstheme="majorBidi"/>
        </w:rPr>
        <w:t>Την εκτίμηση για σταδιακή ανάκαμψη των Λοιπών (Ιδίων) Εσόδων από τις επιπτώσεις της πανδημίας, αλλά και για ενίσχυσή τους από το τέλος του 2021 και ιδίως το 2022, οπότε και αναμένεται να αποτυπωθούν στα οικονομικά στοιχεία των δήμων τα  αποτελέσματα της δράσης για τη διόρθωση των στοιχείων της επιφάνειας των ακινήτων (</w:t>
      </w:r>
      <w:hyperlink r:id="rId35" w:history="1">
        <w:r w:rsidRPr="00B87415">
          <w:rPr>
            <w:rStyle w:val="-"/>
            <w:rFonts w:eastAsia="Calibri" w:cstheme="majorBidi"/>
          </w:rPr>
          <w:t>https://tetragonika.govapp.gr/</w:t>
        </w:r>
      </w:hyperlink>
      <w:r w:rsidRPr="00C91EF6">
        <w:rPr>
          <w:rFonts w:eastAsia="Calibri" w:cstheme="majorBidi"/>
        </w:rPr>
        <w:t>).</w:t>
      </w:r>
    </w:p>
    <w:p w:rsidR="00C91EF6" w:rsidRPr="00C91EF6" w:rsidRDefault="00C91EF6" w:rsidP="00C91EF6">
      <w:pPr>
        <w:pStyle w:val="a4"/>
        <w:numPr>
          <w:ilvl w:val="0"/>
          <w:numId w:val="25"/>
        </w:numPr>
        <w:jc w:val="both"/>
        <w:rPr>
          <w:rFonts w:eastAsia="Calibri" w:cstheme="majorBidi"/>
        </w:rPr>
      </w:pPr>
      <w:r w:rsidRPr="00C91EF6">
        <w:rPr>
          <w:rFonts w:eastAsia="Calibri" w:cstheme="majorBidi"/>
        </w:rPr>
        <w:t>Τη σταδιακή μείωση, κυρίως από το δεύτερο εξάμηνο του 2021, της ανάγκης για δαπάνες σχετιζόμενες με την πανδημία.</w:t>
      </w:r>
    </w:p>
    <w:p w:rsidR="002A014E" w:rsidRPr="007E23DC" w:rsidRDefault="00C91EF6" w:rsidP="00C91EF6">
      <w:pPr>
        <w:pStyle w:val="a4"/>
        <w:numPr>
          <w:ilvl w:val="0"/>
          <w:numId w:val="25"/>
        </w:numPr>
        <w:jc w:val="both"/>
        <w:rPr>
          <w:rFonts w:eastAsia="Calibri" w:cstheme="majorBidi"/>
        </w:rPr>
      </w:pPr>
      <w:r w:rsidRPr="00C91EF6">
        <w:rPr>
          <w:rFonts w:eastAsia="Calibri" w:cstheme="majorBidi"/>
        </w:rPr>
        <w:t>Τις εκτιμήσεις για τις αποχωρήσεις προσωπικού, τον προγραμματισμό προσλήψεων και τις μισθολογικές ωριμάνσεις.</w:t>
      </w:r>
    </w:p>
    <w:p w:rsidR="007E23DC" w:rsidRPr="00A8267D" w:rsidRDefault="007E23DC" w:rsidP="007E23DC">
      <w:pPr>
        <w:pStyle w:val="a4"/>
        <w:jc w:val="both"/>
        <w:rPr>
          <w:rFonts w:eastAsia="Calibri" w:cstheme="majorBidi"/>
        </w:rPr>
      </w:pPr>
    </w:p>
    <w:p w:rsidR="00233D90" w:rsidRPr="00070F78" w:rsidRDefault="00233D90" w:rsidP="00070F78">
      <w:pPr>
        <w:pStyle w:val="3"/>
        <w:spacing w:before="0" w:after="200"/>
        <w:jc w:val="both"/>
        <w:rPr>
          <w:rFonts w:asciiTheme="minorHAnsi" w:eastAsia="Calibri" w:hAnsiTheme="minorHAnsi"/>
          <w:color w:val="365F91" w:themeColor="accent1" w:themeShade="BF"/>
          <w:sz w:val="24"/>
          <w:szCs w:val="24"/>
        </w:rPr>
      </w:pPr>
      <w:bookmarkStart w:id="14" w:name="_Toc74930194"/>
      <w:r w:rsidRPr="00070F78">
        <w:rPr>
          <w:rFonts w:asciiTheme="minorHAnsi" w:eastAsia="Calibri" w:hAnsiTheme="minorHAnsi"/>
          <w:color w:val="365F91" w:themeColor="accent1" w:themeShade="BF"/>
          <w:sz w:val="24"/>
          <w:szCs w:val="24"/>
        </w:rPr>
        <w:t>2.</w:t>
      </w:r>
      <w:r w:rsidR="009353C0" w:rsidRPr="00070F78">
        <w:rPr>
          <w:rFonts w:asciiTheme="minorHAnsi" w:eastAsia="Calibri" w:hAnsiTheme="minorHAnsi"/>
          <w:color w:val="365F91" w:themeColor="accent1" w:themeShade="BF"/>
          <w:sz w:val="24"/>
          <w:szCs w:val="24"/>
        </w:rPr>
        <w:t>2</w:t>
      </w:r>
      <w:r w:rsidRPr="00070F78">
        <w:rPr>
          <w:rFonts w:asciiTheme="minorHAnsi" w:eastAsia="Calibri" w:hAnsiTheme="minorHAnsi"/>
          <w:color w:val="365F91" w:themeColor="accent1" w:themeShade="BF"/>
          <w:sz w:val="24"/>
          <w:szCs w:val="24"/>
        </w:rPr>
        <w:t>.</w:t>
      </w:r>
      <w:r w:rsidR="009F2D40" w:rsidRPr="00070F78">
        <w:rPr>
          <w:rFonts w:asciiTheme="minorHAnsi" w:eastAsia="Calibri" w:hAnsiTheme="minorHAnsi"/>
          <w:color w:val="365F91" w:themeColor="accent1" w:themeShade="BF"/>
          <w:sz w:val="24"/>
          <w:szCs w:val="24"/>
        </w:rPr>
        <w:t>5</w:t>
      </w:r>
      <w:r w:rsidRPr="00070F78">
        <w:rPr>
          <w:rFonts w:asciiTheme="minorHAnsi" w:eastAsia="Calibri" w:hAnsiTheme="minorHAnsi"/>
          <w:color w:val="365F91" w:themeColor="accent1" w:themeShade="BF"/>
          <w:sz w:val="24"/>
          <w:szCs w:val="24"/>
        </w:rPr>
        <w:t xml:space="preserve"> Κοινωνικός Π</w:t>
      </w:r>
      <w:r w:rsidR="0025692D" w:rsidRPr="00070F78">
        <w:rPr>
          <w:rFonts w:asciiTheme="minorHAnsi" w:eastAsia="Calibri" w:hAnsiTheme="minorHAnsi"/>
          <w:color w:val="365F91" w:themeColor="accent1" w:themeShade="BF"/>
          <w:sz w:val="24"/>
          <w:szCs w:val="24"/>
        </w:rPr>
        <w:t>ροϋπολογισμός</w:t>
      </w:r>
      <w:bookmarkEnd w:id="14"/>
    </w:p>
    <w:p w:rsidR="00233D90" w:rsidRPr="00C37D1A" w:rsidRDefault="00233D90" w:rsidP="00720631">
      <w:pPr>
        <w:spacing w:line="240" w:lineRule="auto"/>
        <w:jc w:val="both"/>
        <w:rPr>
          <w:rFonts w:eastAsia="Calibri" w:cstheme="majorBidi"/>
          <w:b/>
          <w:color w:val="365F91" w:themeColor="accent1" w:themeShade="BF"/>
        </w:rPr>
      </w:pPr>
    </w:p>
    <w:p w:rsidR="002A014E" w:rsidRDefault="002A014E" w:rsidP="002A014E">
      <w:pPr>
        <w:jc w:val="both"/>
      </w:pPr>
      <w:r>
        <w:t>Στον Κοινωνικό Προϋπολογισμό περιλαμβάνονται τα ασφαλιστικά ταμεία, ο ΟΠΕΚΑ-ΝΑΤ με μη ασφαλιστικές αρμοδιότητες, ο ΟΑΕΔ και ο ΕΟΠΥΥ. Για το σύνολο των ετών του ΜΠΔΣ, δηλαδή από το 2022 έως το 2025, ο Κοινωνικός Προϋπολογισμός παρουσιάζει θετικό δημοσιονομικό αποτέλεσμα.</w:t>
      </w:r>
    </w:p>
    <w:p w:rsidR="002A014E" w:rsidRDefault="002A014E" w:rsidP="002A014E">
      <w:pPr>
        <w:jc w:val="both"/>
      </w:pPr>
      <w:r>
        <w:t xml:space="preserve">Τα έσοδα των Οργανισμών Κοινωνικής Ασφάλισης προέρχονται κυρίως από ασφαλιστικές εισφορές και από μεταβιβάσεις από τον Κρατικό Προϋπολογισμό. Η αύξηση των εσόδων από τις ασφαλιστικές εισφορές την περίοδο 2022-2025 οφείλεται κατά κύριο λόγο στη βελτίωση του μακροοικονομικού περιβάλλοντος (ανάπτυξη, αύξηση απασχόλησης κ.λπ.). Επιπλέον, τίθεται ως στόχος η περαιτέρω καταπολέμηση της αδήλωτης και της υποδηλωμένης εργασίας. Σημειώνεται ότι η </w:t>
      </w:r>
      <w:r w:rsidR="0036433C">
        <w:t xml:space="preserve">πτώση </w:t>
      </w:r>
      <w:r>
        <w:t>που καταγράφεται στις ασφαλιστικές εισφορές του ΟΑΕΔ τη διετία 2021-2022 απορρέει από τη μείωση κατά τρεις (3) ποσοστιαίες μονάδες των ασφαλιστικών εισφορών των μισθωτών του ιδιωτικού τομέα, παρέμβαση που υιοθετήθηκε στο πλαίσιο αντιμετώπισης των συνεπειών της πανδημίας.</w:t>
      </w:r>
    </w:p>
    <w:p w:rsidR="002A014E" w:rsidRDefault="002A014E" w:rsidP="002A014E">
      <w:pPr>
        <w:jc w:val="both"/>
      </w:pPr>
      <w:r>
        <w:t>Η συνταξιοδοτική δαπάνη αναμένεται να κυμανθεί από 29,7</w:t>
      </w:r>
      <w:r w:rsidR="00634175" w:rsidRPr="00634175">
        <w:t xml:space="preserve"> </w:t>
      </w:r>
      <w:r w:rsidR="00634175">
        <w:t>δισ. ευρώ</w:t>
      </w:r>
      <w:r>
        <w:t xml:space="preserve"> το 2022 έως 30,6 δισ. ευρώ περίπου το 2025, καταγράφοντας σταδιακή μικρή αύξηση. Η δαπάνη του ΟΠΕΚΑ για κοινωνικές παροχές (που αφορούν ενδεικτικά το ελάχιστο εγγυημένο εισόδημα, τα οικογενειακά και αναπηρικά επιδόματα</w:t>
      </w:r>
      <w:r w:rsidR="007262C5">
        <w:t xml:space="preserve">, το στεγαστικό επίδομα, το επίδομα γέννησης </w:t>
      </w:r>
      <w:r>
        <w:t xml:space="preserve"> και άλλα) εμφανίζει σχετική σταθερότητα την περίοδο του μεσοπρόθεσμου δημοσιονομικού σχεδιασμού. Επισημαίνεται ότι η μείωση που παρατηρείται στην προαναφερθείσα δαπάνη σε σχέση με τα έτη 2021 (κυρίως) και 2022, οφείλεται σε παρεμβάσεις για την αντιμετώπιση των συνεπειών της πανδημίας COVID-19 τα εν λόγω έτη, οι οποίες έχουν επιβαρυντική δημοσιονομική επίπτωση. Οι δαπάνες του ΟΑΕΔ διαμορφώνονται από τις ενεργητικές πολιτικές για την ενίσχυση της απασχόλησης και τη μείωση της ανεργίας και τη σχετικά σταθερή δαπάνη για καταβολή των επιδομάτων ανεργίας.</w:t>
      </w:r>
    </w:p>
    <w:p w:rsidR="00472311" w:rsidRDefault="002A014E" w:rsidP="00472311">
      <w:pPr>
        <w:jc w:val="both"/>
      </w:pPr>
      <w:r>
        <w:t>Όσον αφορά τις δαπάνες του ΕΟΠΥΥ για φάρμακα και λοιπές παροχές ασθ</w:t>
      </w:r>
      <w:r w:rsidR="00095361">
        <w:t>έ</w:t>
      </w:r>
      <w:r>
        <w:t>νε</w:t>
      </w:r>
      <w:r w:rsidR="00095361">
        <w:t>ι</w:t>
      </w:r>
      <w:r>
        <w:t>ας, αυτές αναμένεται να διαμορφωθούν στα 4,42 δισ. ευρώ το 2022, και να συνεχίσουν να αυξάνονται στα 4,53 δισ. ευρώ το 2023, στα 4,66 δισ. ευρώ το 2024 και στα 4,78 δισ.</w:t>
      </w:r>
      <w:r w:rsidR="008F6139">
        <w:t xml:space="preserve"> ευρώ </w:t>
      </w:r>
      <w:r>
        <w:t xml:space="preserve"> το 2025. </w:t>
      </w:r>
      <w:r w:rsidR="00095361">
        <w:t xml:space="preserve">Υπενθυμίζεται </w:t>
      </w:r>
      <w:r>
        <w:t xml:space="preserve">ότι έχει ενσωματωθεί η στατιστική αλλαγή της μεθοδολογίας καταγραφής των εσόδων </w:t>
      </w:r>
      <w:proofErr w:type="spellStart"/>
      <w:r>
        <w:t>clawback</w:t>
      </w:r>
      <w:proofErr w:type="spellEnd"/>
      <w:r>
        <w:t xml:space="preserve"> και </w:t>
      </w:r>
      <w:proofErr w:type="spellStart"/>
      <w:r>
        <w:t>rebate</w:t>
      </w:r>
      <w:proofErr w:type="spellEnd"/>
      <w:r>
        <w:t xml:space="preserve">, τα οποία πλέον καταγράφονται σε ταμειακή και όχι σε δεδουλευμένη βάση. Από το 2021 και εφεξής, αναμένεται να ενισχυθεί η είσπραξη των εσόδων αυτών από τους </w:t>
      </w:r>
      <w:proofErr w:type="spellStart"/>
      <w:r>
        <w:t>παρόχους</w:t>
      </w:r>
      <w:proofErr w:type="spellEnd"/>
      <w:r>
        <w:t xml:space="preserve"> υγείας, κατόπιν πρωτοβουλιών και παρεμβάσεων του Φορέα. Επιπρόσθετα, γίνεται η υπόθεση ότι ο μηχανισμός του </w:t>
      </w:r>
      <w:proofErr w:type="spellStart"/>
      <w:r>
        <w:t>clawback</w:t>
      </w:r>
      <w:proofErr w:type="spellEnd"/>
      <w:r>
        <w:t xml:space="preserve"> θα επεκταθεί και στο έτος 2025. </w:t>
      </w:r>
      <w:r w:rsidR="00472311">
        <w:t xml:space="preserve">Τα έσοδα και οι δαπάνες του Εθνικού Σχεδίου Ανάκαμψης και Ανθεκτικότητας δεν έχουν ακόμα περιληφθεί στα στοιχεία του κοινωνικού </w:t>
      </w:r>
      <w:r w:rsidR="00472311">
        <w:lastRenderedPageBreak/>
        <w:t>προϋπολογισμού, τα οποία θα είναι ανάλογα αυξημένα κατά την εφαρμογή του ΜΠΔΣ, χωρίς αυτό να αλλάζει το δημοσιονομικό αποτέλεσμα καθώς εκ του κανονισμού το Ταμείο είναι υποχρεωτικά δημοσιονομικά ουδέτερο.</w:t>
      </w:r>
    </w:p>
    <w:p w:rsidR="00D97D64" w:rsidRPr="001D632F" w:rsidRDefault="00D97D64" w:rsidP="00D97D64">
      <w:pPr>
        <w:jc w:val="both"/>
      </w:pPr>
      <w:r>
        <w:t>Οι εκτιμήσεις των οικονομικών μεγεθών των Φορέων Κοινωνικής Ασφάλισης για τα έτη 2022-2025 παρατίθενται στον Πίνακα 11.</w:t>
      </w:r>
    </w:p>
    <w:p w:rsidR="00233D90" w:rsidRPr="00C37D1A" w:rsidRDefault="003A6D3E" w:rsidP="00AA248C">
      <w:pPr>
        <w:jc w:val="both"/>
        <w:rPr>
          <w:rFonts w:eastAsia="Calibri" w:cstheme="majorBidi"/>
          <w:b/>
          <w:color w:val="365F91" w:themeColor="accent1" w:themeShade="BF"/>
        </w:rPr>
      </w:pPr>
      <w:r w:rsidRPr="003A6D3E">
        <w:rPr>
          <w:noProof/>
        </w:rPr>
        <w:drawing>
          <wp:inline distT="0" distB="0" distL="0" distR="0">
            <wp:extent cx="6479540" cy="8016898"/>
            <wp:effectExtent l="19050" t="0" r="0" b="0"/>
            <wp:docPr id="55"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a:stretch>
                      <a:fillRect/>
                    </a:stretch>
                  </pic:blipFill>
                  <pic:spPr bwMode="auto">
                    <a:xfrm>
                      <a:off x="0" y="0"/>
                      <a:ext cx="6479540" cy="8016898"/>
                    </a:xfrm>
                    <a:prstGeom prst="rect">
                      <a:avLst/>
                    </a:prstGeom>
                    <a:noFill/>
                    <a:ln w="9525">
                      <a:noFill/>
                      <a:miter lim="800000"/>
                      <a:headEnd/>
                      <a:tailEnd/>
                    </a:ln>
                  </pic:spPr>
                </pic:pic>
              </a:graphicData>
            </a:graphic>
          </wp:inline>
        </w:drawing>
      </w:r>
    </w:p>
    <w:p w:rsidR="003B366B" w:rsidRDefault="003B366B">
      <w:pPr>
        <w:rPr>
          <w:rFonts w:eastAsia="Calibri"/>
          <w:color w:val="365F91" w:themeColor="accent1" w:themeShade="BF"/>
          <w:lang w:val="en-US"/>
        </w:rPr>
      </w:pPr>
    </w:p>
    <w:p w:rsidR="00CB2225" w:rsidRPr="00CB2225" w:rsidRDefault="00CB2225">
      <w:pPr>
        <w:rPr>
          <w:rFonts w:eastAsia="Calibri"/>
          <w:color w:val="365F91" w:themeColor="accent1" w:themeShade="BF"/>
        </w:rPr>
      </w:pPr>
      <w:r w:rsidRPr="00CB2225">
        <w:rPr>
          <w:noProof/>
        </w:rPr>
        <w:drawing>
          <wp:inline distT="0" distB="0" distL="0" distR="0">
            <wp:extent cx="6479540" cy="8029350"/>
            <wp:effectExtent l="19050" t="0" r="0"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6479540" cy="8029350"/>
                    </a:xfrm>
                    <a:prstGeom prst="rect">
                      <a:avLst/>
                    </a:prstGeom>
                    <a:noFill/>
                    <a:ln w="9525">
                      <a:noFill/>
                      <a:miter lim="800000"/>
                      <a:headEnd/>
                      <a:tailEnd/>
                    </a:ln>
                  </pic:spPr>
                </pic:pic>
              </a:graphicData>
            </a:graphic>
          </wp:inline>
        </w:drawing>
      </w:r>
    </w:p>
    <w:p w:rsidR="003B366B" w:rsidRPr="00A8267D" w:rsidRDefault="003B366B">
      <w:pPr>
        <w:rPr>
          <w:rFonts w:eastAsia="Calibri"/>
          <w:color w:val="365F91" w:themeColor="accent1" w:themeShade="BF"/>
          <w:lang w:val="en-US"/>
        </w:rPr>
      </w:pPr>
    </w:p>
    <w:p w:rsidR="00233D90" w:rsidRPr="009F2FC4" w:rsidRDefault="003A6D3E" w:rsidP="009F2FC4">
      <w:pPr>
        <w:pStyle w:val="3"/>
        <w:spacing w:before="0" w:after="200"/>
        <w:jc w:val="both"/>
        <w:rPr>
          <w:rFonts w:asciiTheme="minorHAnsi" w:eastAsia="Calibri" w:hAnsiTheme="minorHAnsi"/>
          <w:color w:val="365F91" w:themeColor="accent1" w:themeShade="BF"/>
          <w:sz w:val="24"/>
          <w:szCs w:val="24"/>
        </w:rPr>
      </w:pPr>
      <w:r>
        <w:rPr>
          <w:rFonts w:eastAsia="Calibri"/>
          <w:color w:val="365F91" w:themeColor="accent1" w:themeShade="BF"/>
        </w:rPr>
        <w:br w:type="page"/>
      </w:r>
      <w:bookmarkStart w:id="15" w:name="_Toc74930195"/>
      <w:r w:rsidR="00233D90" w:rsidRPr="009F2FC4">
        <w:rPr>
          <w:rFonts w:asciiTheme="minorHAnsi" w:eastAsia="Calibri" w:hAnsiTheme="minorHAnsi"/>
          <w:color w:val="365F91" w:themeColor="accent1" w:themeShade="BF"/>
          <w:sz w:val="24"/>
          <w:szCs w:val="24"/>
        </w:rPr>
        <w:lastRenderedPageBreak/>
        <w:t>2.</w:t>
      </w:r>
      <w:r w:rsidR="009353C0" w:rsidRPr="009F2FC4">
        <w:rPr>
          <w:rFonts w:asciiTheme="minorHAnsi" w:eastAsia="Calibri" w:hAnsiTheme="minorHAnsi"/>
          <w:color w:val="365F91" w:themeColor="accent1" w:themeShade="BF"/>
          <w:sz w:val="24"/>
          <w:szCs w:val="24"/>
        </w:rPr>
        <w:t>2</w:t>
      </w:r>
      <w:r w:rsidR="00233D90" w:rsidRPr="009F2FC4">
        <w:rPr>
          <w:rFonts w:asciiTheme="minorHAnsi" w:eastAsia="Calibri" w:hAnsiTheme="minorHAnsi"/>
          <w:color w:val="365F91" w:themeColor="accent1" w:themeShade="BF"/>
          <w:sz w:val="24"/>
          <w:szCs w:val="24"/>
        </w:rPr>
        <w:t>.</w:t>
      </w:r>
      <w:r w:rsidR="009F2D40" w:rsidRPr="009F2FC4">
        <w:rPr>
          <w:rFonts w:asciiTheme="minorHAnsi" w:eastAsia="Calibri" w:hAnsiTheme="minorHAnsi"/>
          <w:color w:val="365F91" w:themeColor="accent1" w:themeShade="BF"/>
          <w:sz w:val="24"/>
          <w:szCs w:val="24"/>
        </w:rPr>
        <w:t>6</w:t>
      </w:r>
      <w:r w:rsidR="00233D90" w:rsidRPr="009F2FC4">
        <w:rPr>
          <w:rFonts w:asciiTheme="minorHAnsi" w:eastAsia="Calibri" w:hAnsiTheme="minorHAnsi"/>
          <w:color w:val="365F91" w:themeColor="accent1" w:themeShade="BF"/>
          <w:sz w:val="24"/>
          <w:szCs w:val="24"/>
        </w:rPr>
        <w:t xml:space="preserve"> Προσλήψεις</w:t>
      </w:r>
      <w:r w:rsidR="00943EF3" w:rsidRPr="009F2FC4">
        <w:rPr>
          <w:rFonts w:asciiTheme="minorHAnsi" w:eastAsia="Calibri" w:hAnsiTheme="minorHAnsi"/>
          <w:color w:val="365F91" w:themeColor="accent1" w:themeShade="BF"/>
          <w:sz w:val="24"/>
          <w:szCs w:val="24"/>
        </w:rPr>
        <w:t xml:space="preserve"> - </w:t>
      </w:r>
      <w:r w:rsidR="00233D90" w:rsidRPr="009F2FC4">
        <w:rPr>
          <w:rFonts w:asciiTheme="minorHAnsi" w:eastAsia="Calibri" w:hAnsiTheme="minorHAnsi"/>
          <w:color w:val="365F91" w:themeColor="accent1" w:themeShade="BF"/>
          <w:sz w:val="24"/>
          <w:szCs w:val="24"/>
        </w:rPr>
        <w:t>αποχωρήσεις</w:t>
      </w:r>
      <w:r w:rsidR="00943EF3" w:rsidRPr="009F2FC4">
        <w:rPr>
          <w:rFonts w:asciiTheme="minorHAnsi" w:eastAsia="Calibri" w:hAnsiTheme="minorHAnsi"/>
          <w:color w:val="365F91" w:themeColor="accent1" w:themeShade="BF"/>
          <w:sz w:val="24"/>
          <w:szCs w:val="24"/>
        </w:rPr>
        <w:t xml:space="preserve"> προσωπικού Γενικής Κυβέρνησης</w:t>
      </w:r>
      <w:bookmarkEnd w:id="15"/>
    </w:p>
    <w:p w:rsidR="00233D90" w:rsidRPr="00943EF3" w:rsidRDefault="00233D90" w:rsidP="00943EF3">
      <w:pPr>
        <w:jc w:val="both"/>
      </w:pPr>
    </w:p>
    <w:p w:rsidR="00943EF3" w:rsidRDefault="00943EF3" w:rsidP="00943EF3">
      <w:pPr>
        <w:jc w:val="both"/>
      </w:pPr>
      <w:r>
        <w:t>Στο Μεσοπρόθεσμο Σχέδιο για τη στελέχωση της Γενικής Κυβέρνησης εντάσσονται οι εκτιμήσεις αποχωρήσεων λόγω συνταξιοδότησης και αναγκαστικών αποχωρήσεων, καθώς και των προσλήψεων για κάθε ένα από τα έτη 2021-2025.</w:t>
      </w:r>
    </w:p>
    <w:p w:rsidR="00943EF3" w:rsidRDefault="00943EF3" w:rsidP="00943EF3">
      <w:pPr>
        <w:jc w:val="both"/>
      </w:pPr>
      <w:r>
        <w:t xml:space="preserve">Ο συνολικός προγραμματισμός προσλήψεων τακτικού προσωπικού στους φορείς της Γενικής Κυβέρνησης, βασίζεται για όλη την περίοδο στον κανόνα 1:1 (μία πρόσληψη για κάθε μία αποχώρηση), αναλογία που εφαρμόζεται ήδη από το 2019. Κύριες εξαιρέσεις στον κανόνα, αποτελούν οι προσλήψεις σε εκτέλεση δικαστικών αποφάσεων, η αντικατάσταση έκτακτου προσωπικού από τακτικό (με παράλληλη αντίστοιχη μείωση του έκτακτου προσωπικού, πχ. αναπληρωτές καθηγητές, </w:t>
      </w:r>
      <w:r w:rsidR="00095361">
        <w:t>πρόγραμμα «</w:t>
      </w:r>
      <w:r>
        <w:t>Βοήθεια στο Σπίτι</w:t>
      </w:r>
      <w:r w:rsidR="00095361">
        <w:t>»</w:t>
      </w:r>
      <w:r>
        <w:t>), καθώς και οι προσλήψεις για θέσεις με ειδικώς εξασφαλισμένη χρηματοδότηση (από ανταποδοτικά έσοδα, από συγχρηματοδοτούμενα προγράμματα κλπ).</w:t>
      </w:r>
    </w:p>
    <w:p w:rsidR="00943EF3" w:rsidRDefault="00943EF3" w:rsidP="00943EF3">
      <w:pPr>
        <w:jc w:val="both"/>
      </w:pPr>
      <w:r>
        <w:t>Ειδικότερα, η κατανομή των προσλήψεων σε υποτομείς της Γενικής Κυβέρνησης για τα έτη 2021 και 2022, βασίζεται στον προγραμματισμό της Γενικής Γραμματείας Ανθρώπινου Δυναμικού Δημοσίου Τομέα, του Υπουργείου Εσωτερικών, με την έμφαση να δίνεται κυρίως στους τομείς της Υγείας, της Εκπαίδευσης και της Ασφάλειας.</w:t>
      </w:r>
    </w:p>
    <w:p w:rsidR="00943EF3" w:rsidRDefault="00943EF3" w:rsidP="00943EF3">
      <w:pPr>
        <w:jc w:val="both"/>
      </w:pPr>
      <w:r>
        <w:t xml:space="preserve">Επισημαίνεται ότι οι προβλεπόμενες προσλήψεις ανά υποτομέα, μπορεί να διαφοροποιηθούν σε σχέση με αυτές που τελικά θα πραγματοποιηθούν. Η κατανομή των προσλήψεων ανά φορέα, εντός των ορίων του ανώτατου συνολικού επιτρεπόμενου αριθμού, αποφασίζεται ανάλογα με τις πραγματικές ανάγκες του κάθε φορέα και με γνώμονα τις προτεραιότητες πολιτικής, τον </w:t>
      </w:r>
      <w:proofErr w:type="spellStart"/>
      <w:r>
        <w:t>εξορθολογισμό</w:t>
      </w:r>
      <w:proofErr w:type="spellEnd"/>
      <w:r>
        <w:t xml:space="preserve"> των διοικητικών λειτουργιών και τη βέλτιστη αξιοποίηση του ανθρώπινου δυναμικού της δημόσιας διοίκησης. Η κατανομή αυτή, </w:t>
      </w:r>
      <w:proofErr w:type="spellStart"/>
      <w:r>
        <w:t>επικαιροποιείται</w:t>
      </w:r>
      <w:proofErr w:type="spellEnd"/>
      <w:r>
        <w:t xml:space="preserve"> σε τακτά χρονικά διαστήματα, λαμβάνοντας υπόψη τυχόν αναγκαίες αναθεωρήσεις των αποχωρήσεων και ενσωματώνοντας την ιεράρχηση των μεταβαλλόμενων αναγκών και προτεραιοτήτων.</w:t>
      </w:r>
    </w:p>
    <w:p w:rsidR="00B74F7D" w:rsidRPr="00943EF3" w:rsidRDefault="00B74F7D" w:rsidP="00B74F7D">
      <w:pPr>
        <w:jc w:val="both"/>
      </w:pPr>
      <w:r>
        <w:t>Ο εν λόγω προγραμματισμός αποτυπώνεται στον Πίνακα 12, στον οποίο περιλαμβάνεται ο αριθμός αποχωρήσεων και προσλήψεων τακτικού προσωπικού.</w:t>
      </w:r>
    </w:p>
    <w:p w:rsidR="00233D90" w:rsidRDefault="00233D90" w:rsidP="00943EF3">
      <w:pPr>
        <w:jc w:val="both"/>
      </w:pPr>
    </w:p>
    <w:p w:rsidR="00943EF3" w:rsidRPr="00B040C7" w:rsidRDefault="00417389" w:rsidP="00943EF3">
      <w:pPr>
        <w:tabs>
          <w:tab w:val="left" w:pos="567"/>
        </w:tabs>
        <w:jc w:val="both"/>
        <w:rPr>
          <w:b/>
          <w:bCs/>
          <w:color w:val="FF0000"/>
        </w:rPr>
      </w:pPr>
      <w:r w:rsidRPr="00417389">
        <w:rPr>
          <w:noProof/>
        </w:rPr>
        <w:drawing>
          <wp:inline distT="0" distB="0" distL="0" distR="0">
            <wp:extent cx="6466380" cy="2830664"/>
            <wp:effectExtent l="19050" t="0" r="0" b="0"/>
            <wp:docPr id="58"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srcRect/>
                    <a:stretch>
                      <a:fillRect/>
                    </a:stretch>
                  </pic:blipFill>
                  <pic:spPr bwMode="auto">
                    <a:xfrm>
                      <a:off x="0" y="0"/>
                      <a:ext cx="6479540" cy="2836425"/>
                    </a:xfrm>
                    <a:prstGeom prst="rect">
                      <a:avLst/>
                    </a:prstGeom>
                    <a:noFill/>
                    <a:ln w="9525">
                      <a:noFill/>
                      <a:miter lim="800000"/>
                      <a:headEnd/>
                      <a:tailEnd/>
                    </a:ln>
                  </pic:spPr>
                </pic:pic>
              </a:graphicData>
            </a:graphic>
          </wp:inline>
        </w:drawing>
      </w:r>
    </w:p>
    <w:p w:rsidR="00943EF3" w:rsidRDefault="00943EF3" w:rsidP="00943EF3">
      <w:pPr>
        <w:jc w:val="both"/>
      </w:pPr>
      <w:r w:rsidRPr="00943EF3">
        <w:lastRenderedPageBreak/>
        <w:t xml:space="preserve">Για το τρέχον έτος, εκτιμάται ότι μπορούν να πραγματοποιηθούν έως 32.870 προσλήψεις, εντός και εκτός κανόνα. Επισημαίνεται ότι στις συνολικές προσλήψεις της περιόδου λαμβάνεται υπόψη και η ύπαρξη θετικού υπολοίπου προς υλοποίηση από προηγούμενα έτη, ενώ στις εκτιμήσεις των εκτός κανόνα, συμπεριλαμβάνονται 10.500 προσλήψεις εκπαιδευτικών και 2.909 προσλήψεις για το πρόγραμμα </w:t>
      </w:r>
      <w:r w:rsidR="00095361">
        <w:t>«</w:t>
      </w:r>
      <w:r w:rsidRPr="00943EF3">
        <w:t>Βοήθεια στο Σπίτι</w:t>
      </w:r>
      <w:r w:rsidR="00095361">
        <w:t>»</w:t>
      </w:r>
      <w:r w:rsidRPr="00943EF3">
        <w:t>, σε αντικατάσταση αντίστοιχων έκτακτων θέσεων.</w:t>
      </w:r>
    </w:p>
    <w:p w:rsidR="00B74F7D" w:rsidRPr="00D66044" w:rsidRDefault="00B74F7D" w:rsidP="00B74F7D">
      <w:pPr>
        <w:jc w:val="both"/>
      </w:pPr>
      <w:r w:rsidRPr="00124DFF">
        <w:t>Σε κάθε περίπτωση, τυχόν θετική ή αρνητική διαφορά προσλήψεων του κανόνα κατά την υλοποίηση, μεταφέρεται στο επόμενο έτος, προκειμένου κατά την περίοδο του ΜΠΔΣ να τηρείται ο προγραμματισμός  προσλήψεων τακτικού προσωπικού σε φορείς της Γενικής Κυβέρνησης, σε συνολικό επίπεδο.</w:t>
      </w:r>
    </w:p>
    <w:p w:rsidR="00B6689E" w:rsidRPr="00943EF3" w:rsidRDefault="00B6689E">
      <w:pPr>
        <w:rPr>
          <w:rFonts w:eastAsiaTheme="majorEastAsia" w:cstheme="majorBidi"/>
          <w:b/>
          <w:color w:val="365F91" w:themeColor="accent1" w:themeShade="BF"/>
          <w:szCs w:val="24"/>
        </w:rPr>
      </w:pPr>
    </w:p>
    <w:p w:rsidR="00D512E5" w:rsidRPr="00070F78" w:rsidRDefault="00D512E5" w:rsidP="00AA248C">
      <w:pPr>
        <w:pStyle w:val="2"/>
        <w:spacing w:before="0" w:after="200"/>
        <w:jc w:val="both"/>
        <w:rPr>
          <w:rFonts w:asciiTheme="minorHAnsi" w:hAnsiTheme="minorHAnsi"/>
          <w:b/>
          <w:sz w:val="24"/>
          <w:szCs w:val="24"/>
        </w:rPr>
      </w:pPr>
      <w:bookmarkStart w:id="16" w:name="_Toc74930196"/>
      <w:r w:rsidRPr="00070F78">
        <w:rPr>
          <w:rFonts w:asciiTheme="minorHAnsi" w:hAnsiTheme="minorHAnsi"/>
          <w:b/>
          <w:sz w:val="24"/>
          <w:szCs w:val="24"/>
        </w:rPr>
        <w:t>2.</w:t>
      </w:r>
      <w:r w:rsidR="009353C0" w:rsidRPr="00070F78">
        <w:rPr>
          <w:rFonts w:asciiTheme="minorHAnsi" w:hAnsiTheme="minorHAnsi"/>
          <w:b/>
          <w:sz w:val="24"/>
          <w:szCs w:val="24"/>
        </w:rPr>
        <w:t>3</w:t>
      </w:r>
      <w:r w:rsidRPr="00070F78">
        <w:rPr>
          <w:rFonts w:asciiTheme="minorHAnsi" w:hAnsiTheme="minorHAnsi"/>
          <w:b/>
          <w:sz w:val="24"/>
          <w:szCs w:val="24"/>
        </w:rPr>
        <w:t xml:space="preserve"> </w:t>
      </w:r>
      <w:r w:rsidR="009353C0" w:rsidRPr="00070F78">
        <w:rPr>
          <w:rFonts w:asciiTheme="minorHAnsi" w:eastAsia="Calibri" w:hAnsiTheme="minorHAnsi"/>
          <w:b/>
          <w:sz w:val="24"/>
          <w:szCs w:val="24"/>
        </w:rPr>
        <w:t>Σύγκριση</w:t>
      </w:r>
      <w:r w:rsidR="00836E28" w:rsidRPr="00070F78">
        <w:rPr>
          <w:rFonts w:asciiTheme="minorHAnsi" w:eastAsia="Calibri" w:hAnsiTheme="minorHAnsi"/>
          <w:b/>
          <w:sz w:val="24"/>
          <w:szCs w:val="24"/>
        </w:rPr>
        <w:t xml:space="preserve"> προϋπολογισμού</w:t>
      </w:r>
      <w:r w:rsidR="00F234C1" w:rsidRPr="00070F78">
        <w:rPr>
          <w:rFonts w:asciiTheme="minorHAnsi" w:eastAsia="Calibri" w:hAnsiTheme="minorHAnsi"/>
          <w:b/>
          <w:sz w:val="24"/>
          <w:szCs w:val="24"/>
        </w:rPr>
        <w:t xml:space="preserve"> με εκτιμήσεις έτους 2021</w:t>
      </w:r>
      <w:bookmarkEnd w:id="16"/>
    </w:p>
    <w:p w:rsidR="00D512E5" w:rsidRPr="005A6CF7" w:rsidRDefault="00D512E5" w:rsidP="00AA248C">
      <w:pPr>
        <w:jc w:val="both"/>
        <w:rPr>
          <w:szCs w:val="24"/>
        </w:rPr>
      </w:pPr>
    </w:p>
    <w:p w:rsidR="0027592E" w:rsidRPr="00C37D1A" w:rsidRDefault="0027592E" w:rsidP="00AA248C">
      <w:pPr>
        <w:jc w:val="both"/>
        <w:rPr>
          <w:szCs w:val="24"/>
        </w:rPr>
      </w:pPr>
      <w:r w:rsidRPr="00C37D1A">
        <w:rPr>
          <w:szCs w:val="24"/>
        </w:rPr>
        <w:t>Σύμφωνα με τις τρέχουσες εκτιμήσεις, το αποτέλεσμα της γενικής κυβέρνησης του έτους 2021 αναμένεται να διαμορφωθεί στο -9,</w:t>
      </w:r>
      <w:r w:rsidR="00135226">
        <w:rPr>
          <w:szCs w:val="24"/>
        </w:rPr>
        <w:t>9</w:t>
      </w:r>
      <w:r w:rsidRPr="00C37D1A">
        <w:rPr>
          <w:szCs w:val="24"/>
        </w:rPr>
        <w:t xml:space="preserve">% του ΑΕΠ και το πρωτογενές αποτέλεσμα στο -7,1% του ΑΕΠ, σημαντικά </w:t>
      </w:r>
      <w:r w:rsidR="00836E28">
        <w:rPr>
          <w:szCs w:val="24"/>
        </w:rPr>
        <w:t>δυσμενέστερα</w:t>
      </w:r>
      <w:r w:rsidR="00836E28" w:rsidRPr="00C37D1A">
        <w:rPr>
          <w:szCs w:val="24"/>
        </w:rPr>
        <w:t xml:space="preserve"> </w:t>
      </w:r>
      <w:r w:rsidRPr="00C37D1A">
        <w:rPr>
          <w:szCs w:val="24"/>
        </w:rPr>
        <w:t>σε σχέση με τις εκτιμήσεις του προϋπολογισμού 2021 κατά 3,</w:t>
      </w:r>
      <w:r w:rsidR="00135226">
        <w:rPr>
          <w:szCs w:val="24"/>
        </w:rPr>
        <w:t>2</w:t>
      </w:r>
      <w:r w:rsidRPr="00C37D1A">
        <w:rPr>
          <w:szCs w:val="24"/>
        </w:rPr>
        <w:t>% και 3,</w:t>
      </w:r>
      <w:r w:rsidR="00135226">
        <w:rPr>
          <w:szCs w:val="24"/>
        </w:rPr>
        <w:t>3</w:t>
      </w:r>
      <w:r w:rsidRPr="00C37D1A">
        <w:rPr>
          <w:szCs w:val="24"/>
        </w:rPr>
        <w:t xml:space="preserve">% του ΑΕΠ αντίστοιχα. Αντίστοιχη είναι και η </w:t>
      </w:r>
      <w:r w:rsidR="00836E28">
        <w:rPr>
          <w:szCs w:val="24"/>
        </w:rPr>
        <w:t>επιδείνωση</w:t>
      </w:r>
      <w:r w:rsidR="00836E28" w:rsidRPr="00C37D1A">
        <w:rPr>
          <w:szCs w:val="24"/>
        </w:rPr>
        <w:t xml:space="preserve"> </w:t>
      </w:r>
      <w:r w:rsidRPr="00C37D1A">
        <w:rPr>
          <w:szCs w:val="24"/>
        </w:rPr>
        <w:t xml:space="preserve">του πρωτογενούς αποτελέσματος που υπολογίζεται σύμφωνα με τη μεθοδολογία της ενισχυμένης εποπτείας. </w:t>
      </w:r>
    </w:p>
    <w:p w:rsidR="00DA6344" w:rsidRDefault="00DA6344" w:rsidP="00DA6344">
      <w:pPr>
        <w:jc w:val="both"/>
        <w:rPr>
          <w:szCs w:val="24"/>
        </w:rPr>
      </w:pPr>
      <w:r w:rsidRPr="00C37D1A">
        <w:rPr>
          <w:szCs w:val="24"/>
        </w:rPr>
        <w:t>Η αναθεώρηση του αποτελέσματος προς το δυσμενέστερο οφείλεται κατά κύριο λόγο στις πρόσθετες παρεμβάσεις και στην επέκταση των μέτρων στήριξης του εισοδήματος φυσικών προσώπων και επιχειρήσεων που επλήγησαν από τις επιπτώσεις του τρίτου κύματος της πανδημίας και των επακόλουθων περιορισμών στην κυκλοφορία και την οικονομική δραστηριότητα</w:t>
      </w:r>
      <w:r>
        <w:rPr>
          <w:szCs w:val="24"/>
        </w:rPr>
        <w:t xml:space="preserve"> και συνδέονται με τη διεθνή διαθεσιμότητα εμβολίων και την ταχύτητα εξάπλωσης στην Ευρώπη νέων μεταλλάξεων του </w:t>
      </w:r>
      <w:r>
        <w:rPr>
          <w:szCs w:val="24"/>
          <w:lang w:val="en-US"/>
        </w:rPr>
        <w:t>COVID</w:t>
      </w:r>
      <w:r w:rsidRPr="00D60828">
        <w:rPr>
          <w:szCs w:val="24"/>
        </w:rPr>
        <w:t xml:space="preserve">-19, </w:t>
      </w:r>
      <w:r>
        <w:rPr>
          <w:szCs w:val="24"/>
        </w:rPr>
        <w:t>παράγοντες που δεν μπορούσαν να προβλεφθούν με ακρίβεια τον Νοέμβριο του 2020</w:t>
      </w:r>
      <w:r w:rsidRPr="00C37D1A">
        <w:rPr>
          <w:szCs w:val="24"/>
        </w:rPr>
        <w:t>. Το ταμειακό κόστος των πρόσθετων σε σχέση με τις εκτιμήσεις του προϋπολογισμού- παρεμβάσεων ανέρχεται σε 8,3 δι</w:t>
      </w:r>
      <w:r>
        <w:rPr>
          <w:szCs w:val="24"/>
        </w:rPr>
        <w:t>σ</w:t>
      </w:r>
      <w:r w:rsidRPr="00197E35">
        <w:rPr>
          <w:szCs w:val="24"/>
        </w:rPr>
        <w:t>.</w:t>
      </w:r>
      <w:r w:rsidRPr="00C37D1A">
        <w:rPr>
          <w:szCs w:val="24"/>
        </w:rPr>
        <w:t xml:space="preserve"> ευρώ, ενώ μέρος αυτών καλύφθηκε από ανακατανομές δαπανών και προγραμμάτων του ΠΔΕ, καθώς και από κονδύλια του ευρωπαϊκού προγράμματος </w:t>
      </w:r>
      <w:proofErr w:type="spellStart"/>
      <w:r w:rsidRPr="00C37D1A">
        <w:rPr>
          <w:szCs w:val="24"/>
        </w:rPr>
        <w:t>React</w:t>
      </w:r>
      <w:proofErr w:type="spellEnd"/>
      <w:r w:rsidRPr="00C37D1A">
        <w:rPr>
          <w:szCs w:val="24"/>
        </w:rPr>
        <w:t>-EU που στηρίζει δράσεις αντιμετώπισης των συνεπειών της πανδημίας.</w:t>
      </w:r>
      <w:r>
        <w:rPr>
          <w:szCs w:val="24"/>
        </w:rPr>
        <w:t xml:space="preserve"> Η πρόβλεψη για το Ταμείο Ανάκαμψης</w:t>
      </w:r>
      <w:r w:rsidR="000B2804">
        <w:rPr>
          <w:szCs w:val="24"/>
        </w:rPr>
        <w:t xml:space="preserve"> και Ανθεκτικότητας </w:t>
      </w:r>
      <w:r>
        <w:rPr>
          <w:szCs w:val="24"/>
        </w:rPr>
        <w:t xml:space="preserve"> έγινε πριν την οριστικοποίηση του κανονισμού και πολύ πριν </w:t>
      </w:r>
      <w:r w:rsidR="00E11CA2">
        <w:rPr>
          <w:szCs w:val="24"/>
        </w:rPr>
        <w:t xml:space="preserve">το </w:t>
      </w:r>
      <w:r>
        <w:rPr>
          <w:szCs w:val="24"/>
        </w:rPr>
        <w:t>σχετικ</w:t>
      </w:r>
      <w:r w:rsidR="00E11CA2">
        <w:rPr>
          <w:szCs w:val="24"/>
        </w:rPr>
        <w:t>ό</w:t>
      </w:r>
      <w:r>
        <w:rPr>
          <w:szCs w:val="24"/>
        </w:rPr>
        <w:t xml:space="preserve"> σχ</w:t>
      </w:r>
      <w:r w:rsidR="00E11CA2">
        <w:rPr>
          <w:szCs w:val="24"/>
        </w:rPr>
        <w:t>έ</w:t>
      </w:r>
      <w:r>
        <w:rPr>
          <w:szCs w:val="24"/>
        </w:rPr>
        <w:t>δ</w:t>
      </w:r>
      <w:r w:rsidR="00E11CA2">
        <w:rPr>
          <w:szCs w:val="24"/>
        </w:rPr>
        <w:t>ιο</w:t>
      </w:r>
      <w:r>
        <w:rPr>
          <w:szCs w:val="24"/>
        </w:rPr>
        <w:t xml:space="preserve">, που εμπεριέχει πλέον ακριβή στοιχεία για την προβλεπόμενη εξέλιξη των έργων προγραμμάτων και επενδύσεων. </w:t>
      </w:r>
    </w:p>
    <w:p w:rsidR="00D54F32" w:rsidRDefault="00D54F32" w:rsidP="00AA248C">
      <w:pPr>
        <w:jc w:val="both"/>
        <w:rPr>
          <w:szCs w:val="24"/>
        </w:rPr>
      </w:pPr>
    </w:p>
    <w:p w:rsidR="00B95DDC" w:rsidRDefault="007911C6">
      <w:pPr>
        <w:rPr>
          <w:szCs w:val="24"/>
          <w:lang w:val="en-US"/>
        </w:rPr>
      </w:pPr>
      <w:r w:rsidRPr="007911C6">
        <w:rPr>
          <w:noProof/>
          <w:szCs w:val="24"/>
        </w:rPr>
        <w:lastRenderedPageBreak/>
        <w:drawing>
          <wp:inline distT="0" distB="0" distL="0" distR="0">
            <wp:extent cx="5976000" cy="9069143"/>
            <wp:effectExtent l="19050" t="0" r="5700" b="0"/>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976000" cy="9069143"/>
                    </a:xfrm>
                    <a:prstGeom prst="rect">
                      <a:avLst/>
                    </a:prstGeom>
                    <a:noFill/>
                    <a:ln w="9525">
                      <a:noFill/>
                      <a:miter lim="800000"/>
                      <a:headEnd/>
                      <a:tailEnd/>
                    </a:ln>
                  </pic:spPr>
                </pic:pic>
              </a:graphicData>
            </a:graphic>
          </wp:inline>
        </w:drawing>
      </w:r>
    </w:p>
    <w:p w:rsidR="00D54F32" w:rsidRDefault="00D54F32">
      <w:pPr>
        <w:rPr>
          <w:szCs w:val="24"/>
        </w:rPr>
      </w:pPr>
      <w:r>
        <w:rPr>
          <w:szCs w:val="24"/>
        </w:rPr>
        <w:br w:type="page"/>
      </w:r>
      <w:r w:rsidR="00070F78" w:rsidRPr="00070F78">
        <w:rPr>
          <w:noProof/>
          <w:szCs w:val="24"/>
        </w:rPr>
        <w:lastRenderedPageBreak/>
        <w:drawing>
          <wp:inline distT="0" distB="0" distL="0" distR="0">
            <wp:extent cx="6012000" cy="7697254"/>
            <wp:effectExtent l="19050" t="0" r="7800" b="0"/>
            <wp:docPr id="1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6012000" cy="7697254"/>
                    </a:xfrm>
                    <a:prstGeom prst="rect">
                      <a:avLst/>
                    </a:prstGeom>
                    <a:noFill/>
                    <a:ln w="9525">
                      <a:noFill/>
                      <a:miter lim="800000"/>
                      <a:headEnd/>
                      <a:tailEnd/>
                    </a:ln>
                  </pic:spPr>
                </pic:pic>
              </a:graphicData>
            </a:graphic>
          </wp:inline>
        </w:drawing>
      </w:r>
    </w:p>
    <w:p w:rsidR="0027592E" w:rsidRPr="00C37D1A" w:rsidRDefault="0027592E" w:rsidP="00AA248C">
      <w:pPr>
        <w:jc w:val="both"/>
        <w:rPr>
          <w:szCs w:val="24"/>
        </w:rPr>
      </w:pPr>
    </w:p>
    <w:p w:rsidR="00D54F32" w:rsidRPr="00D54F32" w:rsidRDefault="00D54F32" w:rsidP="00AA248C">
      <w:pPr>
        <w:rPr>
          <w:szCs w:val="24"/>
        </w:rPr>
      </w:pPr>
    </w:p>
    <w:p w:rsidR="00DF368D" w:rsidRDefault="00D54F32">
      <w:pPr>
        <w:rPr>
          <w:szCs w:val="24"/>
        </w:rPr>
      </w:pPr>
      <w:r w:rsidRPr="00D54F32">
        <w:rPr>
          <w:szCs w:val="24"/>
        </w:rPr>
        <w:t xml:space="preserve"> </w:t>
      </w:r>
    </w:p>
    <w:p w:rsidR="00D54F32" w:rsidRPr="00720631" w:rsidRDefault="004623C0">
      <w:pPr>
        <w:rPr>
          <w:szCs w:val="24"/>
        </w:rPr>
      </w:pPr>
      <w:r w:rsidRPr="004623C0">
        <w:rPr>
          <w:noProof/>
          <w:szCs w:val="24"/>
        </w:rPr>
        <w:lastRenderedPageBreak/>
        <w:drawing>
          <wp:inline distT="0" distB="0" distL="0" distR="0">
            <wp:extent cx="6479540" cy="4401373"/>
            <wp:effectExtent l="19050" t="0" r="0" b="0"/>
            <wp:docPr id="1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6479540" cy="4401373"/>
                    </a:xfrm>
                    <a:prstGeom prst="rect">
                      <a:avLst/>
                    </a:prstGeom>
                    <a:noFill/>
                    <a:ln w="9525">
                      <a:noFill/>
                      <a:miter lim="800000"/>
                      <a:headEnd/>
                      <a:tailEnd/>
                    </a:ln>
                  </pic:spPr>
                </pic:pic>
              </a:graphicData>
            </a:graphic>
          </wp:inline>
        </w:drawing>
      </w:r>
      <w:r w:rsidR="00D54F32" w:rsidRPr="00720631">
        <w:rPr>
          <w:szCs w:val="24"/>
        </w:rPr>
        <w:br w:type="page"/>
      </w:r>
    </w:p>
    <w:p w:rsidR="009353C0" w:rsidRPr="005E3A65" w:rsidRDefault="009353C0" w:rsidP="00AA248C">
      <w:pPr>
        <w:pStyle w:val="2"/>
        <w:spacing w:before="0" w:after="200"/>
        <w:jc w:val="both"/>
        <w:rPr>
          <w:rFonts w:asciiTheme="minorHAnsi" w:eastAsia="Calibri" w:hAnsiTheme="minorHAnsi"/>
          <w:b/>
          <w:sz w:val="24"/>
          <w:szCs w:val="24"/>
        </w:rPr>
      </w:pPr>
      <w:bookmarkStart w:id="17" w:name="_Toc74930197"/>
      <w:r w:rsidRPr="005E3A65">
        <w:rPr>
          <w:rFonts w:asciiTheme="minorHAnsi" w:eastAsia="Calibri" w:hAnsiTheme="minorHAnsi"/>
          <w:b/>
          <w:sz w:val="24"/>
          <w:szCs w:val="24"/>
        </w:rPr>
        <w:lastRenderedPageBreak/>
        <w:t xml:space="preserve">2.4 </w:t>
      </w:r>
      <w:r w:rsidRPr="005E3A65">
        <w:rPr>
          <w:rFonts w:asciiTheme="minorHAnsi" w:hAnsiTheme="minorHAnsi"/>
          <w:b/>
          <w:sz w:val="24"/>
          <w:szCs w:val="24"/>
        </w:rPr>
        <w:t>Γ</w:t>
      </w:r>
      <w:r w:rsidR="00AF27DF" w:rsidRPr="005E3A65">
        <w:rPr>
          <w:rFonts w:asciiTheme="minorHAnsi" w:hAnsiTheme="minorHAnsi"/>
          <w:b/>
          <w:sz w:val="24"/>
          <w:szCs w:val="24"/>
        </w:rPr>
        <w:t>ενική Κυβέρνηση σε ενοποιημένη βάση</w:t>
      </w:r>
      <w:bookmarkEnd w:id="17"/>
      <w:r w:rsidRPr="005E3A65">
        <w:rPr>
          <w:rFonts w:asciiTheme="minorHAnsi" w:eastAsia="Calibri" w:hAnsiTheme="minorHAnsi"/>
          <w:b/>
          <w:sz w:val="24"/>
          <w:szCs w:val="24"/>
        </w:rPr>
        <w:t xml:space="preserve"> </w:t>
      </w:r>
    </w:p>
    <w:p w:rsidR="0025692D" w:rsidRPr="0025692D" w:rsidRDefault="0025692D">
      <w:pPr>
        <w:rPr>
          <w:b/>
          <w:color w:val="365F91" w:themeColor="accent1" w:themeShade="BF"/>
        </w:rPr>
      </w:pPr>
    </w:p>
    <w:p w:rsidR="001A6BFD" w:rsidRDefault="001A6BFD" w:rsidP="001A6BFD">
      <w:pPr>
        <w:jc w:val="both"/>
      </w:pPr>
      <w:r>
        <w:t>Ο</w:t>
      </w:r>
      <w:r w:rsidRPr="008D18F1">
        <w:t xml:space="preserve"> ενοποιημέν</w:t>
      </w:r>
      <w:r>
        <w:t>ος</w:t>
      </w:r>
      <w:r w:rsidRPr="008D18F1">
        <w:t xml:space="preserve"> </w:t>
      </w:r>
      <w:r>
        <w:t>πίνακας</w:t>
      </w:r>
      <w:r w:rsidRPr="008D18F1">
        <w:t xml:space="preserve"> της</w:t>
      </w:r>
      <w:r>
        <w:t xml:space="preserve"> Γενικής </w:t>
      </w:r>
      <w:r w:rsidRPr="00CA4FAB">
        <w:t>Κυβέρνησης (</w:t>
      </w:r>
      <w:r>
        <w:t>Π</w:t>
      </w:r>
      <w:r w:rsidRPr="00CA4FAB">
        <w:t xml:space="preserve">ίνακας </w:t>
      </w:r>
      <w:r w:rsidRPr="00547121">
        <w:t>15</w:t>
      </w:r>
      <w:r w:rsidRPr="008D18F1">
        <w:t>) παρουσιάζει τα συνολικά έσοδα και έξοδ</w:t>
      </w:r>
      <w:r>
        <w:t>ά</w:t>
      </w:r>
      <w:r w:rsidRPr="008D18F1">
        <w:t xml:space="preserve"> της κατά γενική κατηγορία</w:t>
      </w:r>
      <w:r>
        <w:t xml:space="preserve">. </w:t>
      </w:r>
      <w:r w:rsidRPr="008D18F1">
        <w:t xml:space="preserve">Η ενοποίηση όλων των υποτομέων σε ενιαίο σύνολο συνεπάγεται την ενοποίηση </w:t>
      </w:r>
      <w:r>
        <w:t xml:space="preserve">τόσο </w:t>
      </w:r>
      <w:r w:rsidRPr="008D18F1">
        <w:t>των συναλλαγών μεταξύ των υποτομέων</w:t>
      </w:r>
      <w:r>
        <w:t>,</w:t>
      </w:r>
      <w:r w:rsidRPr="008D18F1">
        <w:t xml:space="preserve"> </w:t>
      </w:r>
      <w:r>
        <w:t xml:space="preserve">όσο και </w:t>
      </w:r>
      <w:r w:rsidRPr="008D18F1">
        <w:t xml:space="preserve">των </w:t>
      </w:r>
      <w:proofErr w:type="spellStart"/>
      <w:r w:rsidRPr="008D18F1">
        <w:t>ενδοτομεακών</w:t>
      </w:r>
      <w:proofErr w:type="spellEnd"/>
      <w:r w:rsidRPr="008D18F1">
        <w:t xml:space="preserve"> συναλλαγών. Με την έννοια αυτή, </w:t>
      </w:r>
      <w:r>
        <w:t>εντοπίζονται και απαλείφονται</w:t>
      </w:r>
      <w:r w:rsidRPr="008D18F1">
        <w:t xml:space="preserve"> όλ</w:t>
      </w:r>
      <w:r>
        <w:t>ες</w:t>
      </w:r>
      <w:r w:rsidRPr="008D18F1">
        <w:t xml:space="preserve"> </w:t>
      </w:r>
      <w:r>
        <w:t>οι</w:t>
      </w:r>
      <w:r w:rsidRPr="008D18F1">
        <w:t xml:space="preserve"> συναλλαγ</w:t>
      </w:r>
      <w:r>
        <w:t>ές</w:t>
      </w:r>
      <w:r w:rsidRPr="008D18F1">
        <w:t xml:space="preserve"> που, στο πλαίσιο της Γενικής Κυβέρνησης, αποτελούν έξοδο για έναν υποτομέα και ισόποσο έσοδο για κάποιον άλλο (ενδοκυβερνητικές συναλλαγές)</w:t>
      </w:r>
      <w:r>
        <w:t>, όπως γ</w:t>
      </w:r>
      <w:r w:rsidRPr="008D18F1">
        <w:t>ια παράδειγμα, η επιχορήγηση ενός ΝΠΔΔ από τον Τακτικό Προϋπολογισμό</w:t>
      </w:r>
      <w:r>
        <w:t>.</w:t>
      </w:r>
      <w:r w:rsidRPr="008D18F1">
        <w:t xml:space="preserve"> Με τον τρόπο αυτό, αποτυπώνονται τα καθαρά έσοδα και οι καθαρές δαπάνες και, συνεπώς, η πραγματική οικονομική δραστηριότητα του συνόλου της Γενικής Κυβέρνησης.</w:t>
      </w:r>
      <w:r>
        <w:t xml:space="preserve"> Το δημοσιονομικό αποτέλεσμα της Γενικής Κυβέρνησης μετά την ενοποίηση των ενδοκυβερνητικών – </w:t>
      </w:r>
      <w:proofErr w:type="spellStart"/>
      <w:r>
        <w:t>ενδοτομεακών</w:t>
      </w:r>
      <w:proofErr w:type="spellEnd"/>
      <w:r>
        <w:t xml:space="preserve"> συναλλαγών παραμένει εξ ορισμού ίδιο με το μη ενοποιημένο. </w:t>
      </w:r>
    </w:p>
    <w:p w:rsidR="0025692D" w:rsidRDefault="009E0062" w:rsidP="00096F2C">
      <w:pPr>
        <w:jc w:val="both"/>
      </w:pPr>
      <w:r w:rsidRPr="009E0062">
        <w:rPr>
          <w:noProof/>
        </w:rPr>
        <w:drawing>
          <wp:inline distT="0" distB="0" distL="0" distR="0">
            <wp:extent cx="6479540" cy="5699745"/>
            <wp:effectExtent l="19050" t="0" r="0" b="0"/>
            <wp:docPr id="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6479540" cy="5699745"/>
                    </a:xfrm>
                    <a:prstGeom prst="rect">
                      <a:avLst/>
                    </a:prstGeom>
                    <a:noFill/>
                    <a:ln w="9525">
                      <a:noFill/>
                      <a:miter lim="800000"/>
                      <a:headEnd/>
                      <a:tailEnd/>
                    </a:ln>
                  </pic:spPr>
                </pic:pic>
              </a:graphicData>
            </a:graphic>
          </wp:inline>
        </w:drawing>
      </w:r>
    </w:p>
    <w:p w:rsidR="00373BF1" w:rsidRPr="001E4F49" w:rsidRDefault="00373BF1" w:rsidP="00096F2C">
      <w:pPr>
        <w:jc w:val="both"/>
        <w:rPr>
          <w:sz w:val="18"/>
          <w:szCs w:val="18"/>
        </w:rPr>
      </w:pPr>
    </w:p>
    <w:p w:rsidR="007126D7" w:rsidRPr="007126D7" w:rsidRDefault="006C3355" w:rsidP="00096F2C">
      <w:pPr>
        <w:jc w:val="both"/>
        <w:rPr>
          <w:lang w:val="en-US"/>
        </w:rPr>
      </w:pPr>
      <w:r w:rsidRPr="006C3355">
        <w:rPr>
          <w:noProof/>
        </w:rPr>
        <w:lastRenderedPageBreak/>
        <w:drawing>
          <wp:inline distT="0" distB="0" distL="0" distR="0">
            <wp:extent cx="6479540" cy="4837760"/>
            <wp:effectExtent l="19050" t="0" r="0" b="0"/>
            <wp:docPr id="3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6479540" cy="4837760"/>
                    </a:xfrm>
                    <a:prstGeom prst="rect">
                      <a:avLst/>
                    </a:prstGeom>
                    <a:noFill/>
                    <a:ln w="9525">
                      <a:noFill/>
                      <a:miter lim="800000"/>
                      <a:headEnd/>
                      <a:tailEnd/>
                    </a:ln>
                  </pic:spPr>
                </pic:pic>
              </a:graphicData>
            </a:graphic>
          </wp:inline>
        </w:drawing>
      </w:r>
    </w:p>
    <w:p w:rsidR="0025692D" w:rsidRDefault="0025692D"/>
    <w:p w:rsidR="0025692D" w:rsidRPr="0025692D" w:rsidRDefault="0025692D">
      <w:pPr>
        <w:rPr>
          <w:b/>
          <w:color w:val="365F91" w:themeColor="accent1" w:themeShade="BF"/>
        </w:rPr>
      </w:pPr>
      <w:r w:rsidRPr="0025692D">
        <w:rPr>
          <w:b/>
          <w:color w:val="365F91" w:themeColor="accent1" w:themeShade="BF"/>
        </w:rPr>
        <w:t>Έσοδα Γενικής Κυβέρνησης</w:t>
      </w:r>
    </w:p>
    <w:p w:rsidR="0025692D" w:rsidRDefault="0025692D" w:rsidP="00096F2C">
      <w:pPr>
        <w:jc w:val="both"/>
      </w:pPr>
      <w:r>
        <w:t>Τα συνολικά έσοδα της γενικής κυβέρνησης, μετά τη σημαντική πτώση των ετών 2020-2021 λόγω της πανδημίας, αυξάνονται ομαλά τα επόμενα έτη σε απόλυτα μεγέθη, ενώ αποκλιμακώνονται σταδιακά ως ποσοστό του ΑΕΠ, καθώς για τις εκτιμήσεις της μεσοπρόθεσμης εξέλιξης των επιμέρους κατηγοριών εσόδων χρησιμοποιούνται διάφοροι -κατά περίπτωση κατάλληλοι- μακροοικονομικοί δείκτες και λοιπές παραδοχές και όχι αποκλειστικά το ΑΕΠ.</w:t>
      </w:r>
    </w:p>
    <w:p w:rsidR="0094250F" w:rsidRDefault="0094250F" w:rsidP="0094250F">
      <w:pPr>
        <w:jc w:val="both"/>
      </w:pPr>
      <w:r>
        <w:t>-</w:t>
      </w:r>
      <w:r w:rsidRPr="00976D1E">
        <w:rPr>
          <w:b/>
        </w:rPr>
        <w:t>Φόροι</w:t>
      </w:r>
      <w:r>
        <w:t xml:space="preserve">. </w:t>
      </w:r>
      <w:r w:rsidRPr="00643A88">
        <w:t>Οι εκτιμήσεις για τη διαμόρφωση των φορολογικών εσόδων βασίζονται κυρίως στις προβλέψεις για την εξέλιξη των μακροοικονομικών δεικτών και την επίπτωση των σχετικών παρεμβάσεων</w:t>
      </w:r>
      <w:r>
        <w:t xml:space="preserve">, </w:t>
      </w:r>
      <w:r w:rsidRPr="00D26866">
        <w:t>που περιγράφονται στο</w:t>
      </w:r>
      <w:r>
        <w:t>ν</w:t>
      </w:r>
      <w:r w:rsidRPr="00D26866">
        <w:t xml:space="preserve"> </w:t>
      </w:r>
      <w:r>
        <w:t>Π</w:t>
      </w:r>
      <w:r w:rsidRPr="00740610">
        <w:t>ίνακα 18.</w:t>
      </w:r>
      <w:r>
        <w:t xml:space="preserve"> </w:t>
      </w:r>
      <w:r w:rsidRPr="00643A88">
        <w:t>Η αναμενόμενη βελτίωση των μακροοικονομικών μεγεθών της Ελληνικής οικονομίας και ιδιαίτερα του ΑΕΠ και της ιδιωτικής κατανάλωσης από το 20</w:t>
      </w:r>
      <w:r>
        <w:t>2</w:t>
      </w:r>
      <w:r w:rsidRPr="00643A88">
        <w:t>1 επιδρούν σημαντικά στο</w:t>
      </w:r>
      <w:r>
        <w:t>ν</w:t>
      </w:r>
      <w:r w:rsidRPr="00643A88">
        <w:t xml:space="preserve"> ρυθμό μεταβολής των </w:t>
      </w:r>
      <w:r>
        <w:t xml:space="preserve">φορολογικών </w:t>
      </w:r>
      <w:r w:rsidRPr="00643A88">
        <w:t>εσόδων</w:t>
      </w:r>
      <w:r>
        <w:t>,</w:t>
      </w:r>
      <w:r w:rsidRPr="00643A88">
        <w:t xml:space="preserve"> τα οποία βαίνουν αυξανόμενα κατ’ έτος</w:t>
      </w:r>
      <w:r>
        <w:t xml:space="preserve"> σε απόλυτο μέγεθος. Επισημαίνεται ότι ως φόροι κατηγοριοποιούνται και έσοδα των λοιπών φορέων της Γενικής Κυβέρνησης</w:t>
      </w:r>
      <w:r w:rsidRPr="00594286">
        <w:t xml:space="preserve">, </w:t>
      </w:r>
      <w:r>
        <w:t>όπως για παράδειγμα</w:t>
      </w:r>
      <w:r w:rsidRPr="00643A88">
        <w:t xml:space="preserve"> τα δημοτικά τέλη, τα τέλη κτηματογράφησης, το τέλος υπέρ ΕΡΤ, οι εισροές του ειδικού λογαριασμού ΑΠΕ &amp; ΣΗΘΥΑ κ.α.</w:t>
      </w:r>
    </w:p>
    <w:p w:rsidR="0025692D" w:rsidRDefault="0025692D" w:rsidP="00096F2C">
      <w:pPr>
        <w:jc w:val="both"/>
      </w:pPr>
      <w:r>
        <w:t>-</w:t>
      </w:r>
      <w:r w:rsidRPr="007D7EB2">
        <w:rPr>
          <w:b/>
        </w:rPr>
        <w:t>Ασφαλιστικές εισφορές</w:t>
      </w:r>
      <w:r>
        <w:t xml:space="preserve">. </w:t>
      </w:r>
      <w:r w:rsidRPr="005A6125">
        <w:t xml:space="preserve">Στην κατηγορία αυτή περιλαμβάνονται οι </w:t>
      </w:r>
      <w:r>
        <w:t xml:space="preserve">πραγματικές, δηλαδή οι </w:t>
      </w:r>
      <w:r w:rsidRPr="005A6125">
        <w:t xml:space="preserve">εισπραττόμενες </w:t>
      </w:r>
      <w:r>
        <w:t>τρ</w:t>
      </w:r>
      <w:r w:rsidRPr="005A6125">
        <w:t>έχουσες ασφαλιστικές εισφορές</w:t>
      </w:r>
      <w:r>
        <w:t>,</w:t>
      </w:r>
      <w:r w:rsidRPr="005A6125">
        <w:t xml:space="preserve"> καθώς και </w:t>
      </w:r>
      <w:r>
        <w:t xml:space="preserve">τα έσοδα από </w:t>
      </w:r>
      <w:r w:rsidRPr="005A6125">
        <w:t xml:space="preserve">ρυθμίσεις οφειλών των </w:t>
      </w:r>
      <w:r>
        <w:t>οργανισμών κοινωνικής ασφάλισης</w:t>
      </w:r>
      <w:r w:rsidRPr="005A6125">
        <w:t xml:space="preserve">. Το ύψος τους </w:t>
      </w:r>
      <w:r>
        <w:t>σε απόλυτο μέγεθος βαίνει αυξανόμενο κατ’ έτος</w:t>
      </w:r>
      <w:r w:rsidRPr="005A6125">
        <w:t xml:space="preserve"> καθ</w:t>
      </w:r>
      <w:r>
        <w:t xml:space="preserve">’ </w:t>
      </w:r>
      <w:r w:rsidRPr="005A6125">
        <w:t>όλη την περίοδο 20</w:t>
      </w:r>
      <w:r>
        <w:t>21</w:t>
      </w:r>
      <w:r w:rsidRPr="005A6125">
        <w:t>-202</w:t>
      </w:r>
      <w:r>
        <w:t>5, ενώ μειώνεται σταθερά ως ποσοστό του ΑΕΠ</w:t>
      </w:r>
      <w:r w:rsidRPr="005A6125">
        <w:t xml:space="preserve">. </w:t>
      </w:r>
      <w:r>
        <w:t xml:space="preserve">Περιλαμβάνονται επίσης, και οι τεκμαρτές ασφαλιστικές εισφορές </w:t>
      </w:r>
      <w:r>
        <w:lastRenderedPageBreak/>
        <w:t>των δημοσίων υπαλλήλων, μέγεθος που απεικονίζεται με ουδέτερο τρόπο στη γενική κυβέρνηση, αυξάνοντας ισόποσα τη μισθολογική δαπάνη του Δημοσίου.</w:t>
      </w:r>
    </w:p>
    <w:p w:rsidR="0025692D" w:rsidRPr="000F648B" w:rsidRDefault="0025692D" w:rsidP="00096F2C">
      <w:pPr>
        <w:jc w:val="both"/>
      </w:pPr>
      <w:r>
        <w:t>-</w:t>
      </w:r>
      <w:r w:rsidRPr="005F160E">
        <w:rPr>
          <w:b/>
        </w:rPr>
        <w:t>Τρέχουσες και κεφαλαιακές μεταβιβάσεις</w:t>
      </w:r>
      <w:r>
        <w:t xml:space="preserve">. </w:t>
      </w:r>
      <w:r w:rsidRPr="00643A88">
        <w:t>Τ</w:t>
      </w:r>
      <w:r>
        <w:t>α</w:t>
      </w:r>
      <w:r w:rsidRPr="00643A88">
        <w:t xml:space="preserve"> </w:t>
      </w:r>
      <w:r>
        <w:t>έσοδα των μεταβιβάσεων περιλαμβάνουν</w:t>
      </w:r>
      <w:r w:rsidRPr="00643A88">
        <w:t xml:space="preserve"> κυρίως </w:t>
      </w:r>
      <w:r>
        <w:t xml:space="preserve">εισροές </w:t>
      </w:r>
      <w:r w:rsidRPr="00643A88">
        <w:t xml:space="preserve">από την Ευρωπαϊκή Ένωση για τη </w:t>
      </w:r>
      <w:r>
        <w:t xml:space="preserve">χρηματοδότηση έργων του Προγράμματος Δημοσίων Επενδύσεων και του Ταμείου Ανάκαμψης και Ανθεκτικότητας, τη μεταφορά εσόδων από </w:t>
      </w:r>
      <w:r>
        <w:rPr>
          <w:lang w:val="en-US"/>
        </w:rPr>
        <w:t>ANFA</w:t>
      </w:r>
      <w:r w:rsidR="00547121">
        <w:rPr>
          <w:lang w:val="en-US"/>
        </w:rPr>
        <w:t>s</w:t>
      </w:r>
      <w:r w:rsidRPr="0036324E">
        <w:t xml:space="preserve"> &amp; </w:t>
      </w:r>
      <w:r>
        <w:rPr>
          <w:lang w:val="en-US"/>
        </w:rPr>
        <w:t>SMP</w:t>
      </w:r>
      <w:r w:rsidR="00547121">
        <w:rPr>
          <w:lang w:val="en-US"/>
        </w:rPr>
        <w:t>s</w:t>
      </w:r>
      <w:r w:rsidRPr="007831BF">
        <w:t>.</w:t>
      </w:r>
    </w:p>
    <w:p w:rsidR="0025692D" w:rsidRDefault="0025692D" w:rsidP="00096F2C">
      <w:pPr>
        <w:jc w:val="both"/>
      </w:pPr>
      <w:r w:rsidRPr="007831BF">
        <w:t>-</w:t>
      </w:r>
      <w:r w:rsidRPr="007831BF">
        <w:rPr>
          <w:b/>
        </w:rPr>
        <w:t>Έσοδα Περιουσίας</w:t>
      </w:r>
      <w:r>
        <w:t xml:space="preserve">. </w:t>
      </w:r>
      <w:r w:rsidRPr="00643A88">
        <w:t xml:space="preserve">Τα έσοδα περιουσίας αφορούν κυρίως τόκους και μερίσματα και παραμένουν σε σχετικά σταθερό επίπεδο </w:t>
      </w:r>
      <w:r>
        <w:t xml:space="preserve">έως </w:t>
      </w:r>
      <w:r w:rsidRPr="00643A88">
        <w:t>το 202</w:t>
      </w:r>
      <w:r>
        <w:t>5</w:t>
      </w:r>
      <w:r w:rsidRPr="00643A88">
        <w:t>.</w:t>
      </w:r>
    </w:p>
    <w:p w:rsidR="0025692D" w:rsidRDefault="0025692D" w:rsidP="00096F2C">
      <w:pPr>
        <w:jc w:val="both"/>
      </w:pPr>
      <w:r>
        <w:t>-</w:t>
      </w:r>
      <w:r w:rsidRPr="007831BF">
        <w:rPr>
          <w:b/>
        </w:rPr>
        <w:t>Λοιπά έσοδα</w:t>
      </w:r>
      <w:r>
        <w:t xml:space="preserve">. </w:t>
      </w:r>
      <w:r w:rsidRPr="00643A88">
        <w:t xml:space="preserve">Στην κατηγορία αυτή περιλαμβάνονται, μεταξύ άλλων, τα </w:t>
      </w:r>
      <w:r>
        <w:t xml:space="preserve">λοιπά μη φορολογικά </w:t>
      </w:r>
      <w:r w:rsidRPr="00643A88">
        <w:t>έσοδα του Κράτους</w:t>
      </w:r>
      <w:r>
        <w:t>,</w:t>
      </w:r>
      <w:r w:rsidRPr="00643A88">
        <w:t xml:space="preserve"> καθώς και ίδια έσοδα </w:t>
      </w:r>
      <w:r>
        <w:t xml:space="preserve">των λοιπών </w:t>
      </w:r>
      <w:r w:rsidRPr="00643A88">
        <w:t xml:space="preserve">φορέων </w:t>
      </w:r>
      <w:r>
        <w:t>της γενικής κυβέρνησης που δεν ανήκουν στις παραπάνω κατηγορίες.</w:t>
      </w:r>
    </w:p>
    <w:p w:rsidR="0025692D" w:rsidRDefault="0025692D" w:rsidP="00096F2C">
      <w:pPr>
        <w:jc w:val="both"/>
        <w:rPr>
          <w:b/>
        </w:rPr>
      </w:pPr>
    </w:p>
    <w:p w:rsidR="0025692D" w:rsidRPr="0025692D" w:rsidRDefault="0025692D" w:rsidP="00096F2C">
      <w:pPr>
        <w:jc w:val="both"/>
        <w:rPr>
          <w:b/>
          <w:color w:val="365F91" w:themeColor="accent1" w:themeShade="BF"/>
        </w:rPr>
      </w:pPr>
      <w:r w:rsidRPr="0025692D">
        <w:rPr>
          <w:b/>
          <w:color w:val="365F91" w:themeColor="accent1" w:themeShade="BF"/>
        </w:rPr>
        <w:t>Δαπάνες Γενικής Κυβέρνησης</w:t>
      </w:r>
    </w:p>
    <w:p w:rsidR="0025692D" w:rsidRDefault="0025692D" w:rsidP="00096F2C">
      <w:pPr>
        <w:jc w:val="both"/>
      </w:pPr>
      <w:r>
        <w:t xml:space="preserve">Οι συνολικές δαπάνες της γενικής κυβέρνησης, μετά τη σημαντική αύξηση των ετών 2020-2021 λόγω της πανδημίας, </w:t>
      </w:r>
      <w:r w:rsidR="00547121">
        <w:t xml:space="preserve">από το 2022 </w:t>
      </w:r>
      <w:r>
        <w:t>σταθεροποιούνται σ</w:t>
      </w:r>
      <w:r w:rsidR="00547121">
        <w:t>ε χαμηλότερα επίπεδα</w:t>
      </w:r>
      <w:r>
        <w:t xml:space="preserve"> και αυξάνονται ομαλά έως το 2025 σε απόλυτα μεγέθη, ενώ αποκλιμακώνονται σταδιακά ως ποσοστό του ΑΕΠ.</w:t>
      </w:r>
    </w:p>
    <w:p w:rsidR="0025692D" w:rsidRDefault="0025692D" w:rsidP="00096F2C">
      <w:pPr>
        <w:jc w:val="both"/>
      </w:pPr>
      <w:r>
        <w:t>-</w:t>
      </w:r>
      <w:r w:rsidRPr="00922489">
        <w:rPr>
          <w:b/>
        </w:rPr>
        <w:t>Αμοιβές προσωπικού</w:t>
      </w:r>
      <w:r>
        <w:t>. Οι αμοιβές προσωπικού της γ</w:t>
      </w:r>
      <w:r w:rsidRPr="00643A88">
        <w:t xml:space="preserve">ενικής </w:t>
      </w:r>
      <w:r>
        <w:t>κ</w:t>
      </w:r>
      <w:r w:rsidRPr="00643A88">
        <w:t xml:space="preserve">υβέρνησης περιλαμβάνουν τις μικτές αποδοχές των εργαζομένων και τις </w:t>
      </w:r>
      <w:r>
        <w:t xml:space="preserve">αντίστοιχες </w:t>
      </w:r>
      <w:r w:rsidRPr="00643A88">
        <w:t xml:space="preserve">εργοδοτικές εισφορές. </w:t>
      </w:r>
      <w:r>
        <w:t xml:space="preserve">Η μισθολογική δαπάνη του Δημοσίου έχει επιβαρυνθεί και με τον τεκμαρτό υπολογισμό των ασφαλιστικών εισφορών, όπως περιγράφηκε παραπάνω στην ανάλυση των εσόδων από ασφαλιστικές εισφορές. </w:t>
      </w:r>
      <w:r w:rsidRPr="00643A88">
        <w:t xml:space="preserve">Το </w:t>
      </w:r>
      <w:r>
        <w:t xml:space="preserve">πραγματικό </w:t>
      </w:r>
      <w:r w:rsidRPr="00643A88">
        <w:t>μισθολογικό κόστος της Γενικής Κυβέρνησης</w:t>
      </w:r>
      <w:r>
        <w:t xml:space="preserve"> (χωρίς τις τεκμαρτές εισφορές)</w:t>
      </w:r>
      <w:r w:rsidRPr="00643A88">
        <w:t xml:space="preserve">, ως ποσοστό του ΑΕΠ, εκτιμάται ότι θα ανέλθει στο </w:t>
      </w:r>
      <w:r>
        <w:t>10,8</w:t>
      </w:r>
      <w:r w:rsidRPr="00643A88">
        <w:t xml:space="preserve">% </w:t>
      </w:r>
      <w:r>
        <w:t xml:space="preserve">του ΑΕΠ </w:t>
      </w:r>
      <w:r w:rsidRPr="00643A88">
        <w:t>το 20</w:t>
      </w:r>
      <w:r>
        <w:t>2</w:t>
      </w:r>
      <w:r w:rsidRPr="00643A88">
        <w:t xml:space="preserve">1 και θα </w:t>
      </w:r>
      <w:r>
        <w:t>μειώνεται</w:t>
      </w:r>
      <w:r w:rsidRPr="00643A88">
        <w:t xml:space="preserve"> </w:t>
      </w:r>
      <w:r>
        <w:t xml:space="preserve">σταδιακά </w:t>
      </w:r>
      <w:r w:rsidRPr="00643A88">
        <w:t>καθ</w:t>
      </w:r>
      <w:r>
        <w:t xml:space="preserve">’ </w:t>
      </w:r>
      <w:r w:rsidRPr="00643A88">
        <w:t>όλη τη διάρκεια της περιόδου του ΜΠΔΣ</w:t>
      </w:r>
      <w:r>
        <w:t>,</w:t>
      </w:r>
      <w:r w:rsidRPr="00643A88">
        <w:t xml:space="preserve"> κυρίως λόγ</w:t>
      </w:r>
      <w:r>
        <w:t>ω</w:t>
      </w:r>
      <w:r w:rsidRPr="00643A88">
        <w:t xml:space="preserve"> των προβλεπόμενων ρυθμών </w:t>
      </w:r>
      <w:r>
        <w:t xml:space="preserve">μεγέθυνσης του ΑΕΠ, </w:t>
      </w:r>
      <w:r w:rsidRPr="00643A88">
        <w:t xml:space="preserve">σε απόλυτα </w:t>
      </w:r>
      <w:r>
        <w:t xml:space="preserve">όμως </w:t>
      </w:r>
      <w:r w:rsidRPr="00643A88">
        <w:t>μεγέθη παρατηρείται ελαφρώς ανοδική τάση από το 20</w:t>
      </w:r>
      <w:r>
        <w:t>2</w:t>
      </w:r>
      <w:r w:rsidRPr="00643A88">
        <w:t>1 και μετά</w:t>
      </w:r>
      <w:r>
        <w:t>.</w:t>
      </w:r>
    </w:p>
    <w:p w:rsidR="0025692D" w:rsidRDefault="0025692D" w:rsidP="00096F2C">
      <w:pPr>
        <w:jc w:val="both"/>
      </w:pPr>
      <w:r>
        <w:t>-</w:t>
      </w:r>
      <w:r w:rsidRPr="0074520D">
        <w:rPr>
          <w:b/>
        </w:rPr>
        <w:t>Κοινωνικές παροχές</w:t>
      </w:r>
      <w:r>
        <w:t>. Στην κατηγορία αυτή περιλαμβάνονται οι συντάξεις, τα επιδόματα προς ευάλωτες ομάδες πληθυσμού (οικογενειακά και αναπηρικά επιδόματα, ελάχιστο εγγυημένο εισόδημα και άλλα). Επίσης, περιλαμβάνεται η φαρμακευτική δαπάνη και η δαπάνη παροχών υγείας του ΕΟΠΥΥ</w:t>
      </w:r>
      <w:r w:rsidRPr="0074520D">
        <w:t>,</w:t>
      </w:r>
      <w:r>
        <w:t xml:space="preserve"> επί των οποίων εφαρμόζεται ο μηχανισμός αυτόματης επιστροφής </w:t>
      </w:r>
      <w:r w:rsidRPr="0074520D">
        <w:t>(</w:t>
      </w:r>
      <w:proofErr w:type="spellStart"/>
      <w:r>
        <w:rPr>
          <w:lang w:val="en-US"/>
        </w:rPr>
        <w:t>clawback</w:t>
      </w:r>
      <w:proofErr w:type="spellEnd"/>
      <w:r w:rsidRPr="0074520D">
        <w:t xml:space="preserve">). </w:t>
      </w:r>
      <w:r>
        <w:t xml:space="preserve"> Οι κοινωνικές παροχές αυξάνονται ετήσια ως απόλυτα μεγέθη </w:t>
      </w:r>
      <w:proofErr w:type="spellStart"/>
      <w:r>
        <w:t>καθόλη</w:t>
      </w:r>
      <w:proofErr w:type="spellEnd"/>
      <w:r>
        <w:t xml:space="preserve"> τη διάρκεια της περιόδου 2021-2025.</w:t>
      </w:r>
    </w:p>
    <w:p w:rsidR="0025692D" w:rsidRDefault="0025692D" w:rsidP="00096F2C">
      <w:pPr>
        <w:jc w:val="both"/>
      </w:pPr>
      <w:r>
        <w:t>-</w:t>
      </w:r>
      <w:r w:rsidRPr="004202FB">
        <w:rPr>
          <w:b/>
        </w:rPr>
        <w:t>Τρέχουσες και κεφαλαιακές μεταβιβάσεις</w:t>
      </w:r>
      <w:r>
        <w:t>.</w:t>
      </w:r>
      <w:r w:rsidRPr="000F648B">
        <w:t xml:space="preserve"> </w:t>
      </w:r>
      <w:r>
        <w:t>Αφορούν κυρίως αποδόσεις στην Ευρωπαϊκή Ένωση, αγροτικές ενισχύσεις και αποζημιώσεις, λοιπές μεταβιβάσεις σε φορείς εκτός γενικής κυβέρνησης περιλαμβανομένων και των καταπτώσεων εγγυήσεων. Η πρόβλεψη της δαπάνης για μεταβιβάσεις από το 2022 παραμένει σχετικά σταθερή, ως ποσοστό του ΑΕΠ. Η αυξημένη δαπάνη των ετών 2020 και 2021 οφείλεται στη λήψη των μέτρων αντιμετώπισης των συνεπειών της πανδημίας. Επιπλέον, η δαπάνη του έτους 2020 επιβαρύνθηκε από την αναγνώριση της υποχρέωσης καταβολής ποσών καταπτώσεων εγγυήσεων παρελθόντων ετών και από την καταβολή αναδρομικών συντάξεων, κατά 1,1% και 0,8% του ΑΕΠ αντίστοιχα.</w:t>
      </w:r>
    </w:p>
    <w:p w:rsidR="0025692D" w:rsidRDefault="0025692D" w:rsidP="00096F2C">
      <w:pPr>
        <w:jc w:val="both"/>
      </w:pPr>
      <w:r>
        <w:t>-</w:t>
      </w:r>
      <w:r w:rsidRPr="006E6D4D">
        <w:rPr>
          <w:b/>
        </w:rPr>
        <w:t>Επιδοτήσεις.</w:t>
      </w:r>
      <w:r>
        <w:t xml:space="preserve"> Στην κατηγορία αυτή περιλαμβάνονται κυρίως οι εκροές του Ειδικού Λογαριασμού ΑΠΕ &amp; ΣΗΘΥΑ και τα προγράμματα απασχόλησης του ΟΑΕΔ. Η πρόβλεψη της σχετικής δαπάνης παραμένει σχεδόν σταθερή από το 2022 και μετά, ενώ τα έτη 2020 και 2021 εμφανίζεται ιδιαίτερα αυξημένη λόγω των μέτρων αντιμετώπισης των συνεπειών της πανδημίας. </w:t>
      </w:r>
    </w:p>
    <w:p w:rsidR="0025692D" w:rsidRDefault="0025692D" w:rsidP="00096F2C">
      <w:pPr>
        <w:jc w:val="both"/>
      </w:pPr>
      <w:r>
        <w:lastRenderedPageBreak/>
        <w:t>-</w:t>
      </w:r>
      <w:r w:rsidRPr="00E55C47">
        <w:rPr>
          <w:b/>
        </w:rPr>
        <w:t>Επενδυτικές δαπάνες</w:t>
      </w:r>
      <w:r>
        <w:t xml:space="preserve">. </w:t>
      </w:r>
      <w:r w:rsidRPr="00643A88">
        <w:t>Η κατηγορία αυτή περιλαμβάνει τις επενδύσεις που χρηματοδοτούνται από το Πρόγραμμα Δημοσίων Επενδύσεων, αλλά και από ίδιους πόρους των φορέων</w:t>
      </w:r>
      <w:r>
        <w:t xml:space="preserve"> γενικής κυβέρνησης</w:t>
      </w:r>
      <w:r w:rsidRPr="00643A88">
        <w:t xml:space="preserve">. </w:t>
      </w:r>
      <w:r>
        <w:t xml:space="preserve">Από το 2021 και μετά περιλαμβάνεται και το μεγαλύτερο τμήμα των προγραμμάτων που θα χρηματοδοτηθούν από το Ταμείο Ανάκαμψης και Ανθεκτικότητας. Έτσι η επενδυτική δαπάνη, σταδιακά από το 2021 και κυρίως από το 2022 και μετά εκτιμάται ότι θα ανέλθει σε σημαντικά υψηλότερα επίπεδα σε σχέση με τα απολογιστικά έτη. Επίσης, για τις ανάγκες της παρούσας ανάλυσης, περιλαμβάνονται και οι δαπάνες για εξοπλιστικά προγράμματα (φυσικές παραλαβές) του Υπουργείου Εθνικής Άμυνας. Τέλος, στην κατηγορία αυτή έχουν υπολογιστεί </w:t>
      </w:r>
      <w:r w:rsidRPr="00462B58">
        <w:t xml:space="preserve">και τεκμαρτές δαπάνες που συνδέονται με την </w:t>
      </w:r>
      <w:proofErr w:type="spellStart"/>
      <w:r w:rsidRPr="00462B58">
        <w:t>ιδιοπαραγωγή</w:t>
      </w:r>
      <w:proofErr w:type="spellEnd"/>
      <w:r w:rsidRPr="00462B58">
        <w:t xml:space="preserve"> προϊόντων έρευνας και τεχνολογίας από φορείς της Γενικής Κυβέρνησης</w:t>
      </w:r>
      <w:r>
        <w:t>.</w:t>
      </w:r>
      <w:r w:rsidRPr="000A4EA0">
        <w:t xml:space="preserve"> </w:t>
      </w:r>
      <w:r>
        <w:t>Το τεκμαρτό αυτό ποσό, απεικονίζεται με ουδέτερο τρόπο στη Γενική Κυβέρνηση, αυξάνοντας ισόποσα την κατηγορία των λοιπών εσόδων.</w:t>
      </w:r>
    </w:p>
    <w:p w:rsidR="0025692D" w:rsidRDefault="0025692D" w:rsidP="00096F2C">
      <w:pPr>
        <w:jc w:val="both"/>
      </w:pPr>
      <w:r>
        <w:t>-</w:t>
      </w:r>
      <w:r w:rsidRPr="00614552">
        <w:rPr>
          <w:b/>
        </w:rPr>
        <w:t>Λοιπά λειτουργικά έξοδα</w:t>
      </w:r>
      <w:r>
        <w:t xml:space="preserve">. </w:t>
      </w:r>
      <w:r w:rsidRPr="00F17D75">
        <w:t>Η κατηγορία αυτή περιλαμ</w:t>
      </w:r>
      <w:r w:rsidR="00547121">
        <w:t>βάνει κυρίως τις δαπάνες για τη</w:t>
      </w:r>
      <w:r w:rsidRPr="00F17D75">
        <w:t xml:space="preserve"> λειτουργική εξυπηρέτηση των αναγκών</w:t>
      </w:r>
      <w:r>
        <w:t xml:space="preserve"> των φορέων</w:t>
      </w:r>
      <w:r w:rsidRPr="00F17D75">
        <w:t xml:space="preserve"> της </w:t>
      </w:r>
      <w:r>
        <w:t>γ</w:t>
      </w:r>
      <w:r w:rsidRPr="00F17D75">
        <w:t xml:space="preserve">ενικής </w:t>
      </w:r>
      <w:r>
        <w:t>κ</w:t>
      </w:r>
      <w:r w:rsidRPr="00F17D75">
        <w:t xml:space="preserve">υβέρνησης. Μεταξύ άλλων περιλαμβάνονται οι λειτουργικές δαπάνες των </w:t>
      </w:r>
      <w:r w:rsidR="00547121">
        <w:t>Υπουργείων, των</w:t>
      </w:r>
      <w:r>
        <w:t xml:space="preserve"> </w:t>
      </w:r>
      <w:r w:rsidRPr="00F17D75">
        <w:t>νοσοκομείων</w:t>
      </w:r>
      <w:r>
        <w:t>, των Οργανισμών Τοπικής Αυτοδιοίκησης, των ασφαλιστικών ταμείων, των λοιπών νομικών προσώπων. Τα λειτουργικά έξοδα στο μεσοπρόθεσμο διάστημα εκτιμάται ότι θα παραμείνουν σχετικά σταθερά σε απόλυτο μέγεθος, αποκλιμακώνονται όμως σημαντικά ως ποσοστό του ΑΕΠ.</w:t>
      </w:r>
    </w:p>
    <w:p w:rsidR="0025692D" w:rsidRDefault="0025692D" w:rsidP="00096F2C">
      <w:pPr>
        <w:jc w:val="both"/>
        <w:rPr>
          <w:bCs/>
          <w:color w:val="000000" w:themeColor="text1"/>
        </w:rPr>
      </w:pPr>
      <w:r>
        <w:t>-</w:t>
      </w:r>
      <w:r w:rsidRPr="00CA2AB8">
        <w:rPr>
          <w:b/>
        </w:rPr>
        <w:t>Αποθεματικό</w:t>
      </w:r>
      <w:r>
        <w:t>. Περιλαμβάνει τόσο το τακτικό όσο και το ειδικό αποθεματικό</w:t>
      </w:r>
      <w:r w:rsidR="00547121">
        <w:rPr>
          <w:bCs/>
          <w:color w:val="000000" w:themeColor="text1"/>
        </w:rPr>
        <w:t xml:space="preserve"> για τα οποία</w:t>
      </w:r>
      <w:r w:rsidRPr="00643A88">
        <w:rPr>
          <w:bCs/>
          <w:color w:val="000000" w:themeColor="text1"/>
        </w:rPr>
        <w:t xml:space="preserve"> έχουν προβλεφθεί πιστώσεις ύψους 1.000 εκατ. ευρώ για όλα τα έτη από το 20</w:t>
      </w:r>
      <w:r>
        <w:rPr>
          <w:bCs/>
          <w:color w:val="000000" w:themeColor="text1"/>
        </w:rPr>
        <w:t>2</w:t>
      </w:r>
      <w:r w:rsidRPr="00643A88">
        <w:rPr>
          <w:bCs/>
          <w:color w:val="000000" w:themeColor="text1"/>
        </w:rPr>
        <w:t xml:space="preserve">1 και </w:t>
      </w:r>
      <w:r>
        <w:rPr>
          <w:bCs/>
          <w:color w:val="000000" w:themeColor="text1"/>
        </w:rPr>
        <w:t>μετά</w:t>
      </w:r>
      <w:r w:rsidRPr="00643A88">
        <w:rPr>
          <w:bCs/>
          <w:color w:val="000000" w:themeColor="text1"/>
        </w:rPr>
        <w:t>. Στα απολογιστικά αποτελέσματα των ετών 201</w:t>
      </w:r>
      <w:r>
        <w:rPr>
          <w:bCs/>
          <w:color w:val="000000" w:themeColor="text1"/>
        </w:rPr>
        <w:t>9 και 2020,</w:t>
      </w:r>
      <w:r w:rsidRPr="00643A88">
        <w:rPr>
          <w:bCs/>
          <w:color w:val="000000" w:themeColor="text1"/>
        </w:rPr>
        <w:t xml:space="preserve"> </w:t>
      </w:r>
      <w:r>
        <w:rPr>
          <w:bCs/>
          <w:color w:val="000000" w:themeColor="text1"/>
        </w:rPr>
        <w:t>οι</w:t>
      </w:r>
      <w:r w:rsidRPr="00643A88">
        <w:rPr>
          <w:bCs/>
          <w:color w:val="000000" w:themeColor="text1"/>
        </w:rPr>
        <w:t xml:space="preserve"> δαπάνες που προέκυψαν και χρηματοδοτήθηκαν από το αποθεματικό, περιλαμβάνονται στις επιμέρους κατηγορίες, ανάλογα με τη φύση </w:t>
      </w:r>
      <w:r>
        <w:rPr>
          <w:bCs/>
          <w:color w:val="000000" w:themeColor="text1"/>
        </w:rPr>
        <w:t>τους.</w:t>
      </w:r>
    </w:p>
    <w:p w:rsidR="0025692D" w:rsidRDefault="0025692D" w:rsidP="00096F2C">
      <w:pPr>
        <w:jc w:val="both"/>
        <w:rPr>
          <w:bCs/>
          <w:color w:val="000000" w:themeColor="text1"/>
        </w:rPr>
      </w:pPr>
      <w:r>
        <w:rPr>
          <w:bCs/>
          <w:color w:val="000000" w:themeColor="text1"/>
        </w:rPr>
        <w:t>Στον παρακάτω πίνακα παρουσιάζεται η σύνθεση των πρωτογενών δαπανών της γενικής κυβέρνησης.</w:t>
      </w:r>
    </w:p>
    <w:p w:rsidR="0025692D" w:rsidRDefault="0025692D" w:rsidP="00096F2C">
      <w:pPr>
        <w:jc w:val="both"/>
        <w:rPr>
          <w:bCs/>
          <w:color w:val="000000" w:themeColor="text1"/>
        </w:rPr>
      </w:pPr>
    </w:p>
    <w:p w:rsidR="0025692D" w:rsidRPr="000F648B" w:rsidRDefault="003F5207" w:rsidP="00096F2C">
      <w:pPr>
        <w:jc w:val="both"/>
      </w:pPr>
      <w:r w:rsidRPr="003F5207">
        <w:rPr>
          <w:noProof/>
        </w:rPr>
        <w:drawing>
          <wp:inline distT="0" distB="0" distL="0" distR="0">
            <wp:extent cx="6479540" cy="3066295"/>
            <wp:effectExtent l="19050" t="0" r="0" b="0"/>
            <wp:docPr id="67"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srcRect/>
                    <a:stretch>
                      <a:fillRect/>
                    </a:stretch>
                  </pic:blipFill>
                  <pic:spPr bwMode="auto">
                    <a:xfrm>
                      <a:off x="0" y="0"/>
                      <a:ext cx="6479540" cy="3066295"/>
                    </a:xfrm>
                    <a:prstGeom prst="rect">
                      <a:avLst/>
                    </a:prstGeom>
                    <a:noFill/>
                    <a:ln w="9525">
                      <a:noFill/>
                      <a:miter lim="800000"/>
                      <a:headEnd/>
                      <a:tailEnd/>
                    </a:ln>
                  </pic:spPr>
                </pic:pic>
              </a:graphicData>
            </a:graphic>
          </wp:inline>
        </w:drawing>
      </w:r>
    </w:p>
    <w:p w:rsidR="0025692D" w:rsidRDefault="0025692D" w:rsidP="00096F2C">
      <w:pPr>
        <w:jc w:val="both"/>
      </w:pPr>
    </w:p>
    <w:p w:rsidR="003F5207" w:rsidRDefault="003F5207" w:rsidP="00096F2C">
      <w:pPr>
        <w:jc w:val="both"/>
      </w:pPr>
    </w:p>
    <w:p w:rsidR="00547121" w:rsidRDefault="00547121" w:rsidP="00096F2C">
      <w:pPr>
        <w:jc w:val="both"/>
      </w:pPr>
    </w:p>
    <w:p w:rsidR="003F5207" w:rsidRPr="0074520D" w:rsidRDefault="003F5207" w:rsidP="00096F2C">
      <w:pPr>
        <w:jc w:val="both"/>
      </w:pPr>
    </w:p>
    <w:p w:rsidR="00FE1448" w:rsidRPr="00FE1448" w:rsidRDefault="00FE1448" w:rsidP="00FE1448">
      <w:pPr>
        <w:jc w:val="both"/>
        <w:rPr>
          <w:b/>
        </w:rPr>
      </w:pPr>
      <w:r>
        <w:rPr>
          <w:b/>
        </w:rPr>
        <w:lastRenderedPageBreak/>
        <w:t xml:space="preserve">Διάγραμμα </w:t>
      </w:r>
      <w:r w:rsidR="005A4A64">
        <w:rPr>
          <w:b/>
        </w:rPr>
        <w:t>10</w:t>
      </w:r>
      <w:r w:rsidR="00197E35" w:rsidRPr="00197E35">
        <w:rPr>
          <w:b/>
        </w:rPr>
        <w:t>:</w:t>
      </w:r>
      <w:r w:rsidRPr="00FE1448">
        <w:rPr>
          <w:b/>
        </w:rPr>
        <w:t xml:space="preserve"> Σύνθεση πρωτογενών δαπανών Γενικής Κυβέρνησης (ΜΠΔΣ)</w:t>
      </w:r>
    </w:p>
    <w:p w:rsidR="0025692D" w:rsidRPr="00FF0DEE" w:rsidRDefault="00482736" w:rsidP="00096F2C">
      <w:pPr>
        <w:jc w:val="both"/>
      </w:pPr>
      <w:r>
        <w:rPr>
          <w:noProof/>
        </w:rPr>
        <w:drawing>
          <wp:inline distT="0" distB="0" distL="0" distR="0">
            <wp:extent cx="6534150" cy="3448050"/>
            <wp:effectExtent l="19050" t="0" r="0" b="0"/>
            <wp:docPr id="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srcRect/>
                    <a:stretch>
                      <a:fillRect/>
                    </a:stretch>
                  </pic:blipFill>
                  <pic:spPr bwMode="auto">
                    <a:xfrm>
                      <a:off x="0" y="0"/>
                      <a:ext cx="6532408" cy="3447131"/>
                    </a:xfrm>
                    <a:prstGeom prst="rect">
                      <a:avLst/>
                    </a:prstGeom>
                    <a:noFill/>
                  </pic:spPr>
                </pic:pic>
              </a:graphicData>
            </a:graphic>
          </wp:inline>
        </w:drawing>
      </w:r>
    </w:p>
    <w:p w:rsidR="000D3506" w:rsidRDefault="000D3506" w:rsidP="00AA248C">
      <w:pPr>
        <w:pStyle w:val="2"/>
        <w:spacing w:before="0" w:after="200"/>
        <w:jc w:val="both"/>
        <w:rPr>
          <w:rFonts w:asciiTheme="minorHAnsi" w:hAnsiTheme="minorHAnsi"/>
          <w:b/>
          <w:sz w:val="22"/>
          <w:szCs w:val="24"/>
        </w:rPr>
      </w:pPr>
    </w:p>
    <w:p w:rsidR="00236400" w:rsidRPr="005E3A65" w:rsidRDefault="00236400" w:rsidP="00AA248C">
      <w:pPr>
        <w:pStyle w:val="2"/>
        <w:spacing w:before="0" w:after="200"/>
        <w:jc w:val="both"/>
        <w:rPr>
          <w:rFonts w:asciiTheme="minorHAnsi" w:hAnsiTheme="minorHAnsi"/>
          <w:b/>
          <w:sz w:val="24"/>
          <w:szCs w:val="24"/>
        </w:rPr>
      </w:pPr>
      <w:bookmarkStart w:id="18" w:name="_Toc74930198"/>
      <w:r w:rsidRPr="005E3A65">
        <w:rPr>
          <w:rFonts w:asciiTheme="minorHAnsi" w:hAnsiTheme="minorHAnsi"/>
          <w:b/>
          <w:sz w:val="24"/>
          <w:szCs w:val="24"/>
        </w:rPr>
        <w:t>2.5 Δημοσιονομικές παρεμβάσεις</w:t>
      </w:r>
      <w:bookmarkEnd w:id="18"/>
    </w:p>
    <w:p w:rsidR="00236400" w:rsidRPr="00C37D1A" w:rsidRDefault="00236400" w:rsidP="00AA248C">
      <w:pPr>
        <w:jc w:val="both"/>
        <w:rPr>
          <w:szCs w:val="24"/>
        </w:rPr>
      </w:pPr>
    </w:p>
    <w:p w:rsidR="000D3506" w:rsidRPr="000D3506" w:rsidRDefault="000D3506" w:rsidP="00B2006B">
      <w:pPr>
        <w:jc w:val="both"/>
        <w:rPr>
          <w:szCs w:val="24"/>
        </w:rPr>
      </w:pPr>
      <w:r w:rsidRPr="000D3506">
        <w:rPr>
          <w:szCs w:val="24"/>
        </w:rPr>
        <w:t>Με την εμφάνιση της πανδημίας Covid-19 από τον Φεβρουάριο του 2020, η πολιτεία έθεσε σε άμεση εφαρμογή μία σειρά παρεμβάσεων με στόχο την αναχαίτιση της εξάπλωσης του ιού και την οικονομική ενίσχυση των πληττόμενων κλάδων της οικονομίας και των εργαζομένων. Καθώς το δεύτερο κύμα της πανδημίας εμφανίστηκε το φθινόπωρο του 2020 και εξελίχτηκε έως το πρώτο εξάμηνο του 2021, τα υπάρχοντα μέτρα στήριξης επεκτάθηκαν, ενώ υιοθετήθηκαν νέα στοχευόμενα μέτρα για την στήριξη όσων επλήγησαν από την πανδημία.</w:t>
      </w:r>
    </w:p>
    <w:p w:rsidR="000D3506" w:rsidRDefault="000D3506" w:rsidP="00B2006B">
      <w:pPr>
        <w:jc w:val="both"/>
        <w:rPr>
          <w:szCs w:val="24"/>
        </w:rPr>
      </w:pPr>
      <w:r w:rsidRPr="000D3506">
        <w:rPr>
          <w:szCs w:val="24"/>
        </w:rPr>
        <w:t xml:space="preserve">Οι παρεμβάσεις αυτές χωρίζονται σε 69 κατηγορίες μέτρων (Πίνακας </w:t>
      </w:r>
      <w:r>
        <w:rPr>
          <w:szCs w:val="24"/>
        </w:rPr>
        <w:t>18) που εστιάζουν στην στήριξη:</w:t>
      </w:r>
    </w:p>
    <w:p w:rsidR="000D3506" w:rsidRDefault="000D3506" w:rsidP="00B2006B">
      <w:pPr>
        <w:pStyle w:val="a4"/>
        <w:numPr>
          <w:ilvl w:val="0"/>
          <w:numId w:val="43"/>
        </w:numPr>
        <w:spacing w:after="120"/>
        <w:ind w:left="714" w:hanging="357"/>
        <w:contextualSpacing w:val="0"/>
        <w:jc w:val="both"/>
        <w:rPr>
          <w:szCs w:val="24"/>
        </w:rPr>
      </w:pPr>
      <w:r w:rsidRPr="000D3506">
        <w:rPr>
          <w:szCs w:val="24"/>
        </w:rPr>
        <w:t>των επιχειρήσεων που παρουσιάζουν μείωση εσόδων λόγω της πανδημίας,</w:t>
      </w:r>
    </w:p>
    <w:p w:rsidR="000D3506" w:rsidRDefault="000D3506" w:rsidP="00B2006B">
      <w:pPr>
        <w:pStyle w:val="a4"/>
        <w:numPr>
          <w:ilvl w:val="0"/>
          <w:numId w:val="43"/>
        </w:numPr>
        <w:spacing w:after="120"/>
        <w:ind w:left="714" w:hanging="357"/>
        <w:contextualSpacing w:val="0"/>
        <w:jc w:val="both"/>
        <w:rPr>
          <w:szCs w:val="24"/>
        </w:rPr>
      </w:pPr>
      <w:r w:rsidRPr="000D3506">
        <w:rPr>
          <w:szCs w:val="24"/>
        </w:rPr>
        <w:t>των εργαζομένων των πληττόμενων κλάδων, με ειδική μέριμνα για τους εποχικά εργαζόμενους,</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των ελευθέρων επαγγελματιών και αυτοαπασχολούμενων,</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των ανέργων,</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της πρωτογενούς παραγωγής,</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των ιδιοκτητών ακινήτων,</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των δανειοληπτών,</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του Εθνικού Συστήματος Υγείας με την προμήθεια εξοπλισμού, υγειονομικού υλικού, την ενίσχυση του προσωπικού, όπως και της Εθνικής Εκστρατείας Εμβολιασμού,</w:t>
      </w:r>
    </w:p>
    <w:p w:rsidR="000D3506" w:rsidRDefault="000D3506" w:rsidP="00B2006B">
      <w:pPr>
        <w:pStyle w:val="a4"/>
        <w:numPr>
          <w:ilvl w:val="0"/>
          <w:numId w:val="43"/>
        </w:numPr>
        <w:spacing w:after="120"/>
        <w:ind w:left="714" w:hanging="357"/>
        <w:contextualSpacing w:val="0"/>
        <w:jc w:val="both"/>
        <w:rPr>
          <w:szCs w:val="24"/>
        </w:rPr>
      </w:pPr>
      <w:r w:rsidRPr="00B2006B">
        <w:rPr>
          <w:szCs w:val="24"/>
        </w:rPr>
        <w:t>των μεταφορών με ειδική πρόνοια για τις αεροπορικές μεταφορές, την ακτοπλοΐα, τις χερσαίες μεταφορές και την ενίσχυση των συγκοινωνιακών φορέων και</w:t>
      </w:r>
    </w:p>
    <w:p w:rsidR="000D3506" w:rsidRPr="00B2006B" w:rsidRDefault="000D3506" w:rsidP="00B2006B">
      <w:pPr>
        <w:pStyle w:val="a4"/>
        <w:numPr>
          <w:ilvl w:val="0"/>
          <w:numId w:val="43"/>
        </w:numPr>
        <w:spacing w:after="120"/>
        <w:ind w:left="714" w:hanging="357"/>
        <w:contextualSpacing w:val="0"/>
        <w:jc w:val="both"/>
        <w:rPr>
          <w:szCs w:val="24"/>
        </w:rPr>
      </w:pPr>
      <w:r w:rsidRPr="00B2006B">
        <w:rPr>
          <w:szCs w:val="24"/>
        </w:rPr>
        <w:lastRenderedPageBreak/>
        <w:t xml:space="preserve">των κλάδων της εστίασης, του τουρισμού, του πολιτισμού και του αθλητισμού και άλλων κλάδων που παρέμειναν σε αναστολή δραστηριοτήτων για μεγάλο χρονικό διάστημα. </w:t>
      </w:r>
    </w:p>
    <w:p w:rsidR="000D3506" w:rsidRPr="000D3506" w:rsidRDefault="000D3506" w:rsidP="00B2006B">
      <w:pPr>
        <w:jc w:val="both"/>
        <w:rPr>
          <w:szCs w:val="24"/>
        </w:rPr>
      </w:pPr>
      <w:r w:rsidRPr="000D3506">
        <w:rPr>
          <w:szCs w:val="24"/>
        </w:rPr>
        <w:t xml:space="preserve">Η συνολική αξία των παρεμβάσεων εκτιμάται σε 41 δισ. ευρώ, εκ των οποίων 23.110 εκατ. ευρώ αφορούν το 2020, 15.841 εκατ. ευρώ το 2021 και 2.079 εκατ. ευρώ το 2022. Το δημοσιονομικό κόστος αυτών των παρεμβάσεων ανέρχεται σε 28.325 εκατ. ευρώ, εκ των οποίων 11.613 εκατ. ευρώ αφορούν το 2020, 14.558  εκατ. ευρώ το 2021 και 2.079 εκατ. ευρώ το 2022. Οι παρεμβάσεις παροχής ρευστότητας ανέρχονται σε 6.857 εκατ. ευρώ, εκ των οποίων 5.804 εκατ. ευρώ αφορούν το 2020 και 1.053 εκατ. ευρώ το 2021 και η αντίστοιχη μόχλευση από το τραπεζικό σύστημα σε 5.923 εκατ. ευρώ, εκ των οποίων 5.693 εκατ. ευρώ αφορά το 2022 και 230 εκατ. ευρώ το 2021. </w:t>
      </w:r>
    </w:p>
    <w:p w:rsidR="000D3506" w:rsidRDefault="000D3506" w:rsidP="00B2006B">
      <w:pPr>
        <w:jc w:val="both"/>
        <w:rPr>
          <w:szCs w:val="24"/>
        </w:rPr>
      </w:pPr>
      <w:r w:rsidRPr="000D3506">
        <w:rPr>
          <w:szCs w:val="24"/>
        </w:rPr>
        <w:t>Οι</w:t>
      </w:r>
      <w:r>
        <w:rPr>
          <w:szCs w:val="24"/>
        </w:rPr>
        <w:t xml:space="preserve"> 69 παρεμβάσεις, χωρίζονται σε:</w:t>
      </w:r>
    </w:p>
    <w:p w:rsidR="000D3506" w:rsidRDefault="000D3506" w:rsidP="00B2006B">
      <w:pPr>
        <w:pStyle w:val="a4"/>
        <w:numPr>
          <w:ilvl w:val="0"/>
          <w:numId w:val="44"/>
        </w:numPr>
        <w:spacing w:after="120"/>
        <w:ind w:left="714" w:hanging="357"/>
        <w:contextualSpacing w:val="0"/>
        <w:jc w:val="both"/>
        <w:rPr>
          <w:szCs w:val="24"/>
        </w:rPr>
      </w:pPr>
      <w:r w:rsidRPr="00B2006B">
        <w:rPr>
          <w:szCs w:val="24"/>
        </w:rPr>
        <w:t xml:space="preserve">21 παρεμβάσεις που αφορούν στη μείωση των εσόδων της Γενικής Κυβέρνησης με ταμειακό (δημοσιονομικό) κόστος 8.803 (8.183) εκατ. ευρώ, εκ των οποίων 3.638 (3.018) εκατ. ευρώ αφορούν το 2020, 3.440 (3.440) εκατ. ευρώ το 2021 και 1.725 (1.725) εκατ. ευρώ το 2022. </w:t>
      </w:r>
    </w:p>
    <w:p w:rsidR="000D3506" w:rsidRDefault="000D3506" w:rsidP="00B2006B">
      <w:pPr>
        <w:pStyle w:val="a4"/>
        <w:numPr>
          <w:ilvl w:val="0"/>
          <w:numId w:val="44"/>
        </w:numPr>
        <w:spacing w:after="120"/>
        <w:ind w:left="714" w:hanging="357"/>
        <w:contextualSpacing w:val="0"/>
        <w:jc w:val="both"/>
        <w:rPr>
          <w:szCs w:val="24"/>
        </w:rPr>
      </w:pPr>
      <w:r w:rsidRPr="00B2006B">
        <w:rPr>
          <w:szCs w:val="24"/>
        </w:rPr>
        <w:t>44 παρεμβάσεις που αφορούν αύξηση δαπανών Γενικής Κυβέρνησης, με ταμειακό (δημοσιονομικό) κόστος 26.380 (20.142) εκατ. ευρώ, εκ των οποίων 13.780 (8.595) εκατ. ευρώ αφορούν το 2020, 12.171 (11.118) εκατ. ευρώ το 2021 και 353 (353) εκατ. ευρώ το 2022. Από τις παρεμβάσεις δαπανών ύψους 26.380 εκ</w:t>
      </w:r>
      <w:r w:rsidR="00EE62F0">
        <w:rPr>
          <w:szCs w:val="24"/>
        </w:rPr>
        <w:t>ατ</w:t>
      </w:r>
      <w:r w:rsidRPr="00B2006B">
        <w:rPr>
          <w:szCs w:val="24"/>
        </w:rPr>
        <w:t>. ευρώ, παρεμβάσεις ύψους 7.913 εκ</w:t>
      </w:r>
      <w:r w:rsidR="00EE62F0">
        <w:rPr>
          <w:szCs w:val="24"/>
        </w:rPr>
        <w:t>ατ</w:t>
      </w:r>
      <w:r w:rsidRPr="00B2006B">
        <w:rPr>
          <w:szCs w:val="24"/>
        </w:rPr>
        <w:t>. ευρώ χρηματοδοτούνται από το Πρόγραμμα Δημοσίων Επενδύσεων και παρεμβάσεις ύψους 18.467 εκ</w:t>
      </w:r>
      <w:r w:rsidR="00EE62F0">
        <w:rPr>
          <w:szCs w:val="24"/>
        </w:rPr>
        <w:t>ατ</w:t>
      </w:r>
      <w:r w:rsidRPr="00B2006B">
        <w:rPr>
          <w:szCs w:val="24"/>
        </w:rPr>
        <w:t>. ευρώ από τον τακτικό προϋπολογισμό. Σημαντικό ρόλο στη χρηματοδότηση των παρεμβάσεων αυτών είχε το μέσο προσωρινής στήριξης για τον μετριασμό των κινδύνων ανεργίας σε κατάσταση έκτακτης ανάγκης (SURE), υπό τη μορφή δανείων από την ΕΕ, από όπου η Ελλάδα έλαβε χρηματοδότηση συνολικού ύψους 5.265 εκ</w:t>
      </w:r>
      <w:r w:rsidR="00EE62F0">
        <w:rPr>
          <w:szCs w:val="24"/>
        </w:rPr>
        <w:t>ατ</w:t>
      </w:r>
      <w:r w:rsidRPr="00B2006B">
        <w:rPr>
          <w:szCs w:val="24"/>
        </w:rPr>
        <w:t>. ευρώ.</w:t>
      </w:r>
    </w:p>
    <w:p w:rsidR="000D3506" w:rsidRPr="00B2006B" w:rsidRDefault="000D3506" w:rsidP="00B2006B">
      <w:pPr>
        <w:pStyle w:val="a4"/>
        <w:numPr>
          <w:ilvl w:val="0"/>
          <w:numId w:val="44"/>
        </w:numPr>
        <w:spacing w:after="120"/>
        <w:ind w:left="714" w:hanging="357"/>
        <w:contextualSpacing w:val="0"/>
        <w:jc w:val="both"/>
        <w:rPr>
          <w:szCs w:val="24"/>
        </w:rPr>
      </w:pPr>
      <w:r w:rsidRPr="00B2006B">
        <w:rPr>
          <w:szCs w:val="24"/>
        </w:rPr>
        <w:t>4 παρεμβάσεις δημοσιονομικά και ταμειακά ουδέτερες, που ωστόσο ήταν σημαντικές για τη λειτουργία της ιδιωτικής οικονομίας και τη σχέση αυτής με το Τραπεζικό σύστημα.</w:t>
      </w:r>
    </w:p>
    <w:p w:rsidR="000D3506" w:rsidRPr="000D3506" w:rsidRDefault="000D3506" w:rsidP="00B2006B">
      <w:pPr>
        <w:jc w:val="both"/>
        <w:rPr>
          <w:szCs w:val="24"/>
        </w:rPr>
      </w:pPr>
      <w:r w:rsidRPr="000D3506">
        <w:rPr>
          <w:szCs w:val="24"/>
        </w:rPr>
        <w:t>Είναι εμφανές ότι με την χρονική επέκταση της πανδημίας, η πολιτεία στράφηκε από μέτρα παροχής ρευστότητας (ταμειακής διευκόλυνσης) σε μέτρα δημοσιονομικά (παροχής μη επιστρεπτέων ενισχύσεων, κεφαλαίου κίνησης, αποζημιώσεων κτλ.), με στόχο την ενίσχυση της βιωσιμότητας όσων επλήγησαν από την πανδημία για μεγαλύτερο χρονικό διάστημα. Είναι ενδεικτικό ότι από τους επτά κύκλους της επιστρεπτέας προκαταβολής συνολικού ύψους 8.263 εκατ. ευρώ, που κατά σημαντικό ποσοστό κατέστη μη επιστρεπτέα, υπολογίζεται ότι ωφελήθηκαν περισσότερες από 600.000 ατομικές επιχειρήσεις, ελεύθεροι επαγγελματίες και νομικά πρόσωπα. Από το μέτρο της αποζημίωσης ειδικού σκοπού των εργαζομένων που τίθενται σε προσωρινή αναστολή, του οποίου το κόστος εκτιμάται σε 6.050 εκατ. ευρώ λαμβάνοντας υπόψη τα δώρα Χριστουγέννων και Πάσχα και την κάλυψη ασφαλιστικών εισφορών, υπολογίζεται ότι ωφελήθηκαν περισσότεροι από 1,3 εκατ. εργαζόμενοι. Αντίστοιχα από την αποζημίωση ειδικού σκοπού και την αυξημένη αποζημίωση ειδικού σκοπού, συνολικού ύψους 595 εκατ. ευρώ, ωφελήθηκαν περισσότεροι από 500.000 ελεύθεροι επαγγελματίες και μικρές επιχειρήσεις, ενώ περισσότεροι από 300.000 ιδιοκτήτες ακινήτων έλαβαν αποζημίωση για μειωμένα ενοίκια εκτιμώμενου ύψους 670 εκατ. ευρώ εντός του 2021.</w:t>
      </w:r>
    </w:p>
    <w:p w:rsidR="000D3506" w:rsidRDefault="000D3506" w:rsidP="00B2006B">
      <w:pPr>
        <w:jc w:val="both"/>
        <w:rPr>
          <w:szCs w:val="24"/>
        </w:rPr>
      </w:pPr>
      <w:r w:rsidRPr="000D3506">
        <w:rPr>
          <w:szCs w:val="24"/>
        </w:rPr>
        <w:t>Κατά το δεύτερο εξάμηνο του έτους 2021 οι κυριότερες παρεμβάσεις στήριξης επιχειρήσεων και εργαζομένων ε</w:t>
      </w:r>
      <w:r>
        <w:rPr>
          <w:szCs w:val="24"/>
        </w:rPr>
        <w:t>στιάζονται στις ακόλουθες:</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Πρόγραμμα επιδότησης παγίων δαπανών επιχειρήσεων ύψους 500 εκ</w:t>
      </w:r>
      <w:r w:rsidR="00EE62F0">
        <w:rPr>
          <w:szCs w:val="24"/>
        </w:rPr>
        <w:t>ατ</w:t>
      </w:r>
      <w:r w:rsidRPr="00B2006B">
        <w:rPr>
          <w:szCs w:val="24"/>
        </w:rPr>
        <w:t>. ευρώ,</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προγράμματα επιδότησης κεφαλαίου κίνησης μέσω του ΕΣΠΑ για την εστίαση, τον τουρισμό, τα γυμναστήρια και τους παιδότοπους, συνολικού ύψους 766 εκ</w:t>
      </w:r>
      <w:r w:rsidR="00EE62F0">
        <w:rPr>
          <w:szCs w:val="24"/>
        </w:rPr>
        <w:t>ατ</w:t>
      </w:r>
      <w:r w:rsidRPr="00B2006B">
        <w:rPr>
          <w:szCs w:val="24"/>
        </w:rPr>
        <w:t>. ευρώ,</w:t>
      </w:r>
    </w:p>
    <w:p w:rsidR="000D3506" w:rsidRDefault="000D3506" w:rsidP="00B2006B">
      <w:pPr>
        <w:pStyle w:val="a4"/>
        <w:numPr>
          <w:ilvl w:val="0"/>
          <w:numId w:val="45"/>
        </w:numPr>
        <w:spacing w:after="120"/>
        <w:ind w:left="714" w:hanging="357"/>
        <w:contextualSpacing w:val="0"/>
        <w:jc w:val="both"/>
        <w:rPr>
          <w:szCs w:val="24"/>
        </w:rPr>
      </w:pPr>
      <w:r w:rsidRPr="00B2006B">
        <w:rPr>
          <w:szCs w:val="24"/>
        </w:rPr>
        <w:lastRenderedPageBreak/>
        <w:t xml:space="preserve">νέο </w:t>
      </w:r>
      <w:proofErr w:type="spellStart"/>
      <w:r w:rsidRPr="00B2006B">
        <w:rPr>
          <w:szCs w:val="24"/>
        </w:rPr>
        <w:t>εγγυοδοτικό</w:t>
      </w:r>
      <w:proofErr w:type="spellEnd"/>
      <w:r w:rsidRPr="00B2006B">
        <w:rPr>
          <w:szCs w:val="24"/>
        </w:rPr>
        <w:t xml:space="preserve"> πρόγραμμα μέσω της Αναπτυξιακής Τράπεζας για πολύ μικρές επιχειρήσεις με κόστος 220 εκ</w:t>
      </w:r>
      <w:r w:rsidR="00BC443A">
        <w:rPr>
          <w:szCs w:val="24"/>
        </w:rPr>
        <w:t xml:space="preserve">ατ. ευρώ </w:t>
      </w:r>
      <w:r w:rsidRPr="00B2006B">
        <w:rPr>
          <w:szCs w:val="24"/>
        </w:rPr>
        <w:t xml:space="preserve"> που με τη μόχλευση η διαθέσιμη ενίσχυση ανέρχεται σε 450 εκ</w:t>
      </w:r>
      <w:r w:rsidR="00BC443A">
        <w:rPr>
          <w:szCs w:val="24"/>
        </w:rPr>
        <w:t>ατ</w:t>
      </w:r>
      <w:r w:rsidRPr="00B2006B">
        <w:rPr>
          <w:szCs w:val="24"/>
        </w:rPr>
        <w:t>. ευρώ,</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επέκταση προγράμματος ΣΥΝ-ΕΡΓΑΣΙΑ έως τον Σεπτέμβριο, με ειδική πρόβλεψη για τους εποχικά απασχολούμενους, με εκτιμώμενο κόστος 122</w:t>
      </w:r>
      <w:r w:rsidR="00BC443A">
        <w:rPr>
          <w:szCs w:val="24"/>
        </w:rPr>
        <w:t xml:space="preserve"> </w:t>
      </w:r>
      <w:r w:rsidRPr="00B2006B">
        <w:rPr>
          <w:szCs w:val="24"/>
        </w:rPr>
        <w:t>εκ</w:t>
      </w:r>
      <w:r w:rsidR="00BC443A">
        <w:rPr>
          <w:szCs w:val="24"/>
        </w:rPr>
        <w:t>ατ</w:t>
      </w:r>
      <w:r w:rsidRPr="00B2006B">
        <w:rPr>
          <w:szCs w:val="24"/>
        </w:rPr>
        <w:t>.</w:t>
      </w:r>
      <w:r w:rsidR="00BC443A">
        <w:rPr>
          <w:szCs w:val="24"/>
        </w:rPr>
        <w:t xml:space="preserve"> ευρώ </w:t>
      </w:r>
      <w:r w:rsidRPr="00B2006B">
        <w:rPr>
          <w:szCs w:val="24"/>
        </w:rPr>
        <w:t xml:space="preserve"> για την εν λόγω περίοδο,</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επιδότηση δανείων δανειοληπτών φυσικών προσώπων μέσω του ΓΕΦΥΡΑ και νομικών προσώπων μέσω του ΓΕΦΥΡΑ 2, με εκτιμώμενο κόστος περί τα 400 εκ</w:t>
      </w:r>
      <w:r w:rsidR="00BC443A">
        <w:rPr>
          <w:szCs w:val="24"/>
        </w:rPr>
        <w:t>ατ</w:t>
      </w:r>
      <w:r w:rsidRPr="00B2006B">
        <w:rPr>
          <w:szCs w:val="24"/>
        </w:rPr>
        <w:t>. ευρώ για το δεύτερο εξάμηνο του 2021,</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ενίσχυση της απασχόλησης μέσω του προγράμματος των 100.000 θέσεων εργασίας, με ειδική πρόβλεψη για τους εποχικά απασχολούμενους, με εκτιμώμενο κόστος 200 εκ</w:t>
      </w:r>
      <w:r w:rsidR="00BC443A">
        <w:rPr>
          <w:szCs w:val="24"/>
        </w:rPr>
        <w:t>ατ</w:t>
      </w:r>
      <w:r w:rsidRPr="00B2006B">
        <w:rPr>
          <w:szCs w:val="24"/>
        </w:rPr>
        <w:t>. ευρώ για το δεύτερο εξάμηνο του 2021,</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προγράμματα κοινωνικού τουρισμού του Υπουργείου Τουρισμού και του ΟΑΕΔ, ύψους 110 εκ</w:t>
      </w:r>
      <w:r w:rsidR="00BC443A">
        <w:rPr>
          <w:szCs w:val="24"/>
        </w:rPr>
        <w:t>ατ</w:t>
      </w:r>
      <w:r w:rsidRPr="00B2006B">
        <w:rPr>
          <w:szCs w:val="24"/>
        </w:rPr>
        <w:t>. ευρώ,</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μείωση προκαταβολής φόρου επιχειρήσεων και ελευθέρων επαγγελματιών με κόστος 907 εκ</w:t>
      </w:r>
      <w:r w:rsidR="00BC443A">
        <w:rPr>
          <w:szCs w:val="24"/>
        </w:rPr>
        <w:t>ατ</w:t>
      </w:r>
      <w:r w:rsidRPr="00B2006B">
        <w:rPr>
          <w:szCs w:val="24"/>
        </w:rPr>
        <w:t>. ευρώ,</w:t>
      </w:r>
    </w:p>
    <w:p w:rsidR="000D3506" w:rsidRDefault="000D3506" w:rsidP="00B2006B">
      <w:pPr>
        <w:pStyle w:val="a4"/>
        <w:numPr>
          <w:ilvl w:val="0"/>
          <w:numId w:val="45"/>
        </w:numPr>
        <w:spacing w:after="120"/>
        <w:ind w:left="714" w:hanging="357"/>
        <w:contextualSpacing w:val="0"/>
        <w:jc w:val="both"/>
        <w:rPr>
          <w:szCs w:val="24"/>
        </w:rPr>
      </w:pPr>
      <w:r w:rsidRPr="00B2006B">
        <w:rPr>
          <w:szCs w:val="24"/>
        </w:rPr>
        <w:t>αναστολή πληρωμής εισφοράς αλληλεγγύης για τον ιδιωτικό τομέα με εκτιμώμενο κόστος για το επόμενο διάστημα έως τέλη του έτους: 609 εκ</w:t>
      </w:r>
      <w:r w:rsidR="00BC443A">
        <w:rPr>
          <w:szCs w:val="24"/>
        </w:rPr>
        <w:t>ατ</w:t>
      </w:r>
      <w:r w:rsidRPr="00B2006B">
        <w:rPr>
          <w:szCs w:val="24"/>
        </w:rPr>
        <w:t>. ευρώ,</w:t>
      </w:r>
    </w:p>
    <w:p w:rsidR="000D3506" w:rsidRPr="00B2006B" w:rsidRDefault="000D3506" w:rsidP="00B2006B">
      <w:pPr>
        <w:pStyle w:val="a4"/>
        <w:numPr>
          <w:ilvl w:val="0"/>
          <w:numId w:val="45"/>
        </w:numPr>
        <w:spacing w:after="120"/>
        <w:ind w:left="714" w:hanging="357"/>
        <w:contextualSpacing w:val="0"/>
        <w:jc w:val="both"/>
        <w:rPr>
          <w:szCs w:val="24"/>
        </w:rPr>
      </w:pPr>
      <w:r w:rsidRPr="00B2006B">
        <w:rPr>
          <w:szCs w:val="24"/>
        </w:rPr>
        <w:t>μείωση τριών μονάδων ασφαλιστικών εισφορών για τον ιδιωτικό τομέα με εκτιμώμενο κόστος για το επόμενο διάστημα έως τέλη του έτους: 408 εκ</w:t>
      </w:r>
      <w:r w:rsidR="00BC443A">
        <w:rPr>
          <w:szCs w:val="24"/>
        </w:rPr>
        <w:t>ατ</w:t>
      </w:r>
      <w:r w:rsidRPr="00B2006B">
        <w:rPr>
          <w:szCs w:val="24"/>
        </w:rPr>
        <w:t>. ευρώ.</w:t>
      </w:r>
    </w:p>
    <w:p w:rsidR="000D3506" w:rsidRPr="000D3506" w:rsidRDefault="000D3506" w:rsidP="00B2006B">
      <w:pPr>
        <w:jc w:val="both"/>
        <w:rPr>
          <w:szCs w:val="24"/>
        </w:rPr>
      </w:pPr>
      <w:r w:rsidRPr="000D3506">
        <w:rPr>
          <w:szCs w:val="24"/>
        </w:rPr>
        <w:t>Για το έτος 2022 έχει προβλεφθεί η επέκταση των μέτρων της αναστολής πληρωμής εισφοράς αλληλεγγύης για τον ιδιωτικό τομέα με κόστος 767 εκ</w:t>
      </w:r>
      <w:r w:rsidR="00BC443A">
        <w:rPr>
          <w:szCs w:val="24"/>
        </w:rPr>
        <w:t>ατ</w:t>
      </w:r>
      <w:r w:rsidRPr="000D3506">
        <w:rPr>
          <w:szCs w:val="24"/>
        </w:rPr>
        <w:t>. ευρώ και της διατήρησης της μείωσης των τριών μονάδων ασφαλιστικών εισφορών για τον ιδιωτικό τομέα με κόστος 816 εκ</w:t>
      </w:r>
      <w:r w:rsidR="00BC443A">
        <w:rPr>
          <w:szCs w:val="24"/>
        </w:rPr>
        <w:t>ατ</w:t>
      </w:r>
      <w:r w:rsidRPr="000D3506">
        <w:rPr>
          <w:szCs w:val="24"/>
        </w:rPr>
        <w:t>. ευρώ. Παράλληλα έχουν προβλεφθεί οι απαραίτητες πιστώσεις ύψους 276 εκ</w:t>
      </w:r>
      <w:r w:rsidR="00BC443A">
        <w:rPr>
          <w:szCs w:val="24"/>
        </w:rPr>
        <w:t>ατ</w:t>
      </w:r>
      <w:r w:rsidRPr="000D3506">
        <w:rPr>
          <w:szCs w:val="24"/>
        </w:rPr>
        <w:t>. ευρώ για το Εθνικό Πρόγραμμα Εμβολιασμού και το έκτακτο υγειονομικό προσωπικό.</w:t>
      </w:r>
    </w:p>
    <w:p w:rsidR="000D3506" w:rsidRPr="000D3506" w:rsidRDefault="000D3506" w:rsidP="00B2006B">
      <w:pPr>
        <w:jc w:val="both"/>
        <w:rPr>
          <w:szCs w:val="24"/>
        </w:rPr>
      </w:pPr>
      <w:r w:rsidRPr="000D3506">
        <w:rPr>
          <w:szCs w:val="24"/>
        </w:rPr>
        <w:t>Επιπλέον των μέτρων αντιμετώπισης της Πανδημίας, από το 2022 και έπειτα προβλέπεται σε μόνιμη βάση διατήρηση της μείωσης του ποσοστού της προκαταβολής φόρου που προκύπτει από επιχειρηματική δραστηριότητα φυσικών προσώπων στο 55% και των νομικών προσώπων στο 80%. Επιπλέον στα δημοσιονομικά αποτελέσματα έχει ληφθεί υπόψη η μείωση του ποσοστού φορολογίας νομικών προσώπων από 24% στο 22% με εκτιμώμενο κόστος 183 εκ</w:t>
      </w:r>
      <w:r w:rsidR="00BC443A">
        <w:rPr>
          <w:szCs w:val="24"/>
        </w:rPr>
        <w:t>ατ</w:t>
      </w:r>
      <w:r w:rsidRPr="000D3506">
        <w:rPr>
          <w:szCs w:val="24"/>
        </w:rPr>
        <w:t>. ευρώ για το 2022, 112 εκ</w:t>
      </w:r>
      <w:r w:rsidR="00BC443A">
        <w:rPr>
          <w:szCs w:val="24"/>
        </w:rPr>
        <w:t>ατ</w:t>
      </w:r>
      <w:r w:rsidRPr="000D3506">
        <w:rPr>
          <w:szCs w:val="24"/>
        </w:rPr>
        <w:t>. ευρώ για το 2023, 125 εκ</w:t>
      </w:r>
      <w:r w:rsidR="00BC443A">
        <w:rPr>
          <w:szCs w:val="24"/>
        </w:rPr>
        <w:t>ατ</w:t>
      </w:r>
      <w:r w:rsidRPr="000D3506">
        <w:rPr>
          <w:szCs w:val="24"/>
        </w:rPr>
        <w:t>. ευρώ για το 2024 και 136 εκ</w:t>
      </w:r>
      <w:r w:rsidR="00BC443A">
        <w:rPr>
          <w:szCs w:val="24"/>
        </w:rPr>
        <w:t>ατ</w:t>
      </w:r>
      <w:r w:rsidRPr="000D3506">
        <w:rPr>
          <w:szCs w:val="24"/>
        </w:rPr>
        <w:t>. ευρώ για το 2025.</w:t>
      </w:r>
    </w:p>
    <w:p w:rsidR="00833A7E" w:rsidRPr="000D3506" w:rsidRDefault="000D3506" w:rsidP="00B2006B">
      <w:pPr>
        <w:jc w:val="both"/>
        <w:rPr>
          <w:szCs w:val="24"/>
        </w:rPr>
      </w:pPr>
      <w:r w:rsidRPr="000D3506">
        <w:rPr>
          <w:szCs w:val="24"/>
        </w:rPr>
        <w:t xml:space="preserve">Σημειώνεται ότι κατόπιν της ενεργοποίησης της γενικής ρήτρας διαφυγής του Συμφώνου Σταθερότητας και Ανάπτυξης, τα μέτρα αντιμετώπισης των οικονομικών συνεπειών της πανδημίας είναι προσωρινής φύσης και δεν παρουσιάζονται εν προκειμένω μέτρα που οδηγούν σε σημαντικές δημοσιονομικές αποκλίσεις σε μεσοπρόθεσμο ορίζοντα.  </w:t>
      </w:r>
    </w:p>
    <w:p w:rsidR="00833A7E" w:rsidRDefault="00833A7E" w:rsidP="004F6DB4">
      <w:pPr>
        <w:spacing w:line="360" w:lineRule="auto"/>
        <w:jc w:val="both"/>
        <w:rPr>
          <w:noProof/>
          <w:szCs w:val="24"/>
        </w:rPr>
      </w:pPr>
    </w:p>
    <w:p w:rsidR="008E5ECB" w:rsidRDefault="008E5ECB" w:rsidP="004F6DB4">
      <w:pPr>
        <w:spacing w:line="360" w:lineRule="auto"/>
        <w:jc w:val="both"/>
        <w:rPr>
          <w:noProof/>
          <w:szCs w:val="24"/>
        </w:rPr>
      </w:pPr>
    </w:p>
    <w:p w:rsidR="008E5ECB" w:rsidRDefault="008E5ECB" w:rsidP="004F6DB4">
      <w:pPr>
        <w:spacing w:line="360" w:lineRule="auto"/>
        <w:jc w:val="both"/>
        <w:rPr>
          <w:noProof/>
          <w:szCs w:val="24"/>
        </w:rPr>
      </w:pPr>
    </w:p>
    <w:p w:rsidR="008E5ECB" w:rsidRDefault="008E5ECB" w:rsidP="004F6DB4">
      <w:pPr>
        <w:spacing w:line="360" w:lineRule="auto"/>
        <w:jc w:val="both"/>
        <w:rPr>
          <w:noProof/>
          <w:szCs w:val="24"/>
        </w:rPr>
      </w:pPr>
    </w:p>
    <w:p w:rsidR="008E5ECB" w:rsidRDefault="008E5ECB" w:rsidP="004F6DB4">
      <w:pPr>
        <w:spacing w:line="360" w:lineRule="auto"/>
        <w:jc w:val="both"/>
        <w:rPr>
          <w:noProof/>
          <w:szCs w:val="24"/>
        </w:rPr>
      </w:pPr>
    </w:p>
    <w:p w:rsidR="008E5ECB" w:rsidRDefault="008E5ECB" w:rsidP="004F6DB4">
      <w:pPr>
        <w:spacing w:line="360" w:lineRule="auto"/>
        <w:jc w:val="both"/>
        <w:rPr>
          <w:noProof/>
          <w:szCs w:val="24"/>
        </w:rPr>
      </w:pPr>
    </w:p>
    <w:p w:rsidR="008E5ECB" w:rsidRDefault="008E5ECB" w:rsidP="004F6DB4">
      <w:pPr>
        <w:spacing w:line="360" w:lineRule="auto"/>
        <w:jc w:val="both"/>
        <w:rPr>
          <w:szCs w:val="24"/>
          <w:lang w:val="en-US"/>
        </w:rPr>
      </w:pPr>
      <w:r w:rsidRPr="008E5ECB">
        <w:rPr>
          <w:noProof/>
          <w:szCs w:val="24"/>
        </w:rPr>
        <w:lastRenderedPageBreak/>
        <w:drawing>
          <wp:inline distT="0" distB="0" distL="0" distR="0">
            <wp:extent cx="6479540" cy="8975264"/>
            <wp:effectExtent l="19050" t="0" r="0" b="0"/>
            <wp:docPr id="1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6479540" cy="8975264"/>
                    </a:xfrm>
                    <a:prstGeom prst="rect">
                      <a:avLst/>
                    </a:prstGeom>
                    <a:noFill/>
                    <a:ln w="9525">
                      <a:noFill/>
                      <a:miter lim="800000"/>
                      <a:headEnd/>
                      <a:tailEnd/>
                    </a:ln>
                  </pic:spPr>
                </pic:pic>
              </a:graphicData>
            </a:graphic>
          </wp:inline>
        </w:drawing>
      </w:r>
    </w:p>
    <w:p w:rsidR="00833A7E" w:rsidRDefault="00B90602" w:rsidP="004F6DB4">
      <w:pPr>
        <w:spacing w:line="360" w:lineRule="auto"/>
        <w:jc w:val="both"/>
        <w:rPr>
          <w:szCs w:val="24"/>
          <w:lang w:val="en-US"/>
        </w:rPr>
      </w:pPr>
      <w:r w:rsidRPr="00B90602">
        <w:rPr>
          <w:noProof/>
          <w:szCs w:val="24"/>
        </w:rPr>
        <w:lastRenderedPageBreak/>
        <w:drawing>
          <wp:inline distT="0" distB="0" distL="0" distR="0">
            <wp:extent cx="6479540" cy="9147195"/>
            <wp:effectExtent l="19050" t="0" r="0" b="0"/>
            <wp:docPr id="2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6479540" cy="9147195"/>
                    </a:xfrm>
                    <a:prstGeom prst="rect">
                      <a:avLst/>
                    </a:prstGeom>
                    <a:noFill/>
                    <a:ln w="9525">
                      <a:noFill/>
                      <a:miter lim="800000"/>
                      <a:headEnd/>
                      <a:tailEnd/>
                    </a:ln>
                  </pic:spPr>
                </pic:pic>
              </a:graphicData>
            </a:graphic>
          </wp:inline>
        </w:drawing>
      </w:r>
    </w:p>
    <w:p w:rsidR="00A303EA" w:rsidRDefault="0064767B" w:rsidP="004F6DB4">
      <w:pPr>
        <w:spacing w:line="360" w:lineRule="auto"/>
        <w:jc w:val="both"/>
        <w:rPr>
          <w:szCs w:val="24"/>
        </w:rPr>
      </w:pPr>
      <w:r w:rsidRPr="0064767B">
        <w:rPr>
          <w:noProof/>
          <w:szCs w:val="24"/>
        </w:rPr>
        <w:lastRenderedPageBreak/>
        <w:drawing>
          <wp:inline distT="0" distB="0" distL="0" distR="0">
            <wp:extent cx="6479540" cy="8894399"/>
            <wp:effectExtent l="19050" t="0" r="0" b="0"/>
            <wp:docPr id="3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6479540" cy="8894399"/>
                    </a:xfrm>
                    <a:prstGeom prst="rect">
                      <a:avLst/>
                    </a:prstGeom>
                    <a:noFill/>
                    <a:ln w="9525">
                      <a:noFill/>
                      <a:miter lim="800000"/>
                      <a:headEnd/>
                      <a:tailEnd/>
                    </a:ln>
                  </pic:spPr>
                </pic:pic>
              </a:graphicData>
            </a:graphic>
          </wp:inline>
        </w:drawing>
      </w:r>
    </w:p>
    <w:p w:rsidR="008A3CFC" w:rsidRPr="008A3CFC" w:rsidRDefault="008A3CFC" w:rsidP="004F6DB4">
      <w:pPr>
        <w:spacing w:line="360" w:lineRule="auto"/>
        <w:jc w:val="both"/>
        <w:rPr>
          <w:szCs w:val="24"/>
        </w:rPr>
      </w:pPr>
      <w:r w:rsidRPr="008A3CFC">
        <w:rPr>
          <w:noProof/>
          <w:szCs w:val="24"/>
        </w:rPr>
        <w:lastRenderedPageBreak/>
        <w:drawing>
          <wp:inline distT="0" distB="0" distL="0" distR="0">
            <wp:extent cx="6479540" cy="9080670"/>
            <wp:effectExtent l="19050" t="0" r="0" b="0"/>
            <wp:docPr id="3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6479540" cy="9080670"/>
                    </a:xfrm>
                    <a:prstGeom prst="rect">
                      <a:avLst/>
                    </a:prstGeom>
                    <a:noFill/>
                    <a:ln w="9525">
                      <a:noFill/>
                      <a:miter lim="800000"/>
                      <a:headEnd/>
                      <a:tailEnd/>
                    </a:ln>
                  </pic:spPr>
                </pic:pic>
              </a:graphicData>
            </a:graphic>
          </wp:inline>
        </w:drawing>
      </w:r>
    </w:p>
    <w:p w:rsidR="00236400" w:rsidRPr="005E3A65" w:rsidRDefault="00B54134" w:rsidP="0064767B">
      <w:pPr>
        <w:pStyle w:val="2"/>
        <w:rPr>
          <w:rFonts w:asciiTheme="minorHAnsi" w:hAnsiTheme="minorHAnsi"/>
          <w:sz w:val="24"/>
          <w:szCs w:val="24"/>
        </w:rPr>
      </w:pPr>
      <w:bookmarkStart w:id="19" w:name="_Toc74930199"/>
      <w:r w:rsidRPr="005E3A65">
        <w:rPr>
          <w:rFonts w:asciiTheme="minorHAnsi" w:hAnsiTheme="minorHAnsi"/>
          <w:b/>
          <w:sz w:val="24"/>
          <w:szCs w:val="24"/>
        </w:rPr>
        <w:lastRenderedPageBreak/>
        <w:t xml:space="preserve">2.6 </w:t>
      </w:r>
      <w:r w:rsidR="00236400" w:rsidRPr="005E3A65">
        <w:rPr>
          <w:rFonts w:asciiTheme="minorHAnsi" w:hAnsiTheme="minorHAnsi"/>
          <w:b/>
          <w:sz w:val="24"/>
          <w:szCs w:val="24"/>
        </w:rPr>
        <w:t>Π</w:t>
      </w:r>
      <w:r w:rsidR="001432E3" w:rsidRPr="005E3A65">
        <w:rPr>
          <w:rFonts w:asciiTheme="minorHAnsi" w:hAnsiTheme="minorHAnsi"/>
          <w:b/>
          <w:sz w:val="24"/>
          <w:szCs w:val="24"/>
        </w:rPr>
        <w:t xml:space="preserve">ρόγραμμα </w:t>
      </w:r>
      <w:r w:rsidR="00236400" w:rsidRPr="005E3A65">
        <w:rPr>
          <w:rFonts w:asciiTheme="minorHAnsi" w:hAnsiTheme="minorHAnsi"/>
          <w:b/>
          <w:sz w:val="24"/>
          <w:szCs w:val="24"/>
        </w:rPr>
        <w:t>Δ</w:t>
      </w:r>
      <w:r w:rsidR="001432E3" w:rsidRPr="005E3A65">
        <w:rPr>
          <w:rFonts w:asciiTheme="minorHAnsi" w:hAnsiTheme="minorHAnsi"/>
          <w:b/>
          <w:sz w:val="24"/>
          <w:szCs w:val="24"/>
        </w:rPr>
        <w:t xml:space="preserve">ημοσίων </w:t>
      </w:r>
      <w:r w:rsidR="00236400" w:rsidRPr="005E3A65">
        <w:rPr>
          <w:rFonts w:asciiTheme="minorHAnsi" w:hAnsiTheme="minorHAnsi"/>
          <w:b/>
          <w:sz w:val="24"/>
          <w:szCs w:val="24"/>
        </w:rPr>
        <w:t>Ε</w:t>
      </w:r>
      <w:r w:rsidR="001432E3" w:rsidRPr="005E3A65">
        <w:rPr>
          <w:rFonts w:asciiTheme="minorHAnsi" w:hAnsiTheme="minorHAnsi"/>
          <w:b/>
          <w:sz w:val="24"/>
          <w:szCs w:val="24"/>
        </w:rPr>
        <w:t>πενδύσεων</w:t>
      </w:r>
      <w:bookmarkEnd w:id="19"/>
    </w:p>
    <w:p w:rsidR="008068D2" w:rsidRPr="007E1308" w:rsidRDefault="008068D2" w:rsidP="0064767B">
      <w:pPr>
        <w:jc w:val="both"/>
        <w:rPr>
          <w:rStyle w:val="af3"/>
          <w:rFonts w:eastAsia="Times New Roman" w:cs="Arial"/>
        </w:rPr>
      </w:pPr>
    </w:p>
    <w:p w:rsidR="002B20E3" w:rsidRPr="005E3A65" w:rsidRDefault="002B20E3" w:rsidP="0064767B">
      <w:pPr>
        <w:jc w:val="both"/>
        <w:rPr>
          <w:rFonts w:eastAsia="Times New Roman" w:cs="Arial"/>
          <w:b/>
          <w:color w:val="365F91" w:themeColor="accent1" w:themeShade="BF"/>
          <w:sz w:val="24"/>
          <w:szCs w:val="24"/>
        </w:rPr>
      </w:pPr>
      <w:r w:rsidRPr="005E3A65">
        <w:rPr>
          <w:rFonts w:eastAsia="Times New Roman" w:cs="Arial"/>
          <w:b/>
          <w:color w:val="365F91" w:themeColor="accent1" w:themeShade="BF"/>
          <w:sz w:val="24"/>
          <w:szCs w:val="24"/>
        </w:rPr>
        <w:t>2.6.1 Στόχοι και διαθέσιμοι πόροι για το ΠΔΕ 2021-2025</w:t>
      </w:r>
    </w:p>
    <w:p w:rsidR="008068D2" w:rsidRPr="008068D2" w:rsidRDefault="008068D2" w:rsidP="009B5274">
      <w:pPr>
        <w:jc w:val="both"/>
        <w:rPr>
          <w:rFonts w:eastAsia="Times New Roman" w:cs="Arial"/>
        </w:rPr>
      </w:pPr>
      <w:r w:rsidRPr="008068D2">
        <w:rPr>
          <w:rFonts w:eastAsia="Times New Roman" w:cs="Arial"/>
        </w:rPr>
        <w:t xml:space="preserve">Το </w:t>
      </w:r>
      <w:r w:rsidRPr="008068D2">
        <w:rPr>
          <w:rFonts w:eastAsia="Times New Roman" w:cs="Arial"/>
          <w:color w:val="000000"/>
          <w:lang w:eastAsia="en-US"/>
        </w:rPr>
        <w:t xml:space="preserve">Πρόγραμμα Δημοσίων Επενδύσεων (ΠΔΕ) </w:t>
      </w:r>
      <w:r w:rsidRPr="008068D2">
        <w:rPr>
          <w:rFonts w:eastAsia="Times New Roman" w:cs="Arial"/>
        </w:rPr>
        <w:t xml:space="preserve">χρηματοδοτεί την </w:t>
      </w:r>
      <w:r w:rsidRPr="008068D2">
        <w:rPr>
          <w:rFonts w:eastAsia="Times New Roman" w:cs="Arial"/>
          <w:b/>
        </w:rPr>
        <w:t>αναπτυξιακή πολιτική</w:t>
      </w:r>
      <w:r w:rsidRPr="008068D2">
        <w:rPr>
          <w:rFonts w:eastAsia="Times New Roman" w:cs="Arial"/>
        </w:rPr>
        <w:t xml:space="preserve"> της χώρας με έργα που συμβάλλουν στην αύξηση του ιδιωτικού και δημόσιου κεφαλαίου της οικονομίας και στηρίζουν την αναπτυξιακή διαδικασία και τον εκσυγχρονισμό της χώρας σε μακροχρόνια βάση, προς όφελος του κοινωνικού συνόλου.</w:t>
      </w:r>
    </w:p>
    <w:p w:rsidR="008068D2" w:rsidRPr="008068D2" w:rsidRDefault="008068D2" w:rsidP="009B5274">
      <w:pPr>
        <w:tabs>
          <w:tab w:val="left" w:pos="6960"/>
        </w:tabs>
        <w:jc w:val="both"/>
        <w:rPr>
          <w:rFonts w:eastAsia="Times New Roman" w:cs="Arial"/>
          <w:lang w:eastAsia="en-US"/>
        </w:rPr>
      </w:pPr>
      <w:r w:rsidRPr="008068D2">
        <w:rPr>
          <w:rFonts w:eastAsia="Times New Roman" w:cs="Arial"/>
          <w:lang w:eastAsia="en-US"/>
        </w:rPr>
        <w:t xml:space="preserve">Βασική </w:t>
      </w:r>
      <w:r w:rsidRPr="008068D2">
        <w:rPr>
          <w:rFonts w:eastAsia="Times New Roman" w:cs="Arial"/>
          <w:b/>
          <w:lang w:eastAsia="en-US"/>
        </w:rPr>
        <w:t>πηγή εσόδων</w:t>
      </w:r>
      <w:r w:rsidRPr="008068D2">
        <w:rPr>
          <w:rFonts w:eastAsia="Times New Roman" w:cs="Arial"/>
          <w:lang w:eastAsia="en-US"/>
        </w:rPr>
        <w:t xml:space="preserve"> για τη χρηματοδότηση των έργων του ΠΔΕ αποτελούν οι εισροές από την Ευρωπαϊκή Ένωση (επιχορηγήσεις Ευρωπαϊκής Ένωσης) και ειδικότερα από το Ευρωπαϊκό Ταμείο Περιφερειακής Ανάπτυξης (ΕΤΠΑ), το Ευρωπαϊκό Κοινωνικό Ταμείο (ΕΚΤ), το Ταμείο Συνοχής (ΤΣ), το Ευρωπαϊκό Γεωργικό Ταμείο Εγγυήσεων (ΕΓΤΕ), το Ευρωπαϊκό Ταμείο Θάλασσας και Αλιείας (ΕΤΘΑ), το Ευρωπαϊκό Γεωργικό Ταμείο Αγροτικής Ανάπτυξης (ΕΓΤΑΑ), τα Ταμεία Αλληλεγγύης  και Διαχείρισης Μεταναστευτικών Ροών κ.α. Επιπρόσθετα, στο πλαίσιο αντιμετώπισης των επιπτώσεων της πανδημίας του </w:t>
      </w:r>
      <w:proofErr w:type="spellStart"/>
      <w:r w:rsidRPr="008068D2">
        <w:rPr>
          <w:rFonts w:eastAsia="Times New Roman" w:cs="Arial"/>
          <w:lang w:eastAsia="en-US"/>
        </w:rPr>
        <w:t>κορωνοϊού</w:t>
      </w:r>
      <w:proofErr w:type="spellEnd"/>
      <w:r w:rsidRPr="008068D2">
        <w:rPr>
          <w:rFonts w:eastAsia="Times New Roman" w:cs="Arial"/>
          <w:lang w:eastAsia="en-US"/>
        </w:rPr>
        <w:t xml:space="preserve"> και μετάβασης σε πιο βιώσιμες και ανθεκτικές οικονομίες και κοινωνίες, από το 2021 είναι διαθέσιμοι για χρηματοδότηση πόροι από το νεοσύστατο Ταμείο Ανάκαμψης και Ανθεκτικότητας. </w:t>
      </w:r>
    </w:p>
    <w:p w:rsidR="008068D2" w:rsidRPr="007E1308" w:rsidRDefault="008068D2" w:rsidP="009B5274">
      <w:pPr>
        <w:jc w:val="both"/>
        <w:rPr>
          <w:rFonts w:eastAsia="Times New Roman" w:cs="Arial"/>
          <w:lang w:eastAsia="en-US"/>
        </w:rPr>
      </w:pPr>
      <w:r w:rsidRPr="008068D2">
        <w:rPr>
          <w:rFonts w:eastAsia="Times New Roman" w:cs="Arial"/>
        </w:rPr>
        <w:t xml:space="preserve">Μέσω των χρηματοδοτήσεων του ΠΔΕ ενισχύονται κυρίως οι </w:t>
      </w:r>
      <w:r w:rsidRPr="008068D2">
        <w:rPr>
          <w:rFonts w:eastAsia="Times New Roman" w:cs="Arial"/>
          <w:lang w:eastAsia="en-US"/>
        </w:rPr>
        <w:t xml:space="preserve">ακόλουθοι αναπτυξιακοί τομείς: </w:t>
      </w:r>
    </w:p>
    <w:p w:rsidR="008068D2" w:rsidRPr="005713B1" w:rsidRDefault="008068D2" w:rsidP="00466592">
      <w:pPr>
        <w:pStyle w:val="a4"/>
        <w:numPr>
          <w:ilvl w:val="0"/>
          <w:numId w:val="36"/>
        </w:numPr>
        <w:ind w:left="714" w:hanging="357"/>
        <w:jc w:val="both"/>
        <w:rPr>
          <w:rFonts w:eastAsia="Times New Roman" w:cs="Arial"/>
        </w:rPr>
      </w:pPr>
      <w:r w:rsidRPr="002B20E3">
        <w:rPr>
          <w:rFonts w:eastAsia="Times New Roman" w:cs="Arial"/>
          <w:b/>
        </w:rPr>
        <w:t>Έργα υποδομής</w:t>
      </w:r>
      <w:r w:rsidRPr="002B20E3">
        <w:rPr>
          <w:rFonts w:eastAsia="Times New Roman" w:cs="Arial"/>
        </w:rPr>
        <w:t xml:space="preserve"> στους τομείς μεταφορών και περιβάλλοντος</w:t>
      </w:r>
    </w:p>
    <w:p w:rsidR="008068D2" w:rsidRPr="005713B1" w:rsidRDefault="008068D2" w:rsidP="00466592">
      <w:pPr>
        <w:pStyle w:val="a4"/>
        <w:numPr>
          <w:ilvl w:val="0"/>
          <w:numId w:val="36"/>
        </w:numPr>
        <w:ind w:left="714" w:hanging="357"/>
        <w:jc w:val="both"/>
        <w:rPr>
          <w:rFonts w:eastAsia="Times New Roman" w:cs="Arial"/>
        </w:rPr>
      </w:pPr>
      <w:r w:rsidRPr="005713B1">
        <w:rPr>
          <w:rFonts w:eastAsia="Times New Roman" w:cs="Arial"/>
        </w:rPr>
        <w:t xml:space="preserve">Δράσεις ενίσχυσης των </w:t>
      </w:r>
      <w:r w:rsidRPr="005713B1">
        <w:rPr>
          <w:rFonts w:eastAsia="Times New Roman" w:cs="Arial"/>
          <w:b/>
        </w:rPr>
        <w:t>ιδιωτικών επενδύσεων</w:t>
      </w:r>
      <w:r w:rsidRPr="005713B1">
        <w:rPr>
          <w:rFonts w:eastAsia="Times New Roman" w:cs="Arial"/>
        </w:rPr>
        <w:t xml:space="preserve"> και της </w:t>
      </w:r>
      <w:r w:rsidRPr="005713B1">
        <w:rPr>
          <w:rFonts w:eastAsia="Times New Roman" w:cs="Arial"/>
          <w:b/>
        </w:rPr>
        <w:t>επιχειρηματικότητας</w:t>
      </w:r>
    </w:p>
    <w:p w:rsidR="008068D2" w:rsidRPr="005713B1" w:rsidRDefault="008068D2" w:rsidP="00466592">
      <w:pPr>
        <w:pStyle w:val="a4"/>
        <w:numPr>
          <w:ilvl w:val="0"/>
          <w:numId w:val="36"/>
        </w:numPr>
        <w:ind w:left="714" w:hanging="357"/>
        <w:jc w:val="both"/>
        <w:rPr>
          <w:rFonts w:eastAsia="Times New Roman" w:cs="Arial"/>
        </w:rPr>
      </w:pPr>
      <w:r w:rsidRPr="005713B1">
        <w:rPr>
          <w:rFonts w:eastAsia="Times New Roman" w:cs="Arial"/>
        </w:rPr>
        <w:t xml:space="preserve">Ενίσχυση της κοινωνίας της </w:t>
      </w:r>
      <w:r w:rsidRPr="005713B1">
        <w:rPr>
          <w:rFonts w:eastAsia="Times New Roman" w:cs="Arial"/>
          <w:b/>
        </w:rPr>
        <w:t xml:space="preserve">γνώσης </w:t>
      </w:r>
      <w:r w:rsidRPr="005713B1">
        <w:rPr>
          <w:rFonts w:eastAsia="Times New Roman" w:cs="Arial"/>
        </w:rPr>
        <w:t xml:space="preserve">και ανάπτυξη του </w:t>
      </w:r>
      <w:r w:rsidRPr="005713B1">
        <w:rPr>
          <w:rFonts w:eastAsia="Times New Roman" w:cs="Arial"/>
          <w:b/>
        </w:rPr>
        <w:t>ανθρώπινου κεφαλαίου</w:t>
      </w:r>
    </w:p>
    <w:p w:rsidR="008068D2" w:rsidRPr="005713B1" w:rsidRDefault="008068D2" w:rsidP="00466592">
      <w:pPr>
        <w:pStyle w:val="a4"/>
        <w:numPr>
          <w:ilvl w:val="0"/>
          <w:numId w:val="36"/>
        </w:numPr>
        <w:ind w:left="714" w:hanging="357"/>
        <w:jc w:val="both"/>
        <w:rPr>
          <w:rFonts w:eastAsia="Times New Roman" w:cs="Arial"/>
        </w:rPr>
      </w:pPr>
      <w:r w:rsidRPr="005713B1">
        <w:rPr>
          <w:rFonts w:eastAsia="Times New Roman" w:cs="Arial"/>
        </w:rPr>
        <w:t xml:space="preserve">Έργα ενέργειας και αξιοποίησης των </w:t>
      </w:r>
      <w:r w:rsidRPr="005713B1">
        <w:rPr>
          <w:rFonts w:eastAsia="Times New Roman" w:cs="Arial"/>
          <w:b/>
        </w:rPr>
        <w:t>ενεργειακών πόρων</w:t>
      </w:r>
    </w:p>
    <w:p w:rsidR="008068D2" w:rsidRPr="005713B1" w:rsidRDefault="008068D2" w:rsidP="00466592">
      <w:pPr>
        <w:pStyle w:val="a4"/>
        <w:numPr>
          <w:ilvl w:val="0"/>
          <w:numId w:val="36"/>
        </w:numPr>
        <w:ind w:left="714" w:hanging="357"/>
        <w:jc w:val="both"/>
        <w:rPr>
          <w:rFonts w:eastAsia="Times New Roman" w:cs="Arial"/>
        </w:rPr>
      </w:pPr>
      <w:r w:rsidRPr="005713B1">
        <w:rPr>
          <w:rFonts w:eastAsia="Times New Roman" w:cs="Arial"/>
        </w:rPr>
        <w:t>Έργα</w:t>
      </w:r>
      <w:r w:rsidRPr="005713B1">
        <w:rPr>
          <w:rFonts w:eastAsia="Times New Roman" w:cs="Arial"/>
          <w:b/>
        </w:rPr>
        <w:t xml:space="preserve"> ψηφιακού μετασχηματισμού</w:t>
      </w:r>
    </w:p>
    <w:p w:rsidR="008068D2" w:rsidRPr="005713B1" w:rsidRDefault="008068D2" w:rsidP="00466592">
      <w:pPr>
        <w:pStyle w:val="a4"/>
        <w:numPr>
          <w:ilvl w:val="0"/>
          <w:numId w:val="36"/>
        </w:numPr>
        <w:ind w:left="714" w:hanging="357"/>
        <w:jc w:val="both"/>
        <w:rPr>
          <w:rFonts w:eastAsia="Times New Roman" w:cs="Arial"/>
        </w:rPr>
      </w:pPr>
      <w:r w:rsidRPr="005713B1">
        <w:rPr>
          <w:rFonts w:eastAsia="Times New Roman" w:cs="Arial"/>
        </w:rPr>
        <w:t xml:space="preserve">Στήριξη επενδυτικών προγραμμάτων της </w:t>
      </w:r>
      <w:r w:rsidRPr="005713B1">
        <w:rPr>
          <w:rFonts w:eastAsia="Times New Roman" w:cs="Arial"/>
          <w:b/>
        </w:rPr>
        <w:t>Τοπικής Αυτοδιοίκησης</w:t>
      </w:r>
      <w:r w:rsidRPr="005713B1">
        <w:rPr>
          <w:rFonts w:eastAsia="Times New Roman" w:cs="Arial"/>
          <w:bCs/>
        </w:rPr>
        <w:t>.</w:t>
      </w:r>
    </w:p>
    <w:p w:rsidR="008068D2" w:rsidRPr="008068D2" w:rsidRDefault="008068D2" w:rsidP="009B5274">
      <w:pPr>
        <w:jc w:val="both"/>
        <w:rPr>
          <w:rFonts w:eastAsia="Times New Roman" w:cs="Arial"/>
        </w:rPr>
      </w:pPr>
      <w:r w:rsidRPr="008068D2">
        <w:rPr>
          <w:rFonts w:eastAsia="Times New Roman" w:cs="Arial"/>
        </w:rPr>
        <w:t xml:space="preserve">Επιπλέον, με την αξιοποίηση εθνικών πόρων ενισχύονται πολιτικές του κράτους που αφορούν, μεταξύ άλλων, στη συντήρηση και επέκταση </w:t>
      </w:r>
      <w:r w:rsidRPr="008068D2">
        <w:rPr>
          <w:rFonts w:eastAsia="Times New Roman" w:cs="Arial"/>
          <w:b/>
        </w:rPr>
        <w:t xml:space="preserve">κοινωνικών υποδομών, </w:t>
      </w:r>
      <w:r w:rsidRPr="008068D2">
        <w:rPr>
          <w:rFonts w:eastAsia="Times New Roman" w:cs="Arial"/>
        </w:rPr>
        <w:t>στην</w:t>
      </w:r>
      <w:r w:rsidRPr="008068D2">
        <w:rPr>
          <w:rFonts w:eastAsia="Times New Roman" w:cs="Arial"/>
          <w:b/>
        </w:rPr>
        <w:t xml:space="preserve"> </w:t>
      </w:r>
      <w:r w:rsidRPr="008068D2">
        <w:rPr>
          <w:rFonts w:eastAsia="Times New Roman" w:cs="Arial"/>
        </w:rPr>
        <w:t>ικανοποίηση</w:t>
      </w:r>
      <w:r w:rsidRPr="008068D2">
        <w:rPr>
          <w:rFonts w:eastAsia="Times New Roman" w:cs="Arial"/>
          <w:b/>
        </w:rPr>
        <w:t xml:space="preserve"> έκτακτων αναγκών </w:t>
      </w:r>
      <w:r w:rsidRPr="008068D2">
        <w:rPr>
          <w:rFonts w:eastAsia="Times New Roman" w:cs="Arial"/>
        </w:rPr>
        <w:t xml:space="preserve">και σε λοιπές δράσεις. </w:t>
      </w:r>
    </w:p>
    <w:p w:rsidR="008068D2" w:rsidRPr="008068D2" w:rsidRDefault="008068D2" w:rsidP="009B5274">
      <w:pPr>
        <w:jc w:val="both"/>
        <w:rPr>
          <w:rFonts w:eastAsia="Times New Roman" w:cs="Arial"/>
        </w:rPr>
      </w:pPr>
      <w:r w:rsidRPr="008068D2">
        <w:rPr>
          <w:rFonts w:eastAsia="Times New Roman" w:cs="Arial"/>
        </w:rPr>
        <w:t xml:space="preserve">Στην παρούσα φάση κατά την οποία η ελληνική οικονομία πλήττεται από την κρίση που έχει προκληθεί εξαιτίας της πανδημίας του </w:t>
      </w:r>
      <w:proofErr w:type="spellStart"/>
      <w:r w:rsidRPr="008068D2">
        <w:rPr>
          <w:rFonts w:eastAsia="Times New Roman" w:cs="Arial"/>
        </w:rPr>
        <w:t>κορωνοϊού</w:t>
      </w:r>
      <w:proofErr w:type="spellEnd"/>
      <w:r w:rsidRPr="008068D2">
        <w:rPr>
          <w:rFonts w:eastAsia="Times New Roman" w:cs="Arial"/>
        </w:rPr>
        <w:t xml:space="preserve"> (COVID-19), η υλοποίηση του </w:t>
      </w:r>
      <w:r w:rsidRPr="008068D2">
        <w:rPr>
          <w:rFonts w:eastAsia="Times New Roman" w:cs="Arial"/>
          <w:b/>
        </w:rPr>
        <w:t>ΠΔΕ 2021</w:t>
      </w:r>
      <w:r w:rsidRPr="008068D2">
        <w:rPr>
          <w:rFonts w:eastAsia="Times New Roman" w:cs="Arial"/>
        </w:rPr>
        <w:t xml:space="preserve"> αλλά και του ΠΔΕ </w:t>
      </w:r>
      <w:r w:rsidRPr="008068D2">
        <w:rPr>
          <w:rFonts w:eastAsia="Times New Roman" w:cs="Arial"/>
          <w:b/>
        </w:rPr>
        <w:t>2022-2025</w:t>
      </w:r>
      <w:r w:rsidRPr="008068D2">
        <w:rPr>
          <w:rFonts w:eastAsia="Times New Roman" w:cs="Arial"/>
        </w:rPr>
        <w:t xml:space="preserve"> έχει ως στόχο κατ’ αρχάς τη </w:t>
      </w:r>
      <w:r w:rsidRPr="008068D2">
        <w:rPr>
          <w:rFonts w:eastAsia="Times New Roman" w:cs="Arial"/>
          <w:b/>
        </w:rPr>
        <w:t xml:space="preserve">στήριξη της οικονομίας και της κοινωνίας για την ανακούφιση </w:t>
      </w:r>
      <w:r w:rsidRPr="008068D2">
        <w:rPr>
          <w:rFonts w:eastAsia="Times New Roman" w:cs="Arial"/>
        </w:rPr>
        <w:t xml:space="preserve">από τις σοβαρές επιπτώσεις της πανδημίας, ενώ επιπρόσθετα στοχεύει στο να τεθούν οι βάσεις για δυναμική, ταχεία και βιώσιμη ανάπτυξη της οικονομίας την επόμενη ημέρα. </w:t>
      </w:r>
    </w:p>
    <w:p w:rsidR="008068D2" w:rsidRPr="008068D2" w:rsidRDefault="008068D2" w:rsidP="009B5274">
      <w:pPr>
        <w:pStyle w:val="ab"/>
        <w:spacing w:line="276" w:lineRule="auto"/>
        <w:jc w:val="both"/>
        <w:rPr>
          <w:rFonts w:eastAsia="Times New Roman" w:cs="Arial"/>
          <w:sz w:val="22"/>
          <w:szCs w:val="22"/>
        </w:rPr>
      </w:pPr>
      <w:r w:rsidRPr="008068D2">
        <w:rPr>
          <w:rFonts w:eastAsia="Times New Roman" w:cs="Arial"/>
          <w:sz w:val="22"/>
          <w:szCs w:val="22"/>
        </w:rPr>
        <w:t xml:space="preserve">Δημοσιονομικός στόχος στην εκτέλεση του ΠΔΕ 2021-2025 παραμένει η, κατά το δυνατό, ταχύτερη </w:t>
      </w:r>
      <w:r w:rsidRPr="008068D2">
        <w:rPr>
          <w:rFonts w:eastAsia="Times New Roman" w:cs="Arial"/>
          <w:b/>
          <w:sz w:val="22"/>
          <w:szCs w:val="22"/>
        </w:rPr>
        <w:t>απορρόφηση</w:t>
      </w:r>
      <w:r w:rsidRPr="008068D2">
        <w:rPr>
          <w:rFonts w:eastAsia="Times New Roman" w:cs="Arial"/>
          <w:sz w:val="22"/>
          <w:szCs w:val="22"/>
        </w:rPr>
        <w:t xml:space="preserve"> των προβλεπόμενων πόρων των συγχρηματοδοτούμενων προγραμμάτων, προκειμένου να εξασφαλιστεί έγκαιρα η </w:t>
      </w:r>
      <w:r w:rsidRPr="008068D2">
        <w:rPr>
          <w:rFonts w:eastAsia="Times New Roman" w:cs="Arial"/>
          <w:b/>
          <w:sz w:val="22"/>
          <w:szCs w:val="22"/>
        </w:rPr>
        <w:t xml:space="preserve">μέγιστη δυνατή εισροή της </w:t>
      </w:r>
      <w:proofErr w:type="spellStart"/>
      <w:r w:rsidRPr="008068D2">
        <w:rPr>
          <w:rFonts w:eastAsia="Times New Roman" w:cs="Arial"/>
          <w:b/>
          <w:sz w:val="22"/>
          <w:szCs w:val="22"/>
        </w:rPr>
        <w:t>ενωσιακής</w:t>
      </w:r>
      <w:proofErr w:type="spellEnd"/>
      <w:r w:rsidRPr="008068D2">
        <w:rPr>
          <w:rFonts w:eastAsia="Times New Roman" w:cs="Arial"/>
          <w:b/>
          <w:sz w:val="22"/>
          <w:szCs w:val="22"/>
        </w:rPr>
        <w:t xml:space="preserve"> συνδρομής</w:t>
      </w:r>
      <w:r w:rsidRPr="008068D2">
        <w:rPr>
          <w:rFonts w:eastAsia="Times New Roman" w:cs="Arial"/>
          <w:sz w:val="22"/>
          <w:szCs w:val="22"/>
        </w:rPr>
        <w:t xml:space="preserve">.  Το 2021, η προσπάθεια εστιάζεται στην επίσπευση της υλοποίησης των έργων της Προγραμματικής Περιόδου (ΠΠ) 2014-2020, στην ένταξη και υλοποίηση έργων του </w:t>
      </w:r>
      <w:r w:rsidRPr="00353A69">
        <w:rPr>
          <w:rFonts w:eastAsia="Times New Roman" w:cs="Arial"/>
          <w:sz w:val="22"/>
          <w:szCs w:val="22"/>
        </w:rPr>
        <w:t>Ταμείου Ανάκαμψης</w:t>
      </w:r>
      <w:r w:rsidR="00353A69" w:rsidRPr="00353A69">
        <w:rPr>
          <w:rFonts w:eastAsia="Times New Roman" w:cs="Arial"/>
          <w:sz w:val="22"/>
          <w:szCs w:val="22"/>
        </w:rPr>
        <w:t xml:space="preserve"> </w:t>
      </w:r>
      <w:r w:rsidR="00353A69" w:rsidRPr="00353A69">
        <w:rPr>
          <w:rFonts w:eastAsia="Times New Roman" w:cs="Arial"/>
          <w:sz w:val="22"/>
          <w:szCs w:val="22"/>
          <w:lang w:eastAsia="en-US"/>
        </w:rPr>
        <w:t>και Ανθεκτικότητας</w:t>
      </w:r>
      <w:r w:rsidRPr="008068D2">
        <w:rPr>
          <w:rFonts w:eastAsia="Times New Roman" w:cs="Arial"/>
          <w:sz w:val="22"/>
          <w:szCs w:val="22"/>
        </w:rPr>
        <w:t>, καθώς και στην ενεργοποίηση των δράσεων της νέας ΠΠ 2021-2027.</w:t>
      </w:r>
    </w:p>
    <w:p w:rsidR="008068D2" w:rsidRPr="008068D2" w:rsidRDefault="008068D2" w:rsidP="009B5274">
      <w:pPr>
        <w:autoSpaceDE w:val="0"/>
        <w:autoSpaceDN w:val="0"/>
        <w:adjustRightInd w:val="0"/>
        <w:jc w:val="both"/>
        <w:rPr>
          <w:rFonts w:eastAsia="Times New Roman" w:cs="Arial"/>
        </w:rPr>
      </w:pPr>
      <w:r w:rsidRPr="008068D2">
        <w:rPr>
          <w:rFonts w:eastAsia="Times New Roman" w:cs="Arial"/>
        </w:rPr>
        <w:t xml:space="preserve">Επισημαίνεται ότι η μεγιστοποίηση της απορρόφησης της </w:t>
      </w:r>
      <w:proofErr w:type="spellStart"/>
      <w:r w:rsidRPr="008068D2">
        <w:rPr>
          <w:rFonts w:eastAsia="Times New Roman" w:cs="Arial"/>
        </w:rPr>
        <w:t>ενωσιακής</w:t>
      </w:r>
      <w:proofErr w:type="spellEnd"/>
      <w:r w:rsidRPr="008068D2">
        <w:rPr>
          <w:rFonts w:eastAsia="Times New Roman" w:cs="Arial"/>
        </w:rPr>
        <w:t xml:space="preserve"> συνδρομής και της αξιοποίησης των προκαθορισμένων πόρων, αποτελεί σταθερή επιδίωξη που επιτυγχάνεται μέσω του ορθού προγραμματισμού και του βέλτιστου συντονισμού όλων των εμπλεκόμενων υπηρεσιών. Για τον λόγο αυτό δίνεται ιδιαίτερη βαρύτητα στον προγραμματισμό και τη στόχευση, με βασικότερο εργαλείο την αξιοποίηση των δυνατοτήτων των νέων τεχνολογιών. </w:t>
      </w:r>
    </w:p>
    <w:p w:rsidR="008068D2" w:rsidRPr="008068D2" w:rsidRDefault="008068D2" w:rsidP="009B5274">
      <w:pPr>
        <w:pStyle w:val="ab"/>
        <w:spacing w:line="276" w:lineRule="auto"/>
        <w:jc w:val="both"/>
        <w:rPr>
          <w:rFonts w:eastAsia="Times New Roman" w:cs="Arial"/>
          <w:sz w:val="22"/>
          <w:szCs w:val="22"/>
        </w:rPr>
      </w:pPr>
      <w:r w:rsidRPr="008068D2">
        <w:rPr>
          <w:rFonts w:eastAsia="Times New Roman" w:cs="Arial"/>
          <w:sz w:val="22"/>
          <w:szCs w:val="22"/>
        </w:rPr>
        <w:lastRenderedPageBreak/>
        <w:t>Αναφορικά με το τμήμα του ΠΔΕ που χρηματοδοτείται αποκλειστικά από εθνικούς πόρους, για το 2021, βασικό κριτήριο χρηματοδότησης αποτελεί η κάλυψη ανελαστικών υποχρεώσεων που αφορούν στην κοινωνική συνοχή με στόχο την αποτελεσματική αντιμετώπιση των επιπτώσεων της πανδημίας, καθώς και η συμπληρωματικότητα, οι συνέργειες και η σκοπιμότητα των σχετικών δράσεων, σε σχέση με την υλοποίηση συγχρηματοδοτούμενων από την ΕΕ έργων.</w:t>
      </w:r>
    </w:p>
    <w:p w:rsidR="008068D2" w:rsidRPr="008068D2" w:rsidRDefault="008068D2" w:rsidP="009B5274">
      <w:pPr>
        <w:jc w:val="both"/>
        <w:rPr>
          <w:rFonts w:eastAsia="Times New Roman" w:cs="Arial"/>
        </w:rPr>
      </w:pPr>
      <w:r w:rsidRPr="008068D2">
        <w:rPr>
          <w:rFonts w:eastAsia="Times New Roman" w:cs="Arial"/>
        </w:rPr>
        <w:t xml:space="preserve">Πιο συγκεκριμένα, για </w:t>
      </w:r>
      <w:r w:rsidRPr="008068D2">
        <w:rPr>
          <w:rFonts w:eastAsia="Times New Roman" w:cs="Arial"/>
          <w:b/>
        </w:rPr>
        <w:t>το 2021</w:t>
      </w:r>
      <w:r w:rsidRPr="008068D2">
        <w:rPr>
          <w:rFonts w:eastAsia="Times New Roman" w:cs="Arial"/>
          <w:bCs/>
        </w:rPr>
        <w:t>,</w:t>
      </w:r>
      <w:r w:rsidRPr="008068D2">
        <w:rPr>
          <w:rFonts w:eastAsia="Times New Roman" w:cs="Arial"/>
        </w:rPr>
        <w:t xml:space="preserve"> προβλέπεται η υλοποίηση έργων που αντιστοιχούν σε πόρους συνολικού ύψους </w:t>
      </w:r>
      <w:r w:rsidRPr="008068D2">
        <w:rPr>
          <w:rFonts w:eastAsia="Times New Roman" w:cs="Arial"/>
          <w:b/>
        </w:rPr>
        <w:t>8</w:t>
      </w:r>
      <w:r w:rsidRPr="008068D2">
        <w:rPr>
          <w:rFonts w:eastAsia="Times New Roman" w:cs="Arial"/>
        </w:rPr>
        <w:t xml:space="preserve"> </w:t>
      </w:r>
      <w:r w:rsidRPr="008068D2">
        <w:rPr>
          <w:rFonts w:eastAsia="Times New Roman" w:cs="Arial"/>
          <w:b/>
        </w:rPr>
        <w:t>δισ. ευρώ</w:t>
      </w:r>
      <w:r w:rsidRPr="008068D2">
        <w:rPr>
          <w:rFonts w:eastAsia="Times New Roman" w:cs="Arial"/>
        </w:rPr>
        <w:t xml:space="preserve">. Αξίζει να επισημανθεί, ότι το αρχικό ποσό του Προϋπολογισμού Δημοσίων Επενδύσεων, όπως εγκρίθηκε από το Ελληνικό Κοινοβούλιο για το τρέχον έτος (6,75 δισ. ευρώ), αυξήθηκε κατά 1,25 δισ. ευρώ με το άρθρο 65 του ν. 4796/2021. Από τα συνολικά 8 δισ. ευρώ, ποσό ύψους </w:t>
      </w:r>
      <w:r w:rsidRPr="008068D2">
        <w:rPr>
          <w:rFonts w:eastAsia="Times New Roman" w:cs="Arial"/>
          <w:b/>
        </w:rPr>
        <w:t>7 δισ.</w:t>
      </w:r>
      <w:r w:rsidRPr="008068D2">
        <w:rPr>
          <w:rFonts w:eastAsia="Times New Roman" w:cs="Arial"/>
        </w:rPr>
        <w:t xml:space="preserve"> αφορά σε συγχρηματοδοτούμενα έργα. Αναλυτικότερα, περίπου </w:t>
      </w:r>
      <w:r w:rsidRPr="008068D2">
        <w:rPr>
          <w:rFonts w:eastAsia="Times New Roman" w:cs="Arial"/>
          <w:b/>
        </w:rPr>
        <w:t>5 δισ. ευρώ</w:t>
      </w:r>
      <w:r w:rsidRPr="008068D2">
        <w:rPr>
          <w:rFonts w:eastAsia="Times New Roman" w:cs="Arial"/>
        </w:rPr>
        <w:t xml:space="preserve"> αναμένεται να διατεθούν για την υλοποίηση έργων του Εταιρικού Συμφώνου για το Πλαίσιο Ανάπτυξης (ΕΣΠΑ) 2014–2020, ενώ </w:t>
      </w:r>
      <w:r w:rsidRPr="008068D2">
        <w:rPr>
          <w:rFonts w:eastAsia="Times New Roman" w:cs="Arial"/>
          <w:b/>
        </w:rPr>
        <w:t>περίπου 2 δισ. ευρώ</w:t>
      </w:r>
      <w:r w:rsidRPr="008068D2">
        <w:rPr>
          <w:rFonts w:eastAsia="Times New Roman" w:cs="Arial"/>
        </w:rPr>
        <w:t xml:space="preserve"> θα διατεθούν για λοιπά συγχρηματοδοτούμενα προγράμματα. Τέλος, ποσό ύψους </w:t>
      </w:r>
      <w:r w:rsidRPr="008068D2">
        <w:rPr>
          <w:rFonts w:eastAsia="Times New Roman" w:cs="Arial"/>
          <w:b/>
        </w:rPr>
        <w:t>1 δισ. ευρώ</w:t>
      </w:r>
      <w:r w:rsidRPr="008068D2">
        <w:rPr>
          <w:rFonts w:eastAsia="Times New Roman" w:cs="Arial"/>
        </w:rPr>
        <w:t xml:space="preserve"> θα διατεθεί για την υλοποίηση έργων χρηματοδοτούμενων από αμιγώς εθνικούς πόρους.  </w:t>
      </w:r>
    </w:p>
    <w:p w:rsidR="008068D2" w:rsidRPr="008068D2" w:rsidRDefault="008068D2" w:rsidP="009B5274">
      <w:pPr>
        <w:jc w:val="both"/>
        <w:rPr>
          <w:rFonts w:eastAsia="Times New Roman" w:cs="Arial"/>
        </w:rPr>
      </w:pPr>
      <w:r w:rsidRPr="008068D2">
        <w:rPr>
          <w:rFonts w:eastAsia="Times New Roman" w:cs="Arial"/>
        </w:rPr>
        <w:t xml:space="preserve">Από τις αρχές του τρέχοντος έτους, στους διαθέσιμους πόρους του ΠΔΕ αναμένεται να </w:t>
      </w:r>
      <w:r w:rsidRPr="008068D2">
        <w:rPr>
          <w:rFonts w:eastAsia="Times New Roman" w:cs="Arial"/>
          <w:b/>
        </w:rPr>
        <w:t xml:space="preserve">προστεθούν </w:t>
      </w:r>
      <w:r w:rsidRPr="008068D2">
        <w:rPr>
          <w:rFonts w:eastAsia="Times New Roman" w:cs="Arial"/>
        </w:rPr>
        <w:t xml:space="preserve">και πόροι για υλοποίηση έργων που θα χρηματοδοτηθούν από το </w:t>
      </w:r>
      <w:r w:rsidRPr="008068D2">
        <w:rPr>
          <w:rFonts w:eastAsia="Times New Roman" w:cs="Arial"/>
          <w:b/>
        </w:rPr>
        <w:t>Ταμείο Ανάκαμψης</w:t>
      </w:r>
      <w:r w:rsidR="00472311">
        <w:rPr>
          <w:rFonts w:eastAsia="Times New Roman" w:cs="Arial"/>
          <w:b/>
        </w:rPr>
        <w:t xml:space="preserve"> και Ανθεκτικότητας</w:t>
      </w:r>
      <w:r w:rsidRPr="008068D2">
        <w:rPr>
          <w:rFonts w:eastAsia="Times New Roman" w:cs="Arial"/>
        </w:rPr>
        <w:t xml:space="preserve">. Ειδικότερα για το 2021, έχουν προβλεφθεί για τον σκοπό αυτό πόροι ύψους </w:t>
      </w:r>
      <w:r w:rsidRPr="008F2F51">
        <w:rPr>
          <w:rFonts w:eastAsia="Times New Roman" w:cs="Arial"/>
          <w:b/>
        </w:rPr>
        <w:t>1,6</w:t>
      </w:r>
      <w:r w:rsidRPr="008068D2">
        <w:rPr>
          <w:rFonts w:eastAsia="Times New Roman" w:cs="Arial"/>
        </w:rPr>
        <w:t xml:space="preserve"> </w:t>
      </w:r>
      <w:r w:rsidRPr="008068D2">
        <w:rPr>
          <w:rFonts w:eastAsia="Times New Roman" w:cs="Arial"/>
          <w:b/>
        </w:rPr>
        <w:t xml:space="preserve"> δισ. ευρώ,</w:t>
      </w:r>
      <w:r w:rsidRPr="008068D2">
        <w:rPr>
          <w:rFonts w:eastAsia="Times New Roman" w:cs="Arial"/>
        </w:rPr>
        <w:t xml:space="preserve"> ενώ έργα που θα ενταχθούν για χρηματοδότηση από το Ταμείο Ανάκαμψης </w:t>
      </w:r>
      <w:r w:rsidR="00472311">
        <w:rPr>
          <w:rFonts w:eastAsia="Times New Roman" w:cs="Arial"/>
        </w:rPr>
        <w:t xml:space="preserve">και Ανθεκτικότητας </w:t>
      </w:r>
      <w:r w:rsidRPr="008068D2">
        <w:rPr>
          <w:rFonts w:eastAsia="Times New Roman" w:cs="Arial"/>
        </w:rPr>
        <w:t>θα βαρύνουν (προ-</w:t>
      </w:r>
      <w:proofErr w:type="spellStart"/>
      <w:r w:rsidRPr="008068D2">
        <w:rPr>
          <w:rFonts w:eastAsia="Times New Roman" w:cs="Arial"/>
        </w:rPr>
        <w:t>χρηματοδοτηθού</w:t>
      </w:r>
      <w:proofErr w:type="spellEnd"/>
      <w:r w:rsidRPr="008068D2">
        <w:rPr>
          <w:rFonts w:eastAsia="Times New Roman" w:cs="Arial"/>
        </w:rPr>
        <w:t>ν από) το Εθνικό Σκέλος του ΠΔΕ (άρθρο 42 ν. 4772/2021).</w:t>
      </w:r>
    </w:p>
    <w:p w:rsidR="008068D2" w:rsidRPr="008068D2" w:rsidRDefault="008068D2" w:rsidP="009B5274">
      <w:pPr>
        <w:jc w:val="both"/>
        <w:rPr>
          <w:rFonts w:eastAsia="Times New Roman" w:cs="Arial"/>
        </w:rPr>
      </w:pPr>
      <w:r w:rsidRPr="008068D2">
        <w:rPr>
          <w:rFonts w:eastAsia="Times New Roman" w:cs="Arial"/>
        </w:rPr>
        <w:t xml:space="preserve">Πρέπει να επισημανθεί ότι σημαντικό μέρος των  πόρων του ΠΔΕ αναμένεται να χρηματοδοτήσει δράσεις για την </w:t>
      </w:r>
      <w:r w:rsidRPr="008068D2">
        <w:rPr>
          <w:rFonts w:eastAsia="Times New Roman" w:cs="Arial"/>
          <w:b/>
        </w:rPr>
        <w:t>αντιμετώπιση των επιπτώσεων της πανδημίας</w:t>
      </w:r>
      <w:r w:rsidRPr="008068D2">
        <w:rPr>
          <w:rFonts w:eastAsia="Times New Roman" w:cs="Arial"/>
        </w:rPr>
        <w:t xml:space="preserve">, όπως έγινε το </w:t>
      </w:r>
      <w:r w:rsidRPr="008068D2">
        <w:rPr>
          <w:rFonts w:eastAsia="Times New Roman" w:cs="Arial"/>
          <w:bCs/>
        </w:rPr>
        <w:t>2020</w:t>
      </w:r>
      <w:r w:rsidRPr="008068D2">
        <w:rPr>
          <w:rFonts w:eastAsia="Times New Roman" w:cs="Arial"/>
        </w:rPr>
        <w:t xml:space="preserve">, κατά το οποίο το ΠΔΕ δαπάνησε συνολικά για το σκοπό αυτό πόρους  </w:t>
      </w:r>
      <w:r w:rsidRPr="008068D2">
        <w:rPr>
          <w:rFonts w:eastAsia="Times New Roman" w:cs="Arial"/>
          <w:b/>
        </w:rPr>
        <w:t>4,4 δισ. ευρώ</w:t>
      </w:r>
      <w:r w:rsidRPr="008068D2">
        <w:rPr>
          <w:rFonts w:eastAsia="Times New Roman" w:cs="Arial"/>
        </w:rPr>
        <w:t>, δηλαδή το 40% περίπου των συνολικών του πόρων.</w:t>
      </w:r>
    </w:p>
    <w:p w:rsidR="008068D2" w:rsidRPr="008F2F51" w:rsidRDefault="008068D2" w:rsidP="009B5274">
      <w:pPr>
        <w:jc w:val="both"/>
        <w:rPr>
          <w:rFonts w:eastAsia="Times New Roman" w:cs="Arial"/>
        </w:rPr>
      </w:pPr>
      <w:r w:rsidRPr="008068D2">
        <w:rPr>
          <w:rFonts w:eastAsia="Times New Roman" w:cs="Arial"/>
        </w:rPr>
        <w:t>Για την περίοδο</w:t>
      </w:r>
      <w:r w:rsidRPr="008068D2">
        <w:rPr>
          <w:rFonts w:eastAsia="Times New Roman" w:cs="Arial"/>
          <w:b/>
        </w:rPr>
        <w:t xml:space="preserve"> 2022-2025,</w:t>
      </w:r>
      <w:r w:rsidR="008F2F51">
        <w:rPr>
          <w:rFonts w:eastAsia="Times New Roman" w:cs="Arial"/>
        </w:rPr>
        <w:t xml:space="preserve"> </w:t>
      </w:r>
      <w:r w:rsidRPr="008068D2">
        <w:rPr>
          <w:rFonts w:eastAsia="Times New Roman" w:cs="Arial"/>
          <w:b/>
        </w:rPr>
        <w:t>οι διαθέσιμοι πόροι</w:t>
      </w:r>
      <w:r w:rsidRPr="008068D2">
        <w:rPr>
          <w:rFonts w:eastAsia="Times New Roman" w:cs="Arial"/>
        </w:rPr>
        <w:t xml:space="preserve"> ώστε να επιτευχθούν οι αναπτυξιακοί στόχοι και ταυτόχρονα να ικανοποιηθούν οι πολιτικές και νομικές δεσμεύσεις που έχουν αναληφθεί, ανέρχονται συνολικά σε</w:t>
      </w:r>
      <w:r w:rsidRPr="008068D2">
        <w:rPr>
          <w:rFonts w:eastAsia="Times New Roman" w:cs="Arial"/>
          <w:b/>
        </w:rPr>
        <w:t xml:space="preserve"> 28,25</w:t>
      </w:r>
      <w:r w:rsidRPr="008068D2">
        <w:rPr>
          <w:rFonts w:eastAsia="Times New Roman" w:cs="Arial"/>
          <w:b/>
          <w:color w:val="C00000"/>
        </w:rPr>
        <w:t xml:space="preserve"> </w:t>
      </w:r>
      <w:r w:rsidRPr="008068D2">
        <w:rPr>
          <w:rFonts w:eastAsia="Times New Roman" w:cs="Arial"/>
          <w:b/>
        </w:rPr>
        <w:t xml:space="preserve">δισ. ευρώ </w:t>
      </w:r>
      <w:r w:rsidRPr="008068D2">
        <w:rPr>
          <w:rFonts w:eastAsia="Times New Roman" w:cs="Arial"/>
        </w:rPr>
        <w:t>και</w:t>
      </w:r>
      <w:r w:rsidRPr="008068D2">
        <w:rPr>
          <w:rFonts w:eastAsia="Times New Roman" w:cs="Arial"/>
          <w:b/>
        </w:rPr>
        <w:t xml:space="preserve"> </w:t>
      </w:r>
      <w:r w:rsidRPr="008068D2">
        <w:rPr>
          <w:rFonts w:eastAsia="Times New Roman" w:cs="Arial"/>
        </w:rPr>
        <w:t>κατανέμονται ως ακολούθως:</w:t>
      </w:r>
    </w:p>
    <w:p w:rsidR="005713B1" w:rsidRPr="007E1308" w:rsidRDefault="008068D2" w:rsidP="00466592">
      <w:pPr>
        <w:pStyle w:val="a4"/>
        <w:numPr>
          <w:ilvl w:val="0"/>
          <w:numId w:val="37"/>
        </w:numPr>
        <w:ind w:left="714" w:hanging="357"/>
        <w:jc w:val="both"/>
        <w:rPr>
          <w:rFonts w:eastAsia="Times New Roman" w:cs="Arial"/>
        </w:rPr>
      </w:pPr>
      <w:r w:rsidRPr="005713B1">
        <w:rPr>
          <w:rFonts w:eastAsia="Times New Roman" w:cs="Arial"/>
        </w:rPr>
        <w:t xml:space="preserve">Πόροι συνολικού ύψους </w:t>
      </w:r>
      <w:r w:rsidRPr="005713B1">
        <w:rPr>
          <w:rFonts w:eastAsia="Times New Roman" w:cs="Arial"/>
          <w:b/>
        </w:rPr>
        <w:t>24,25 δισ. ευρώ,</w:t>
      </w:r>
      <w:r w:rsidRPr="005713B1">
        <w:rPr>
          <w:rFonts w:eastAsia="Times New Roman" w:cs="Arial"/>
        </w:rPr>
        <w:t xml:space="preserve"> θα διατεθούν για τα έργα του </w:t>
      </w:r>
      <w:r w:rsidRPr="005713B1">
        <w:rPr>
          <w:rFonts w:eastAsia="Times New Roman" w:cs="Arial"/>
          <w:b/>
        </w:rPr>
        <w:t xml:space="preserve">συγχρηματοδοτούμενου σκέλους του ΠΔΕ. </w:t>
      </w:r>
      <w:r w:rsidRPr="005713B1">
        <w:rPr>
          <w:rFonts w:eastAsia="Times New Roman" w:cs="Arial"/>
        </w:rPr>
        <w:t xml:space="preserve">Αναλυτικότερα, ποσό ύψους περίπου </w:t>
      </w:r>
      <w:r w:rsidRPr="005713B1">
        <w:rPr>
          <w:rFonts w:eastAsia="Times New Roman" w:cs="Arial"/>
          <w:b/>
        </w:rPr>
        <w:t>18,25 δισ. ευρώ</w:t>
      </w:r>
      <w:r w:rsidRPr="005713B1">
        <w:rPr>
          <w:rFonts w:eastAsia="Times New Roman" w:cs="Arial"/>
        </w:rPr>
        <w:t xml:space="preserve"> που αντιστοιχεί στο </w:t>
      </w:r>
      <w:r w:rsidRPr="005713B1">
        <w:rPr>
          <w:rFonts w:eastAsia="Times New Roman" w:cs="Arial"/>
          <w:b/>
        </w:rPr>
        <w:t>75%</w:t>
      </w:r>
      <w:r w:rsidRPr="005713B1">
        <w:rPr>
          <w:rFonts w:eastAsia="Times New Roman" w:cs="Arial"/>
        </w:rPr>
        <w:t xml:space="preserve"> περίπου των πόρων αυτών, θα δοθούν για την εντός χρονοδιαγραμμάτων υλοποίηση των έργων του ΕΣΠΑ 2014–2020, καθώς και για τα έργα που θα ενταχθούν στη νέα ΠΠ 2021-2027. Το υπόλοιπο </w:t>
      </w:r>
      <w:r w:rsidRPr="005713B1">
        <w:rPr>
          <w:rFonts w:eastAsia="Times New Roman" w:cs="Arial"/>
          <w:b/>
        </w:rPr>
        <w:t>25%</w:t>
      </w:r>
      <w:r w:rsidRPr="005713B1">
        <w:rPr>
          <w:rFonts w:eastAsia="Times New Roman" w:cs="Arial"/>
        </w:rPr>
        <w:t xml:space="preserve"> των συνολικών συγχρηματοδοτούμενων πόρων, που αντιστοιχεί σε ποσό ύψους σχεδόν </w:t>
      </w:r>
      <w:r w:rsidRPr="005713B1">
        <w:rPr>
          <w:rFonts w:eastAsia="Times New Roman" w:cs="Arial"/>
          <w:b/>
        </w:rPr>
        <w:t>6 δισ. ευρώ,</w:t>
      </w:r>
      <w:r w:rsidRPr="005713B1">
        <w:rPr>
          <w:rFonts w:eastAsia="Times New Roman" w:cs="Arial"/>
        </w:rPr>
        <w:t xml:space="preserve"> προγραμματίζεται να δοθεί για λοιπά συγχρηματοδοτούμενα προγράμματα που περιλαμβάνουν, κυρίως, έργα του Προγράμματος Αγροτικής Ανάπτυξης 2014 – 2020, των Προγραμμάτων που χρηματοδοτούνται από τα Ταμεία Αλληλεγγύης και Διαχείρισης Μεταναστευτικών Ροών της τρέχουσας περιόδου, καθώς και άλλων Προγραμμάτων ανεξαρτήτως Προγραμματικής Περιόδου. Η </w:t>
      </w:r>
      <w:r w:rsidRPr="005713B1">
        <w:rPr>
          <w:rFonts w:eastAsia="Times New Roman" w:cs="Arial"/>
          <w:b/>
        </w:rPr>
        <w:t>ετήσια κατανομή</w:t>
      </w:r>
      <w:r w:rsidRPr="005713B1">
        <w:rPr>
          <w:rFonts w:eastAsia="Times New Roman" w:cs="Arial"/>
        </w:rPr>
        <w:t xml:space="preserve"> των πόρων προβλέπει τη διάθεση ποσού ύψους </w:t>
      </w:r>
      <w:r w:rsidRPr="005713B1">
        <w:rPr>
          <w:rFonts w:eastAsia="Times New Roman" w:cs="Arial"/>
          <w:b/>
        </w:rPr>
        <w:t>6,25 δισ. ευρώ</w:t>
      </w:r>
      <w:r w:rsidRPr="005713B1">
        <w:rPr>
          <w:rFonts w:eastAsia="Times New Roman" w:cs="Arial"/>
        </w:rPr>
        <w:t xml:space="preserve"> για το συγχρηματοδοτούμενο σκέλος το 2022 και </w:t>
      </w:r>
      <w:r w:rsidRPr="005713B1">
        <w:rPr>
          <w:rFonts w:eastAsia="Times New Roman" w:cs="Arial"/>
          <w:b/>
        </w:rPr>
        <w:t>6 δισ. ευρώ</w:t>
      </w:r>
      <w:r w:rsidRPr="005713B1">
        <w:rPr>
          <w:rFonts w:eastAsia="Times New Roman" w:cs="Arial"/>
        </w:rPr>
        <w:t xml:space="preserve"> για κάθε έτος της περιόδου 2023-2025.</w:t>
      </w:r>
    </w:p>
    <w:p w:rsidR="004F713A" w:rsidRPr="007E1308" w:rsidRDefault="008068D2" w:rsidP="00466592">
      <w:pPr>
        <w:pStyle w:val="a4"/>
        <w:numPr>
          <w:ilvl w:val="0"/>
          <w:numId w:val="37"/>
        </w:numPr>
        <w:ind w:left="714" w:hanging="357"/>
        <w:jc w:val="both"/>
        <w:rPr>
          <w:rFonts w:eastAsia="Times New Roman" w:cs="Arial"/>
        </w:rPr>
      </w:pPr>
      <w:r w:rsidRPr="004F713A">
        <w:rPr>
          <w:rFonts w:eastAsia="Times New Roman" w:cs="Arial"/>
        </w:rPr>
        <w:t xml:space="preserve"> Πόροι συνολικού ύψους </w:t>
      </w:r>
      <w:r w:rsidRPr="004F713A">
        <w:rPr>
          <w:rFonts w:eastAsia="Times New Roman" w:cs="Arial"/>
          <w:b/>
        </w:rPr>
        <w:t>4 δισ. ευρώ</w:t>
      </w:r>
      <w:r w:rsidRPr="004F713A">
        <w:rPr>
          <w:rFonts w:eastAsia="Times New Roman" w:cs="Arial"/>
        </w:rPr>
        <w:t xml:space="preserve"> θα διατεθούν για έργα του </w:t>
      </w:r>
      <w:r w:rsidRPr="004F713A">
        <w:rPr>
          <w:rFonts w:eastAsia="Times New Roman" w:cs="Arial"/>
          <w:b/>
        </w:rPr>
        <w:t>εθνικού σκέλους του ΠΔΕ</w:t>
      </w:r>
      <w:r w:rsidRPr="004F713A">
        <w:rPr>
          <w:rFonts w:eastAsia="Times New Roman" w:cs="Arial"/>
        </w:rPr>
        <w:t xml:space="preserve"> με κατανομή </w:t>
      </w:r>
      <w:r w:rsidRPr="004F713A">
        <w:rPr>
          <w:rFonts w:eastAsia="Times New Roman" w:cs="Arial"/>
          <w:b/>
        </w:rPr>
        <w:t>1 δισ. ευρώ</w:t>
      </w:r>
      <w:r w:rsidRPr="004F713A">
        <w:rPr>
          <w:rFonts w:eastAsia="Times New Roman" w:cs="Arial"/>
        </w:rPr>
        <w:t xml:space="preserve"> για κάθε έτος της περιόδου 2022-2025, ώστε να καλυφθούν λοιπές - μη συγχρηματοδοτούμενες από κοινοτικούς πόρους- επενδυτικές δαπάνες των Υπουργείων και των Περιφερειών, κυρίως για την αντιμετώπιση των επιπτώσεων της πανδημίας σε τοπικό επίπεδο, τη χρηματοδότηση των επενδυτικών νόμων, την υλοποίηση προγραμμάτων στήριξης της Τοπικής Αυτοδιοίκησης, δράσεων ενίσχυσης της κοινωνικής συνοχής, καθώς και λοιπών προγραμμάτων που περιλαμβάνουν κατά κύριο λόγο συντηρήσεις υποδομών και προμήθειες. Οι παραπάνω δράσεις θα </w:t>
      </w:r>
      <w:r w:rsidRPr="004F713A">
        <w:rPr>
          <w:rFonts w:eastAsia="Times New Roman" w:cs="Arial"/>
        </w:rPr>
        <w:lastRenderedPageBreak/>
        <w:t>περιληφθούν στους αναπτυξιακούς άξονες του Εθνικού Προγράμματος Ανάπτυξης (ΕΠΑ) 2021 – 2025, που αναμένεται να ενεργοποιηθεί κατά την περίοδο αυτή.</w:t>
      </w:r>
    </w:p>
    <w:p w:rsidR="008068D2" w:rsidRPr="009B5274" w:rsidRDefault="008068D2" w:rsidP="009B5274">
      <w:pPr>
        <w:jc w:val="both"/>
        <w:rPr>
          <w:rFonts w:eastAsia="Times New Roman" w:cs="Arial"/>
        </w:rPr>
      </w:pPr>
      <w:r w:rsidRPr="008068D2">
        <w:rPr>
          <w:rFonts w:eastAsia="Times New Roman" w:cs="Arial"/>
        </w:rPr>
        <w:t xml:space="preserve">Τέλος, επιπλέον αυτών, αναμένεται μέσω του ΠΔΕ της περιόδου να δαπανηθούν πόροι συνολικού ύψους περίπου </w:t>
      </w:r>
      <w:r w:rsidRPr="008068D2">
        <w:rPr>
          <w:rFonts w:eastAsia="Times New Roman" w:cs="Arial"/>
          <w:b/>
        </w:rPr>
        <w:t>14,4 δισ. ευρώ,</w:t>
      </w:r>
      <w:r w:rsidRPr="008068D2">
        <w:rPr>
          <w:rFonts w:eastAsia="Times New Roman" w:cs="Arial"/>
        </w:rPr>
        <w:t xml:space="preserve"> για έργα που θα χρηματοδοτηθούν από το Ταμείο Ανάκαμψης</w:t>
      </w:r>
      <w:r w:rsidR="004A4E44">
        <w:rPr>
          <w:rFonts w:eastAsia="Times New Roman" w:cs="Arial"/>
        </w:rPr>
        <w:t xml:space="preserve"> </w:t>
      </w:r>
      <w:r w:rsidR="004A4E44" w:rsidRPr="008068D2">
        <w:rPr>
          <w:rFonts w:eastAsia="Times New Roman" w:cs="Arial"/>
          <w:lang w:eastAsia="en-US"/>
        </w:rPr>
        <w:t>και Ανθεκτικότητας</w:t>
      </w:r>
      <w:r w:rsidRPr="008068D2">
        <w:rPr>
          <w:rFonts w:eastAsia="Times New Roman" w:cs="Arial"/>
        </w:rPr>
        <w:t>.</w:t>
      </w:r>
    </w:p>
    <w:p w:rsidR="005713B1" w:rsidRPr="004F713A" w:rsidRDefault="005713B1" w:rsidP="004F713A">
      <w:pPr>
        <w:jc w:val="both"/>
        <w:rPr>
          <w:rFonts w:eastAsia="Times New Roman" w:cs="Arial"/>
          <w:b/>
        </w:rPr>
      </w:pPr>
    </w:p>
    <w:p w:rsidR="008068D2" w:rsidRPr="005E3A65" w:rsidRDefault="004F713A" w:rsidP="004F713A">
      <w:pPr>
        <w:pStyle w:val="a5"/>
        <w:tabs>
          <w:tab w:val="clear" w:pos="4153"/>
          <w:tab w:val="clear" w:pos="8306"/>
        </w:tabs>
        <w:spacing w:before="200" w:line="276" w:lineRule="auto"/>
        <w:jc w:val="both"/>
        <w:rPr>
          <w:rStyle w:val="af3"/>
          <w:rFonts w:eastAsia="Times New Roman" w:cs="Arial"/>
          <w:color w:val="365F91" w:themeColor="accent1" w:themeShade="BF"/>
          <w:sz w:val="24"/>
          <w:szCs w:val="24"/>
        </w:rPr>
      </w:pPr>
      <w:r w:rsidRPr="005E3A65">
        <w:rPr>
          <w:rStyle w:val="af3"/>
          <w:rFonts w:eastAsia="Times New Roman" w:cs="Arial"/>
          <w:color w:val="365F91" w:themeColor="accent1" w:themeShade="BF"/>
          <w:sz w:val="24"/>
          <w:szCs w:val="24"/>
        </w:rPr>
        <w:t xml:space="preserve">2.6.2 </w:t>
      </w:r>
      <w:r w:rsidR="008068D2" w:rsidRPr="005E3A65">
        <w:rPr>
          <w:rStyle w:val="af3"/>
          <w:rFonts w:eastAsia="Times New Roman" w:cs="Arial"/>
          <w:color w:val="365F91" w:themeColor="accent1" w:themeShade="BF"/>
          <w:sz w:val="24"/>
          <w:szCs w:val="24"/>
        </w:rPr>
        <w:t>Αποτίμηση μεταρρυθμίσεων – αξιολόγηση – δράση</w:t>
      </w:r>
    </w:p>
    <w:p w:rsidR="008068D2" w:rsidRPr="008068D2" w:rsidRDefault="008068D2" w:rsidP="004F713A">
      <w:pPr>
        <w:spacing w:before="200" w:after="0"/>
        <w:jc w:val="both"/>
        <w:rPr>
          <w:rFonts w:eastAsia="Times New Roman" w:cs="Arial"/>
        </w:rPr>
      </w:pPr>
      <w:r w:rsidRPr="008068D2">
        <w:rPr>
          <w:rFonts w:eastAsia="Times New Roman" w:cs="Arial"/>
        </w:rPr>
        <w:t xml:space="preserve">Τα τελευταία έτη έχουν λάβει χώρα σημαντικές μεταρρυθμίσεις και αλλαγές σε όλα τα στάδια διαχείρισης των δημοσίων επενδύσεων και ιδίως σε </w:t>
      </w:r>
      <w:proofErr w:type="spellStart"/>
      <w:r w:rsidRPr="008068D2">
        <w:rPr>
          <w:rFonts w:eastAsia="Times New Roman" w:cs="Arial"/>
        </w:rPr>
        <w:t>ό,τι</w:t>
      </w:r>
      <w:proofErr w:type="spellEnd"/>
      <w:r w:rsidRPr="008068D2">
        <w:rPr>
          <w:rFonts w:eastAsia="Times New Roman" w:cs="Arial"/>
        </w:rPr>
        <w:t xml:space="preserve"> αφορά τον προγραμματισμό, την υλοποίηση, και την παρακολούθηση του ΠΔΕ. Απώτερος σκοπός όλων των ενεργειών απλοποίησης, εκσυγχρονισμού και βελτίωσης του συστήματος υλοποίησης του ΠΔΕ, είναι η δημιουργία αποτελεσματικού μηχανισμού για την υποστήριξη της αναπτυξιακής προσπάθειας, με κύριο άξονα τη διευκόλυνση της απορρόφησης των </w:t>
      </w:r>
      <w:proofErr w:type="spellStart"/>
      <w:r w:rsidRPr="008068D2">
        <w:rPr>
          <w:rFonts w:eastAsia="Times New Roman" w:cs="Arial"/>
        </w:rPr>
        <w:t>ενωσιακών</w:t>
      </w:r>
      <w:proofErr w:type="spellEnd"/>
      <w:r w:rsidRPr="008068D2">
        <w:rPr>
          <w:rFonts w:eastAsia="Times New Roman" w:cs="Arial"/>
        </w:rPr>
        <w:t xml:space="preserve"> κονδυλίων και απαραίτητες παραμέτρους την ενίσχυση της διαφάνειας και την πλήρη συμμόρφωση της χώρας με τις </w:t>
      </w:r>
      <w:proofErr w:type="spellStart"/>
      <w:r w:rsidRPr="008068D2">
        <w:rPr>
          <w:rFonts w:eastAsia="Times New Roman" w:cs="Arial"/>
        </w:rPr>
        <w:t>ενωσιακές</w:t>
      </w:r>
      <w:proofErr w:type="spellEnd"/>
      <w:r w:rsidRPr="008068D2">
        <w:rPr>
          <w:rFonts w:eastAsia="Times New Roman" w:cs="Arial"/>
        </w:rPr>
        <w:t xml:space="preserve"> και διεθνείς υποχρεώσεις της. </w:t>
      </w:r>
    </w:p>
    <w:p w:rsidR="008068D2" w:rsidRPr="008068D2" w:rsidRDefault="008068D2" w:rsidP="004F713A">
      <w:pPr>
        <w:spacing w:before="200" w:after="0"/>
        <w:jc w:val="both"/>
        <w:rPr>
          <w:rFonts w:eastAsia="Times New Roman" w:cs="Arial"/>
        </w:rPr>
      </w:pPr>
      <w:r w:rsidRPr="008068D2">
        <w:rPr>
          <w:rFonts w:eastAsia="Times New Roman" w:cs="Arial"/>
        </w:rPr>
        <w:t xml:space="preserve">Από τις βασικότερες μεταρρυθμίσεις που έχουν πραγματοποιηθεί και εξακολουθούν να αποτελούν προτεραιότητα στην παρούσα περίοδο είναι: α) η συνεχής αναβάθμιση και βελτίωση του πληροφοριακού συστήματος του προγράμματος δημοσίων επενδύσεων (e-ΠΔΕ), μέσω του οποίου έχει μηχανογραφηθεί όλος ο κύκλος ζωής για το σύνολο των έργων του ΠΔΕ (έγκριση, χρηματοδότηση, πληρωμές, έκδοση συμψηφιστικών χρηματικών ενταλμάτων κλπ.), και η ενίσχυση των </w:t>
      </w:r>
      <w:proofErr w:type="spellStart"/>
      <w:r w:rsidRPr="008068D2">
        <w:rPr>
          <w:rFonts w:eastAsia="Times New Roman" w:cs="Arial"/>
        </w:rPr>
        <w:t>διεπαφών</w:t>
      </w:r>
      <w:proofErr w:type="spellEnd"/>
      <w:r w:rsidRPr="008068D2">
        <w:rPr>
          <w:rFonts w:eastAsia="Times New Roman" w:cs="Arial"/>
        </w:rPr>
        <w:t xml:space="preserve"> του με άλλα συστήματα και β) η βελτίωση της παρακολούθησης και του προγραμματισμού του ΠΔΕ βάσει σύγχρονων μεθόδων.</w:t>
      </w:r>
    </w:p>
    <w:p w:rsidR="008068D2" w:rsidRPr="008068D2" w:rsidRDefault="008068D2" w:rsidP="004F713A">
      <w:pPr>
        <w:spacing w:before="200" w:after="0"/>
        <w:jc w:val="both"/>
        <w:rPr>
          <w:rFonts w:eastAsia="Times New Roman" w:cs="Arial"/>
        </w:rPr>
      </w:pPr>
      <w:r w:rsidRPr="008068D2">
        <w:rPr>
          <w:rFonts w:eastAsia="Times New Roman" w:cs="Arial"/>
        </w:rPr>
        <w:t xml:space="preserve">Επιπλέον, για τη βελτίωση της παρακολούθησης του ΠΔΕ, το καλοκαίρι του 2019 εκπονήθηκε και έκτοτε υλοποιείται </w:t>
      </w:r>
      <w:r w:rsidRPr="008068D2">
        <w:rPr>
          <w:rFonts w:eastAsia="Times New Roman" w:cs="Arial"/>
          <w:b/>
        </w:rPr>
        <w:t>κοινό σχέδιο δράσης</w:t>
      </w:r>
      <w:r w:rsidRPr="008068D2">
        <w:rPr>
          <w:rFonts w:eastAsia="Times New Roman" w:cs="Arial"/>
        </w:rPr>
        <w:t xml:space="preserve"> μεταξύ του Υπουργείου Ανάπτυξης και Επενδύσεων και του Γενικού Λογιστηρίου του Κράτους, που θα ολοκληρωθεί έως το τέλος του 2021, ώστε να καταστεί δυνατή η προσαρμογή του ΠΔΕ στις ανάγκες της ενιαίας παρακολούθησης του Κρατικού Προϋπολογισμού, σε συνδυασμό πάντα με την ανάγκη ευελιξίας των διαδικασιών του για την αποτελεσματική λειτουργία του.    </w:t>
      </w:r>
    </w:p>
    <w:p w:rsidR="008068D2" w:rsidRPr="007E1308" w:rsidRDefault="008068D2" w:rsidP="004F713A">
      <w:pPr>
        <w:spacing w:before="200" w:after="0"/>
        <w:jc w:val="both"/>
        <w:rPr>
          <w:rFonts w:eastAsia="Times New Roman" w:cs="Arial"/>
        </w:rPr>
      </w:pPr>
      <w:r w:rsidRPr="008068D2">
        <w:rPr>
          <w:rFonts w:eastAsia="Times New Roman" w:cs="Arial"/>
        </w:rPr>
        <w:t>Σύμφωνα με τον μεσοπρόθεσμο προγραμματισμό του ΠΔΕ για την περίοδο 2021–2025, αναφέρονται ενδεικτικά οι ακόλουθες δράσεις που θα υλοποιηθούν, ολοκληρώνοντας ουσιαστικά τη μεγάλη μεταρρυθμιστική προσπάθεια για την αναμόρφωση του πλαισίου χρηματοδότησης των δημοσίων επενδύσεων της χώρας:</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Απλοποίηση των διαδικασιών του ΠΔΕ για όλα τα έργα ανεξαρτήτως πηγής χρηματοδότησης για λόγους επιτάχυνσης.</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 xml:space="preserve">Κωδικοποίηση και αναθεώρηση του νομοθετικού πλαισίου των δημοσίων επενδύσεων (με αξιοποίηση πόρων έργου τεχνικής βοήθειας της Γενικής Διεύθυνσης Μεταρρυθμίσεων της ΕΕ, που έχει εγκριθεί προς τον σκοπό αυτό).  </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Έναρξη υλοποίησης Εθνικού Προγράμματος Ανάπτυξης, για την υιοθέτηση κανόνων προγραμματισμού για τα έργα του εθνικού σκέλους του ΠΔΕ.</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Πλήρης αυτοματοποίηση της παρακολούθησης των εσόδων του Προγράμματος.</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 xml:space="preserve">Περαιτέρω </w:t>
      </w:r>
      <w:proofErr w:type="spellStart"/>
      <w:r w:rsidRPr="004F713A">
        <w:rPr>
          <w:rFonts w:eastAsia="Times New Roman" w:cs="Arial"/>
        </w:rPr>
        <w:t>διαλειτουργικότητα</w:t>
      </w:r>
      <w:proofErr w:type="spellEnd"/>
      <w:r w:rsidRPr="004F713A">
        <w:rPr>
          <w:rFonts w:eastAsia="Times New Roman" w:cs="Arial"/>
        </w:rPr>
        <w:t xml:space="preserve"> του πληροφοριακού συστήματος e-ΠΔΕ με κάθε άλλο σύστημα που εμπλέκεται στις διαδικασίες του.</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 xml:space="preserve">Βελτίωση της παρακολούθησης των μεγεθών του ΠΔΕ για την πληρέστερη συσχέτιση των δαπανών με τα έσοδα. </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t>Διαχείριση ηλεκτρονικών τιμολογίων για τα έργα του ΠΔΕ εξ ολοκλήρου μέσω του e-ΠΔΕ, χωρίς καμία περαιτέρω υλοποίηση από τους εμπλεκόμενους φορείς (&gt;1700).</w:t>
      </w:r>
    </w:p>
    <w:p w:rsidR="008068D2" w:rsidRPr="004F713A" w:rsidRDefault="008068D2" w:rsidP="00466592">
      <w:pPr>
        <w:pStyle w:val="a4"/>
        <w:numPr>
          <w:ilvl w:val="0"/>
          <w:numId w:val="39"/>
        </w:numPr>
        <w:spacing w:before="200" w:after="0"/>
        <w:ind w:left="714" w:hanging="357"/>
        <w:jc w:val="both"/>
        <w:rPr>
          <w:rFonts w:eastAsia="Times New Roman" w:cs="Arial"/>
        </w:rPr>
      </w:pPr>
      <w:r w:rsidRPr="004F713A">
        <w:rPr>
          <w:rFonts w:eastAsia="Times New Roman" w:cs="Arial"/>
        </w:rPr>
        <w:lastRenderedPageBreak/>
        <w:t xml:space="preserve">Ανάπτυξη και τήρηση διπλογραφικού συστήματος στη βάση διεθνών λογιστικών προτύπων για την καλύτερη οικονομική παρακολούθηση του Προγράμματος. </w:t>
      </w:r>
    </w:p>
    <w:p w:rsidR="004F713A" w:rsidRPr="008068D2" w:rsidRDefault="004F713A" w:rsidP="004F713A">
      <w:pPr>
        <w:spacing w:before="200" w:after="0"/>
        <w:jc w:val="both"/>
        <w:rPr>
          <w:rFonts w:eastAsia="Times New Roman" w:cs="Arial"/>
        </w:rPr>
      </w:pPr>
    </w:p>
    <w:p w:rsidR="008068D2" w:rsidRPr="005E3A65" w:rsidRDefault="004F713A" w:rsidP="004F713A">
      <w:pPr>
        <w:pStyle w:val="a5"/>
        <w:tabs>
          <w:tab w:val="clear" w:pos="4153"/>
          <w:tab w:val="clear" w:pos="8306"/>
        </w:tabs>
        <w:spacing w:before="100" w:beforeAutospacing="1" w:after="100" w:afterAutospacing="1" w:line="276" w:lineRule="auto"/>
        <w:jc w:val="both"/>
        <w:rPr>
          <w:rStyle w:val="af3"/>
          <w:rFonts w:eastAsia="Times New Roman" w:cs="Arial"/>
          <w:color w:val="365F91" w:themeColor="accent1" w:themeShade="BF"/>
          <w:sz w:val="24"/>
          <w:szCs w:val="24"/>
        </w:rPr>
      </w:pPr>
      <w:r w:rsidRPr="005E3A65">
        <w:rPr>
          <w:rStyle w:val="af3"/>
          <w:rFonts w:eastAsia="Times New Roman" w:cs="Arial"/>
          <w:color w:val="365F91" w:themeColor="accent1" w:themeShade="BF"/>
          <w:sz w:val="24"/>
          <w:szCs w:val="24"/>
        </w:rPr>
        <w:t xml:space="preserve">2.6.3 </w:t>
      </w:r>
      <w:r w:rsidR="008068D2" w:rsidRPr="005E3A65">
        <w:rPr>
          <w:rStyle w:val="af3"/>
          <w:rFonts w:eastAsia="Times New Roman" w:cs="Arial"/>
          <w:color w:val="365F91" w:themeColor="accent1" w:themeShade="BF"/>
          <w:sz w:val="24"/>
          <w:szCs w:val="24"/>
        </w:rPr>
        <w:t xml:space="preserve">Η διάρθρωση του ΠΔΕ 2022-2025 </w:t>
      </w:r>
    </w:p>
    <w:p w:rsidR="008068D2" w:rsidRPr="008068D2" w:rsidRDefault="008068D2" w:rsidP="004F713A">
      <w:pPr>
        <w:spacing w:before="200" w:after="0"/>
        <w:jc w:val="both"/>
        <w:rPr>
          <w:rFonts w:eastAsia="Times New Roman" w:cs="Arial"/>
        </w:rPr>
      </w:pPr>
      <w:r w:rsidRPr="008068D2">
        <w:rPr>
          <w:rFonts w:eastAsia="Times New Roman" w:cs="Arial"/>
        </w:rPr>
        <w:t xml:space="preserve">Για την περίοδο 2022–2025 οι πόροι του </w:t>
      </w:r>
      <w:r w:rsidRPr="008068D2">
        <w:rPr>
          <w:rFonts w:eastAsia="Times New Roman" w:cs="Arial"/>
          <w:b/>
        </w:rPr>
        <w:t>συγχρηματοδοτούμενου σκέλους</w:t>
      </w:r>
      <w:r w:rsidRPr="008068D2">
        <w:rPr>
          <w:rFonts w:eastAsia="Times New Roman" w:cs="Arial"/>
        </w:rPr>
        <w:t xml:space="preserve"> ανέρχονται περίπου στο </w:t>
      </w:r>
      <w:r w:rsidRPr="008068D2">
        <w:rPr>
          <w:rFonts w:eastAsia="Times New Roman" w:cs="Arial"/>
          <w:b/>
        </w:rPr>
        <w:t>86%</w:t>
      </w:r>
      <w:r w:rsidRPr="008068D2">
        <w:rPr>
          <w:rFonts w:eastAsia="Times New Roman" w:cs="Arial"/>
        </w:rPr>
        <w:t xml:space="preserve"> του συνολικού Προγράμματος, χρηματοδοτώντας κυρίως έργα της ΠΠ 2014–2020 και της ΠΠ 2021-2027, ενώ το </w:t>
      </w:r>
      <w:r w:rsidRPr="008068D2">
        <w:rPr>
          <w:rFonts w:eastAsia="Times New Roman" w:cs="Arial"/>
          <w:b/>
        </w:rPr>
        <w:t>14%</w:t>
      </w:r>
      <w:r w:rsidRPr="008068D2">
        <w:rPr>
          <w:rFonts w:eastAsia="Times New Roman" w:cs="Arial"/>
        </w:rPr>
        <w:t xml:space="preserve"> των πόρων, που θα χρηματοδοτήσει το εθνικό σκέλος του ΠΔΕ, αναμένεται να περιλάβει ως επί το πλείστον έργα του Εθνικού Προγράμματος Ανάπτυξης. Σε αυτούς θα πρέπει να συνυπολογιστούν σημαντικοί πόροι που θα δαπανηθούν μέσω του ΠΔΕ για τα έργα του Ταμείου Ανάκαμψης</w:t>
      </w:r>
      <w:r w:rsidR="009C64A4">
        <w:rPr>
          <w:rFonts w:eastAsia="Times New Roman" w:cs="Arial"/>
        </w:rPr>
        <w:t xml:space="preserve"> </w:t>
      </w:r>
      <w:r w:rsidR="009C64A4" w:rsidRPr="008068D2">
        <w:rPr>
          <w:rFonts w:eastAsia="Times New Roman" w:cs="Arial"/>
          <w:lang w:eastAsia="en-US"/>
        </w:rPr>
        <w:t>και Ανθεκτικότητας</w:t>
      </w:r>
      <w:r w:rsidRPr="008068D2">
        <w:rPr>
          <w:rFonts w:eastAsia="Times New Roman" w:cs="Arial"/>
        </w:rPr>
        <w:t>.</w:t>
      </w:r>
    </w:p>
    <w:p w:rsidR="008068D2" w:rsidRDefault="008068D2" w:rsidP="004F713A">
      <w:pPr>
        <w:spacing w:before="200" w:after="0"/>
        <w:jc w:val="both"/>
        <w:rPr>
          <w:rFonts w:eastAsia="Times New Roman" w:cs="Arial"/>
          <w:lang w:val="en-US"/>
        </w:rPr>
      </w:pPr>
      <w:r w:rsidRPr="008068D2">
        <w:rPr>
          <w:rFonts w:eastAsia="Times New Roman" w:cs="Arial"/>
        </w:rPr>
        <w:t>Η στρατηγική υλοποίησης του ΠΔΕ αποτυπώνεται και στην κατανομή των πιστώσεων ανά Φορέα Κεντρικής Διοίκησης και ανά κατηγορία Προγράμματος. Ειδικότερα:</w:t>
      </w:r>
    </w:p>
    <w:p w:rsidR="008068D2" w:rsidRPr="007E1308" w:rsidRDefault="008068D2" w:rsidP="004F713A">
      <w:pPr>
        <w:pStyle w:val="a4"/>
        <w:numPr>
          <w:ilvl w:val="0"/>
          <w:numId w:val="40"/>
        </w:numPr>
        <w:spacing w:before="200" w:after="0"/>
        <w:contextualSpacing w:val="0"/>
        <w:jc w:val="both"/>
        <w:rPr>
          <w:rFonts w:eastAsia="Times New Roman" w:cs="Arial"/>
        </w:rPr>
      </w:pPr>
      <w:r w:rsidRPr="004F713A">
        <w:rPr>
          <w:rFonts w:eastAsia="Times New Roman" w:cs="Arial"/>
        </w:rPr>
        <w:t xml:space="preserve">Έμφαση δίνεται σε Υπουργεία που εποπτεύουν-διαχειρίζονται τις πολιτικές των θεματικών των Επιχειρησιακών Προγραμμάτων. Το μεγαλύτερο μέρος των πιστώσεων κατευθύνεται στο Υπουργείο Ανάπτυξης και Επενδύσεων, ανερχόμενο στο 20% του συνολικού ποσού που θα διατεθεί για το εθνικό σκέλος του ΠΔΕ 2022-2025, κυρίως για την εξυπηρέτηση των αναγκών χρηματοδότησης των </w:t>
      </w:r>
      <w:r w:rsidRPr="004F713A">
        <w:rPr>
          <w:rFonts w:eastAsia="Times New Roman" w:cs="Arial"/>
          <w:b/>
        </w:rPr>
        <w:t>επενδυτικών νόμων,</w:t>
      </w:r>
      <w:r w:rsidRPr="004F713A">
        <w:rPr>
          <w:rFonts w:eastAsia="Times New Roman" w:cs="Arial"/>
        </w:rPr>
        <w:t xml:space="preserve"> και στο 19,4% περίπου του συνόλου του συγχρηματοδοτούμενου σκέλους όλης της περιόδου του ΜΠΔΣ, για την υλοποίηση δράσεων ενίσχυσης της </w:t>
      </w:r>
      <w:r w:rsidRPr="004F713A">
        <w:rPr>
          <w:rFonts w:eastAsia="Times New Roman" w:cs="Arial"/>
          <w:b/>
        </w:rPr>
        <w:t>επιχειρηματικότητας, της ανταγωνιστικότητας και της εξωστρέφειας</w:t>
      </w:r>
      <w:r w:rsidRPr="004F713A">
        <w:rPr>
          <w:rFonts w:eastAsia="Times New Roman" w:cs="Arial"/>
        </w:rPr>
        <w:t>.</w:t>
      </w:r>
    </w:p>
    <w:p w:rsidR="008068D2" w:rsidRPr="004F713A" w:rsidRDefault="008068D2" w:rsidP="00466592">
      <w:pPr>
        <w:pStyle w:val="a4"/>
        <w:numPr>
          <w:ilvl w:val="0"/>
          <w:numId w:val="40"/>
        </w:numPr>
        <w:spacing w:before="200" w:after="0"/>
        <w:ind w:left="714" w:hanging="357"/>
        <w:jc w:val="both"/>
        <w:rPr>
          <w:rFonts w:eastAsia="Times New Roman" w:cs="Arial"/>
        </w:rPr>
      </w:pPr>
      <w:r w:rsidRPr="004F713A">
        <w:rPr>
          <w:rFonts w:eastAsia="Times New Roman" w:cs="Arial"/>
        </w:rPr>
        <w:t xml:space="preserve">Το 14% περίπου του συνόλου των πιστώσεων κατευθύνεται στο Υπουργείο Υποδομών Μεταφορών και Δικτύων, για την ολοκλήρωση </w:t>
      </w:r>
      <w:r w:rsidRPr="004F713A">
        <w:rPr>
          <w:rFonts w:eastAsia="Times New Roman" w:cs="Arial"/>
          <w:b/>
        </w:rPr>
        <w:t xml:space="preserve">μεγάλων έργων υποδομής </w:t>
      </w:r>
      <w:r w:rsidRPr="004F713A">
        <w:rPr>
          <w:rFonts w:eastAsia="Times New Roman" w:cs="Arial"/>
        </w:rPr>
        <w:t xml:space="preserve">και λοιπών δράσεων, κυρίως για την ανάπτυξη και τον εκσυγχρονισμό των μεταφορικών υποδομών και των δικτύων. </w:t>
      </w:r>
    </w:p>
    <w:p w:rsidR="008068D2" w:rsidRPr="004F713A" w:rsidRDefault="008068D2" w:rsidP="00466592">
      <w:pPr>
        <w:pStyle w:val="a4"/>
        <w:numPr>
          <w:ilvl w:val="0"/>
          <w:numId w:val="40"/>
        </w:numPr>
        <w:spacing w:before="200" w:after="0"/>
        <w:ind w:left="714" w:hanging="357"/>
        <w:jc w:val="both"/>
        <w:rPr>
          <w:rFonts w:eastAsia="Times New Roman" w:cs="Arial"/>
        </w:rPr>
      </w:pPr>
      <w:r w:rsidRPr="004F713A">
        <w:rPr>
          <w:rFonts w:eastAsia="Times New Roman" w:cs="Arial"/>
        </w:rPr>
        <w:t xml:space="preserve">Σε συμφωνία με την αναπτυξιακή στρατηγική της χώρας, σημαντικό μέρος των διαθέσιμων πόρων κατευθύνεται στην </w:t>
      </w:r>
      <w:r w:rsidRPr="004F713A">
        <w:rPr>
          <w:rFonts w:eastAsia="Times New Roman" w:cs="Arial"/>
          <w:b/>
        </w:rPr>
        <w:t>αναβάθμιση και ενίσχυση του ανθρώπινου δυναμικού</w:t>
      </w:r>
      <w:r w:rsidRPr="004F713A">
        <w:rPr>
          <w:rFonts w:eastAsia="Times New Roman" w:cs="Arial"/>
        </w:rPr>
        <w:t xml:space="preserve"> μέσω των προγραμμάτων του Υπουργείου Παιδείας και Θρησκευμάτων και του Υπουργείου Εργασίας και Κοινωνικών Υποθέσεων. Το ποσοστό του ΠΔΕ που θα διατεθεί προς τον σκοπό αυτό έναντι των συνολικά διαθέσιμων πόρων όλης της περιόδου 2022–2025, ανέρχεται για το συγχρηματοδοτούμενο σκέλος στο 14% (ποσό 3,41 δισ. ευρώ) και για το εθνικό σκέλος στο 16% (ποσό 630 εκατ. ευρώ).</w:t>
      </w:r>
    </w:p>
    <w:p w:rsidR="008068D2" w:rsidRPr="004F713A" w:rsidRDefault="008068D2" w:rsidP="00466592">
      <w:pPr>
        <w:pStyle w:val="a4"/>
        <w:numPr>
          <w:ilvl w:val="0"/>
          <w:numId w:val="40"/>
        </w:numPr>
        <w:spacing w:before="200" w:after="0"/>
        <w:ind w:left="714" w:hanging="357"/>
        <w:jc w:val="both"/>
        <w:rPr>
          <w:rFonts w:eastAsia="Times New Roman" w:cs="Arial"/>
        </w:rPr>
      </w:pPr>
      <w:r w:rsidRPr="004F713A">
        <w:rPr>
          <w:rFonts w:eastAsia="Times New Roman" w:cs="Arial"/>
        </w:rPr>
        <w:t xml:space="preserve">Πόροι ύψους 3,3 δισ. ευρώ, που αντιστοιχούν στο 11,7% περίπου του συνολικού ύψους ΠΔΕ της περιόδου 2022-2025, θα κατευθυνθούν στην υλοποίηση δράσεων στον </w:t>
      </w:r>
      <w:r w:rsidRPr="004F713A">
        <w:rPr>
          <w:rFonts w:eastAsia="Times New Roman" w:cs="Arial"/>
          <w:b/>
        </w:rPr>
        <w:t>αγροτικό τομέα και τον τομέα της αλιείας</w:t>
      </w:r>
      <w:r w:rsidRPr="004F713A">
        <w:rPr>
          <w:rFonts w:eastAsia="Times New Roman" w:cs="Arial"/>
        </w:rPr>
        <w:t>, και αφορούν κατά 99,8% σε έργα του συγχρηματοδοτούμενου σκέλους.</w:t>
      </w:r>
    </w:p>
    <w:p w:rsidR="008068D2" w:rsidRPr="004F713A" w:rsidRDefault="008068D2" w:rsidP="00466592">
      <w:pPr>
        <w:pStyle w:val="a4"/>
        <w:numPr>
          <w:ilvl w:val="0"/>
          <w:numId w:val="40"/>
        </w:numPr>
        <w:spacing w:before="200" w:after="0"/>
        <w:ind w:left="714" w:hanging="357"/>
        <w:jc w:val="both"/>
        <w:rPr>
          <w:rFonts w:eastAsia="Times New Roman" w:cs="Arial"/>
        </w:rPr>
      </w:pPr>
      <w:r w:rsidRPr="004F713A">
        <w:rPr>
          <w:rFonts w:eastAsia="Times New Roman" w:cs="Arial"/>
        </w:rPr>
        <w:t xml:space="preserve">Τα Προγράμματα των </w:t>
      </w:r>
      <w:r w:rsidRPr="004F713A">
        <w:rPr>
          <w:rFonts w:eastAsia="Times New Roman" w:cs="Arial"/>
          <w:b/>
        </w:rPr>
        <w:t>Περιφερειών</w:t>
      </w:r>
      <w:r w:rsidRPr="004F713A">
        <w:rPr>
          <w:rFonts w:eastAsia="Times New Roman" w:cs="Arial"/>
        </w:rPr>
        <w:t xml:space="preserve"> θα χρηματοδοτηθούν με το 20,5% περίπου των συνολικών πόρων για το ΠΔΕ της περιόδου 2022-2025, ποσοστό που αντιστοιχεί σε πόρους ύψους 5,8 δισ. ευρώ. Αναλυτικότερα, σε προγράμματα των Περιφερειών θα δαπανηθεί το 20% περίπου του συγχρηματοδοτούμενου σκέλους της περιόδου 2022-2025, το οποίο αντιστοιχεί σε πόρους ύψους 4,9 δισ. ευρώ και το 22% του συνόλου των δαπανών του εθνικού σκέλους για την ίδια περίοδο, το οποίο αντιστοιχεί σε πόρους ύψους 860 εκατ. ευρώ. </w:t>
      </w:r>
    </w:p>
    <w:p w:rsidR="008068D2" w:rsidRDefault="008068D2" w:rsidP="00466592">
      <w:pPr>
        <w:pStyle w:val="a4"/>
        <w:numPr>
          <w:ilvl w:val="0"/>
          <w:numId w:val="40"/>
        </w:numPr>
        <w:spacing w:before="200" w:after="0"/>
        <w:ind w:left="714" w:hanging="357"/>
        <w:jc w:val="both"/>
        <w:rPr>
          <w:rFonts w:eastAsia="Times New Roman" w:cs="Arial"/>
        </w:rPr>
      </w:pPr>
      <w:r w:rsidRPr="004F713A">
        <w:rPr>
          <w:rFonts w:eastAsia="Times New Roman" w:cs="Arial"/>
        </w:rPr>
        <w:t>Τέλος, σημαντικοί πόροι θα διατεθούν και στους λοιπούς Φορείς για την υλοποίηση των προγραμμάτων τους, σε συμφωνία με τον αναπτυξιακό σχεδιασμό και την διαμορφούμενη στρατηγική για την ανάπτυξη της τρέχουσας περιόδου.</w:t>
      </w:r>
    </w:p>
    <w:p w:rsidR="00466592" w:rsidRDefault="00466592" w:rsidP="00466592">
      <w:pPr>
        <w:pStyle w:val="a4"/>
        <w:spacing w:before="200" w:after="0"/>
        <w:ind w:left="714"/>
        <w:jc w:val="both"/>
        <w:rPr>
          <w:rFonts w:eastAsia="Times New Roman" w:cs="Arial"/>
        </w:rPr>
      </w:pPr>
    </w:p>
    <w:p w:rsidR="00466592" w:rsidRPr="004F713A" w:rsidRDefault="00466592" w:rsidP="00466592">
      <w:pPr>
        <w:pStyle w:val="a4"/>
        <w:spacing w:before="200" w:after="0"/>
        <w:ind w:left="714"/>
        <w:jc w:val="both"/>
        <w:rPr>
          <w:rFonts w:eastAsia="Times New Roman" w:cs="Arial"/>
        </w:rPr>
      </w:pPr>
    </w:p>
    <w:p w:rsidR="004F713A" w:rsidRPr="008068D2" w:rsidRDefault="004F713A" w:rsidP="004F713A">
      <w:pPr>
        <w:spacing w:before="200" w:after="0"/>
        <w:jc w:val="both"/>
        <w:rPr>
          <w:rFonts w:eastAsia="Times New Roman" w:cs="Arial"/>
        </w:rPr>
      </w:pPr>
    </w:p>
    <w:p w:rsidR="008068D2" w:rsidRPr="005E3A65" w:rsidRDefault="003E6BA1" w:rsidP="00466592">
      <w:pPr>
        <w:pStyle w:val="a5"/>
        <w:tabs>
          <w:tab w:val="clear" w:pos="4153"/>
          <w:tab w:val="clear" w:pos="8306"/>
        </w:tabs>
        <w:spacing w:after="200" w:line="276" w:lineRule="auto"/>
        <w:jc w:val="both"/>
        <w:rPr>
          <w:rStyle w:val="af3"/>
          <w:rFonts w:eastAsia="Times New Roman" w:cs="Arial"/>
          <w:color w:val="365F91" w:themeColor="accent1" w:themeShade="BF"/>
          <w:sz w:val="24"/>
          <w:szCs w:val="24"/>
        </w:rPr>
      </w:pPr>
      <w:r w:rsidRPr="005E3A65">
        <w:rPr>
          <w:rStyle w:val="af3"/>
          <w:rFonts w:eastAsia="Times New Roman" w:cs="Arial"/>
          <w:color w:val="365F91" w:themeColor="accent1" w:themeShade="BF"/>
          <w:sz w:val="24"/>
          <w:szCs w:val="24"/>
        </w:rPr>
        <w:lastRenderedPageBreak/>
        <w:t xml:space="preserve">2.6.4 </w:t>
      </w:r>
      <w:r w:rsidR="008068D2" w:rsidRPr="005E3A65">
        <w:rPr>
          <w:rStyle w:val="af3"/>
          <w:rFonts w:eastAsia="Times New Roman" w:cs="Arial"/>
          <w:color w:val="365F91" w:themeColor="accent1" w:themeShade="BF"/>
          <w:sz w:val="24"/>
          <w:szCs w:val="24"/>
        </w:rPr>
        <w:t>Τα Προγράμματα που χρηματοδοτούνται από το ΠΔΕ – Οι νέες προοπτικές</w:t>
      </w:r>
    </w:p>
    <w:p w:rsidR="008068D2" w:rsidRPr="00466592" w:rsidRDefault="00466592" w:rsidP="00466592">
      <w:pPr>
        <w:jc w:val="both"/>
        <w:rPr>
          <w:rFonts w:eastAsia="Times New Roman" w:cs="Arial"/>
          <w:b/>
          <w:color w:val="365F91" w:themeColor="accent1" w:themeShade="BF"/>
          <w:u w:val="dotted"/>
        </w:rPr>
      </w:pPr>
      <w:r w:rsidRPr="00466592">
        <w:rPr>
          <w:rFonts w:eastAsia="Times New Roman" w:cs="Arial"/>
          <w:b/>
          <w:color w:val="365F91" w:themeColor="accent1" w:themeShade="BF"/>
          <w:u w:val="dotted"/>
        </w:rPr>
        <w:t>α</w:t>
      </w:r>
      <w:r w:rsidRPr="007E1308">
        <w:rPr>
          <w:rFonts w:eastAsia="Times New Roman" w:cs="Arial"/>
          <w:b/>
          <w:color w:val="365F91" w:themeColor="accent1" w:themeShade="BF"/>
          <w:u w:val="dotted"/>
        </w:rPr>
        <w:t xml:space="preserve">) </w:t>
      </w:r>
      <w:r w:rsidR="008068D2" w:rsidRPr="00466592">
        <w:rPr>
          <w:rFonts w:eastAsia="Times New Roman" w:cs="Arial"/>
          <w:b/>
          <w:color w:val="365F91" w:themeColor="accent1" w:themeShade="BF"/>
          <w:u w:val="dotted"/>
        </w:rPr>
        <w:t>ΕΣΠΑ 2014-2020</w:t>
      </w:r>
    </w:p>
    <w:p w:rsidR="008068D2" w:rsidRPr="008068D2" w:rsidRDefault="008068D2" w:rsidP="00466592">
      <w:pPr>
        <w:jc w:val="both"/>
        <w:rPr>
          <w:rFonts w:eastAsia="Times New Roman" w:cs="Arial"/>
          <w:b/>
        </w:rPr>
      </w:pPr>
      <w:r w:rsidRPr="008068D2">
        <w:rPr>
          <w:rFonts w:eastAsia="Times New Roman" w:cs="Arial"/>
        </w:rPr>
        <w:t xml:space="preserve">Η Ελλάδα για την περίοδο 2014-2020 έχει εξασφαλίσει αναπτυξιακούς πόρους ύψους </w:t>
      </w:r>
      <w:r w:rsidRPr="008068D2">
        <w:rPr>
          <w:rFonts w:eastAsia="Times New Roman" w:cs="Arial"/>
          <w:b/>
        </w:rPr>
        <w:t>21,7 δισ. ευρώ</w:t>
      </w:r>
      <w:r w:rsidRPr="008068D2">
        <w:rPr>
          <w:rFonts w:eastAsia="Times New Roman" w:cs="Arial"/>
        </w:rPr>
        <w:t xml:space="preserve"> (σε όρους </w:t>
      </w:r>
      <w:proofErr w:type="spellStart"/>
      <w:r w:rsidRPr="008068D2">
        <w:rPr>
          <w:rFonts w:eastAsia="Times New Roman" w:cs="Arial"/>
        </w:rPr>
        <w:t>ενωσιακής</w:t>
      </w:r>
      <w:proofErr w:type="spellEnd"/>
      <w:r w:rsidRPr="008068D2">
        <w:rPr>
          <w:rFonts w:eastAsia="Times New Roman" w:cs="Arial"/>
        </w:rPr>
        <w:t xml:space="preserve"> συνδρομής και τρέχουσες τιμές) από τα Ευρωπαϊκά Διαρθρωτικά και Επενδυτικά Ταμεία (ΕΔΕΤ), τα οποία μαζί με την εθνική συμμετοχή εκτιμάται ότι θα φθάσουν στο ποσό των </w:t>
      </w:r>
      <w:r w:rsidRPr="008068D2">
        <w:rPr>
          <w:rFonts w:eastAsia="Times New Roman" w:cs="Arial"/>
          <w:b/>
        </w:rPr>
        <w:t>27 δισ. ευρώ</w:t>
      </w:r>
      <w:r w:rsidRPr="008068D2">
        <w:rPr>
          <w:rFonts w:eastAsia="Times New Roman" w:cs="Arial"/>
        </w:rPr>
        <w:t>. Το σημαντικότερο τμήμα</w:t>
      </w:r>
      <w:r w:rsidRPr="008068D2">
        <w:rPr>
          <w:rFonts w:eastAsia="Times New Roman" w:cs="Arial"/>
          <w:color w:val="FF0000"/>
        </w:rPr>
        <w:t xml:space="preserve"> </w:t>
      </w:r>
      <w:r w:rsidRPr="008068D2">
        <w:rPr>
          <w:rFonts w:eastAsia="Times New Roman" w:cs="Arial"/>
        </w:rPr>
        <w:t>των πόρων αυτών αναμένεται να έχει δαπανηθεί έως το 2023</w:t>
      </w:r>
      <w:r w:rsidRPr="008068D2">
        <w:rPr>
          <w:rFonts w:eastAsia="Times New Roman" w:cs="Arial"/>
          <w:bCs/>
        </w:rPr>
        <w:t>.</w:t>
      </w:r>
      <w:r w:rsidRPr="008068D2">
        <w:rPr>
          <w:rFonts w:eastAsia="Times New Roman" w:cs="Arial"/>
          <w:b/>
        </w:rPr>
        <w:t xml:space="preserve"> </w:t>
      </w:r>
    </w:p>
    <w:p w:rsidR="008068D2" w:rsidRPr="008068D2" w:rsidRDefault="008068D2" w:rsidP="00466592">
      <w:pPr>
        <w:jc w:val="both"/>
        <w:rPr>
          <w:rFonts w:eastAsia="Times New Roman" w:cs="Arial"/>
        </w:rPr>
      </w:pPr>
      <w:r w:rsidRPr="008068D2">
        <w:rPr>
          <w:rFonts w:eastAsia="Times New Roman" w:cs="Arial"/>
        </w:rPr>
        <w:t xml:space="preserve">Η αξιοποίηση όλων αυτών των πόρων είναι ιδιαίτερα σημαντική για την αντιμετώπιση των διαρθρωτικών, αναπτυξιακών και κοινωνικών προβλημάτων της χώρας και αποτελεί σημαντικό παράγοντα ενίσχυσης της ανταγωνιστικότητας της Ελλάδας, της παραγωγικής της ανασυγκρότησης, της εξωστρεφούς, καινοτόμου και ανταγωνιστικής επιχειρηματικότητας, της δημιουργίας θέσεων απασχόλησης, της αειφόρου ανάπτυξης και της καταπολέμησης της φτώχειας και του κοινωνικού αποκλεισμού. </w:t>
      </w:r>
    </w:p>
    <w:p w:rsidR="008068D2" w:rsidRPr="008068D2" w:rsidRDefault="008068D2" w:rsidP="00466592">
      <w:pPr>
        <w:jc w:val="both"/>
        <w:rPr>
          <w:rFonts w:eastAsia="Times New Roman" w:cs="Arial"/>
        </w:rPr>
      </w:pPr>
      <w:r w:rsidRPr="008068D2">
        <w:rPr>
          <w:rFonts w:eastAsia="Times New Roman" w:cs="Arial"/>
        </w:rPr>
        <w:t xml:space="preserve">Στην παρούσα φάση, η απορρόφηση των Προγραμμάτων του ΕΣΠΑ ανέρχεται στο </w:t>
      </w:r>
      <w:r w:rsidRPr="008068D2">
        <w:rPr>
          <w:rFonts w:eastAsia="Times New Roman" w:cs="Arial"/>
          <w:b/>
        </w:rPr>
        <w:t>61,65%</w:t>
      </w:r>
      <w:r w:rsidRPr="008068D2">
        <w:rPr>
          <w:rFonts w:eastAsia="Times New Roman" w:cs="Arial"/>
          <w:vertAlign w:val="superscript"/>
        </w:rPr>
        <w:footnoteReference w:id="40"/>
      </w:r>
      <w:r w:rsidRPr="008068D2">
        <w:rPr>
          <w:rFonts w:eastAsia="Times New Roman" w:cs="Arial"/>
        </w:rPr>
        <w:t xml:space="preserve"> σε όρους </w:t>
      </w:r>
      <w:proofErr w:type="spellStart"/>
      <w:r w:rsidRPr="008068D2">
        <w:rPr>
          <w:rFonts w:eastAsia="Times New Roman" w:cs="Arial"/>
        </w:rPr>
        <w:t>ενωσιακής</w:t>
      </w:r>
      <w:proofErr w:type="spellEnd"/>
      <w:r w:rsidRPr="008068D2">
        <w:rPr>
          <w:rFonts w:eastAsia="Times New Roman" w:cs="Arial"/>
        </w:rPr>
        <w:t xml:space="preserve"> συνδρομής (στοιχεία ΟΠΣ ΕΣΠΑ 31.05.2021). Πλησιάζοντας στο τέλος της προγραμματικής περιόδου, ιδιαίτερη σημασία δίνεται στην εντατικοποίηση της υλοποίησης όλων των δράσεων/έργων των Προγραμμάτων του ΕΣΠΑ 2014 - 2020 προκειμένου να μην υπάρξει απώλεια πόρων. </w:t>
      </w:r>
    </w:p>
    <w:p w:rsidR="008068D2" w:rsidRDefault="008068D2" w:rsidP="00466592">
      <w:pPr>
        <w:autoSpaceDE w:val="0"/>
        <w:autoSpaceDN w:val="0"/>
        <w:adjustRightInd w:val="0"/>
        <w:jc w:val="both"/>
        <w:rPr>
          <w:rFonts w:eastAsia="Times New Roman" w:cs="Arial"/>
        </w:rPr>
      </w:pPr>
      <w:r w:rsidRPr="008068D2">
        <w:rPr>
          <w:rFonts w:eastAsia="Times New Roman" w:cs="Arial"/>
        </w:rPr>
        <w:t xml:space="preserve">Αξίζει να σημειωθεί ότι η υγειονομική κρίση που προκάλεσε o COVID-19, σήμανε σημαντικές τροποποιήσεις στον σχεδιασμό και την υλοποίηση των Προγραμμάτων. Η αντιμετώπιση ήταν άμεση και αποτελεσματική αφού μέσω των Επιχειρησιακών Προγραμμάτων του ΕΣΠΑ 2014-2020, μέχρι σήμερα χρηματοδοτήθηκαν μέτρα ανακούφισης από την πανδημία της τάξης των </w:t>
      </w:r>
      <w:r w:rsidRPr="008068D2">
        <w:rPr>
          <w:rFonts w:eastAsia="Times New Roman" w:cs="Arial"/>
          <w:b/>
        </w:rPr>
        <w:t>6,8 δισ. ευρώ,</w:t>
      </w:r>
      <w:r w:rsidRPr="008068D2">
        <w:rPr>
          <w:rFonts w:eastAsia="Times New Roman" w:cs="Arial"/>
        </w:rPr>
        <w:t xml:space="preserve"> συνιστώντας ένα ευρύ πλέγμα δράσεων υγειονομικής και κοινωνικοοικονομικής στόχευσης, με κυριότερες τις ακόλουθες: </w:t>
      </w:r>
    </w:p>
    <w:p w:rsidR="00466592" w:rsidRPr="00466592" w:rsidRDefault="008068D2" w:rsidP="00466592">
      <w:pPr>
        <w:pStyle w:val="a4"/>
        <w:numPr>
          <w:ilvl w:val="0"/>
          <w:numId w:val="41"/>
        </w:numPr>
        <w:autoSpaceDE w:val="0"/>
        <w:autoSpaceDN w:val="0"/>
        <w:adjustRightInd w:val="0"/>
        <w:ind w:left="714" w:hanging="357"/>
        <w:jc w:val="both"/>
        <w:rPr>
          <w:rFonts w:eastAsia="Times New Roman" w:cs="Arial"/>
        </w:rPr>
      </w:pPr>
      <w:r w:rsidRPr="00466592">
        <w:rPr>
          <w:rFonts w:eastAsia="Calibri" w:cs="Arial"/>
        </w:rPr>
        <w:t>πακέτο δράσεων Κρατικών Ενισχύσεων συνολικού ύψους άνω των 5,7 δισ. ευρώ, το οποίο αφορά στην παροχή εγγυήσεων, επιδότησης επιτοκίου, επιστρεπτέας προκαταβολής σε ΚΑΔ που επλήγησαν από την υγειονομική κρίση, καθώς και σε ενίσχυση του κεφαλαίου κίνησης μικρών και μεσαίων επιχειρήσεων (</w:t>
      </w:r>
      <w:proofErr w:type="spellStart"/>
      <w:r w:rsidRPr="00466592">
        <w:rPr>
          <w:rFonts w:eastAsia="Calibri" w:cs="Arial"/>
        </w:rPr>
        <w:t>ΜμΕ</w:t>
      </w:r>
      <w:proofErr w:type="spellEnd"/>
      <w:r w:rsidRPr="00466592">
        <w:rPr>
          <w:rFonts w:eastAsia="Calibri" w:cs="Arial"/>
        </w:rPr>
        <w:t xml:space="preserve">) που επλήγησαν από την πανδημία. </w:t>
      </w:r>
    </w:p>
    <w:p w:rsidR="008068D2" w:rsidRPr="00466592" w:rsidRDefault="008068D2" w:rsidP="00466592">
      <w:pPr>
        <w:pStyle w:val="a4"/>
        <w:numPr>
          <w:ilvl w:val="0"/>
          <w:numId w:val="41"/>
        </w:numPr>
        <w:autoSpaceDE w:val="0"/>
        <w:autoSpaceDN w:val="0"/>
        <w:adjustRightInd w:val="0"/>
        <w:ind w:left="714" w:hanging="357"/>
        <w:jc w:val="both"/>
        <w:rPr>
          <w:rFonts w:eastAsia="Times New Roman" w:cs="Arial"/>
        </w:rPr>
      </w:pPr>
      <w:r w:rsidRPr="00466592">
        <w:rPr>
          <w:rFonts w:eastAsia="Calibri" w:cs="Arial"/>
        </w:rPr>
        <w:t xml:space="preserve"> προμήθειες αναγκαίου υγειονομικού εξοπλισμού και πρόσληψη νοσηλευτικού προσωπικού και γιατρών της τάξης των 340 εκατ. ευρώ.</w:t>
      </w:r>
    </w:p>
    <w:p w:rsidR="008068D2" w:rsidRPr="00466592" w:rsidRDefault="008068D2" w:rsidP="00466592">
      <w:pPr>
        <w:pStyle w:val="a4"/>
        <w:numPr>
          <w:ilvl w:val="0"/>
          <w:numId w:val="41"/>
        </w:numPr>
        <w:autoSpaceDE w:val="0"/>
        <w:autoSpaceDN w:val="0"/>
        <w:adjustRightInd w:val="0"/>
        <w:ind w:left="714" w:hanging="357"/>
        <w:jc w:val="both"/>
        <w:rPr>
          <w:rFonts w:eastAsia="Times New Roman" w:cs="Arial"/>
        </w:rPr>
      </w:pPr>
      <w:r w:rsidRPr="00466592">
        <w:rPr>
          <w:rFonts w:eastAsia="Calibri" w:cs="Arial"/>
        </w:rPr>
        <w:t>δράσεις οικονομικής ενίσχυσης αυτοαπασχολούμενων και μικρών εταιρειών μέχρι 20 εργαζόμενων, συνολικού ύψους περίπου 420 εκατ. ευρώ.</w:t>
      </w:r>
    </w:p>
    <w:p w:rsidR="008068D2" w:rsidRPr="008068D2" w:rsidRDefault="008068D2" w:rsidP="00466592">
      <w:pPr>
        <w:autoSpaceDE w:val="0"/>
        <w:autoSpaceDN w:val="0"/>
        <w:adjustRightInd w:val="0"/>
        <w:jc w:val="both"/>
        <w:rPr>
          <w:rFonts w:eastAsia="Times New Roman" w:cs="Arial"/>
        </w:rPr>
      </w:pPr>
      <w:r w:rsidRPr="008068D2">
        <w:rPr>
          <w:rFonts w:eastAsia="Times New Roman" w:cs="Arial"/>
        </w:rPr>
        <w:t xml:space="preserve">Επισημαίνεται ότι η διαδικασία σχεδιασμού και υλοποίησης δράσεων για ανακούφιση από τον COVID-19 είναι συνεχής και εντός του 2021 αναμένονται σημαντικές χρηματοδοτήσεις είτε με την επιπρόσθετη χρηματοδότηση των ήδη υλοποιημένων δράσεων (επιστρεπτέα προκαταβολή), είτε με το σχεδιασμό νέων </w:t>
      </w:r>
      <w:r w:rsidRPr="008068D2">
        <w:rPr>
          <w:rFonts w:eastAsia="Times New Roman" w:cs="Arial"/>
          <w:shd w:val="clear" w:color="auto" w:fill="E2EFD9"/>
        </w:rPr>
        <w:t>(</w:t>
      </w:r>
      <w:r w:rsidRPr="008068D2">
        <w:rPr>
          <w:rFonts w:eastAsia="Times New Roman" w:cs="Arial"/>
        </w:rPr>
        <w:t xml:space="preserve">όπως δράσεις για την επιδότηση κεφαλαίου κίνησης για τις επιχειρήσεις της εστίασης, τις ξενοδοχειακές επιχειρήσεις, πρόγραμμα στήριξης για δάνεια που εντάσσονται στο Πρόγραμμα Γέφυρα ΙΙ κ.α.). </w:t>
      </w:r>
    </w:p>
    <w:p w:rsidR="008068D2" w:rsidRPr="008068D2" w:rsidRDefault="008068D2" w:rsidP="00466592">
      <w:pPr>
        <w:autoSpaceDE w:val="0"/>
        <w:autoSpaceDN w:val="0"/>
        <w:adjustRightInd w:val="0"/>
        <w:jc w:val="both"/>
        <w:rPr>
          <w:rFonts w:eastAsia="Times New Roman" w:cs="Arial"/>
        </w:rPr>
      </w:pPr>
      <w:r w:rsidRPr="008068D2">
        <w:rPr>
          <w:rFonts w:eastAsia="Times New Roman" w:cs="Arial"/>
        </w:rPr>
        <w:t xml:space="preserve">Προκειμένου να εξασφαλιστεί η δυνατότητα χρηματοδότησης των δράσεων αυτών από </w:t>
      </w:r>
      <w:proofErr w:type="spellStart"/>
      <w:r w:rsidRPr="008068D2">
        <w:rPr>
          <w:rFonts w:eastAsia="Times New Roman" w:cs="Arial"/>
        </w:rPr>
        <w:t>ενωσιακούς</w:t>
      </w:r>
      <w:proofErr w:type="spellEnd"/>
      <w:r w:rsidRPr="008068D2">
        <w:rPr>
          <w:rFonts w:eastAsia="Times New Roman" w:cs="Arial"/>
        </w:rPr>
        <w:t xml:space="preserve"> πόρους και οι δαπάνες να εισρεύσουν ως έσοδα του κράτους από την </w:t>
      </w:r>
      <w:proofErr w:type="spellStart"/>
      <w:r w:rsidRPr="008068D2">
        <w:rPr>
          <w:rFonts w:eastAsia="Times New Roman" w:cs="Arial"/>
        </w:rPr>
        <w:t>ενωσιακή</w:t>
      </w:r>
      <w:proofErr w:type="spellEnd"/>
      <w:r w:rsidRPr="008068D2">
        <w:rPr>
          <w:rFonts w:eastAsia="Times New Roman" w:cs="Arial"/>
        </w:rPr>
        <w:t xml:space="preserve"> χρηματοδότηση, το Υπουργείο Ανάπτυξης και Επενδύσεων συνέβαλε ενεργά στην τροποποίηση των Ευρωπαϊκών Κανονισμών, επιτυγχάνοντας τη μέγιστη δυνατή κανονιστική ευελιξία για την αξιοποίηση των διαθέσιμων πόρων του ΕΣΠΑ και προχώρησε στην αναθεώρηση των Επιχειρησιακών Προγραμμάτων, ώστε να ενταχθούν οι δράσεις αυτές στο ΕΣΠΑ. </w:t>
      </w:r>
    </w:p>
    <w:p w:rsidR="008068D2" w:rsidRDefault="008068D2" w:rsidP="00466592">
      <w:pPr>
        <w:jc w:val="both"/>
        <w:rPr>
          <w:rFonts w:eastAsia="Times New Roman" w:cs="Arial"/>
        </w:rPr>
      </w:pPr>
      <w:r w:rsidRPr="008068D2">
        <w:rPr>
          <w:rFonts w:eastAsia="Times New Roman" w:cs="Arial"/>
        </w:rPr>
        <w:lastRenderedPageBreak/>
        <w:t>Η επιτυχία της συμβολής των Διαρθρωτικών Ταμείων στην καταπολέμηση των συνεπειών της πανδημίας, αποτυπώνεται και στα επίσημα στατιστικά στοιχεία της Ευρωπαϊκής Επιτροπής για την αξιοποίηση του προσωρινού πλαισίου ευελιξίας των Ευρωπαϊκών Κανονισμών στο πλαίσιο της αναθεώρησης των Επιχειρησιακών Προγραμμάτων, σύμφωνα με τα οποία η Ελλάδα βρίσκεται ανάμεσα στα κράτη-μέλη της ΕΕ με τις υψηλότερες επιδόσεις στην αξιοποίηση αυτών των πόρων για την παροχή κεφαλαίου κίνησης σε μικρές και μεσαίες επιχειρήσεις (</w:t>
      </w:r>
      <w:proofErr w:type="spellStart"/>
      <w:r w:rsidRPr="008068D2">
        <w:rPr>
          <w:rFonts w:eastAsia="Times New Roman" w:cs="Arial"/>
        </w:rPr>
        <w:t>ΜμΕ</w:t>
      </w:r>
      <w:proofErr w:type="spellEnd"/>
      <w:r w:rsidRPr="008068D2">
        <w:rPr>
          <w:rFonts w:eastAsia="Times New Roman" w:cs="Arial"/>
        </w:rPr>
        <w:t xml:space="preserve">), τόσο υπό τη μορφή άμεσων επιχορηγήσεων (Δείκτης CV20), όσο και υπό τη μορφή χορήγησης δανείων κεφαλαίου κίνησης (Δείκτης CV21), καταλαμβάνοντας την 3η και τη 2η θέση αντίστοιχα. Ακόμη, η χώρα μας βρίσκεται στη 2η θέση αναφορικά με τον αριθμό των </w:t>
      </w:r>
      <w:proofErr w:type="spellStart"/>
      <w:r w:rsidRPr="008068D2">
        <w:rPr>
          <w:rFonts w:eastAsia="Times New Roman" w:cs="Arial"/>
        </w:rPr>
        <w:t>ΜμΕ</w:t>
      </w:r>
      <w:proofErr w:type="spellEnd"/>
      <w:r w:rsidRPr="008068D2">
        <w:rPr>
          <w:rFonts w:eastAsia="Times New Roman" w:cs="Arial"/>
        </w:rPr>
        <w:t xml:space="preserve"> που έλαβαν μη επιστρεπτέα κεφάλαια κίνησης (Δείκτης CV22). Τέλος, η χώρα μας έρχεται πρώτη σε αριθμό ωφελουμένων από δράσεις ενίσχυσης της κοινωνικής συνοχής (Δείκτης CV31). </w:t>
      </w:r>
    </w:p>
    <w:p w:rsidR="00466592" w:rsidRPr="008068D2" w:rsidRDefault="00466592" w:rsidP="00466592">
      <w:pPr>
        <w:jc w:val="both"/>
        <w:rPr>
          <w:rFonts w:eastAsia="Times New Roman" w:cs="Arial"/>
        </w:rPr>
      </w:pPr>
    </w:p>
    <w:p w:rsidR="008068D2" w:rsidRPr="00466592" w:rsidRDefault="00466592" w:rsidP="00466592">
      <w:pPr>
        <w:jc w:val="both"/>
        <w:rPr>
          <w:rFonts w:eastAsia="Times New Roman" w:cs="Arial"/>
          <w:b/>
          <w:color w:val="365F91" w:themeColor="accent1" w:themeShade="BF"/>
          <w:u w:val="dotted"/>
        </w:rPr>
      </w:pPr>
      <w:r w:rsidRPr="00466592">
        <w:rPr>
          <w:rFonts w:eastAsia="Times New Roman" w:cs="Arial"/>
          <w:b/>
          <w:color w:val="365F91" w:themeColor="accent1" w:themeShade="BF"/>
          <w:u w:val="dotted"/>
        </w:rPr>
        <w:t xml:space="preserve">β) </w:t>
      </w:r>
      <w:r w:rsidR="008068D2" w:rsidRPr="00466592">
        <w:rPr>
          <w:rFonts w:eastAsia="Times New Roman" w:cs="Arial"/>
          <w:b/>
          <w:color w:val="365F91" w:themeColor="accent1" w:themeShade="BF"/>
          <w:u w:val="dotted"/>
        </w:rPr>
        <w:t xml:space="preserve">ΛΟΙΠΕΣ ΔΡΑΣΕΙΣ 2014 – 2020 </w:t>
      </w:r>
    </w:p>
    <w:p w:rsidR="008068D2" w:rsidRPr="00466592" w:rsidRDefault="008068D2" w:rsidP="00466592">
      <w:pPr>
        <w:jc w:val="both"/>
        <w:rPr>
          <w:rFonts w:eastAsia="Times New Roman" w:cs="Arial"/>
          <w:i/>
          <w:color w:val="365F91" w:themeColor="accent1" w:themeShade="BF"/>
        </w:rPr>
      </w:pPr>
      <w:r w:rsidRPr="00466592">
        <w:rPr>
          <w:rFonts w:eastAsia="Times New Roman" w:cs="Arial"/>
          <w:b/>
          <w:i/>
          <w:color w:val="365F91" w:themeColor="accent1" w:themeShade="BF"/>
        </w:rPr>
        <w:t>Χρηματοδοτικός Μηχανισμός «Συνδέοντας την Ευρώπη» (</w:t>
      </w:r>
      <w:proofErr w:type="spellStart"/>
      <w:r w:rsidRPr="00466592">
        <w:rPr>
          <w:rFonts w:eastAsia="Times New Roman" w:cs="Arial"/>
          <w:b/>
          <w:i/>
          <w:color w:val="365F91" w:themeColor="accent1" w:themeShade="BF"/>
        </w:rPr>
        <w:t>Connecting</w:t>
      </w:r>
      <w:proofErr w:type="spellEnd"/>
      <w:r w:rsidRPr="00466592">
        <w:rPr>
          <w:rFonts w:eastAsia="Times New Roman" w:cs="Arial"/>
          <w:b/>
          <w:i/>
          <w:color w:val="365F91" w:themeColor="accent1" w:themeShade="BF"/>
        </w:rPr>
        <w:t xml:space="preserve"> </w:t>
      </w:r>
      <w:proofErr w:type="spellStart"/>
      <w:r w:rsidRPr="00466592">
        <w:rPr>
          <w:rFonts w:eastAsia="Times New Roman" w:cs="Arial"/>
          <w:b/>
          <w:i/>
          <w:color w:val="365F91" w:themeColor="accent1" w:themeShade="BF"/>
        </w:rPr>
        <w:t>Europe</w:t>
      </w:r>
      <w:proofErr w:type="spellEnd"/>
      <w:r w:rsidRPr="00466592">
        <w:rPr>
          <w:rFonts w:eastAsia="Times New Roman" w:cs="Arial"/>
          <w:b/>
          <w:i/>
          <w:color w:val="365F91" w:themeColor="accent1" w:themeShade="BF"/>
        </w:rPr>
        <w:t xml:space="preserve"> </w:t>
      </w:r>
      <w:proofErr w:type="spellStart"/>
      <w:r w:rsidRPr="00466592">
        <w:rPr>
          <w:rFonts w:eastAsia="Times New Roman" w:cs="Arial"/>
          <w:b/>
          <w:i/>
          <w:color w:val="365F91" w:themeColor="accent1" w:themeShade="BF"/>
        </w:rPr>
        <w:t>Facility</w:t>
      </w:r>
      <w:proofErr w:type="spellEnd"/>
      <w:r w:rsidRPr="00466592">
        <w:rPr>
          <w:rFonts w:eastAsia="Times New Roman" w:cs="Arial"/>
          <w:b/>
          <w:i/>
          <w:color w:val="365F91" w:themeColor="accent1" w:themeShade="BF"/>
        </w:rPr>
        <w:t xml:space="preserve"> – CEF) 2014-2020</w:t>
      </w:r>
    </w:p>
    <w:p w:rsidR="008068D2" w:rsidRPr="008068D2" w:rsidRDefault="008068D2" w:rsidP="00466592">
      <w:pPr>
        <w:jc w:val="both"/>
        <w:rPr>
          <w:rFonts w:eastAsia="Times New Roman" w:cs="Arial"/>
        </w:rPr>
      </w:pPr>
      <w:r w:rsidRPr="008068D2">
        <w:rPr>
          <w:rFonts w:eastAsia="Times New Roman" w:cs="Arial"/>
        </w:rPr>
        <w:t xml:space="preserve">Οι δράσεις των Διευρωπαϊκών Δικτύων (ΔΕΔ) συμβάλλουν στη δημιουργία και την ανάπτυξη έργων υποδομής στους τομείς των μεταφορών, της ενέργειας και των τηλεπικοινωνιών και αποσκοπούν στην προώθηση της διασύνδεσης και της </w:t>
      </w:r>
      <w:proofErr w:type="spellStart"/>
      <w:r w:rsidRPr="008068D2">
        <w:rPr>
          <w:rFonts w:eastAsia="Times New Roman" w:cs="Arial"/>
        </w:rPr>
        <w:t>διαλειτουργικότητας</w:t>
      </w:r>
      <w:proofErr w:type="spellEnd"/>
      <w:r w:rsidRPr="008068D2">
        <w:rPr>
          <w:rFonts w:eastAsia="Times New Roman" w:cs="Arial"/>
        </w:rPr>
        <w:t xml:space="preserve"> των εθνικών δικτύων, της πρόσβασης σε αυτά, καθώς και στη σύνδεση των νησιωτικών, των μεσόγειων και των περιφερειακών περιοχών, με τις κεντρικές περιοχές της Ευρωπαϊκής Ένωσης. Το CEF τελεί υπό την κεντρική διαχείριση της Ευρωπαϊκής Επιτροπής με την υποστήριξη εκτελεστικού οργανισμού (ΙΝΕΑ). Στη χώρα μας υλοποιούνται μέσω του ΠΔΕ έργα προϋπολογισμού </w:t>
      </w:r>
      <w:r w:rsidRPr="008068D2">
        <w:rPr>
          <w:rFonts w:eastAsia="Times New Roman" w:cs="Arial"/>
          <w:b/>
        </w:rPr>
        <w:t>1,04 δισ</w:t>
      </w:r>
      <w:r w:rsidRPr="008068D2">
        <w:rPr>
          <w:rFonts w:eastAsia="Times New Roman" w:cs="Arial"/>
        </w:rPr>
        <w:t>. ευρώ με συγχρηματοδότηση από το CEF ύψους 669 εκατ. ευρώ.</w:t>
      </w:r>
    </w:p>
    <w:p w:rsidR="008068D2" w:rsidRPr="00466592" w:rsidRDefault="008068D2" w:rsidP="00466592">
      <w:pPr>
        <w:jc w:val="both"/>
        <w:rPr>
          <w:rFonts w:eastAsia="Times New Roman" w:cs="Arial"/>
          <w:b/>
          <w:i/>
          <w:color w:val="365F91" w:themeColor="accent1" w:themeShade="BF"/>
        </w:rPr>
      </w:pPr>
      <w:r w:rsidRPr="00466592">
        <w:rPr>
          <w:rFonts w:eastAsia="Times New Roman" w:cs="Arial"/>
          <w:b/>
          <w:i/>
          <w:color w:val="365F91" w:themeColor="accent1" w:themeShade="BF"/>
        </w:rPr>
        <w:t xml:space="preserve">Πρόγραμμα Αγροτικής Ανάπτυξης 2014-2020 </w:t>
      </w:r>
    </w:p>
    <w:p w:rsidR="008068D2" w:rsidRPr="008068D2" w:rsidRDefault="008068D2" w:rsidP="00466592">
      <w:pPr>
        <w:jc w:val="both"/>
        <w:rPr>
          <w:rFonts w:eastAsia="Times New Roman" w:cs="Arial"/>
        </w:rPr>
      </w:pPr>
      <w:r w:rsidRPr="008068D2">
        <w:rPr>
          <w:rFonts w:eastAsia="Times New Roman" w:cs="Arial"/>
        </w:rPr>
        <w:t xml:space="preserve">Το Πρόγραμμα Αγροτικής Ανάπτυξης 2014 – 2020, που εγκρίθηκε με την υπ. αριθ. C (2015)9170 – 11/12/2015 Απόφαση της Ευρωπαϊκής Επιτροπής, έχει προϋπολογισμό συνολικής δημόσιας δαπάνης ύψους </w:t>
      </w:r>
      <w:r w:rsidRPr="008068D2">
        <w:rPr>
          <w:rFonts w:eastAsia="Times New Roman" w:cs="Arial"/>
          <w:b/>
        </w:rPr>
        <w:t>5,64 δισ. ευρώ,</w:t>
      </w:r>
      <w:r w:rsidRPr="008068D2">
        <w:rPr>
          <w:rFonts w:eastAsia="Times New Roman" w:cs="Arial"/>
        </w:rPr>
        <w:t xml:space="preserve"> που αντιστοιχεί σε </w:t>
      </w:r>
      <w:proofErr w:type="spellStart"/>
      <w:r w:rsidRPr="008068D2">
        <w:rPr>
          <w:rFonts w:eastAsia="Times New Roman" w:cs="Arial"/>
        </w:rPr>
        <w:t>ενωσιακή</w:t>
      </w:r>
      <w:proofErr w:type="spellEnd"/>
      <w:r w:rsidRPr="008068D2">
        <w:rPr>
          <w:rFonts w:eastAsia="Times New Roman" w:cs="Arial"/>
        </w:rPr>
        <w:t xml:space="preserve"> συμμετοχή ύψους 4,7 δισ. ευρώ και στην παρούσα φάση σε ισχύ βρίσκεται η 8η τροποποίησή του. </w:t>
      </w:r>
    </w:p>
    <w:p w:rsidR="008068D2" w:rsidRPr="008068D2" w:rsidRDefault="008068D2" w:rsidP="00466592">
      <w:pPr>
        <w:jc w:val="both"/>
        <w:rPr>
          <w:rFonts w:eastAsia="Times New Roman" w:cs="Arial"/>
        </w:rPr>
      </w:pPr>
      <w:r w:rsidRPr="008068D2">
        <w:rPr>
          <w:rFonts w:eastAsia="Times New Roman" w:cs="Arial"/>
        </w:rPr>
        <w:t xml:space="preserve">Επισημαίνεται ότι σε εφαρμογή του Κανονισμού (ΕΕ) 2020/2220 της 23ης Δεκεμβρίου 2020, αναμένεται να προστεθούν στο πρόγραμμα επιπλέον πόροι, σε όρους </w:t>
      </w:r>
      <w:proofErr w:type="spellStart"/>
      <w:r w:rsidRPr="008068D2">
        <w:rPr>
          <w:rFonts w:eastAsia="Times New Roman" w:cs="Arial"/>
        </w:rPr>
        <w:t>ενωσιακής</w:t>
      </w:r>
      <w:proofErr w:type="spellEnd"/>
      <w:r w:rsidRPr="008068D2">
        <w:rPr>
          <w:rFonts w:eastAsia="Times New Roman" w:cs="Arial"/>
        </w:rPr>
        <w:t xml:space="preserve"> συνδρομής, συνολικού ύψους περίπου</w:t>
      </w:r>
      <w:r w:rsidRPr="008068D2">
        <w:rPr>
          <w:rFonts w:eastAsia="Times New Roman" w:cs="Arial"/>
          <w:b/>
        </w:rPr>
        <w:t xml:space="preserve"> 880</w:t>
      </w:r>
      <w:r w:rsidRPr="008068D2">
        <w:rPr>
          <w:rFonts w:eastAsia="Times New Roman" w:cs="Arial"/>
        </w:rPr>
        <w:t xml:space="preserve"> </w:t>
      </w:r>
      <w:r w:rsidRPr="008068D2">
        <w:rPr>
          <w:rFonts w:eastAsia="Times New Roman" w:cs="Arial"/>
          <w:b/>
        </w:rPr>
        <w:t>εκατ. ευρώ</w:t>
      </w:r>
      <w:r w:rsidRPr="008068D2">
        <w:rPr>
          <w:rFonts w:eastAsia="Times New Roman" w:cs="Arial"/>
        </w:rPr>
        <w:t xml:space="preserve"> για το έτος 2021 και περίπου</w:t>
      </w:r>
      <w:r w:rsidRPr="008068D2">
        <w:rPr>
          <w:rFonts w:eastAsia="Times New Roman" w:cs="Arial"/>
          <w:b/>
        </w:rPr>
        <w:t xml:space="preserve"> 908 εκατ. ευρώ</w:t>
      </w:r>
      <w:r w:rsidRPr="008068D2">
        <w:rPr>
          <w:rFonts w:eastAsia="Times New Roman" w:cs="Arial"/>
        </w:rPr>
        <w:t xml:space="preserve"> για το 2022, και οι οποίοι θα προέλθουν από πόρους του Πολυετούς Δημοσιονομικού Πλαισίου (ΠΔΠ) 2021-2027, του Ταμείου Ανάκαμψης</w:t>
      </w:r>
      <w:r w:rsidR="00816F81">
        <w:rPr>
          <w:rFonts w:eastAsia="Times New Roman" w:cs="Arial"/>
        </w:rPr>
        <w:t xml:space="preserve"> </w:t>
      </w:r>
      <w:r w:rsidR="00816F81" w:rsidRPr="008068D2">
        <w:rPr>
          <w:rFonts w:eastAsia="Times New Roman" w:cs="Arial"/>
          <w:lang w:eastAsia="en-US"/>
        </w:rPr>
        <w:t>και Ανθεκτικότητας</w:t>
      </w:r>
      <w:r w:rsidRPr="008068D2">
        <w:rPr>
          <w:rFonts w:eastAsia="Times New Roman" w:cs="Arial"/>
        </w:rPr>
        <w:t xml:space="preserve"> ή/και από μεταφορά πόρων μεταξύ πυλώνων. Οι πόροι αυτοί σχεδιάζεται να απορροφηθούν έως το 2024 και 2025 αντίστοιχα και θα ενσωματωθούν στην επόμενη τροποποίηση του Προγράμματος. Για τον λόγο αυτό, η ημερομηνία ολοκλήρωσης του Προγράμματος μετατίθεται για την 31.12.2025, ενώ το Στρατηγικό Σχέδιο Κοινής Γεωργικής Πολιτικής (ΣΣ ΚΓΠ) 2023-2027, θα ξεκινήσει την 1.1.2023. </w:t>
      </w:r>
    </w:p>
    <w:p w:rsidR="008068D2" w:rsidRPr="008068D2" w:rsidRDefault="008068D2" w:rsidP="00466592">
      <w:pPr>
        <w:jc w:val="both"/>
        <w:rPr>
          <w:rFonts w:eastAsia="Times New Roman" w:cs="Arial"/>
        </w:rPr>
      </w:pPr>
      <w:r w:rsidRPr="008068D2">
        <w:rPr>
          <w:rFonts w:eastAsia="Times New Roman" w:cs="Arial"/>
        </w:rPr>
        <w:t>Μέχρι τις 27.05.2021, έχουν πραγματοποιηθεί δαπάνες ύψους 3,53 εκατ. ευρώ που αντιστοιχούν σε απορρόφηση 62,59%.</w:t>
      </w:r>
    </w:p>
    <w:p w:rsidR="008068D2" w:rsidRPr="00466592" w:rsidRDefault="008068D2" w:rsidP="00466592">
      <w:pPr>
        <w:jc w:val="both"/>
        <w:rPr>
          <w:rFonts w:eastAsia="Times New Roman" w:cs="Arial"/>
          <w:b/>
          <w:i/>
          <w:color w:val="365F91" w:themeColor="accent1" w:themeShade="BF"/>
        </w:rPr>
      </w:pPr>
      <w:r w:rsidRPr="00466592">
        <w:rPr>
          <w:rFonts w:eastAsia="Times New Roman" w:cs="Arial"/>
          <w:b/>
          <w:i/>
          <w:color w:val="365F91" w:themeColor="accent1" w:themeShade="BF"/>
        </w:rPr>
        <w:t>Λοιπά Προγράμματα 2014-2020</w:t>
      </w:r>
    </w:p>
    <w:p w:rsidR="008068D2" w:rsidRDefault="008068D2" w:rsidP="00466592">
      <w:pPr>
        <w:jc w:val="both"/>
        <w:rPr>
          <w:rFonts w:eastAsia="Times New Roman" w:cs="Arial"/>
          <w:lang w:eastAsia="en-US"/>
        </w:rPr>
      </w:pPr>
      <w:r w:rsidRPr="008068D2">
        <w:rPr>
          <w:rFonts w:eastAsia="Times New Roman" w:cs="Arial"/>
        </w:rPr>
        <w:t xml:space="preserve">Από το ΠΔΕ της περιόδου 2021 – 2025 αναμένεται να χρηματοδοτηθούν και πλήθος άλλων συγχρηματοδοτούμενων προγραμμάτων, όπως: προγράμματα των </w:t>
      </w:r>
      <w:r w:rsidRPr="008068D2">
        <w:rPr>
          <w:rFonts w:eastAsia="Times New Roman" w:cs="Arial"/>
          <w:lang w:eastAsia="en-US"/>
        </w:rPr>
        <w:t xml:space="preserve">Ταμείων Αλληλεγγύης  και Διαχείρισης Μεταναστευτικών Ροών, </w:t>
      </w:r>
      <w:r w:rsidRPr="008068D2">
        <w:rPr>
          <w:rFonts w:eastAsia="Times New Roman" w:cs="Arial"/>
        </w:rPr>
        <w:t xml:space="preserve">προγράμματα του Ταμείου Ευρωπαϊκής Βοήθειας προς τους Απόρους (ΤΕΒΑ), που </w:t>
      </w:r>
      <w:r w:rsidRPr="008068D2">
        <w:rPr>
          <w:rFonts w:eastAsia="Times New Roman" w:cs="Arial"/>
        </w:rPr>
        <w:lastRenderedPageBreak/>
        <w:t xml:space="preserve">αφορούν σε δράσεις διανομής τροφίμων και βασικών υλικών αγαθών στο σύνολο της χώρας, συμβάλλοντας στην κοινωνική ενσωμάτωση των ωφελούμενων, </w:t>
      </w:r>
      <w:r w:rsidRPr="008068D2">
        <w:rPr>
          <w:rFonts w:eastAsia="Times New Roman" w:cs="Arial"/>
          <w:lang w:eastAsia="en-US"/>
        </w:rPr>
        <w:t>κ.α., με σημαντικό χαρτοφυλάκιο πόρων.</w:t>
      </w:r>
    </w:p>
    <w:p w:rsidR="00466592" w:rsidRPr="008068D2" w:rsidRDefault="00466592" w:rsidP="00466592">
      <w:pPr>
        <w:jc w:val="both"/>
        <w:rPr>
          <w:rFonts w:eastAsia="Times New Roman" w:cs="Arial"/>
        </w:rPr>
      </w:pPr>
    </w:p>
    <w:p w:rsidR="008068D2" w:rsidRPr="00466592" w:rsidRDefault="00466592" w:rsidP="00466592">
      <w:pPr>
        <w:jc w:val="both"/>
        <w:rPr>
          <w:rFonts w:eastAsia="Times New Roman" w:cs="Arial"/>
          <w:b/>
          <w:color w:val="365F91" w:themeColor="accent1" w:themeShade="BF"/>
          <w:u w:val="dotted"/>
        </w:rPr>
      </w:pPr>
      <w:r>
        <w:rPr>
          <w:rFonts w:eastAsia="Times New Roman" w:cs="Arial"/>
          <w:b/>
          <w:color w:val="365F91" w:themeColor="accent1" w:themeShade="BF"/>
          <w:u w:val="dotted"/>
        </w:rPr>
        <w:t xml:space="preserve">γ) </w:t>
      </w:r>
      <w:r w:rsidR="008068D2" w:rsidRPr="00466592">
        <w:rPr>
          <w:rFonts w:eastAsia="Times New Roman" w:cs="Arial"/>
          <w:b/>
          <w:color w:val="365F91" w:themeColor="accent1" w:themeShade="BF"/>
          <w:u w:val="dotted"/>
        </w:rPr>
        <w:t>ΕΣΠΑ 2021-2027</w:t>
      </w:r>
    </w:p>
    <w:p w:rsidR="008068D2" w:rsidRPr="008068D2" w:rsidRDefault="008068D2" w:rsidP="00466592">
      <w:pPr>
        <w:jc w:val="both"/>
        <w:rPr>
          <w:rFonts w:eastAsia="Times New Roman" w:cs="Arial"/>
        </w:rPr>
      </w:pPr>
      <w:r w:rsidRPr="008068D2">
        <w:rPr>
          <w:rFonts w:eastAsia="Times New Roman" w:cs="Arial"/>
        </w:rPr>
        <w:t xml:space="preserve">Οι πόροι που θα κατανεμηθούν στην Ελλάδα από την Πολιτική Συνοχής για την περίοδο 2021-2027  ανέρχονται στα </w:t>
      </w:r>
      <w:r w:rsidRPr="008068D2">
        <w:rPr>
          <w:rFonts w:eastAsia="Times New Roman" w:cs="Arial"/>
          <w:b/>
        </w:rPr>
        <w:t>21,1 δισ. ευρώ</w:t>
      </w:r>
      <w:r w:rsidRPr="008068D2">
        <w:rPr>
          <w:rFonts w:eastAsia="Times New Roman" w:cs="Arial"/>
        </w:rPr>
        <w:t xml:space="preserve"> και θα οδηγήσουν σε 26,7 δισ. ευρώ συνολικούς επενδυτικούς πόρους, αυξημένους κατά 7% σε σχέση με την αντίστοιχη κατανομή της περιόδου 2014-2020. Από αυτά, 10,8 δισ. ευρώ θα δοθούν από το</w:t>
      </w:r>
      <w:r w:rsidRPr="008068D2">
        <w:rPr>
          <w:rFonts w:eastAsia="Times New Roman" w:cs="Times New Roman"/>
        </w:rPr>
        <w:t xml:space="preserve"> </w:t>
      </w:r>
      <w:r w:rsidRPr="008068D2">
        <w:rPr>
          <w:rFonts w:eastAsia="Times New Roman" w:cs="Arial"/>
        </w:rPr>
        <w:t>Ευρωπαϊκό Ταμείο Περιφερειακής Ανάπτυξης (ΕΤΠΑ), 5,6 δισ. ευρώ από το Ευρωπαϊκό Κοινωνικό Ταμείο+ (ΕΚΤ+), 3 δισ. ευρώ από  το Ταμείο Συνοχής (ΤΣ), 1,4 από το Ταμείο Δίκαιης Μετάβασης (ΤΔΜ), 0,37 δισ. ευρώ από το Ευρωπαϊκό Ταμείο Θάλασσας, Αλιείας και Υδατοκαλλιέργειας (ΕΤΘΑΥ), 0,8 δισ. ευρώ από τον Μηχανισμό «Συνδέοντας την Ευρώπη» και 0,1 δισ. ευρώ από την Ευρωπαϊκή Εδαφική Συνεργασία (ΕΕΣ).</w:t>
      </w:r>
    </w:p>
    <w:p w:rsidR="008068D2" w:rsidRPr="008068D2" w:rsidRDefault="008068D2" w:rsidP="00466592">
      <w:pPr>
        <w:jc w:val="both"/>
        <w:rPr>
          <w:rFonts w:eastAsia="Times New Roman" w:cs="Arial"/>
        </w:rPr>
      </w:pPr>
      <w:r w:rsidRPr="008068D2">
        <w:rPr>
          <w:rFonts w:eastAsia="Times New Roman" w:cs="Arial"/>
        </w:rPr>
        <w:t xml:space="preserve">Επίσης, το 1/3 των πόρων αυτών, ήτοι 8,2 δισ. ευρώ, θα κατευθυνθούν στα 13 Περιφερειακά Προγράμματα, σε μια προσπάθεια να αντιστραφεί το βαρύ αποτύπωμα της κρίσης και της έντασης των ενδοπεριφερειακών ανισοτήτων, ενισχύοντας τη χρηματοδότησή τους από 17% έως 85%. </w:t>
      </w:r>
    </w:p>
    <w:p w:rsidR="008068D2" w:rsidRDefault="008068D2" w:rsidP="00466592">
      <w:pPr>
        <w:jc w:val="both"/>
        <w:rPr>
          <w:rFonts w:eastAsia="Times New Roman" w:cs="Arial"/>
        </w:rPr>
      </w:pPr>
      <w:r w:rsidRPr="008068D2">
        <w:rPr>
          <w:rFonts w:eastAsia="Times New Roman" w:cs="Arial"/>
        </w:rPr>
        <w:t>Το ΕΣΠΑ 2021 – 2027 θα περιλάβει:</w:t>
      </w:r>
    </w:p>
    <w:p w:rsidR="008068D2" w:rsidRPr="00466592" w:rsidRDefault="008068D2" w:rsidP="00466592">
      <w:pPr>
        <w:pStyle w:val="a4"/>
        <w:numPr>
          <w:ilvl w:val="0"/>
          <w:numId w:val="42"/>
        </w:numPr>
        <w:ind w:left="714" w:hanging="357"/>
        <w:jc w:val="both"/>
        <w:rPr>
          <w:rFonts w:eastAsia="Times New Roman" w:cs="Arial"/>
        </w:rPr>
      </w:pPr>
      <w:r w:rsidRPr="00466592">
        <w:rPr>
          <w:rFonts w:eastAsia="Calibri" w:cs="Arial"/>
        </w:rPr>
        <w:t xml:space="preserve">εννιά (9) </w:t>
      </w:r>
      <w:r w:rsidRPr="00466592">
        <w:rPr>
          <w:rFonts w:eastAsia="Calibri" w:cs="Arial"/>
          <w:b/>
        </w:rPr>
        <w:t>Τομεακά Προγράμματα</w:t>
      </w:r>
      <w:r w:rsidRPr="00466592">
        <w:rPr>
          <w:rFonts w:eastAsia="Calibri" w:cs="Arial"/>
        </w:rPr>
        <w:t xml:space="preserve"> και ειδικότερα τα Προγράμματα: 1) Ανταγωνιστικότητα - Επιχειρηματικότητα – Καινοτομία, 2) Ψηφιακός Μετασχηματισμός, 3) Περιβάλλον – Ενέργεια - Κλιματική Αλλαγή, 4) Υποδομές Μεταφορών, 5) Ανάπτυξη Ανθρώπινου Δυναμικού-Εκπαίδευση και Δια Βίου Μάθηση, 6) Πολιτική Προστασία, 7) Δίκαιη Αναπτυξιακή Μετάβαση, 8) Αλιεία και Θάλασσα και 9) Τεχνική Βοήθεια. </w:t>
      </w:r>
    </w:p>
    <w:p w:rsidR="008068D2" w:rsidRPr="00466592" w:rsidRDefault="008068D2" w:rsidP="00466592">
      <w:pPr>
        <w:pStyle w:val="a4"/>
        <w:numPr>
          <w:ilvl w:val="0"/>
          <w:numId w:val="42"/>
        </w:numPr>
        <w:ind w:left="714" w:hanging="357"/>
        <w:jc w:val="both"/>
        <w:rPr>
          <w:rFonts w:eastAsia="Times New Roman" w:cs="Arial"/>
        </w:rPr>
      </w:pPr>
      <w:r w:rsidRPr="00466592">
        <w:rPr>
          <w:rFonts w:eastAsia="Calibri" w:cs="Arial"/>
        </w:rPr>
        <w:t xml:space="preserve">δεκατρία (13) </w:t>
      </w:r>
      <w:r w:rsidRPr="00466592">
        <w:rPr>
          <w:rFonts w:eastAsia="Calibri" w:cs="Arial"/>
          <w:b/>
        </w:rPr>
        <w:t>Περιφερειακά Προγράμματα</w:t>
      </w:r>
      <w:r w:rsidRPr="00466592">
        <w:rPr>
          <w:rFonts w:eastAsia="Calibri" w:cs="Arial"/>
        </w:rPr>
        <w:t xml:space="preserve">, ένα για κάθε Περιφέρεια της χώρας </w:t>
      </w:r>
    </w:p>
    <w:p w:rsidR="008068D2" w:rsidRPr="00466592" w:rsidRDefault="008068D2" w:rsidP="00466592">
      <w:pPr>
        <w:pStyle w:val="a4"/>
        <w:numPr>
          <w:ilvl w:val="0"/>
          <w:numId w:val="42"/>
        </w:numPr>
        <w:ind w:left="714" w:hanging="357"/>
        <w:jc w:val="both"/>
        <w:rPr>
          <w:rFonts w:eastAsia="Times New Roman" w:cs="Arial"/>
        </w:rPr>
      </w:pPr>
      <w:r w:rsidRPr="00466592">
        <w:rPr>
          <w:rFonts w:eastAsia="Calibri" w:cs="Arial"/>
        </w:rPr>
        <w:t xml:space="preserve">Δέκα τρία (13) Προγράμματα </w:t>
      </w:r>
      <w:r w:rsidRPr="00466592">
        <w:rPr>
          <w:rFonts w:eastAsia="Calibri" w:cs="Arial"/>
          <w:b/>
        </w:rPr>
        <w:t>Εδαφικής Συνεργασίας</w:t>
      </w:r>
      <w:r w:rsidRPr="00466592">
        <w:rPr>
          <w:rFonts w:eastAsia="Calibri" w:cs="Arial"/>
          <w:bCs/>
        </w:rPr>
        <w:t>.</w:t>
      </w:r>
    </w:p>
    <w:p w:rsidR="008068D2" w:rsidRDefault="008068D2" w:rsidP="00466592">
      <w:pPr>
        <w:jc w:val="both"/>
        <w:rPr>
          <w:rFonts w:eastAsia="Times New Roman" w:cs="Arial"/>
        </w:rPr>
      </w:pPr>
      <w:r w:rsidRPr="008068D2">
        <w:rPr>
          <w:rFonts w:eastAsia="Times New Roman" w:cs="Arial"/>
        </w:rPr>
        <w:t>Οι βασικές προτεραιότητες στους πέντε Στόχους Πολιτικής είναι:</w:t>
      </w:r>
    </w:p>
    <w:p w:rsidR="008068D2" w:rsidRPr="00466592" w:rsidRDefault="008068D2" w:rsidP="00466592">
      <w:pPr>
        <w:pStyle w:val="a4"/>
        <w:numPr>
          <w:ilvl w:val="0"/>
          <w:numId w:val="9"/>
        </w:numPr>
        <w:ind w:left="714" w:hanging="357"/>
        <w:jc w:val="both"/>
        <w:rPr>
          <w:rFonts w:eastAsia="Times New Roman" w:cs="Arial"/>
        </w:rPr>
      </w:pPr>
      <w:r w:rsidRPr="00466592">
        <w:rPr>
          <w:rFonts w:eastAsia="Calibri" w:cs="Arial"/>
        </w:rPr>
        <w:t xml:space="preserve">Στόχος Πολιτικής 1 (Ψηφιακός μετασχηματισμός): μετασχηματισμός του δημόσιου τομέα, Βιομηχανία 4.0, </w:t>
      </w:r>
      <w:proofErr w:type="spellStart"/>
      <w:r w:rsidRPr="00466592">
        <w:rPr>
          <w:rFonts w:eastAsia="Calibri" w:cs="Arial"/>
        </w:rPr>
        <w:t>clusters</w:t>
      </w:r>
      <w:proofErr w:type="spellEnd"/>
      <w:r w:rsidRPr="00466592">
        <w:rPr>
          <w:rFonts w:eastAsia="Calibri" w:cs="Arial"/>
        </w:rPr>
        <w:t xml:space="preserve"> μικρομεσαίων επιχειρήσεων, βελτίωση δεξιοτήτων των εργαζομένων, μηχανισμοί στήριξης μικρομεσαίας επιχειρηματικότητας.</w:t>
      </w:r>
    </w:p>
    <w:p w:rsidR="008068D2" w:rsidRPr="00466592" w:rsidRDefault="008068D2" w:rsidP="00466592">
      <w:pPr>
        <w:pStyle w:val="a4"/>
        <w:numPr>
          <w:ilvl w:val="0"/>
          <w:numId w:val="9"/>
        </w:numPr>
        <w:ind w:left="714" w:hanging="357"/>
        <w:jc w:val="both"/>
        <w:rPr>
          <w:rFonts w:eastAsia="Times New Roman" w:cs="Arial"/>
        </w:rPr>
      </w:pPr>
      <w:r w:rsidRPr="00466592">
        <w:rPr>
          <w:rFonts w:eastAsia="Calibri" w:cs="Arial"/>
        </w:rPr>
        <w:t>Στόχος Πολιτικής 2 (Πράσινη οικονομία): κυκλική οικονομία, πολιτική προστασία και διαχείριση φυσικών καταστροφών, ορθολογική διαχείριση υδατικών πόρων, προστασία βιοποικιλότητας, προώθηση ανανεώσιμων πηγών ενέργειας, ηλεκτροκίνηση και καθαρές μεταφορές, αντιμετώπιση ενεργειακής φτώχειας.</w:t>
      </w:r>
    </w:p>
    <w:p w:rsidR="008068D2" w:rsidRPr="00466592" w:rsidRDefault="008068D2" w:rsidP="00466592">
      <w:pPr>
        <w:pStyle w:val="a4"/>
        <w:numPr>
          <w:ilvl w:val="0"/>
          <w:numId w:val="9"/>
        </w:numPr>
        <w:ind w:left="714" w:hanging="357"/>
        <w:jc w:val="both"/>
        <w:rPr>
          <w:rFonts w:eastAsia="Times New Roman" w:cs="Arial"/>
        </w:rPr>
      </w:pPr>
      <w:r w:rsidRPr="00466592">
        <w:rPr>
          <w:rFonts w:eastAsia="Calibri" w:cs="Arial"/>
        </w:rPr>
        <w:t xml:space="preserve">Στόχος Πολιτικής 3 (Υποδομές μεταφορών): βιώσιμες, «έξυπνες» και </w:t>
      </w:r>
      <w:proofErr w:type="spellStart"/>
      <w:r w:rsidRPr="00466592">
        <w:rPr>
          <w:rFonts w:eastAsia="Calibri" w:cs="Arial"/>
        </w:rPr>
        <w:t>πολυτροπικές</w:t>
      </w:r>
      <w:proofErr w:type="spellEnd"/>
      <w:r w:rsidRPr="00466592">
        <w:rPr>
          <w:rFonts w:eastAsia="Calibri" w:cs="Arial"/>
        </w:rPr>
        <w:t xml:space="preserve"> υποδομές μεταφορών (δρόμοι, λιμάνια, σιδηρόδρομοι), ανανέωση στόλου μέσων μεταφοράς.</w:t>
      </w:r>
    </w:p>
    <w:p w:rsidR="00466592" w:rsidRPr="00466592" w:rsidRDefault="008068D2" w:rsidP="00466592">
      <w:pPr>
        <w:pStyle w:val="a4"/>
        <w:numPr>
          <w:ilvl w:val="0"/>
          <w:numId w:val="9"/>
        </w:numPr>
        <w:ind w:left="714" w:hanging="357"/>
        <w:jc w:val="both"/>
        <w:rPr>
          <w:rFonts w:eastAsia="Times New Roman" w:cs="Arial"/>
        </w:rPr>
      </w:pPr>
      <w:r w:rsidRPr="00466592">
        <w:rPr>
          <w:rFonts w:eastAsia="Calibri" w:cs="Arial"/>
        </w:rPr>
        <w:t>Στόχος Πολιτικής 4 (Ευρωπαϊκός Πυλώνας Κοινωνικών Δικαιωμάτων): ενεργητικές πολιτικές απασχόλησης, καταπολέμηση της φτώχειας και του κοινωνικού αποκλεισμού, δημόσια υγεία, ψυχική υγεία, κοινωνική ένταξη.</w:t>
      </w:r>
    </w:p>
    <w:p w:rsidR="008068D2" w:rsidRPr="00466592" w:rsidRDefault="008068D2" w:rsidP="007D0DA1">
      <w:pPr>
        <w:pStyle w:val="a4"/>
        <w:numPr>
          <w:ilvl w:val="1"/>
          <w:numId w:val="9"/>
        </w:numPr>
        <w:jc w:val="both"/>
        <w:rPr>
          <w:rFonts w:eastAsia="Times New Roman" w:cs="Arial"/>
        </w:rPr>
      </w:pPr>
      <w:r w:rsidRPr="00466592">
        <w:rPr>
          <w:rFonts w:eastAsia="Calibri" w:cs="Arial"/>
        </w:rPr>
        <w:t xml:space="preserve"> Στόχος Πολιτικής 5 (Χωρικές επενδύσεις): χωρικές επενδύσεις σε αστικές, αγροτικές, νησιωτικές και ορεινές περιοχές. Ταμείο Δίκαιης Μετάβασης (για την απεξάρτηση από τον λιγνίτη στις περιοχές της Δυτικής Μακεδονίας, τη Μεγαλόπολη και τα νησιά).</w:t>
      </w:r>
    </w:p>
    <w:p w:rsidR="008068D2" w:rsidRDefault="008068D2" w:rsidP="00466592">
      <w:pPr>
        <w:jc w:val="both"/>
        <w:rPr>
          <w:rFonts w:eastAsia="Times New Roman" w:cs="Arial"/>
        </w:rPr>
      </w:pPr>
      <w:r w:rsidRPr="008068D2">
        <w:rPr>
          <w:rFonts w:eastAsia="Times New Roman" w:cs="Arial"/>
        </w:rPr>
        <w:t xml:space="preserve">Οι διεργασίες ολοκλήρωσης του Σχεδίου της Συμφωνίας Εταιρικής Σχέσης (ΕΣΠΑ) και των Προγραμμάτων 2021-2027 βρίσκονται σε πλήρη εξέλιξη, με το κείμενο του νέου ΕΣΠΑ να αναμένεται να εγκριθεί στις αρχές του τρίτου τριμήνου του 2021 από την Ευρωπαϊκή Επιτροπή. Οι φορείς έχουν ήδη εκκινήσει τις σχετικές διαδικασίες για τον </w:t>
      </w:r>
      <w:r w:rsidRPr="008068D2">
        <w:rPr>
          <w:rFonts w:eastAsia="Times New Roman" w:cs="Arial"/>
        </w:rPr>
        <w:lastRenderedPageBreak/>
        <w:t>σχεδιασμό και την προετοιμασία των κειμένων και των προγραμμάτων της περιόδου 2021-2027, βάσει των κατευθύνσεων και οδηγιών που δίνονται από τη Γενική Γραμματεία Δημοσίων Επενδύσεων και ΕΣΠΑ και την Εθνική Αρχή Συντονισμού του ΕΣΠΑ.</w:t>
      </w:r>
    </w:p>
    <w:p w:rsidR="00466592" w:rsidRPr="008068D2" w:rsidRDefault="00466592" w:rsidP="00466592">
      <w:pPr>
        <w:jc w:val="both"/>
        <w:rPr>
          <w:rFonts w:eastAsia="Times New Roman" w:cs="Arial"/>
        </w:rPr>
      </w:pPr>
    </w:p>
    <w:p w:rsidR="008068D2" w:rsidRPr="00466592" w:rsidRDefault="00466592" w:rsidP="00466592">
      <w:pPr>
        <w:jc w:val="both"/>
        <w:rPr>
          <w:rFonts w:eastAsia="Times New Roman" w:cs="Arial"/>
          <w:b/>
          <w:color w:val="365F91" w:themeColor="accent1" w:themeShade="BF"/>
          <w:u w:val="dotted"/>
        </w:rPr>
      </w:pPr>
      <w:r w:rsidRPr="00466592">
        <w:rPr>
          <w:rFonts w:eastAsia="Times New Roman" w:cs="Arial"/>
          <w:b/>
          <w:color w:val="365F91" w:themeColor="accent1" w:themeShade="BF"/>
          <w:u w:val="dotted"/>
        </w:rPr>
        <w:t xml:space="preserve">δ) </w:t>
      </w:r>
      <w:r w:rsidR="008068D2" w:rsidRPr="00466592">
        <w:rPr>
          <w:rFonts w:eastAsia="Times New Roman" w:cs="Arial"/>
          <w:b/>
          <w:color w:val="365F91" w:themeColor="accent1" w:themeShade="BF"/>
          <w:u w:val="dotted"/>
        </w:rPr>
        <w:t>ΕΘΝΙΚΟ ΠΡΟΓΡΑΜΜΑ ΑΝΑΠΤΥΞΗΣ (ΕΠΑ) 2021 - 2025</w:t>
      </w:r>
    </w:p>
    <w:p w:rsidR="008068D2" w:rsidRPr="008068D2" w:rsidRDefault="008068D2" w:rsidP="00466592">
      <w:pPr>
        <w:jc w:val="both"/>
        <w:rPr>
          <w:rFonts w:eastAsia="Times New Roman" w:cs="Arial"/>
        </w:rPr>
      </w:pPr>
      <w:r w:rsidRPr="008068D2">
        <w:rPr>
          <w:rFonts w:eastAsia="Times New Roman" w:cs="Arial"/>
        </w:rPr>
        <w:t xml:space="preserve">Βάσει του άρθρων 118-141 για το Εθνικό Πρόγραμμα Ανάπτυξης (ΕΠΑ) του ν.4635/2019 (A’ 167) «Επενδύω στην Ελλάδα και άλλες διατάξεις», οι πόροι του </w:t>
      </w:r>
      <w:r w:rsidRPr="008068D2">
        <w:rPr>
          <w:rFonts w:eastAsia="Times New Roman" w:cs="Arial"/>
          <w:b/>
        </w:rPr>
        <w:t>εθνικού σκέλους του ΠΔΕ</w:t>
      </w:r>
      <w:r w:rsidRPr="008068D2">
        <w:rPr>
          <w:rFonts w:eastAsia="Times New Roman" w:cs="Arial"/>
        </w:rPr>
        <w:t xml:space="preserve"> αξιοποιούνται πλέον στη βάση μεσοπρόθεσμου </w:t>
      </w:r>
      <w:r w:rsidRPr="008068D2">
        <w:rPr>
          <w:rFonts w:eastAsia="Times New Roman" w:cs="Arial"/>
          <w:b/>
        </w:rPr>
        <w:t>προγραμματικού σχεδιασμού</w:t>
      </w:r>
      <w:r w:rsidRPr="008068D2">
        <w:rPr>
          <w:rFonts w:eastAsia="Times New Roman" w:cs="Arial"/>
        </w:rPr>
        <w:t xml:space="preserve"> και σύμφωνα με τους στρατηγικούς στόχους του σχεδίου ανάπτυξης της χώρας για την παραγωγική ανάταξη, την ισόρροπη περιφερειακή ανάπτυξη και την κοινωνική συνοχή.</w:t>
      </w:r>
    </w:p>
    <w:p w:rsidR="008068D2" w:rsidRPr="008068D2" w:rsidRDefault="008068D2" w:rsidP="00466592">
      <w:pPr>
        <w:jc w:val="both"/>
        <w:rPr>
          <w:rFonts w:eastAsia="Times New Roman" w:cs="Arial"/>
        </w:rPr>
      </w:pPr>
      <w:r w:rsidRPr="008068D2">
        <w:rPr>
          <w:rFonts w:eastAsia="Times New Roman" w:cs="Arial"/>
        </w:rPr>
        <w:t xml:space="preserve">Παράλληλα, επιδιώκεται ο </w:t>
      </w:r>
      <w:proofErr w:type="spellStart"/>
      <w:r w:rsidRPr="008068D2">
        <w:rPr>
          <w:rFonts w:eastAsia="Times New Roman" w:cs="Arial"/>
        </w:rPr>
        <w:t>εξορθολογισμός</w:t>
      </w:r>
      <w:proofErr w:type="spellEnd"/>
      <w:r w:rsidRPr="008068D2">
        <w:rPr>
          <w:rFonts w:eastAsia="Times New Roman" w:cs="Arial"/>
        </w:rPr>
        <w:t xml:space="preserve"> της διαχείρισης των εθνικών επενδυτικών πόρων, μέσα από την εφαρμογή ολοκληρωμένου συστήματος σχεδιασμού, διαχείρισης, παρακολούθησης και ελέγχου των παρεμβάσεων, με αξιοποίηση και της εμπειρίας που αποκτήθηκε από την πολύχρονη υλοποίηση των συγχρηματοδοτούμενων προγραμμάτων. </w:t>
      </w:r>
    </w:p>
    <w:p w:rsidR="008068D2" w:rsidRPr="008068D2" w:rsidRDefault="008068D2" w:rsidP="00466592">
      <w:pPr>
        <w:jc w:val="both"/>
        <w:rPr>
          <w:rFonts w:eastAsia="Times New Roman" w:cs="Arial"/>
        </w:rPr>
      </w:pPr>
      <w:r w:rsidRPr="008068D2">
        <w:rPr>
          <w:rFonts w:eastAsia="Times New Roman" w:cs="Arial"/>
        </w:rPr>
        <w:t>Το ΕΠΑ 2021-2025 αρθρώνεται, προκειμένου να ενισχυθεί η στρατηγική σε κλάδους προστιθέμενης αξίας, στους εξής πέντε βασικούς αναπτυξιακούς άξονες: Έξυπνη Ανάπτυξη, Πράσινη Ανάπτυξη, Κοινωνική Ανάπτυξη, Ανάπτυξη Υποδομών και Εξωστρέφεια.</w:t>
      </w:r>
    </w:p>
    <w:p w:rsidR="008068D2" w:rsidRPr="008068D2" w:rsidRDefault="008068D2" w:rsidP="00466592">
      <w:pPr>
        <w:jc w:val="both"/>
        <w:rPr>
          <w:rFonts w:eastAsia="Times New Roman" w:cs="Arial"/>
        </w:rPr>
      </w:pPr>
      <w:r w:rsidRPr="008068D2">
        <w:rPr>
          <w:rFonts w:eastAsia="Times New Roman" w:cs="Arial"/>
        </w:rPr>
        <w:t xml:space="preserve">Οι πόροι του ΕΠΑ για την 1η Προγραμματική Περίοδο 2021-2025 ανέρχονται σε </w:t>
      </w:r>
      <w:r w:rsidRPr="008068D2">
        <w:rPr>
          <w:rFonts w:eastAsia="Times New Roman" w:cs="Arial"/>
          <w:b/>
        </w:rPr>
        <w:t xml:space="preserve">10 δισ. ευρώ. </w:t>
      </w:r>
      <w:r w:rsidRPr="008068D2">
        <w:rPr>
          <w:rFonts w:eastAsia="Times New Roman" w:cs="Arial"/>
        </w:rPr>
        <w:t>Επιπλέον, με βάση την αρχιτεκτονική του Προγράμματος προβλέπεται η δυνατότητα δημιουργίας ειδικών αποθεματικών για τη χρηματοδότηση των αναγκών που δημιουργούνται αναφορικά με την αντιμετώπιση φυσικών καταστροφών, έκτακτων γεγονότων (π.χ. πανδημίες), αλλά και άλλων ειδικών προγραμμάτων.</w:t>
      </w:r>
    </w:p>
    <w:p w:rsidR="008068D2" w:rsidRPr="008068D2" w:rsidRDefault="008068D2" w:rsidP="00466592">
      <w:pPr>
        <w:jc w:val="both"/>
        <w:rPr>
          <w:rFonts w:eastAsia="Times New Roman" w:cs="Arial"/>
        </w:rPr>
      </w:pPr>
      <w:r w:rsidRPr="008068D2">
        <w:rPr>
          <w:rFonts w:eastAsia="Times New Roman" w:cs="Arial"/>
        </w:rPr>
        <w:t xml:space="preserve">Αξίζει να σημειωθεί ότι το ΕΠΑ έχει σχεδιαστεί με αποκεντρωτικό χαρακτήρα, καθώς σύμφωνα με το θεσμικό του πλαίσιο, οι επιμέρους αρμοδιότητες που αφορούν τη διαχείριση, την παρακολούθηση και τον έλεγχο των Τομεακών Προγραμμάτων Ανάπτυξης (ΤΠΑ) και Περιφερειακών Προγραμμάτων Ανάπτυξης (ΠΠΑ), ανατίθενται σε Υπηρεσίες Διαχείρισης υπό την εποπτεία των Φορέων Κεντρικής Κυβέρνησης και των Περιφερειών, που είναι ταυτόχρονα αρμόδιοι για την επίτευξη των προγραμματικών στόχων στον δικό τους τομέα πολιτικής ή/ και χωρικό επίπεδο διακυβέρνησης. </w:t>
      </w:r>
    </w:p>
    <w:p w:rsidR="00466592" w:rsidRDefault="008068D2" w:rsidP="00466592">
      <w:pPr>
        <w:jc w:val="both"/>
        <w:rPr>
          <w:rFonts w:eastAsia="Times New Roman" w:cs="Arial"/>
        </w:rPr>
      </w:pPr>
      <w:r w:rsidRPr="008068D2">
        <w:rPr>
          <w:rFonts w:eastAsia="Times New Roman" w:cs="Arial"/>
        </w:rPr>
        <w:t>Ενόψει της έναρξης της 1</w:t>
      </w:r>
      <w:r w:rsidRPr="008068D2">
        <w:rPr>
          <w:rFonts w:eastAsia="Times New Roman" w:cs="Arial"/>
          <w:vertAlign w:val="superscript"/>
        </w:rPr>
        <w:t>ης</w:t>
      </w:r>
      <w:r w:rsidRPr="008068D2">
        <w:rPr>
          <w:rFonts w:eastAsia="Times New Roman" w:cs="Arial"/>
        </w:rPr>
        <w:t xml:space="preserve"> Προγραμματικής Περιόδου εντός του 2021, οι φορείς πολιτικής (Υπουργεία και Περιφέρειες) καταρτίζουν τα </w:t>
      </w:r>
      <w:r w:rsidRPr="008068D2">
        <w:rPr>
          <w:rFonts w:eastAsia="Times New Roman" w:cs="Arial"/>
          <w:b/>
        </w:rPr>
        <w:t>18 Τομεακά και τα 13 Περιφερειακά</w:t>
      </w:r>
      <w:r w:rsidRPr="008068D2">
        <w:rPr>
          <w:rFonts w:eastAsia="Times New Roman" w:cs="Arial"/>
        </w:rPr>
        <w:t xml:space="preserve"> Προγράμματα Ανάπτυξης (ΤΠΑ και ΠΠΑ), τα οποία αποτελούν το ΕΠΑ, βάσει των οδηγιών και κατευθύνσεων της Γενικής Γραμματείας Δημοσίων Επενδύσεων και ΕΣΠΑ της Αρχής Συντονισμού του ΕΠΑ.</w:t>
      </w:r>
    </w:p>
    <w:p w:rsidR="008068D2" w:rsidRPr="008068D2" w:rsidRDefault="008068D2" w:rsidP="00466592">
      <w:pPr>
        <w:jc w:val="both"/>
        <w:rPr>
          <w:rFonts w:eastAsia="Times New Roman" w:cs="Arial"/>
        </w:rPr>
      </w:pPr>
      <w:r w:rsidRPr="008068D2">
        <w:rPr>
          <w:rFonts w:eastAsia="Times New Roman" w:cs="Arial"/>
        </w:rPr>
        <w:t xml:space="preserve"> </w:t>
      </w:r>
    </w:p>
    <w:p w:rsidR="008068D2" w:rsidRPr="00466592" w:rsidRDefault="00466592" w:rsidP="00466592">
      <w:pPr>
        <w:jc w:val="both"/>
        <w:rPr>
          <w:rFonts w:eastAsia="Times New Roman" w:cs="Arial"/>
          <w:b/>
          <w:color w:val="365F91" w:themeColor="accent1" w:themeShade="BF"/>
          <w:u w:val="dotted"/>
        </w:rPr>
      </w:pPr>
      <w:r w:rsidRPr="00466592">
        <w:rPr>
          <w:rFonts w:eastAsia="Times New Roman" w:cs="Arial"/>
          <w:b/>
          <w:color w:val="365F91" w:themeColor="accent1" w:themeShade="BF"/>
          <w:u w:val="dotted"/>
        </w:rPr>
        <w:t>ε)</w:t>
      </w:r>
      <w:r w:rsidR="008068D2" w:rsidRPr="00466592">
        <w:rPr>
          <w:rFonts w:eastAsia="Times New Roman" w:cs="Arial"/>
          <w:b/>
          <w:color w:val="365F91" w:themeColor="accent1" w:themeShade="BF"/>
          <w:u w:val="dotted"/>
        </w:rPr>
        <w:t xml:space="preserve"> ΤΑΜΕΙΟ ΑΝΑΚΑΜΨΗΣ ΚΑΙ ΑΝΘΕΚΤΙΚΟΤΗΤΑΣ</w:t>
      </w:r>
    </w:p>
    <w:p w:rsidR="008068D2" w:rsidRPr="00197E35" w:rsidRDefault="008068D2" w:rsidP="00466592">
      <w:pPr>
        <w:jc w:val="both"/>
        <w:rPr>
          <w:rFonts w:eastAsia="Times New Roman" w:cs="Arial"/>
        </w:rPr>
      </w:pPr>
      <w:r w:rsidRPr="008068D2">
        <w:rPr>
          <w:rFonts w:eastAsia="Times New Roman" w:cs="Arial"/>
        </w:rPr>
        <w:t xml:space="preserve">Λεπτομέρειες </w:t>
      </w:r>
      <w:r w:rsidR="003E6BA1">
        <w:rPr>
          <w:rFonts w:eastAsia="Times New Roman" w:cs="Arial"/>
        </w:rPr>
        <w:t>παρουσιάζονται στο κεφάλαιο 2.7</w:t>
      </w:r>
      <w:r w:rsidR="00197E35">
        <w:rPr>
          <w:rFonts w:eastAsia="Times New Roman" w:cs="Arial"/>
        </w:rPr>
        <w:t xml:space="preserve"> που ακολουθεί.</w:t>
      </w:r>
    </w:p>
    <w:p w:rsidR="00F635B8" w:rsidRPr="00C37D1A" w:rsidRDefault="00F635B8" w:rsidP="004F6DB4">
      <w:pPr>
        <w:spacing w:line="360" w:lineRule="auto"/>
        <w:jc w:val="both"/>
        <w:rPr>
          <w:rFonts w:eastAsiaTheme="majorEastAsia" w:cstheme="majorBidi"/>
          <w:b/>
          <w:bCs/>
          <w:color w:val="365F91" w:themeColor="accent1" w:themeShade="BF"/>
        </w:rPr>
      </w:pPr>
      <w:r w:rsidRPr="00C37D1A">
        <w:rPr>
          <w:b/>
          <w:bCs/>
        </w:rPr>
        <w:br w:type="page"/>
      </w:r>
    </w:p>
    <w:p w:rsidR="00D512E5" w:rsidRPr="005E3A65" w:rsidRDefault="00D512E5" w:rsidP="00AA248C">
      <w:pPr>
        <w:pStyle w:val="2"/>
        <w:spacing w:before="0" w:after="200"/>
        <w:jc w:val="both"/>
        <w:rPr>
          <w:rFonts w:asciiTheme="minorHAnsi" w:hAnsiTheme="minorHAnsi"/>
          <w:b/>
          <w:bCs/>
          <w:sz w:val="24"/>
          <w:szCs w:val="24"/>
        </w:rPr>
      </w:pPr>
      <w:bookmarkStart w:id="20" w:name="_Toc74930200"/>
      <w:r w:rsidRPr="005E3A65">
        <w:rPr>
          <w:rFonts w:asciiTheme="minorHAnsi" w:hAnsiTheme="minorHAnsi"/>
          <w:b/>
          <w:bCs/>
          <w:sz w:val="24"/>
          <w:szCs w:val="24"/>
        </w:rPr>
        <w:lastRenderedPageBreak/>
        <w:t>2.</w:t>
      </w:r>
      <w:r w:rsidR="00236400" w:rsidRPr="005E3A65">
        <w:rPr>
          <w:rFonts w:asciiTheme="minorHAnsi" w:hAnsiTheme="minorHAnsi"/>
          <w:b/>
          <w:bCs/>
          <w:sz w:val="24"/>
          <w:szCs w:val="24"/>
        </w:rPr>
        <w:t>7</w:t>
      </w:r>
      <w:r w:rsidRPr="005E3A65">
        <w:rPr>
          <w:rFonts w:asciiTheme="minorHAnsi" w:hAnsiTheme="minorHAnsi"/>
          <w:b/>
          <w:bCs/>
          <w:sz w:val="24"/>
          <w:szCs w:val="24"/>
        </w:rPr>
        <w:t xml:space="preserve"> </w:t>
      </w:r>
      <w:r w:rsidR="00E81296" w:rsidRPr="005E3A65">
        <w:rPr>
          <w:rFonts w:asciiTheme="minorHAnsi" w:hAnsiTheme="minorHAnsi"/>
          <w:b/>
          <w:bCs/>
          <w:sz w:val="24"/>
          <w:szCs w:val="24"/>
        </w:rPr>
        <w:t>Εθνικό Σχέδιο Ανάκαμψης και Ανθεκτικότητας</w:t>
      </w:r>
      <w:bookmarkEnd w:id="20"/>
    </w:p>
    <w:p w:rsidR="00E81296" w:rsidRPr="008F2160" w:rsidRDefault="00E81296"/>
    <w:p w:rsidR="00E81296" w:rsidRDefault="00E81296" w:rsidP="00A303EA">
      <w:pPr>
        <w:jc w:val="both"/>
      </w:pPr>
      <w:r>
        <w:t>Το</w:t>
      </w:r>
      <w:r w:rsidRPr="00022B4E">
        <w:t xml:space="preserve"> </w:t>
      </w:r>
      <w:r>
        <w:t>Εθνικό</w:t>
      </w:r>
      <w:r w:rsidRPr="00022B4E">
        <w:t xml:space="preserve"> </w:t>
      </w:r>
      <w:r>
        <w:t>Σχέδιο</w:t>
      </w:r>
      <w:r w:rsidRPr="00022B4E">
        <w:t xml:space="preserve"> </w:t>
      </w:r>
      <w:r>
        <w:t>Ανάκαμψης</w:t>
      </w:r>
      <w:r w:rsidRPr="00022B4E">
        <w:t xml:space="preserve"> </w:t>
      </w:r>
      <w:r>
        <w:t>και</w:t>
      </w:r>
      <w:r w:rsidRPr="00022B4E">
        <w:t xml:space="preserve"> </w:t>
      </w:r>
      <w:r>
        <w:t>Ανθεκτικότητας</w:t>
      </w:r>
      <w:r w:rsidRPr="00022B4E">
        <w:t xml:space="preserve"> </w:t>
      </w:r>
      <w:r w:rsidR="0077146F">
        <w:t>«</w:t>
      </w:r>
      <w:r>
        <w:t>Ελλάδα</w:t>
      </w:r>
      <w:r w:rsidRPr="00022B4E">
        <w:t xml:space="preserve"> 2.0</w:t>
      </w:r>
      <w:r w:rsidR="0077146F">
        <w:t>»</w:t>
      </w:r>
      <w:r>
        <w:t xml:space="preserve"> (ΕΣΑΑ)</w:t>
      </w:r>
      <w:r w:rsidRPr="00022B4E">
        <w:t xml:space="preserve">, </w:t>
      </w:r>
      <w:r>
        <w:t>επιδιώκει</w:t>
      </w:r>
      <w:r w:rsidRPr="00022B4E">
        <w:t xml:space="preserve"> </w:t>
      </w:r>
      <w:r>
        <w:t>την</w:t>
      </w:r>
      <w:r w:rsidRPr="00022B4E">
        <w:t xml:space="preserve"> </w:t>
      </w:r>
      <w:r>
        <w:t>αλλαγή</w:t>
      </w:r>
      <w:r w:rsidRPr="00022B4E">
        <w:t xml:space="preserve"> </w:t>
      </w:r>
      <w:r>
        <w:t>του</w:t>
      </w:r>
      <w:r w:rsidRPr="00022B4E">
        <w:t xml:space="preserve"> </w:t>
      </w:r>
      <w:r>
        <w:t>οικονομικού</w:t>
      </w:r>
      <w:r w:rsidRPr="00022B4E">
        <w:t xml:space="preserve"> </w:t>
      </w:r>
      <w:r>
        <w:t>και</w:t>
      </w:r>
      <w:r w:rsidRPr="00022B4E">
        <w:t xml:space="preserve"> </w:t>
      </w:r>
      <w:r>
        <w:t>θεσμικού</w:t>
      </w:r>
      <w:r w:rsidRPr="00022B4E">
        <w:t xml:space="preserve"> </w:t>
      </w:r>
      <w:r>
        <w:t>μοντέλου</w:t>
      </w:r>
      <w:r w:rsidRPr="00022B4E">
        <w:t xml:space="preserve"> </w:t>
      </w:r>
      <w:r>
        <w:t>της</w:t>
      </w:r>
      <w:r w:rsidRPr="00022B4E">
        <w:t xml:space="preserve"> </w:t>
      </w:r>
      <w:r>
        <w:t>χώρας</w:t>
      </w:r>
      <w:r w:rsidRPr="00022B4E">
        <w:t xml:space="preserve">. </w:t>
      </w:r>
      <w:r>
        <w:t>Σε</w:t>
      </w:r>
      <w:r w:rsidRPr="000F1731">
        <w:t xml:space="preserve"> </w:t>
      </w:r>
      <w:r>
        <w:t>αυτό</w:t>
      </w:r>
      <w:r w:rsidRPr="000F1731">
        <w:t xml:space="preserve"> </w:t>
      </w:r>
      <w:r>
        <w:t>το</w:t>
      </w:r>
      <w:r w:rsidRPr="000F1731">
        <w:t xml:space="preserve"> </w:t>
      </w:r>
      <w:r>
        <w:t>πλαίσιο</w:t>
      </w:r>
      <w:r w:rsidRPr="000F1731">
        <w:t xml:space="preserve">, </w:t>
      </w:r>
      <w:r>
        <w:t>περιλαμβάνει</w:t>
      </w:r>
      <w:r w:rsidRPr="000F1731">
        <w:t xml:space="preserve">  </w:t>
      </w:r>
      <w:r>
        <w:t>πλήθος</w:t>
      </w:r>
      <w:r w:rsidRPr="000F1731">
        <w:t xml:space="preserve"> </w:t>
      </w:r>
      <w:r>
        <w:t>φιλόδοξων</w:t>
      </w:r>
      <w:r w:rsidRPr="000F1731">
        <w:t xml:space="preserve"> </w:t>
      </w:r>
      <w:r>
        <w:t>μεταρρυθμίσεων</w:t>
      </w:r>
      <w:r w:rsidRPr="000F1731">
        <w:t xml:space="preserve"> </w:t>
      </w:r>
      <w:r>
        <w:t>και</w:t>
      </w:r>
      <w:r w:rsidRPr="000F1731">
        <w:t xml:space="preserve"> </w:t>
      </w:r>
      <w:r>
        <w:t>επενδύσεων</w:t>
      </w:r>
      <w:r w:rsidRPr="000F1731">
        <w:t xml:space="preserve"> </w:t>
      </w:r>
      <w:r>
        <w:t>που</w:t>
      </w:r>
      <w:r w:rsidRPr="000F1731">
        <w:t xml:space="preserve"> </w:t>
      </w:r>
      <w:r>
        <w:t>αποσκοπούν</w:t>
      </w:r>
      <w:r w:rsidRPr="000F1731">
        <w:t xml:space="preserve"> </w:t>
      </w:r>
      <w:r>
        <w:t>στη</w:t>
      </w:r>
      <w:r w:rsidR="0077146F">
        <w:t xml:space="preserve"> </w:t>
      </w:r>
      <w:r>
        <w:t>στροφή</w:t>
      </w:r>
      <w:r w:rsidRPr="000F1731">
        <w:t xml:space="preserve"> </w:t>
      </w:r>
      <w:r>
        <w:t>προς ένα οικονομικό μοντέλο</w:t>
      </w:r>
      <w:r w:rsidRPr="000F1731">
        <w:t xml:space="preserve"> </w:t>
      </w:r>
      <w:r>
        <w:t>περισσότερο</w:t>
      </w:r>
      <w:r w:rsidRPr="000F1731">
        <w:t xml:space="preserve"> </w:t>
      </w:r>
      <w:r>
        <w:t>εξωστρεφές</w:t>
      </w:r>
      <w:r w:rsidRPr="000F1731">
        <w:t>, ανταγωνιστικ</w:t>
      </w:r>
      <w:r>
        <w:t>ό</w:t>
      </w:r>
      <w:r w:rsidRPr="000F1731">
        <w:t xml:space="preserve"> και πράσιν</w:t>
      </w:r>
      <w:r>
        <w:t>ο, προς ένα</w:t>
      </w:r>
      <w:r w:rsidRPr="000F1731">
        <w:t xml:space="preserve"> κράτος πιο αποτελεσματικό,</w:t>
      </w:r>
      <w:r>
        <w:t xml:space="preserve"> </w:t>
      </w:r>
      <w:r w:rsidRPr="000F1731">
        <w:t>με λιγότερη γραφ</w:t>
      </w:r>
      <w:r>
        <w:t>ε</w:t>
      </w:r>
      <w:r w:rsidRPr="000F1731">
        <w:t>ιοκρατία </w:t>
      </w:r>
      <w:r>
        <w:t>, ψηφιακά αναβαθμισμένο, με δραστικά μειωμένη παραοικονομία, με φορολογικό σύστημα φιλικό προς την ανάπτυξη και ένα ανθεκτικότερο κοινωνικό δίκτυο προστασίας.</w:t>
      </w:r>
      <w:r w:rsidRPr="000F1731">
        <w:t xml:space="preserve"> </w:t>
      </w:r>
    </w:p>
    <w:p w:rsidR="00E81296" w:rsidRDefault="00E81296" w:rsidP="00A303EA">
      <w:pPr>
        <w:jc w:val="both"/>
      </w:pPr>
      <w:r>
        <w:t>Επομένως</w:t>
      </w:r>
      <w:r w:rsidRPr="00E67853">
        <w:t xml:space="preserve">, </w:t>
      </w:r>
      <w:r>
        <w:t>το</w:t>
      </w:r>
      <w:r w:rsidRPr="00E67853">
        <w:t xml:space="preserve"> </w:t>
      </w:r>
      <w:r w:rsidR="0077146F">
        <w:t>«</w:t>
      </w:r>
      <w:r>
        <w:t>Ελλάδα</w:t>
      </w:r>
      <w:r w:rsidRPr="00E67853">
        <w:t xml:space="preserve"> 2.0</w:t>
      </w:r>
      <w:r w:rsidR="0077146F">
        <w:t>»</w:t>
      </w:r>
      <w:r w:rsidRPr="00E67853">
        <w:t xml:space="preserve"> </w:t>
      </w:r>
      <w:r>
        <w:t>δεν</w:t>
      </w:r>
      <w:r w:rsidRPr="00E67853">
        <w:t xml:space="preserve"> </w:t>
      </w:r>
      <w:r>
        <w:t>αποτελεί</w:t>
      </w:r>
      <w:r w:rsidRPr="00E67853">
        <w:t xml:space="preserve"> </w:t>
      </w:r>
      <w:r>
        <w:t>απλώς</w:t>
      </w:r>
      <w:r w:rsidRPr="00E67853">
        <w:t xml:space="preserve"> </w:t>
      </w:r>
      <w:r>
        <w:t>ένα</w:t>
      </w:r>
      <w:r w:rsidRPr="00E67853">
        <w:t xml:space="preserve"> </w:t>
      </w:r>
      <w:r>
        <w:t>πρόγραμμα</w:t>
      </w:r>
      <w:r w:rsidRPr="00E67853">
        <w:t xml:space="preserve"> </w:t>
      </w:r>
      <w:r>
        <w:t>οικονομικής</w:t>
      </w:r>
      <w:r w:rsidRPr="00E67853">
        <w:t xml:space="preserve"> </w:t>
      </w:r>
      <w:r>
        <w:t>μετάβασης, αλλά</w:t>
      </w:r>
      <w:r w:rsidRPr="00E67853">
        <w:t xml:space="preserve"> </w:t>
      </w:r>
      <w:r>
        <w:t>ένα</w:t>
      </w:r>
      <w:r w:rsidRPr="00E67853">
        <w:t xml:space="preserve"> </w:t>
      </w:r>
      <w:r>
        <w:t>πρόγραμμα</w:t>
      </w:r>
      <w:r w:rsidRPr="00E67853">
        <w:t xml:space="preserve"> </w:t>
      </w:r>
      <w:r>
        <w:t>ριζικού</w:t>
      </w:r>
      <w:r w:rsidRPr="00E67853">
        <w:t xml:space="preserve"> </w:t>
      </w:r>
      <w:r>
        <w:t>οικονομικού</w:t>
      </w:r>
      <w:r w:rsidRPr="00E67853">
        <w:t xml:space="preserve"> </w:t>
      </w:r>
      <w:r>
        <w:t>και</w:t>
      </w:r>
      <w:r w:rsidRPr="00E67853">
        <w:t xml:space="preserve"> </w:t>
      </w:r>
      <w:r>
        <w:t>κοινωνικού</w:t>
      </w:r>
      <w:r w:rsidRPr="00E67853">
        <w:t xml:space="preserve"> </w:t>
      </w:r>
      <w:r>
        <w:t>μετασχηματισμού που επιδρά στην τόνωση της οικονομικής δραστηριότητας, ενώ παράλληλα προάγει την τεχνολογική αναβάθμιση, την αλλαγή αντιλήψεων και νοοτροπιών, καθώς και την ενίσχυση του θεσμικού πλαισίου. Μια</w:t>
      </w:r>
      <w:r w:rsidRPr="00AD5F7F">
        <w:t xml:space="preserve"> </w:t>
      </w:r>
      <w:r>
        <w:t>μετάβαση</w:t>
      </w:r>
      <w:r w:rsidRPr="00AD5F7F">
        <w:t xml:space="preserve"> </w:t>
      </w:r>
      <w:r>
        <w:t>που</w:t>
      </w:r>
      <w:r w:rsidRPr="00AD5F7F">
        <w:t xml:space="preserve"> </w:t>
      </w:r>
      <w:r>
        <w:t>συνδυάζει</w:t>
      </w:r>
      <w:r w:rsidRPr="00AD5F7F">
        <w:t xml:space="preserve"> </w:t>
      </w:r>
      <w:r>
        <w:t>την</w:t>
      </w:r>
      <w:r w:rsidRPr="00AD5F7F">
        <w:t xml:space="preserve"> </w:t>
      </w:r>
      <w:r>
        <w:t>οικονομική</w:t>
      </w:r>
      <w:r w:rsidRPr="00AD5F7F">
        <w:t xml:space="preserve"> </w:t>
      </w:r>
      <w:r>
        <w:t xml:space="preserve">αποτελεσματικότητα </w:t>
      </w:r>
      <w:r w:rsidRPr="00AD5F7F">
        <w:t xml:space="preserve"> </w:t>
      </w:r>
      <w:r>
        <w:t>με</w:t>
      </w:r>
      <w:r w:rsidRPr="00AD5F7F">
        <w:t xml:space="preserve">  </w:t>
      </w:r>
      <w:r>
        <w:t>την</w:t>
      </w:r>
      <w:r w:rsidRPr="00AD5F7F">
        <w:t xml:space="preserve"> </w:t>
      </w:r>
      <w:r>
        <w:t>κοινωνική</w:t>
      </w:r>
      <w:r w:rsidRPr="00AD5F7F">
        <w:t xml:space="preserve"> </w:t>
      </w:r>
      <w:r>
        <w:t>συνοχή</w:t>
      </w:r>
      <w:r w:rsidRPr="00AD5F7F">
        <w:t xml:space="preserve"> </w:t>
      </w:r>
      <w:r>
        <w:t>και</w:t>
      </w:r>
      <w:r w:rsidRPr="00AD5F7F">
        <w:t xml:space="preserve"> </w:t>
      </w:r>
      <w:r>
        <w:t>δικαιοσύνη.</w:t>
      </w:r>
      <w:r w:rsidRPr="00AD5F7F">
        <w:t xml:space="preserve"> </w:t>
      </w:r>
    </w:p>
    <w:p w:rsidR="00E81296" w:rsidRDefault="00E81296" w:rsidP="00A303EA">
      <w:pPr>
        <w:jc w:val="both"/>
      </w:pPr>
      <w:r>
        <w:t>Την περίοδο 2021-2026 αναμένεται να εκταμιευθούν 30,5 δισ. ευρώ στο πλαίσιο του Σχεδίου Ανάκαμψης και Ανθεκτικότητας (ΣΑΑ), εκ των οποίων 17,8 δισ. ευρώ αφορούν σε επιχορηγήσεις και 12,7 δισ. ευρώ σε δάνεια. Σημειώνεται</w:t>
      </w:r>
      <w:r w:rsidRPr="000058FC">
        <w:t xml:space="preserve"> </w:t>
      </w:r>
      <w:r>
        <w:t>ότι</w:t>
      </w:r>
      <w:r w:rsidRPr="000058FC">
        <w:t xml:space="preserve"> </w:t>
      </w:r>
      <w:r>
        <w:t>έχει</w:t>
      </w:r>
      <w:r w:rsidRPr="000058FC">
        <w:t xml:space="preserve"> </w:t>
      </w:r>
      <w:r>
        <w:t>ήδη</w:t>
      </w:r>
      <w:r w:rsidRPr="000058FC">
        <w:t xml:space="preserve"> </w:t>
      </w:r>
      <w:r>
        <w:t>προϋπολογιστεί</w:t>
      </w:r>
      <w:r w:rsidRPr="000058FC">
        <w:t xml:space="preserve"> </w:t>
      </w:r>
      <w:r>
        <w:t>η</w:t>
      </w:r>
      <w:r w:rsidRPr="000058FC">
        <w:t xml:space="preserve"> </w:t>
      </w:r>
      <w:r>
        <w:t>χρηματοδότηση</w:t>
      </w:r>
      <w:r w:rsidRPr="000058FC">
        <w:t xml:space="preserve"> </w:t>
      </w:r>
      <w:r>
        <w:t>επενδύσεων</w:t>
      </w:r>
      <w:r w:rsidRPr="000058FC">
        <w:t xml:space="preserve"> </w:t>
      </w:r>
      <w:r>
        <w:t>και</w:t>
      </w:r>
      <w:r w:rsidRPr="000058FC">
        <w:t xml:space="preserve"> </w:t>
      </w:r>
      <w:r>
        <w:t>μεταρρυθμίσεων</w:t>
      </w:r>
      <w:r w:rsidRPr="000058FC">
        <w:t xml:space="preserve"> </w:t>
      </w:r>
      <w:r>
        <w:t>σημαντικού ύψους, προκειμένου να διασφαλιστεί η χωρίς καθυστέρηση απορρόφηση των επιχορηγήσεων.</w:t>
      </w:r>
      <w:r w:rsidRPr="000058FC">
        <w:t xml:space="preserve"> </w:t>
      </w:r>
      <w:r>
        <w:t>Λαμβάνοντας υπόψη το μεγάλο ύψος</w:t>
      </w:r>
      <w:r w:rsidRPr="001E6E43">
        <w:t xml:space="preserve"> </w:t>
      </w:r>
      <w:r>
        <w:t>του</w:t>
      </w:r>
      <w:r w:rsidRPr="001E6E43">
        <w:t xml:space="preserve"> </w:t>
      </w:r>
      <w:r>
        <w:t>προγράμματος</w:t>
      </w:r>
      <w:r w:rsidRPr="001E6E43">
        <w:t xml:space="preserve">, </w:t>
      </w:r>
      <w:r>
        <w:t>το ΕΣΑΑ</w:t>
      </w:r>
      <w:r w:rsidRPr="001E6E43">
        <w:t xml:space="preserve"> </w:t>
      </w:r>
      <w:r>
        <w:t>αποτελεί</w:t>
      </w:r>
      <w:r w:rsidRPr="001E6E43">
        <w:t xml:space="preserve"> </w:t>
      </w:r>
      <w:r>
        <w:t>μια</w:t>
      </w:r>
      <w:r w:rsidRPr="001E6E43">
        <w:t xml:space="preserve"> </w:t>
      </w:r>
      <w:r>
        <w:t>εξαιρετική ευκαιρία για την επιτάχυνση της οικονομικής ανάκαμψης της Ελλάδας και για τη δημιουργία πολλαπλασιαστικών αναπτυξιακών ωφελειών στο μακροπρόθεσμο διάστημα. Το</w:t>
      </w:r>
      <w:r w:rsidRPr="00AF5CF6">
        <w:t xml:space="preserve"> </w:t>
      </w:r>
      <w:r w:rsidR="0077146F">
        <w:t>«</w:t>
      </w:r>
      <w:r>
        <w:t>Ελλάδα</w:t>
      </w:r>
      <w:r w:rsidRPr="00AF5CF6">
        <w:t xml:space="preserve"> 2.0</w:t>
      </w:r>
      <w:r w:rsidR="0077146F">
        <w:t>»</w:t>
      </w:r>
      <w:r w:rsidRPr="00AF5CF6">
        <w:t xml:space="preserve"> </w:t>
      </w:r>
      <w:r>
        <w:t>επιδιώκει</w:t>
      </w:r>
      <w:r w:rsidRPr="00AF5CF6">
        <w:t xml:space="preserve"> </w:t>
      </w:r>
      <w:r>
        <w:t>το</w:t>
      </w:r>
      <w:r w:rsidRPr="00AF5CF6">
        <w:t xml:space="preserve"> </w:t>
      </w:r>
      <w:r>
        <w:t>συνολικό</w:t>
      </w:r>
      <w:r w:rsidRPr="00AF5CF6">
        <w:t xml:space="preserve"> </w:t>
      </w:r>
      <w:r>
        <w:t>ποσό</w:t>
      </w:r>
      <w:r w:rsidRPr="00AF5CF6">
        <w:t xml:space="preserve"> </w:t>
      </w:r>
      <w:r>
        <w:t>των</w:t>
      </w:r>
      <w:r w:rsidRPr="00AF5CF6">
        <w:t xml:space="preserve"> </w:t>
      </w:r>
      <w:r>
        <w:t>επενδυτικών</w:t>
      </w:r>
      <w:r w:rsidRPr="00AF5CF6">
        <w:t xml:space="preserve"> </w:t>
      </w:r>
      <w:r>
        <w:t xml:space="preserve">πόρων που θα κινητοποιηθούν από τον ιδιωτικό τομέα να προσεγγίσει τα </w:t>
      </w:r>
      <w:r w:rsidR="00472311">
        <w:t>59</w:t>
      </w:r>
      <w:r>
        <w:t xml:space="preserve"> δισ. ευρώ</w:t>
      </w:r>
      <w:r w:rsidRPr="00AF5CF6">
        <w:t xml:space="preserve">, </w:t>
      </w:r>
      <w:r>
        <w:t>ποσό διπλάσιο από το αντίστοιχο κονδύλι που θα εκταμιευθεί από το Ταμείο  Ανάκαμψης και Ανθεκτικότητας (ΤΑΑ).</w:t>
      </w:r>
    </w:p>
    <w:p w:rsidR="00E81296" w:rsidRPr="008F2160" w:rsidRDefault="00E81296" w:rsidP="00A303EA">
      <w:pPr>
        <w:jc w:val="both"/>
      </w:pPr>
      <w:r>
        <w:t>Το «Ελλάδα 2.0» αποτελείται από τέσσερις</w:t>
      </w:r>
      <w:r w:rsidRPr="006F3BFB">
        <w:t xml:space="preserve"> </w:t>
      </w:r>
      <w:r>
        <w:t xml:space="preserve">βασικούς πυλώνες : </w:t>
      </w:r>
    </w:p>
    <w:p w:rsidR="00E81296" w:rsidRPr="00DD740B" w:rsidRDefault="00E81296" w:rsidP="00DD740B">
      <w:pPr>
        <w:pStyle w:val="a4"/>
        <w:numPr>
          <w:ilvl w:val="0"/>
          <w:numId w:val="29"/>
        </w:numPr>
        <w:jc w:val="both"/>
      </w:pPr>
      <w:r>
        <w:t xml:space="preserve">Πράσινη Μετάβαση: με προϋπολογισμό ύψους 6,17 δισ. ευρώ (προβλέπεται η κινητοποίηση πόρων  ύψους 11,58 δισ. ευρώ), </w:t>
      </w:r>
    </w:p>
    <w:p w:rsidR="00E81296" w:rsidRPr="00DD740B" w:rsidRDefault="00E81296" w:rsidP="00DD740B">
      <w:pPr>
        <w:pStyle w:val="a4"/>
        <w:numPr>
          <w:ilvl w:val="0"/>
          <w:numId w:val="29"/>
        </w:numPr>
        <w:jc w:val="both"/>
      </w:pPr>
      <w:r>
        <w:t xml:space="preserve">Ψηφιακή Μετάβαση: με προϋπολογισμό ύψους 2,2 δισ. ευρώ (προβλέπεται η κινητοποίηση πόρων  ύψους 2,36 δισ. ευρώ), </w:t>
      </w:r>
    </w:p>
    <w:p w:rsidR="00E81296" w:rsidRPr="00DD740B" w:rsidRDefault="00E81296" w:rsidP="00DD740B">
      <w:pPr>
        <w:pStyle w:val="a4"/>
        <w:numPr>
          <w:ilvl w:val="0"/>
          <w:numId w:val="29"/>
        </w:numPr>
        <w:jc w:val="both"/>
      </w:pPr>
      <w:r>
        <w:t xml:space="preserve">Απασχόληση, δεξιότητες και κοινωνική συνοχή (υγεία, παιδεία, κοινωνική προστασία): με προϋπολογισμό ύψους 5,18 δισ. </w:t>
      </w:r>
      <w:r w:rsidR="0077146F">
        <w:t>ε</w:t>
      </w:r>
      <w:r>
        <w:t xml:space="preserve">υρώ (προβλέπεται η κινητοποίηση πόρων ύψους 5,27  δισ. ευρώ), </w:t>
      </w:r>
    </w:p>
    <w:p w:rsidR="00E81296" w:rsidRDefault="00E81296" w:rsidP="00DD740B">
      <w:pPr>
        <w:pStyle w:val="a4"/>
        <w:numPr>
          <w:ilvl w:val="0"/>
          <w:numId w:val="29"/>
        </w:numPr>
        <w:jc w:val="both"/>
      </w:pPr>
      <w:r>
        <w:t xml:space="preserve">Ιδιωτικές επενδύσεις, οικονομικός και θεσμικός μετασχηματισμός: με προϋπολογισμό ύψους 4,84 δισ. ευρώ (προβλέπεται η κινητοποίηση πόρων  ύψους 8,78 δισ. ευρώ). </w:t>
      </w:r>
      <w:r w:rsidR="00DA6344">
        <w:t>Στον άξονα αυτό θα πρέπει να προστεθεί και το πρόγραμμα των δανείων, ύψους 12,7 δισ. ευρώ που στοχεύει στην κινητοποίηση 30,9 δισ. ευρώ επενδυτικών πόρων.</w:t>
      </w:r>
    </w:p>
    <w:p w:rsidR="00E81296" w:rsidRPr="008F2160" w:rsidRDefault="00E81296" w:rsidP="00A303EA">
      <w:pPr>
        <w:jc w:val="both"/>
      </w:pPr>
      <w:r>
        <w:t>Το «Ελλάδα 2.0» είναι πλήρως εναρμονισμένο με τους στόχους της ΕΕ για ταχύτερη μετάβαση της ελληνικής οικονομίας προς ένα πράσινο και ψηφιακό μοντέλο ανάπτυξης υπερακοντίζοντας τους στόχους που θέτει ο κανονισμός του Ταμείου και επιτυγχάνοντας 3</w:t>
      </w:r>
      <w:r w:rsidR="00DA6344">
        <w:t>7,5</w:t>
      </w:r>
      <w:r>
        <w:t>% και 2</w:t>
      </w:r>
      <w:r w:rsidR="00DA6344">
        <w:t>3,3</w:t>
      </w:r>
      <w:r>
        <w:t xml:space="preserve">% μερίδιο στις αντίστοιχες δράσεις. </w:t>
      </w:r>
    </w:p>
    <w:p w:rsidR="00E81296" w:rsidRPr="008F2160" w:rsidRDefault="008054E2" w:rsidP="00A303EA">
      <w:pPr>
        <w:jc w:val="both"/>
      </w:pPr>
      <w:r w:rsidRPr="008054E2">
        <w:rPr>
          <w:noProof/>
        </w:rPr>
        <w:lastRenderedPageBreak/>
        <w:drawing>
          <wp:inline distT="0" distB="0" distL="0" distR="0">
            <wp:extent cx="6479540" cy="3658958"/>
            <wp:effectExtent l="19050" t="0" r="0" b="0"/>
            <wp:docPr id="3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srcRect/>
                    <a:stretch>
                      <a:fillRect/>
                    </a:stretch>
                  </pic:blipFill>
                  <pic:spPr bwMode="auto">
                    <a:xfrm>
                      <a:off x="0" y="0"/>
                      <a:ext cx="6479540" cy="3658958"/>
                    </a:xfrm>
                    <a:prstGeom prst="rect">
                      <a:avLst/>
                    </a:prstGeom>
                    <a:noFill/>
                    <a:ln w="9525">
                      <a:noFill/>
                      <a:miter lim="800000"/>
                      <a:headEnd/>
                      <a:tailEnd/>
                    </a:ln>
                  </pic:spPr>
                </pic:pic>
              </a:graphicData>
            </a:graphic>
          </wp:inline>
        </w:drawing>
      </w:r>
    </w:p>
    <w:p w:rsidR="00472311" w:rsidRDefault="00CC56B8" w:rsidP="00472311">
      <w:pPr>
        <w:jc w:val="both"/>
      </w:pPr>
      <w:r>
        <w:t>Στον παραπάνω Π</w:t>
      </w:r>
      <w:r w:rsidR="00E81296">
        <w:t xml:space="preserve">ίνακα </w:t>
      </w:r>
      <w:r w:rsidR="00E81296" w:rsidRPr="005A4A64">
        <w:t>19</w:t>
      </w:r>
      <w:r w:rsidR="00E81296">
        <w:t xml:space="preserve"> παρουσιάζονται οι αναμενόμενες έως το 2026 ετήσιες ταμειακές εισροές από το Ταμείο Ανάκαμψης και Ανθεκτικότητας που αφορούν τόσο τις επιχορηγήσεις όσο και τα </w:t>
      </w:r>
      <w:r w:rsidR="00101646">
        <w:t xml:space="preserve">εγκεκριμένα </w:t>
      </w:r>
      <w:r w:rsidR="00E81296">
        <w:t>δάνεια. Παρουσιάζονται επίσης οι εκτιμώμενες ετήσιες δαπάνες που θα χρηματοδοτηθούν από τις επιχορηγήσεις, εκ των οποίων</w:t>
      </w:r>
      <w:r w:rsidR="00E81296" w:rsidRPr="002B29B4">
        <w:t xml:space="preserve"> </w:t>
      </w:r>
      <w:r w:rsidR="0077146F">
        <w:t xml:space="preserve">σχεδόν </w:t>
      </w:r>
      <w:r w:rsidR="00101646">
        <w:t>9,8</w:t>
      </w:r>
      <w:r w:rsidR="00E81296">
        <w:t xml:space="preserve"> δι</w:t>
      </w:r>
      <w:r w:rsidR="0077146F">
        <w:t>σ.</w:t>
      </w:r>
      <w:r w:rsidR="00E81296">
        <w:t xml:space="preserve"> ευρώ</w:t>
      </w:r>
      <w:r w:rsidR="00E81296" w:rsidRPr="002B29B4">
        <w:t xml:space="preserve"> </w:t>
      </w:r>
      <w:r w:rsidR="00E81296">
        <w:t>αναμένεται</w:t>
      </w:r>
      <w:r w:rsidR="00E81296" w:rsidRPr="002B29B4">
        <w:t xml:space="preserve"> </w:t>
      </w:r>
      <w:r w:rsidR="00E81296">
        <w:t>να</w:t>
      </w:r>
      <w:r w:rsidR="00E81296" w:rsidRPr="002B29B4">
        <w:t xml:space="preserve"> </w:t>
      </w:r>
      <w:r w:rsidR="00E81296">
        <w:t>κατανεμηθούν</w:t>
      </w:r>
      <w:r w:rsidR="00E81296" w:rsidRPr="002B29B4">
        <w:t xml:space="preserve"> </w:t>
      </w:r>
      <w:r w:rsidR="00E81296">
        <w:t>προς</w:t>
      </w:r>
      <w:r w:rsidR="00E81296" w:rsidRPr="002B29B4">
        <w:t xml:space="preserve"> </w:t>
      </w:r>
      <w:r w:rsidR="00E81296">
        <w:t>τις</w:t>
      </w:r>
      <w:r w:rsidR="00E81296" w:rsidRPr="002B29B4">
        <w:t xml:space="preserve"> </w:t>
      </w:r>
      <w:r w:rsidR="00E81296">
        <w:t>δημόσιες</w:t>
      </w:r>
      <w:r w:rsidR="00E81296" w:rsidRPr="002B29B4">
        <w:t xml:space="preserve"> </w:t>
      </w:r>
      <w:r w:rsidR="00E81296">
        <w:t>επενδύσεις</w:t>
      </w:r>
      <w:r w:rsidR="00E81296" w:rsidRPr="002B29B4">
        <w:t xml:space="preserve">, </w:t>
      </w:r>
      <w:r w:rsidR="00E81296">
        <w:t>4,</w:t>
      </w:r>
      <w:r w:rsidR="00101646">
        <w:t>8</w:t>
      </w:r>
      <w:r w:rsidR="00E81296">
        <w:t xml:space="preserve"> δι</w:t>
      </w:r>
      <w:r w:rsidR="004835E5">
        <w:t>σ.</w:t>
      </w:r>
      <w:r w:rsidR="00E81296">
        <w:t xml:space="preserve"> ευρώ</w:t>
      </w:r>
      <w:r w:rsidR="00E81296" w:rsidRPr="002B29B4">
        <w:t xml:space="preserve"> </w:t>
      </w:r>
      <w:r w:rsidR="00E81296">
        <w:t>προς</w:t>
      </w:r>
      <w:r w:rsidR="00E81296" w:rsidRPr="002B29B4">
        <w:t xml:space="preserve"> </w:t>
      </w:r>
      <w:r w:rsidR="00E81296">
        <w:t>μεταβιβάσεις, 1,7 δι</w:t>
      </w:r>
      <w:r w:rsidR="004835E5">
        <w:t>σ.</w:t>
      </w:r>
      <w:r w:rsidR="00E81296">
        <w:t xml:space="preserve"> ευρώ προς επιδοτήσεις, 1,2 δι</w:t>
      </w:r>
      <w:r w:rsidR="0077146F">
        <w:t>σ.</w:t>
      </w:r>
      <w:r w:rsidR="00E81296">
        <w:t xml:space="preserve"> ευρώ σε δαπάνες κοινωνικού χαρακτήρα και το 0,3 δι</w:t>
      </w:r>
      <w:r w:rsidR="0077146F">
        <w:t>σ.</w:t>
      </w:r>
      <w:r w:rsidR="00E81296">
        <w:t xml:space="preserve"> ευρώ στην ενδιάμεση κατανάλωση. Τα ποσά που </w:t>
      </w:r>
      <w:r w:rsidR="00162136">
        <w:t>θα προέλθουν</w:t>
      </w:r>
      <w:r w:rsidR="00E81296">
        <w:t xml:space="preserve"> από δάνεια του Ταμείου αναμένεται να αξιοποιηθούν σε μέτρα τόνωσης της ρευστότητας του ιδιωτικού τομέα και τη χρηματοοικονομική στήριξη επιχειρηματικών επενδύσεων. </w:t>
      </w:r>
      <w:r w:rsidR="00472311">
        <w:t xml:space="preserve">Ο σχετικός Πίνακας υποθέτει υλοποίηση των στόχων κατά 100% χωρίς την παραμικρή καθυστέρηση. Για λόγους ασφάλειας απορρόφησης το 2026 έχει αφεθεί με μηδενικούς στόχους απορρόφησης επιχορηγήσεων και με το 50% των στόχων απορρόφησης δανείων σε σχέση με τα προηγούμενα έτη, ώστε οι </w:t>
      </w:r>
      <w:r w:rsidR="008A40D6">
        <w:t>ό</w:t>
      </w:r>
      <w:r w:rsidR="00472311">
        <w:t>πο</w:t>
      </w:r>
      <w:r w:rsidR="008A40D6">
        <w:t>ι</w:t>
      </w:r>
      <w:r w:rsidR="00472311">
        <w:t>ες καθυστερήσεις από γεγονότα που δεν μπορεί να ελέγξουν οι αναθέτουσες αρχές (π.χ. δικαστικές προσφυγές, δικαστικές αποφάσεις απαλλοτρίωσης, ανεύρεση νέων αρχαιολογικών ευρημάτων αλλαγές στις συνθήκες των εθνικών ή διεθνών αγορών που επηρεάζουν τις ιδιωτικές επενδύσεις κ.λπ.), να μπορούν να αντιμετωπιστούν χωρίς τελική απώλεια πόρων. Για λόγους μακροοικονομικής ασφάλειας το ενδεχόμενο δαπάνης σημαντικών πόρων και το 2026 έχει υιοθετηθεί στην μακροοικονομική πρόβλεψη, με αντίστοιχη μείωση του σχετικού ύψους των δαπανών στα προηγούμενα έτη, ώστε ο συνολικός σχεδιασμός να συνδυάζει εξαιρετικά φιλόδοξους στόχους με την αναγκαία μακροοικονομική σύνεση.</w:t>
      </w:r>
    </w:p>
    <w:p w:rsidR="00E81296" w:rsidRPr="008F2160" w:rsidRDefault="00E81296" w:rsidP="00A303EA">
      <w:pPr>
        <w:jc w:val="both"/>
      </w:pPr>
      <w:r>
        <w:t>Το</w:t>
      </w:r>
      <w:r w:rsidRPr="003D203C">
        <w:t xml:space="preserve"> </w:t>
      </w:r>
      <w:r>
        <w:t>Ελληνικό</w:t>
      </w:r>
      <w:r w:rsidRPr="003D203C">
        <w:t xml:space="preserve"> </w:t>
      </w:r>
      <w:r>
        <w:t>Σχέδιο</w:t>
      </w:r>
      <w:r w:rsidRPr="003D203C">
        <w:t xml:space="preserve"> </w:t>
      </w:r>
      <w:r>
        <w:t>επιδιώκει</w:t>
      </w:r>
      <w:r w:rsidRPr="003D203C">
        <w:t xml:space="preserve"> </w:t>
      </w:r>
      <w:r>
        <w:t>μέσω</w:t>
      </w:r>
      <w:r w:rsidRPr="003D203C">
        <w:t xml:space="preserve"> </w:t>
      </w:r>
      <w:r>
        <w:t>της</w:t>
      </w:r>
      <w:r w:rsidRPr="003D203C">
        <w:t xml:space="preserve"> </w:t>
      </w:r>
      <w:r>
        <w:t>αξιοποίησης</w:t>
      </w:r>
      <w:r w:rsidRPr="003D203C">
        <w:t xml:space="preserve"> </w:t>
      </w:r>
      <w:r>
        <w:t>των</w:t>
      </w:r>
      <w:r w:rsidRPr="003D203C">
        <w:t xml:space="preserve"> </w:t>
      </w:r>
      <w:r>
        <w:t>δανείων</w:t>
      </w:r>
      <w:r w:rsidRPr="003D203C">
        <w:t xml:space="preserve"> </w:t>
      </w:r>
      <w:r>
        <w:t>του</w:t>
      </w:r>
      <w:r w:rsidRPr="003D203C">
        <w:t xml:space="preserve"> </w:t>
      </w:r>
      <w:r>
        <w:t>ΤΑΑ</w:t>
      </w:r>
      <w:r w:rsidRPr="00B80F85">
        <w:t xml:space="preserve"> </w:t>
      </w:r>
      <w:r>
        <w:t>να χρηματοδοτήσει σχέδια που εμπίπτουν στις παρακάτω κατηγορίες:</w:t>
      </w:r>
    </w:p>
    <w:p w:rsidR="00E81296" w:rsidRDefault="00E81296" w:rsidP="00DD740B">
      <w:pPr>
        <w:pStyle w:val="a4"/>
        <w:numPr>
          <w:ilvl w:val="0"/>
          <w:numId w:val="30"/>
        </w:numPr>
        <w:jc w:val="both"/>
        <w:rPr>
          <w:lang w:val="en-US"/>
        </w:rPr>
      </w:pPr>
      <w:r>
        <w:t>Πράσινη</w:t>
      </w:r>
      <w:r w:rsidRPr="00DD740B">
        <w:rPr>
          <w:lang w:val="en-US"/>
        </w:rPr>
        <w:t xml:space="preserve"> </w:t>
      </w:r>
      <w:r>
        <w:t>Μετάβαση.</w:t>
      </w:r>
    </w:p>
    <w:p w:rsidR="00E81296" w:rsidRDefault="00E81296" w:rsidP="00DD740B">
      <w:pPr>
        <w:pStyle w:val="a4"/>
        <w:numPr>
          <w:ilvl w:val="0"/>
          <w:numId w:val="30"/>
        </w:numPr>
        <w:jc w:val="both"/>
        <w:rPr>
          <w:lang w:val="en-US"/>
        </w:rPr>
      </w:pPr>
      <w:r>
        <w:t>Ψηφιακή</w:t>
      </w:r>
      <w:r w:rsidRPr="00DD740B">
        <w:rPr>
          <w:lang w:val="en-US"/>
        </w:rPr>
        <w:t xml:space="preserve"> </w:t>
      </w:r>
      <w:r>
        <w:t>Μετάβαση.</w:t>
      </w:r>
    </w:p>
    <w:p w:rsidR="00E81296" w:rsidRDefault="00E81296" w:rsidP="00DD740B">
      <w:pPr>
        <w:pStyle w:val="a4"/>
        <w:numPr>
          <w:ilvl w:val="0"/>
          <w:numId w:val="30"/>
        </w:numPr>
        <w:jc w:val="both"/>
        <w:rPr>
          <w:lang w:val="en-US"/>
        </w:rPr>
      </w:pPr>
      <w:r>
        <w:t xml:space="preserve">Εξωστρέφεια </w:t>
      </w:r>
      <w:r w:rsidRPr="00DD740B">
        <w:rPr>
          <w:lang w:val="en-US"/>
        </w:rPr>
        <w:t>(</w:t>
      </w:r>
      <w:r>
        <w:t>εξαγωγικός</w:t>
      </w:r>
      <w:r w:rsidRPr="00DD740B">
        <w:rPr>
          <w:lang w:val="en-US"/>
        </w:rPr>
        <w:t xml:space="preserve"> </w:t>
      </w:r>
      <w:r>
        <w:t>προσανατολισμός</w:t>
      </w:r>
      <w:r w:rsidRPr="00DD740B">
        <w:rPr>
          <w:lang w:val="en-US"/>
        </w:rPr>
        <w:t>)</w:t>
      </w:r>
      <w:r>
        <w:t>.</w:t>
      </w:r>
    </w:p>
    <w:p w:rsidR="00E81296" w:rsidRDefault="00E81296" w:rsidP="00DD740B">
      <w:pPr>
        <w:pStyle w:val="a4"/>
        <w:numPr>
          <w:ilvl w:val="0"/>
          <w:numId w:val="30"/>
        </w:numPr>
        <w:jc w:val="both"/>
        <w:rPr>
          <w:lang w:val="en-US"/>
        </w:rPr>
      </w:pPr>
      <w:r>
        <w:t>Καινοτομία.</w:t>
      </w:r>
    </w:p>
    <w:p w:rsidR="00E81296" w:rsidRPr="00DD740B" w:rsidRDefault="00E81296" w:rsidP="00DD740B">
      <w:pPr>
        <w:pStyle w:val="a4"/>
        <w:numPr>
          <w:ilvl w:val="0"/>
          <w:numId w:val="30"/>
        </w:numPr>
        <w:jc w:val="both"/>
      </w:pPr>
      <w:r>
        <w:t>Ανάπτυξη</w:t>
      </w:r>
      <w:r w:rsidRPr="001D25DC">
        <w:t xml:space="preserve"> </w:t>
      </w:r>
      <w:r>
        <w:t>οικονομιών</w:t>
      </w:r>
      <w:r w:rsidRPr="001D25DC">
        <w:t xml:space="preserve"> </w:t>
      </w:r>
      <w:r>
        <w:t>κλίμακας</w:t>
      </w:r>
      <w:r w:rsidRPr="001D25DC">
        <w:t xml:space="preserve"> </w:t>
      </w:r>
      <w:r>
        <w:t>μέσω</w:t>
      </w:r>
      <w:r w:rsidRPr="001D25DC">
        <w:t xml:space="preserve">  </w:t>
      </w:r>
      <w:r>
        <w:t>της</w:t>
      </w:r>
      <w:r w:rsidRPr="001D25DC">
        <w:t xml:space="preserve"> </w:t>
      </w:r>
      <w:r>
        <w:t>αύξησης</w:t>
      </w:r>
      <w:r w:rsidRPr="001D25DC">
        <w:t xml:space="preserve"> </w:t>
      </w:r>
      <w:r>
        <w:t>της</w:t>
      </w:r>
      <w:r w:rsidRPr="001D25DC">
        <w:t xml:space="preserve"> </w:t>
      </w:r>
      <w:r>
        <w:t>παραγωγικότητας</w:t>
      </w:r>
      <w:r w:rsidRPr="001D25DC">
        <w:t xml:space="preserve"> </w:t>
      </w:r>
      <w:r>
        <w:t>των</w:t>
      </w:r>
      <w:r w:rsidRPr="001D25DC">
        <w:t xml:space="preserve"> </w:t>
      </w:r>
      <w:r>
        <w:t>ελληνικών</w:t>
      </w:r>
      <w:r w:rsidRPr="001D25DC">
        <w:t xml:space="preserve"> </w:t>
      </w:r>
      <w:r>
        <w:t>επιχειρήσεων</w:t>
      </w:r>
      <w:r w:rsidRPr="001D25DC">
        <w:t xml:space="preserve"> . </w:t>
      </w:r>
    </w:p>
    <w:p w:rsidR="00E81296" w:rsidRPr="00B66B56" w:rsidRDefault="00E81296" w:rsidP="00A303EA">
      <w:pPr>
        <w:jc w:val="both"/>
      </w:pPr>
      <w:r>
        <w:lastRenderedPageBreak/>
        <w:t xml:space="preserve">Η χρηματοδότηση των ιδιωτικών επενδύσεων από τους πόρους των δανείων του ΤΑΑ θα πραγματοποιηθεί μέσω τριών διακριτών χρηματοδοτικών καναλιών: </w:t>
      </w:r>
      <w:r w:rsidRPr="00B66B56">
        <w:t>(</w:t>
      </w:r>
      <w:r>
        <w:t>α</w:t>
      </w:r>
      <w:r w:rsidRPr="00B66B56">
        <w:t>)</w:t>
      </w:r>
      <w:r>
        <w:t xml:space="preserve"> μέσω των</w:t>
      </w:r>
      <w:r w:rsidRPr="00B66B56">
        <w:t xml:space="preserve"> </w:t>
      </w:r>
      <w:r>
        <w:t>διεθνών</w:t>
      </w:r>
      <w:r w:rsidRPr="00B66B56">
        <w:t xml:space="preserve"> </w:t>
      </w:r>
      <w:r>
        <w:t>χρηματοδοτικών θεσμών</w:t>
      </w:r>
      <w:r w:rsidRPr="00B66B56">
        <w:t xml:space="preserve">, </w:t>
      </w:r>
      <w:r>
        <w:t>συμπεριλαμβανομένων</w:t>
      </w:r>
      <w:r w:rsidRPr="00B66B56">
        <w:t xml:space="preserve"> </w:t>
      </w:r>
      <w:r>
        <w:t>της</w:t>
      </w:r>
      <w:r w:rsidRPr="00B66B56">
        <w:t xml:space="preserve"> </w:t>
      </w:r>
      <w:proofErr w:type="spellStart"/>
      <w:r>
        <w:t>ΕΤΕπ</w:t>
      </w:r>
      <w:proofErr w:type="spellEnd"/>
      <w:r w:rsidRPr="00B66B56">
        <w:t xml:space="preserve"> </w:t>
      </w:r>
      <w:r>
        <w:t>και</w:t>
      </w:r>
      <w:r w:rsidRPr="00B66B56">
        <w:t xml:space="preserve"> </w:t>
      </w:r>
      <w:r>
        <w:t>της</w:t>
      </w:r>
      <w:r w:rsidRPr="00B66B56">
        <w:t xml:space="preserve"> </w:t>
      </w:r>
      <w:r>
        <w:t>ΕΤΑΑ</w:t>
      </w:r>
      <w:r w:rsidRPr="00B66B56">
        <w:t>, (</w:t>
      </w:r>
      <w:r>
        <w:t>β</w:t>
      </w:r>
      <w:r w:rsidRPr="00B66B56">
        <w:t>)</w:t>
      </w:r>
      <w:r>
        <w:t xml:space="preserve"> μέσω των</w:t>
      </w:r>
      <w:r w:rsidRPr="00B66B56">
        <w:t xml:space="preserve"> </w:t>
      </w:r>
      <w:r>
        <w:t>εμπορικών</w:t>
      </w:r>
      <w:r w:rsidRPr="00B66B56">
        <w:t xml:space="preserve"> </w:t>
      </w:r>
      <w:r>
        <w:t>τραπεζών</w:t>
      </w:r>
      <w:r w:rsidRPr="00B66B56">
        <w:t xml:space="preserve">, </w:t>
      </w:r>
      <w:r>
        <w:t>ελληνικών</w:t>
      </w:r>
      <w:r w:rsidRPr="00B66B56">
        <w:t xml:space="preserve"> </w:t>
      </w:r>
      <w:r>
        <w:t>αλλά</w:t>
      </w:r>
      <w:r w:rsidRPr="00B66B56">
        <w:t xml:space="preserve"> </w:t>
      </w:r>
      <w:r>
        <w:t>και</w:t>
      </w:r>
      <w:r w:rsidRPr="00B66B56">
        <w:t xml:space="preserve"> </w:t>
      </w:r>
      <w:r>
        <w:t xml:space="preserve">διεθνών, </w:t>
      </w:r>
      <w:r w:rsidRPr="00B66B56">
        <w:t>(</w:t>
      </w:r>
      <w:r>
        <w:t>γ</w:t>
      </w:r>
      <w:r w:rsidRPr="00B66B56">
        <w:t xml:space="preserve">) </w:t>
      </w:r>
      <w:r>
        <w:t>μέσω ενός ταμείου</w:t>
      </w:r>
      <w:r w:rsidRPr="00B66B56">
        <w:t xml:space="preserve"> </w:t>
      </w:r>
      <w:r>
        <w:t>επιχειρηματικών</w:t>
      </w:r>
      <w:r w:rsidRPr="00B66B56">
        <w:t xml:space="preserve"> </w:t>
      </w:r>
      <w:r>
        <w:t>συμμετοχών</w:t>
      </w:r>
      <w:r w:rsidRPr="00B66B56">
        <w:t xml:space="preserve"> </w:t>
      </w:r>
      <w:r>
        <w:t>υπό</w:t>
      </w:r>
      <w:r w:rsidRPr="00B66B56">
        <w:t xml:space="preserve"> </w:t>
      </w:r>
      <w:r>
        <w:t>την</w:t>
      </w:r>
      <w:r w:rsidRPr="00B66B56">
        <w:t xml:space="preserve"> </w:t>
      </w:r>
      <w:r>
        <w:t>Ελληνική</w:t>
      </w:r>
      <w:r w:rsidRPr="00B66B56">
        <w:t xml:space="preserve"> </w:t>
      </w:r>
      <w:r>
        <w:t>Αναπτυξιακή</w:t>
      </w:r>
      <w:r w:rsidRPr="00B66B56">
        <w:t xml:space="preserve"> </w:t>
      </w:r>
      <w:r>
        <w:t>Τράπεζα</w:t>
      </w:r>
      <w:r w:rsidRPr="00B66B56">
        <w:t xml:space="preserve"> </w:t>
      </w:r>
      <w:r>
        <w:t>Επενδύσεων</w:t>
      </w:r>
      <w:r w:rsidRPr="00B66B56">
        <w:t xml:space="preserve"> </w:t>
      </w:r>
      <w:r>
        <w:t>ΑΕ</w:t>
      </w:r>
      <w:r w:rsidR="002D5809" w:rsidRPr="00946C36">
        <w:t xml:space="preserve"> </w:t>
      </w:r>
      <w:r w:rsidRPr="00B66B56">
        <w:t>(</w:t>
      </w:r>
      <w:r>
        <w:t>ΕΑΤΕ</w:t>
      </w:r>
      <w:r w:rsidRPr="00B66B56">
        <w:t>).</w:t>
      </w:r>
    </w:p>
    <w:p w:rsidR="0096074C" w:rsidRDefault="0096074C" w:rsidP="00AA248C">
      <w:pPr>
        <w:pStyle w:val="2"/>
        <w:spacing w:before="0" w:after="200"/>
        <w:jc w:val="both"/>
        <w:rPr>
          <w:rFonts w:asciiTheme="minorHAnsi" w:hAnsiTheme="minorHAnsi"/>
          <w:b/>
          <w:sz w:val="24"/>
          <w:szCs w:val="24"/>
        </w:rPr>
      </w:pPr>
    </w:p>
    <w:p w:rsidR="00D512E5" w:rsidRPr="005E3A65" w:rsidRDefault="00D512E5" w:rsidP="00AA248C">
      <w:pPr>
        <w:pStyle w:val="2"/>
        <w:spacing w:before="0" w:after="200"/>
        <w:jc w:val="both"/>
        <w:rPr>
          <w:rFonts w:asciiTheme="minorHAnsi" w:hAnsiTheme="minorHAnsi"/>
          <w:b/>
          <w:sz w:val="24"/>
          <w:szCs w:val="24"/>
        </w:rPr>
      </w:pPr>
      <w:bookmarkStart w:id="21" w:name="_Toc74930201"/>
      <w:r w:rsidRPr="005E3A65">
        <w:rPr>
          <w:rFonts w:asciiTheme="minorHAnsi" w:hAnsiTheme="minorHAnsi"/>
          <w:b/>
          <w:sz w:val="24"/>
          <w:szCs w:val="24"/>
        </w:rPr>
        <w:t>2.</w:t>
      </w:r>
      <w:r w:rsidR="00236400" w:rsidRPr="005E3A65">
        <w:rPr>
          <w:rFonts w:asciiTheme="minorHAnsi" w:hAnsiTheme="minorHAnsi"/>
          <w:b/>
          <w:sz w:val="24"/>
          <w:szCs w:val="24"/>
        </w:rPr>
        <w:t>8</w:t>
      </w:r>
      <w:r w:rsidRPr="005E3A65">
        <w:rPr>
          <w:rFonts w:asciiTheme="minorHAnsi" w:hAnsiTheme="minorHAnsi"/>
          <w:b/>
          <w:sz w:val="24"/>
          <w:szCs w:val="24"/>
        </w:rPr>
        <w:t xml:space="preserve"> Δημόσιο χρέος</w:t>
      </w:r>
      <w:bookmarkEnd w:id="21"/>
    </w:p>
    <w:p w:rsidR="00696734" w:rsidRDefault="00696734" w:rsidP="00AA248C">
      <w:pPr>
        <w:jc w:val="both"/>
        <w:rPr>
          <w:szCs w:val="24"/>
        </w:rPr>
      </w:pPr>
      <w:r w:rsidRPr="00147418">
        <w:rPr>
          <w:szCs w:val="24"/>
        </w:rPr>
        <w:t>Η συνεπής εκδοτική δραστηριότητα του Ελληνικού Δημοσίου κατά την τελευταία τριετία, οδήγησε σταδιακά στη συμπλήρωση της καμπύλης αποδόσεων τίτλων του Ε. Δ. σε  όλο το φάσμα της και στην πλήρη χρονική επέκταση της φυσικής διάρκει</w:t>
      </w:r>
      <w:r w:rsidR="0077146F">
        <w:rPr>
          <w:szCs w:val="24"/>
        </w:rPr>
        <w:t>ά</w:t>
      </w:r>
      <w:r w:rsidRPr="00147418">
        <w:rPr>
          <w:szCs w:val="24"/>
        </w:rPr>
        <w:t xml:space="preserve">ς της, παρέχοντας ταυτόχρονα όγκο και ρευστότητα στο σύνολο των εκδόσεων.  Επιπλέον, η τήρηση υψηλού ποσού συνολικών ταμιακών διαθεσίμων συνεισφέρει ουσιαστικά στην επίτευξη χαμηλού κόστους χρηματοδότησης, ενώ θετική επίδραση στην πορεία των ελληνικών ομολόγων στη δευτερογενή αγορά έχει η συνέχιση του έκτακτου προγράμματος αγοράς ομολόγων (“PEPP”) για την αντιμετώπιση των συνεπειών της πανδημίας, που υλοποιεί η Ευρωπαϊκή Κεντρική Τράπεζα και αναμένεται να διαρκέσει τουλάχιστον έως τον Μάρτιο του 2022. </w:t>
      </w:r>
    </w:p>
    <w:p w:rsidR="008719C1" w:rsidRDefault="00455148" w:rsidP="00AA248C">
      <w:pPr>
        <w:jc w:val="both"/>
        <w:rPr>
          <w:color w:val="FF0000"/>
          <w:szCs w:val="24"/>
        </w:rPr>
      </w:pPr>
      <w:r w:rsidRPr="00455148">
        <w:rPr>
          <w:noProof/>
          <w:szCs w:val="24"/>
        </w:rPr>
        <w:drawing>
          <wp:inline distT="0" distB="0" distL="0" distR="0">
            <wp:extent cx="6477000" cy="2257425"/>
            <wp:effectExtent l="19050" t="0" r="0" b="0"/>
            <wp:docPr id="73"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cstate="print"/>
                    <a:srcRect/>
                    <a:stretch>
                      <a:fillRect/>
                    </a:stretch>
                  </pic:blipFill>
                  <pic:spPr bwMode="auto">
                    <a:xfrm>
                      <a:off x="0" y="0"/>
                      <a:ext cx="6479540" cy="2258310"/>
                    </a:xfrm>
                    <a:prstGeom prst="rect">
                      <a:avLst/>
                    </a:prstGeom>
                    <a:noFill/>
                    <a:ln w="9525">
                      <a:noFill/>
                      <a:miter lim="800000"/>
                      <a:headEnd/>
                      <a:tailEnd/>
                    </a:ln>
                  </pic:spPr>
                </pic:pic>
              </a:graphicData>
            </a:graphic>
          </wp:inline>
        </w:drawing>
      </w:r>
    </w:p>
    <w:p w:rsidR="002245D4" w:rsidRPr="005A6E0C" w:rsidRDefault="002245D4" w:rsidP="00AA248C">
      <w:pPr>
        <w:jc w:val="both"/>
        <w:rPr>
          <w:color w:val="FF0000"/>
          <w:szCs w:val="24"/>
        </w:rPr>
      </w:pPr>
    </w:p>
    <w:p w:rsidR="00696734" w:rsidRPr="00147418" w:rsidRDefault="00696734" w:rsidP="00AA248C">
      <w:pPr>
        <w:jc w:val="both"/>
        <w:rPr>
          <w:szCs w:val="24"/>
        </w:rPr>
      </w:pPr>
      <w:r w:rsidRPr="00147418">
        <w:rPr>
          <w:rFonts w:eastAsiaTheme="majorEastAsia" w:cstheme="majorBidi"/>
          <w:b/>
          <w:color w:val="365F91" w:themeColor="accent1" w:themeShade="BF"/>
          <w:szCs w:val="24"/>
        </w:rPr>
        <w:t>Στρατηγική</w:t>
      </w:r>
    </w:p>
    <w:p w:rsidR="00696734" w:rsidRPr="00147418" w:rsidRDefault="00696734" w:rsidP="00AA248C">
      <w:pPr>
        <w:jc w:val="both"/>
        <w:rPr>
          <w:szCs w:val="24"/>
        </w:rPr>
      </w:pPr>
      <w:r w:rsidRPr="00147418">
        <w:rPr>
          <w:szCs w:val="24"/>
        </w:rPr>
        <w:t>Οι βασικοί στόχοι αναφορικά με τη στρατηγική διαχείρισης δημοσίου χρέους για τα επόμενα έτη, όπως αυτοί διαμορφώθηκαν μετά την ολοκλήρωση του τρίτου προγράμματος δημοσιονομικής προσαρμογής τον Αύγουστο 2018 και εξακολουθούν να ισχύουν τόσο σε βραχυπρόθεσμη όσο και σε μεσοπρόθεσμη βάση, συνοψίζονται στα ακόλουθα βασικά σημεία:</w:t>
      </w:r>
    </w:p>
    <w:p w:rsidR="00696734" w:rsidRPr="00147418" w:rsidRDefault="00696734" w:rsidP="00AA248C">
      <w:pPr>
        <w:pStyle w:val="a4"/>
        <w:numPr>
          <w:ilvl w:val="0"/>
          <w:numId w:val="2"/>
        </w:numPr>
        <w:jc w:val="both"/>
        <w:rPr>
          <w:szCs w:val="24"/>
        </w:rPr>
      </w:pPr>
      <w:r w:rsidRPr="00147418">
        <w:rPr>
          <w:szCs w:val="24"/>
        </w:rPr>
        <w:t>Κάλυψη των ετήσιων μικτών χρηματοδοτικών αναγκών του Ε.Δ. μέσω μίας συνεχούς και μόνιμης πρόσβασης στις διεθνείς κεφαλαιαγορές, βασιζόμενη σε μία αποτελεσματική στρατηγική εμπέδωσης σχέσεων εμπιστοσύνης και προσέγγισης επενδυτών.</w:t>
      </w:r>
    </w:p>
    <w:p w:rsidR="00696734" w:rsidRPr="00147418" w:rsidRDefault="00696734" w:rsidP="00AA248C">
      <w:pPr>
        <w:pStyle w:val="a4"/>
        <w:numPr>
          <w:ilvl w:val="0"/>
          <w:numId w:val="2"/>
        </w:numPr>
        <w:jc w:val="both"/>
        <w:rPr>
          <w:szCs w:val="24"/>
        </w:rPr>
      </w:pPr>
      <w:r w:rsidRPr="00147418">
        <w:rPr>
          <w:szCs w:val="24"/>
        </w:rPr>
        <w:t>Ενεργή διαχείριση των κινδύνων αγοράς που ενυπάρχουν στο χαρτοφυλάκιο του ελληνικού δημόσιου χρέους.</w:t>
      </w:r>
    </w:p>
    <w:p w:rsidR="00696734" w:rsidRPr="00147418" w:rsidRDefault="00696734" w:rsidP="00AA248C">
      <w:pPr>
        <w:pStyle w:val="a4"/>
        <w:numPr>
          <w:ilvl w:val="0"/>
          <w:numId w:val="2"/>
        </w:numPr>
        <w:jc w:val="both"/>
        <w:rPr>
          <w:szCs w:val="24"/>
        </w:rPr>
      </w:pPr>
      <w:r w:rsidRPr="00147418">
        <w:rPr>
          <w:szCs w:val="24"/>
        </w:rPr>
        <w:t>Διαχείριση των ταμειακών διαθεσίμων τόσο του Ελληνικού Δημοσίου όσο και των Φορέων Γενικής Κυβέρνησης.</w:t>
      </w:r>
    </w:p>
    <w:p w:rsidR="00696734" w:rsidRPr="00147418" w:rsidRDefault="00696734" w:rsidP="00AA248C">
      <w:pPr>
        <w:pStyle w:val="a4"/>
        <w:numPr>
          <w:ilvl w:val="0"/>
          <w:numId w:val="2"/>
        </w:numPr>
        <w:jc w:val="both"/>
        <w:rPr>
          <w:szCs w:val="24"/>
        </w:rPr>
      </w:pPr>
      <w:r w:rsidRPr="00147418">
        <w:rPr>
          <w:szCs w:val="24"/>
        </w:rPr>
        <w:t xml:space="preserve">Διαχείριση της βραχυχρόνιας ταμειακής ρευστότητας του Ελληνικού Δημοσίου. </w:t>
      </w:r>
    </w:p>
    <w:p w:rsidR="00696734" w:rsidRPr="00147418" w:rsidRDefault="00696734" w:rsidP="00AA248C">
      <w:pPr>
        <w:jc w:val="both"/>
        <w:rPr>
          <w:szCs w:val="24"/>
        </w:rPr>
      </w:pPr>
      <w:r w:rsidRPr="00147418">
        <w:rPr>
          <w:rFonts w:eastAsiaTheme="majorEastAsia" w:cstheme="majorBidi"/>
          <w:b/>
          <w:color w:val="365F91" w:themeColor="accent1" w:themeShade="BF"/>
          <w:szCs w:val="24"/>
        </w:rPr>
        <w:lastRenderedPageBreak/>
        <w:t>Πολιτική Δανεισμού</w:t>
      </w:r>
    </w:p>
    <w:p w:rsidR="00696734" w:rsidRPr="00147418" w:rsidRDefault="00696734" w:rsidP="00AA248C">
      <w:pPr>
        <w:jc w:val="both"/>
        <w:rPr>
          <w:szCs w:val="24"/>
        </w:rPr>
      </w:pPr>
      <w:r w:rsidRPr="00147418">
        <w:rPr>
          <w:szCs w:val="24"/>
        </w:rPr>
        <w:t>Η πολιτική δανεισμού για το επόμενο χρονικό διάστημα βασίζεται στις ακόλουθες αρχές:</w:t>
      </w:r>
    </w:p>
    <w:p w:rsidR="00696734" w:rsidRPr="00147418" w:rsidRDefault="00696734" w:rsidP="00AA248C">
      <w:pPr>
        <w:pStyle w:val="a4"/>
        <w:numPr>
          <w:ilvl w:val="0"/>
          <w:numId w:val="3"/>
        </w:numPr>
        <w:jc w:val="both"/>
        <w:rPr>
          <w:szCs w:val="24"/>
        </w:rPr>
      </w:pPr>
      <w:r w:rsidRPr="00147418">
        <w:rPr>
          <w:szCs w:val="24"/>
        </w:rPr>
        <w:t>Γνωστοποίηση με διαφανή τρόπο της ετήσιας στρατηγικής χρηματοδότησης του Ελληνικού Δημοσίου.</w:t>
      </w:r>
    </w:p>
    <w:p w:rsidR="00696734" w:rsidRPr="00147418" w:rsidRDefault="00696734" w:rsidP="00AA248C">
      <w:pPr>
        <w:pStyle w:val="a4"/>
        <w:numPr>
          <w:ilvl w:val="0"/>
          <w:numId w:val="3"/>
        </w:numPr>
        <w:jc w:val="both"/>
        <w:rPr>
          <w:szCs w:val="24"/>
        </w:rPr>
      </w:pPr>
      <w:r w:rsidRPr="00147418">
        <w:rPr>
          <w:szCs w:val="24"/>
        </w:rPr>
        <w:t>Διατήρηση της συνεχούς και μόνιμης παρουσίας του Ε.Δ. στις διεθνείς κεφαλαιαγορές.</w:t>
      </w:r>
    </w:p>
    <w:p w:rsidR="00696734" w:rsidRPr="00147418" w:rsidRDefault="00696734" w:rsidP="00AA248C">
      <w:pPr>
        <w:pStyle w:val="a4"/>
        <w:numPr>
          <w:ilvl w:val="0"/>
          <w:numId w:val="3"/>
        </w:numPr>
        <w:jc w:val="both"/>
        <w:rPr>
          <w:szCs w:val="24"/>
        </w:rPr>
      </w:pPr>
      <w:r w:rsidRPr="00147418">
        <w:rPr>
          <w:szCs w:val="24"/>
        </w:rPr>
        <w:t>Δημιουργία χώρου για εκδοτική δραστηριότητα.</w:t>
      </w:r>
    </w:p>
    <w:p w:rsidR="00696734" w:rsidRPr="00147418" w:rsidRDefault="00696734" w:rsidP="00AA248C">
      <w:pPr>
        <w:pStyle w:val="a4"/>
        <w:numPr>
          <w:ilvl w:val="0"/>
          <w:numId w:val="3"/>
        </w:numPr>
        <w:jc w:val="both"/>
        <w:rPr>
          <w:szCs w:val="24"/>
        </w:rPr>
      </w:pPr>
      <w:r w:rsidRPr="00147418">
        <w:rPr>
          <w:szCs w:val="24"/>
        </w:rPr>
        <w:t>Ολοκλήρωση της επανασύστασης και συνεχή επικαιροποίηση της καμπύλης αποδόσεων των ελληνικών κρατικών χρεογράφων.</w:t>
      </w:r>
    </w:p>
    <w:p w:rsidR="00696734" w:rsidRPr="00147418" w:rsidRDefault="00696734" w:rsidP="00AA248C">
      <w:pPr>
        <w:pStyle w:val="a4"/>
        <w:numPr>
          <w:ilvl w:val="0"/>
          <w:numId w:val="3"/>
        </w:numPr>
        <w:jc w:val="both"/>
        <w:rPr>
          <w:szCs w:val="24"/>
        </w:rPr>
      </w:pPr>
      <w:r w:rsidRPr="00147418">
        <w:rPr>
          <w:szCs w:val="24"/>
        </w:rPr>
        <w:t>Έκδοση κρατικών ομολόγων με ικανό ποσό έκδοσης ώστε να θεωρούνται εκδόσεις αναφοράς (</w:t>
      </w:r>
      <w:proofErr w:type="spellStart"/>
      <w:r w:rsidRPr="00147418">
        <w:rPr>
          <w:szCs w:val="24"/>
        </w:rPr>
        <w:t>benchmarks</w:t>
      </w:r>
      <w:proofErr w:type="spellEnd"/>
      <w:r w:rsidRPr="00147418">
        <w:rPr>
          <w:szCs w:val="24"/>
        </w:rPr>
        <w:t>) με όρους χωρών ευρωζώνης.</w:t>
      </w:r>
    </w:p>
    <w:p w:rsidR="00696734" w:rsidRPr="00147418" w:rsidRDefault="00696734" w:rsidP="00AA248C">
      <w:pPr>
        <w:pStyle w:val="a4"/>
        <w:numPr>
          <w:ilvl w:val="0"/>
          <w:numId w:val="3"/>
        </w:numPr>
        <w:jc w:val="both"/>
        <w:rPr>
          <w:szCs w:val="24"/>
        </w:rPr>
      </w:pPr>
      <w:r w:rsidRPr="00147418">
        <w:rPr>
          <w:szCs w:val="24"/>
        </w:rPr>
        <w:t>Διερεύνηση πιθανής έκδοσης «πράσινων ομολόγων» (</w:t>
      </w:r>
      <w:proofErr w:type="spellStart"/>
      <w:r w:rsidRPr="00147418">
        <w:rPr>
          <w:szCs w:val="24"/>
        </w:rPr>
        <w:t>green</w:t>
      </w:r>
      <w:proofErr w:type="spellEnd"/>
      <w:r w:rsidRPr="00147418">
        <w:rPr>
          <w:szCs w:val="24"/>
        </w:rPr>
        <w:t xml:space="preserve"> </w:t>
      </w:r>
      <w:proofErr w:type="spellStart"/>
      <w:r w:rsidRPr="00147418">
        <w:rPr>
          <w:szCs w:val="24"/>
        </w:rPr>
        <w:t>bonds</w:t>
      </w:r>
      <w:proofErr w:type="spellEnd"/>
      <w:r w:rsidRPr="00147418">
        <w:rPr>
          <w:szCs w:val="24"/>
        </w:rPr>
        <w:t xml:space="preserve">). </w:t>
      </w:r>
    </w:p>
    <w:p w:rsidR="00696734" w:rsidRPr="00147418" w:rsidRDefault="00696734" w:rsidP="00AA248C">
      <w:pPr>
        <w:pStyle w:val="a4"/>
        <w:numPr>
          <w:ilvl w:val="0"/>
          <w:numId w:val="3"/>
        </w:numPr>
        <w:jc w:val="both"/>
        <w:rPr>
          <w:szCs w:val="24"/>
        </w:rPr>
      </w:pPr>
      <w:r w:rsidRPr="00147418">
        <w:rPr>
          <w:szCs w:val="24"/>
        </w:rPr>
        <w:t>Περαιτέρω βελτίωση της ρευστότητας στη δευτερογενή αγορά ομολόγων.</w:t>
      </w:r>
    </w:p>
    <w:p w:rsidR="00696734" w:rsidRPr="00147418" w:rsidRDefault="00696734" w:rsidP="00AA248C">
      <w:pPr>
        <w:pStyle w:val="a4"/>
        <w:numPr>
          <w:ilvl w:val="0"/>
          <w:numId w:val="3"/>
        </w:numPr>
        <w:jc w:val="both"/>
        <w:rPr>
          <w:szCs w:val="24"/>
        </w:rPr>
      </w:pPr>
      <w:r w:rsidRPr="00147418">
        <w:rPr>
          <w:szCs w:val="24"/>
        </w:rPr>
        <w:t>Προσπάθεια μείωσης του περιθωρίου πιστωτικού κινδύνου (</w:t>
      </w:r>
      <w:proofErr w:type="spellStart"/>
      <w:r w:rsidRPr="00147418">
        <w:rPr>
          <w:szCs w:val="24"/>
        </w:rPr>
        <w:t>spread</w:t>
      </w:r>
      <w:proofErr w:type="spellEnd"/>
      <w:r w:rsidRPr="00147418">
        <w:rPr>
          <w:szCs w:val="24"/>
        </w:rPr>
        <w:t xml:space="preserve">) σε όλο το φάσμα της καμπύλης ώστε να προσεγγίσει αυτό των άλλων χωρών της ευρωζώνης. </w:t>
      </w:r>
    </w:p>
    <w:p w:rsidR="00696734" w:rsidRPr="00147418" w:rsidRDefault="00696734" w:rsidP="00AA248C">
      <w:pPr>
        <w:pStyle w:val="a4"/>
        <w:numPr>
          <w:ilvl w:val="0"/>
          <w:numId w:val="3"/>
        </w:numPr>
        <w:jc w:val="both"/>
        <w:rPr>
          <w:szCs w:val="24"/>
        </w:rPr>
      </w:pPr>
      <w:r w:rsidRPr="00147418">
        <w:rPr>
          <w:szCs w:val="24"/>
        </w:rPr>
        <w:t>Ενεργητική διαχείριση των κινδύνων αγοράς που ενυπάρχουν στο χαρτοφυλάκιο δημοσίου χρέους, τόσο μέσω μίας πολιτικής ενεργούς διαχείρισης όσο και μέσω της εκδοτικής δραστηριότητας, καθώς επίσης και περαιτέρω μείωση του κινδύνου αναχρηματοδότησης.</w:t>
      </w:r>
    </w:p>
    <w:p w:rsidR="00696734" w:rsidRPr="00147418" w:rsidRDefault="00696734" w:rsidP="00AA248C">
      <w:pPr>
        <w:pStyle w:val="a4"/>
        <w:numPr>
          <w:ilvl w:val="0"/>
          <w:numId w:val="3"/>
        </w:numPr>
        <w:jc w:val="both"/>
        <w:rPr>
          <w:szCs w:val="24"/>
        </w:rPr>
      </w:pPr>
      <w:r w:rsidRPr="00147418">
        <w:rPr>
          <w:szCs w:val="24"/>
        </w:rPr>
        <w:t>Διατήρηση του συνεχούς διαλόγου με την επενδυτική κοινότητα, οικοδόμηση ισχυρότερων σχέσεων με εν δυνάμει μελλοντικούς επενδυτές και προσπάθεια περαιτέρω επέκτασης της επενδυτικής βάσης.</w:t>
      </w:r>
    </w:p>
    <w:p w:rsidR="00696734" w:rsidRPr="00147418" w:rsidRDefault="00696734" w:rsidP="00AA248C">
      <w:pPr>
        <w:pStyle w:val="a4"/>
        <w:numPr>
          <w:ilvl w:val="0"/>
          <w:numId w:val="3"/>
        </w:numPr>
        <w:jc w:val="both"/>
        <w:rPr>
          <w:szCs w:val="24"/>
        </w:rPr>
      </w:pPr>
      <w:r w:rsidRPr="00147418">
        <w:rPr>
          <w:szCs w:val="24"/>
        </w:rPr>
        <w:t>Τακτική επικοινωνία με τους οίκους αξιολόγησης πιστοληπτικής ικανότητας, με ταυτόχρονη παροχή του συνόλου της αναγκαίας και απαραίτητης πληροφορίας.</w:t>
      </w:r>
    </w:p>
    <w:p w:rsidR="00696734" w:rsidRPr="00147418" w:rsidRDefault="00696734" w:rsidP="00AA248C">
      <w:pPr>
        <w:pStyle w:val="a4"/>
        <w:numPr>
          <w:ilvl w:val="0"/>
          <w:numId w:val="3"/>
        </w:numPr>
        <w:jc w:val="both"/>
        <w:rPr>
          <w:szCs w:val="24"/>
        </w:rPr>
      </w:pPr>
      <w:r w:rsidRPr="00147418">
        <w:rPr>
          <w:szCs w:val="24"/>
        </w:rPr>
        <w:t>Επέκταση της υφιστάμενης ενεργούς διαχείρισης της βραχυχρόνιας ρευστότητας και των κρατικών ταμειακών διαθεσίμων καθώς και των διαθεσίμων του συνόλου των Φορέων Γενικής Κυβέρνησης.</w:t>
      </w:r>
    </w:p>
    <w:p w:rsidR="00696734" w:rsidRPr="00147418" w:rsidRDefault="00696734" w:rsidP="00AA248C">
      <w:pPr>
        <w:jc w:val="both"/>
        <w:rPr>
          <w:szCs w:val="24"/>
        </w:rPr>
      </w:pPr>
    </w:p>
    <w:p w:rsidR="00696734" w:rsidRPr="00147418" w:rsidRDefault="00696734" w:rsidP="00AA248C">
      <w:pPr>
        <w:jc w:val="both"/>
        <w:rPr>
          <w:szCs w:val="24"/>
        </w:rPr>
      </w:pPr>
      <w:r w:rsidRPr="00147418">
        <w:rPr>
          <w:rFonts w:eastAsiaTheme="majorEastAsia" w:cstheme="majorBidi"/>
          <w:b/>
          <w:color w:val="365F91" w:themeColor="accent1" w:themeShade="BF"/>
          <w:szCs w:val="24"/>
        </w:rPr>
        <w:t>Διαχείριση Χαρτοφυλακίου</w:t>
      </w:r>
    </w:p>
    <w:p w:rsidR="00696734" w:rsidRPr="00147418" w:rsidRDefault="00696734" w:rsidP="00AA248C">
      <w:pPr>
        <w:jc w:val="both"/>
        <w:rPr>
          <w:szCs w:val="24"/>
        </w:rPr>
      </w:pPr>
      <w:r w:rsidRPr="00147418">
        <w:rPr>
          <w:szCs w:val="24"/>
        </w:rPr>
        <w:t>Η πολιτική διαχείρισης του χαρτοφυλακίου δημοσίου χρέους στηρίζεται στις ακόλουθες αρχές:</w:t>
      </w:r>
    </w:p>
    <w:p w:rsidR="00696734" w:rsidRPr="00147418" w:rsidRDefault="00696734" w:rsidP="00AA248C">
      <w:pPr>
        <w:pStyle w:val="a4"/>
        <w:numPr>
          <w:ilvl w:val="0"/>
          <w:numId w:val="4"/>
        </w:numPr>
        <w:jc w:val="both"/>
        <w:rPr>
          <w:szCs w:val="24"/>
        </w:rPr>
      </w:pPr>
      <w:r w:rsidRPr="00147418">
        <w:rPr>
          <w:szCs w:val="24"/>
        </w:rPr>
        <w:t xml:space="preserve">Διερεύνηση και αξιοποίηση των ευκαιριών που προκύπτουν από τις εκάστοτε συνθήκες των αγορών. </w:t>
      </w:r>
    </w:p>
    <w:p w:rsidR="00696734" w:rsidRPr="00147418" w:rsidRDefault="00696734" w:rsidP="00AA248C">
      <w:pPr>
        <w:pStyle w:val="a4"/>
        <w:numPr>
          <w:ilvl w:val="0"/>
          <w:numId w:val="4"/>
        </w:numPr>
        <w:jc w:val="both"/>
        <w:rPr>
          <w:szCs w:val="24"/>
        </w:rPr>
      </w:pPr>
      <w:r w:rsidRPr="00147418">
        <w:rPr>
          <w:szCs w:val="24"/>
        </w:rPr>
        <w:t>Σύναψη διαχειριστικών πράξεων για τη βελτιστοποίηση του  συνολικού κόστους εξυπηρέτησης.</w:t>
      </w:r>
    </w:p>
    <w:p w:rsidR="00696734" w:rsidRPr="00147418" w:rsidRDefault="00696734" w:rsidP="00AA248C">
      <w:pPr>
        <w:pStyle w:val="a4"/>
        <w:numPr>
          <w:ilvl w:val="0"/>
          <w:numId w:val="4"/>
        </w:numPr>
        <w:jc w:val="both"/>
        <w:rPr>
          <w:szCs w:val="24"/>
        </w:rPr>
      </w:pPr>
      <w:r w:rsidRPr="00147418">
        <w:rPr>
          <w:szCs w:val="24"/>
        </w:rPr>
        <w:t xml:space="preserve">Αναδόμηση ή ακύρωση υφιστάμενων διαχειριστικών πράξεων που είχαν συναφθεί κατά το παρελθόν προκειμένου να αντισταθμίζουν κινδύνους αγοράς οι οποίοι πλέον ελλείπουν. </w:t>
      </w:r>
    </w:p>
    <w:p w:rsidR="00696734" w:rsidRPr="00147418" w:rsidRDefault="00696734" w:rsidP="00AA248C">
      <w:pPr>
        <w:pStyle w:val="a4"/>
        <w:numPr>
          <w:ilvl w:val="0"/>
          <w:numId w:val="4"/>
        </w:numPr>
        <w:jc w:val="both"/>
        <w:rPr>
          <w:szCs w:val="24"/>
        </w:rPr>
      </w:pPr>
      <w:r w:rsidRPr="00147418">
        <w:rPr>
          <w:szCs w:val="24"/>
        </w:rPr>
        <w:t xml:space="preserve">Αποφυγή της ενσωμάτωσης </w:t>
      </w:r>
      <w:proofErr w:type="spellStart"/>
      <w:r w:rsidRPr="00147418">
        <w:rPr>
          <w:szCs w:val="24"/>
        </w:rPr>
        <w:t>συστημικών</w:t>
      </w:r>
      <w:proofErr w:type="spellEnd"/>
      <w:r w:rsidRPr="00147418">
        <w:rPr>
          <w:szCs w:val="24"/>
        </w:rPr>
        <w:t xml:space="preserve"> κινδύνων στο χαρτοφυλάκιο χρέους. </w:t>
      </w:r>
    </w:p>
    <w:p w:rsidR="00696734" w:rsidRPr="00147418" w:rsidRDefault="00696734" w:rsidP="00AA248C">
      <w:pPr>
        <w:pStyle w:val="a4"/>
        <w:numPr>
          <w:ilvl w:val="0"/>
          <w:numId w:val="4"/>
        </w:numPr>
        <w:jc w:val="both"/>
        <w:rPr>
          <w:szCs w:val="24"/>
        </w:rPr>
      </w:pPr>
      <w:r w:rsidRPr="00147418">
        <w:rPr>
          <w:szCs w:val="24"/>
        </w:rPr>
        <w:t>Διατήρηση του συναλλαγματικού κινδύνου στα τρέχοντα ελάχιστα επίπεδα.</w:t>
      </w:r>
    </w:p>
    <w:p w:rsidR="00696734" w:rsidRPr="00147418" w:rsidRDefault="00696734" w:rsidP="00AA248C">
      <w:pPr>
        <w:pStyle w:val="a4"/>
        <w:numPr>
          <w:ilvl w:val="0"/>
          <w:numId w:val="4"/>
        </w:numPr>
        <w:jc w:val="both"/>
        <w:rPr>
          <w:szCs w:val="24"/>
        </w:rPr>
      </w:pPr>
      <w:r w:rsidRPr="00147418">
        <w:rPr>
          <w:szCs w:val="24"/>
        </w:rPr>
        <w:t>Διατήρηση του υφιστάμενου χαμηλού ποσοστού συμμετοχής υποχρεώσεων κυμαινόμενου επιτοκίου στο συνολικό χαρτοφυλάκιο.</w:t>
      </w:r>
    </w:p>
    <w:p w:rsidR="00696734" w:rsidRPr="00147418" w:rsidRDefault="00696734" w:rsidP="00AA248C">
      <w:pPr>
        <w:pStyle w:val="a4"/>
        <w:numPr>
          <w:ilvl w:val="0"/>
          <w:numId w:val="4"/>
        </w:numPr>
        <w:jc w:val="both"/>
        <w:rPr>
          <w:szCs w:val="24"/>
        </w:rPr>
      </w:pPr>
      <w:r w:rsidRPr="00147418">
        <w:rPr>
          <w:szCs w:val="24"/>
        </w:rPr>
        <w:t xml:space="preserve">Διατήρηση του </w:t>
      </w:r>
      <w:proofErr w:type="spellStart"/>
      <w:r w:rsidRPr="00147418">
        <w:rPr>
          <w:szCs w:val="24"/>
        </w:rPr>
        <w:t>επιτοκιακού</w:t>
      </w:r>
      <w:proofErr w:type="spellEnd"/>
      <w:r w:rsidRPr="00147418">
        <w:rPr>
          <w:szCs w:val="24"/>
        </w:rPr>
        <w:t xml:space="preserve"> κινδύνου στα τρέχοντα επίπεδα, ιδιαίτερα υπό τις σημερινές συνθήκες ιστορικά χαμηλών  επιτοκίων. </w:t>
      </w:r>
    </w:p>
    <w:p w:rsidR="00696734" w:rsidRPr="00147418" w:rsidRDefault="00696734" w:rsidP="00AA248C">
      <w:pPr>
        <w:pStyle w:val="a4"/>
        <w:numPr>
          <w:ilvl w:val="0"/>
          <w:numId w:val="4"/>
        </w:numPr>
        <w:jc w:val="both"/>
        <w:rPr>
          <w:szCs w:val="24"/>
        </w:rPr>
      </w:pPr>
      <w:r w:rsidRPr="00147418">
        <w:rPr>
          <w:szCs w:val="24"/>
        </w:rPr>
        <w:t xml:space="preserve">Διατήρηση της ήδη μεγάλης μέσης σταθμικής φυσικής διάρκειας του χαρτοφυλακίου χρέους και του μέσου χρόνου </w:t>
      </w:r>
      <w:proofErr w:type="spellStart"/>
      <w:r w:rsidRPr="00147418">
        <w:rPr>
          <w:szCs w:val="24"/>
        </w:rPr>
        <w:t>ανατιμολόγησης</w:t>
      </w:r>
      <w:proofErr w:type="spellEnd"/>
      <w:r w:rsidRPr="00147418">
        <w:rPr>
          <w:szCs w:val="24"/>
        </w:rPr>
        <w:t xml:space="preserve"> (</w:t>
      </w:r>
      <w:proofErr w:type="spellStart"/>
      <w:r w:rsidRPr="00147418">
        <w:rPr>
          <w:szCs w:val="24"/>
        </w:rPr>
        <w:t>r</w:t>
      </w:r>
      <w:r w:rsidR="008E31B4" w:rsidRPr="00147418">
        <w:rPr>
          <w:szCs w:val="24"/>
        </w:rPr>
        <w:t>e</w:t>
      </w:r>
      <w:proofErr w:type="spellEnd"/>
      <w:r w:rsidR="008E31B4" w:rsidRPr="00147418">
        <w:rPr>
          <w:szCs w:val="24"/>
        </w:rPr>
        <w:t>-</w:t>
      </w:r>
      <w:proofErr w:type="spellStart"/>
      <w:r w:rsidR="008E31B4" w:rsidRPr="00147418">
        <w:rPr>
          <w:szCs w:val="24"/>
        </w:rPr>
        <w:t>fixing</w:t>
      </w:r>
      <w:proofErr w:type="spellEnd"/>
      <w:r w:rsidR="008E31B4" w:rsidRPr="00147418">
        <w:rPr>
          <w:szCs w:val="24"/>
        </w:rPr>
        <w:t>).</w:t>
      </w:r>
    </w:p>
    <w:p w:rsidR="00696734" w:rsidRPr="00147418" w:rsidRDefault="00696734" w:rsidP="00AA248C">
      <w:pPr>
        <w:pStyle w:val="a4"/>
        <w:numPr>
          <w:ilvl w:val="0"/>
          <w:numId w:val="4"/>
        </w:numPr>
        <w:jc w:val="both"/>
        <w:rPr>
          <w:szCs w:val="24"/>
        </w:rPr>
      </w:pPr>
      <w:r w:rsidRPr="00147418">
        <w:rPr>
          <w:szCs w:val="24"/>
        </w:rPr>
        <w:t>Είσπραξη θετικής παρούσας αξίας μέσω αναδόμησης υφιστάμενων διαχειριστικών πράξεων, υπό την προϋπόθεση ότι οι προαναφερόμενοι διαχειριστικοί στόχοι ικανοποιούνται.</w:t>
      </w:r>
    </w:p>
    <w:p w:rsidR="00696734" w:rsidRPr="00147418" w:rsidRDefault="00696734" w:rsidP="00AA248C">
      <w:pPr>
        <w:pStyle w:val="a4"/>
        <w:numPr>
          <w:ilvl w:val="0"/>
          <w:numId w:val="4"/>
        </w:numPr>
        <w:jc w:val="both"/>
        <w:rPr>
          <w:szCs w:val="24"/>
        </w:rPr>
      </w:pPr>
      <w:r w:rsidRPr="00147418">
        <w:rPr>
          <w:szCs w:val="24"/>
        </w:rPr>
        <w:t>Αναγωγή και εφαρμογή των προαναφερομένων αρχών με όρους Γενικής Κυβέρνησης.</w:t>
      </w:r>
    </w:p>
    <w:p w:rsidR="00D512E5" w:rsidRPr="00D512E5" w:rsidRDefault="00D512E5" w:rsidP="004F6DB4">
      <w:pPr>
        <w:spacing w:line="360" w:lineRule="auto"/>
        <w:jc w:val="both"/>
      </w:pPr>
    </w:p>
    <w:p w:rsidR="00D512E5" w:rsidRPr="005170CC" w:rsidRDefault="00D512E5" w:rsidP="00AA248C">
      <w:pPr>
        <w:pStyle w:val="2"/>
        <w:spacing w:before="0" w:after="200"/>
        <w:jc w:val="both"/>
        <w:rPr>
          <w:rFonts w:asciiTheme="minorHAnsi" w:hAnsiTheme="minorHAnsi"/>
          <w:b/>
          <w:sz w:val="24"/>
          <w:szCs w:val="24"/>
        </w:rPr>
      </w:pPr>
      <w:bookmarkStart w:id="22" w:name="_Toc74930202"/>
      <w:r w:rsidRPr="005170CC">
        <w:rPr>
          <w:rFonts w:asciiTheme="minorHAnsi" w:hAnsiTheme="minorHAnsi"/>
          <w:b/>
          <w:sz w:val="24"/>
          <w:szCs w:val="24"/>
        </w:rPr>
        <w:lastRenderedPageBreak/>
        <w:t>2.</w:t>
      </w:r>
      <w:r w:rsidR="00236400" w:rsidRPr="005170CC">
        <w:rPr>
          <w:rFonts w:asciiTheme="minorHAnsi" w:hAnsiTheme="minorHAnsi"/>
          <w:b/>
          <w:sz w:val="24"/>
          <w:szCs w:val="24"/>
        </w:rPr>
        <w:t>9</w:t>
      </w:r>
      <w:r w:rsidRPr="005170CC">
        <w:rPr>
          <w:rFonts w:asciiTheme="minorHAnsi" w:hAnsiTheme="minorHAnsi"/>
          <w:b/>
          <w:sz w:val="24"/>
          <w:szCs w:val="24"/>
        </w:rPr>
        <w:t xml:space="preserve"> </w:t>
      </w:r>
      <w:r w:rsidR="00236400" w:rsidRPr="005170CC">
        <w:rPr>
          <w:rFonts w:asciiTheme="minorHAnsi" w:hAnsiTheme="minorHAnsi"/>
          <w:b/>
          <w:sz w:val="24"/>
          <w:szCs w:val="24"/>
        </w:rPr>
        <w:t>Αποκρατικοποιήσεις</w:t>
      </w:r>
      <w:bookmarkEnd w:id="22"/>
      <w:r w:rsidR="00236400" w:rsidRPr="005170CC">
        <w:rPr>
          <w:rFonts w:asciiTheme="minorHAnsi" w:hAnsiTheme="minorHAnsi"/>
          <w:b/>
          <w:sz w:val="24"/>
          <w:szCs w:val="24"/>
        </w:rPr>
        <w:t xml:space="preserve"> </w:t>
      </w:r>
    </w:p>
    <w:p w:rsidR="00D512E5" w:rsidRPr="00147418" w:rsidRDefault="00D512E5" w:rsidP="00AA248C">
      <w:pPr>
        <w:jc w:val="both"/>
        <w:rPr>
          <w:sz w:val="20"/>
        </w:rPr>
      </w:pPr>
    </w:p>
    <w:p w:rsidR="00D512E5" w:rsidRPr="00147418" w:rsidRDefault="009A08DC" w:rsidP="00AA248C">
      <w:pPr>
        <w:jc w:val="both"/>
        <w:rPr>
          <w:rFonts w:eastAsiaTheme="majorEastAsia" w:cstheme="majorBidi"/>
          <w:b/>
          <w:color w:val="365F91" w:themeColor="accent1" w:themeShade="BF"/>
          <w:szCs w:val="24"/>
        </w:rPr>
      </w:pPr>
      <w:r w:rsidRPr="00147418">
        <w:rPr>
          <w:rFonts w:eastAsiaTheme="majorEastAsia" w:cstheme="majorBidi"/>
          <w:b/>
          <w:color w:val="365F91" w:themeColor="accent1" w:themeShade="BF"/>
          <w:szCs w:val="24"/>
        </w:rPr>
        <w:t>Αξιοποίηση της περιουσίας του Ελληνικού Δημοσίου – Αποκρατικοποιήσεις</w:t>
      </w:r>
    </w:p>
    <w:p w:rsidR="00CC56B8" w:rsidRDefault="00CC56B8" w:rsidP="00CC56B8">
      <w:pPr>
        <w:jc w:val="both"/>
        <w:rPr>
          <w:szCs w:val="24"/>
        </w:rPr>
      </w:pPr>
      <w:r w:rsidRPr="00147418">
        <w:rPr>
          <w:szCs w:val="24"/>
        </w:rPr>
        <w:t>Το πρόγραμμα αξιοποίησης της περιουσίας του Δημοσίου και αποκρατικοποιήσεων, εξακολουθεί να βρίσκεται σε πλήρη εξέλιξη (</w:t>
      </w:r>
      <w:r>
        <w:rPr>
          <w:szCs w:val="24"/>
        </w:rPr>
        <w:t>Π</w:t>
      </w:r>
      <w:r w:rsidRPr="005A4A64">
        <w:rPr>
          <w:szCs w:val="24"/>
        </w:rPr>
        <w:t>ίνακας 21).</w:t>
      </w:r>
    </w:p>
    <w:p w:rsidR="000614CA" w:rsidRPr="00147418" w:rsidRDefault="000614CA" w:rsidP="00AA248C">
      <w:pPr>
        <w:jc w:val="both"/>
        <w:rPr>
          <w:szCs w:val="24"/>
        </w:rPr>
      </w:pPr>
    </w:p>
    <w:p w:rsidR="009A08DC" w:rsidRDefault="00455148" w:rsidP="00AA248C">
      <w:pPr>
        <w:jc w:val="both"/>
        <w:rPr>
          <w:szCs w:val="24"/>
        </w:rPr>
      </w:pPr>
      <w:r w:rsidRPr="00455148">
        <w:rPr>
          <w:noProof/>
          <w:szCs w:val="24"/>
        </w:rPr>
        <w:drawing>
          <wp:inline distT="0" distB="0" distL="0" distR="0">
            <wp:extent cx="6479540" cy="1262363"/>
            <wp:effectExtent l="19050" t="0" r="0" b="0"/>
            <wp:docPr id="74"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cstate="print"/>
                    <a:srcRect/>
                    <a:stretch>
                      <a:fillRect/>
                    </a:stretch>
                  </pic:blipFill>
                  <pic:spPr bwMode="auto">
                    <a:xfrm>
                      <a:off x="0" y="0"/>
                      <a:ext cx="6479540" cy="1262363"/>
                    </a:xfrm>
                    <a:prstGeom prst="rect">
                      <a:avLst/>
                    </a:prstGeom>
                    <a:noFill/>
                    <a:ln w="9525">
                      <a:noFill/>
                      <a:miter lim="800000"/>
                      <a:headEnd/>
                      <a:tailEnd/>
                    </a:ln>
                  </pic:spPr>
                </pic:pic>
              </a:graphicData>
            </a:graphic>
          </wp:inline>
        </w:drawing>
      </w:r>
    </w:p>
    <w:p w:rsidR="000614CA" w:rsidRDefault="000614CA" w:rsidP="00AA248C">
      <w:pPr>
        <w:jc w:val="both"/>
        <w:rPr>
          <w:szCs w:val="24"/>
        </w:rPr>
      </w:pPr>
    </w:p>
    <w:p w:rsidR="009A08DC" w:rsidRPr="00147418" w:rsidRDefault="009A08DC" w:rsidP="00AA248C">
      <w:pPr>
        <w:jc w:val="both"/>
        <w:rPr>
          <w:szCs w:val="24"/>
        </w:rPr>
      </w:pPr>
      <w:r w:rsidRPr="00147418">
        <w:rPr>
          <w:szCs w:val="24"/>
        </w:rPr>
        <w:t>Τα έσοδα του 2019 προήλθαν από:</w:t>
      </w:r>
    </w:p>
    <w:p w:rsidR="009A08DC" w:rsidRPr="00147418" w:rsidRDefault="009A08DC" w:rsidP="00AA248C">
      <w:pPr>
        <w:pStyle w:val="a4"/>
        <w:numPr>
          <w:ilvl w:val="0"/>
          <w:numId w:val="6"/>
        </w:numPr>
        <w:jc w:val="both"/>
        <w:rPr>
          <w:szCs w:val="24"/>
        </w:rPr>
      </w:pPr>
      <w:r w:rsidRPr="00147418">
        <w:rPr>
          <w:szCs w:val="24"/>
        </w:rPr>
        <w:t xml:space="preserve">τους διαγωνισμούς που έχουν κλείσει σε προηγούμενα έτη και λαμβάνονται οι ετήσιες δόσεις του τιμήματος, π.χ. ΟΠΑΠ, 14 Περιφερειακά αεροδρόμια, </w:t>
      </w:r>
      <w:proofErr w:type="spellStart"/>
      <w:r w:rsidRPr="00147418">
        <w:rPr>
          <w:szCs w:val="24"/>
        </w:rPr>
        <w:t>Κασσιώπη</w:t>
      </w:r>
      <w:proofErr w:type="spellEnd"/>
      <w:r w:rsidRPr="00147418">
        <w:rPr>
          <w:szCs w:val="24"/>
        </w:rPr>
        <w:t>,</w:t>
      </w:r>
    </w:p>
    <w:p w:rsidR="009A08DC" w:rsidRPr="00147418" w:rsidRDefault="009A08DC" w:rsidP="00AA248C">
      <w:pPr>
        <w:pStyle w:val="a4"/>
        <w:numPr>
          <w:ilvl w:val="0"/>
          <w:numId w:val="6"/>
        </w:numPr>
        <w:jc w:val="both"/>
        <w:rPr>
          <w:szCs w:val="24"/>
        </w:rPr>
      </w:pPr>
      <w:r w:rsidRPr="00147418">
        <w:rPr>
          <w:szCs w:val="24"/>
        </w:rPr>
        <w:t xml:space="preserve">τους διαγωνισμούς που ολοκληρώθηκαν μέσα στο έτος, π.χ. ΕΕΣΤΥ, Επέκταση ΑΙΑ, Νότιο </w:t>
      </w:r>
      <w:proofErr w:type="spellStart"/>
      <w:r w:rsidRPr="00147418">
        <w:rPr>
          <w:szCs w:val="24"/>
        </w:rPr>
        <w:t>Αφάντου</w:t>
      </w:r>
      <w:proofErr w:type="spellEnd"/>
      <w:r w:rsidRPr="00147418">
        <w:rPr>
          <w:szCs w:val="24"/>
        </w:rPr>
        <w:t xml:space="preserve">, </w:t>
      </w:r>
    </w:p>
    <w:p w:rsidR="009A08DC" w:rsidRPr="00147418" w:rsidRDefault="009A08DC" w:rsidP="00AA248C">
      <w:pPr>
        <w:pStyle w:val="a4"/>
        <w:numPr>
          <w:ilvl w:val="0"/>
          <w:numId w:val="6"/>
        </w:numPr>
        <w:jc w:val="both"/>
        <w:rPr>
          <w:szCs w:val="24"/>
        </w:rPr>
      </w:pPr>
      <w:r w:rsidRPr="00147418">
        <w:rPr>
          <w:szCs w:val="24"/>
        </w:rPr>
        <w:t>την πώληση λοιπών ακινήτων.</w:t>
      </w:r>
    </w:p>
    <w:p w:rsidR="009A08DC" w:rsidRPr="00147418" w:rsidRDefault="009A08DC" w:rsidP="00AA248C">
      <w:pPr>
        <w:jc w:val="both"/>
        <w:rPr>
          <w:szCs w:val="24"/>
        </w:rPr>
      </w:pPr>
      <w:r w:rsidRPr="00147418">
        <w:rPr>
          <w:szCs w:val="24"/>
        </w:rPr>
        <w:t>Τα έσοδα του 2020 προήλθαν από:</w:t>
      </w:r>
    </w:p>
    <w:p w:rsidR="009A08DC" w:rsidRPr="00147418" w:rsidRDefault="009A08DC" w:rsidP="00AA248C">
      <w:pPr>
        <w:pStyle w:val="a4"/>
        <w:numPr>
          <w:ilvl w:val="0"/>
          <w:numId w:val="7"/>
        </w:numPr>
        <w:jc w:val="both"/>
        <w:rPr>
          <w:szCs w:val="24"/>
        </w:rPr>
      </w:pPr>
      <w:r w:rsidRPr="00147418">
        <w:rPr>
          <w:szCs w:val="24"/>
        </w:rPr>
        <w:t xml:space="preserve">τους διαγωνισμούς που έχουν κλείσει σε προηγούμενα έτη και λαμβάνονται οι ετήσιες δόσεις του τιμήματος, π.χ. ΟΠΑΠ, </w:t>
      </w:r>
      <w:proofErr w:type="spellStart"/>
      <w:r w:rsidRPr="00147418">
        <w:rPr>
          <w:szCs w:val="24"/>
        </w:rPr>
        <w:t>Κασσιώπη</w:t>
      </w:r>
      <w:proofErr w:type="spellEnd"/>
      <w:r w:rsidRPr="00147418">
        <w:rPr>
          <w:szCs w:val="24"/>
        </w:rPr>
        <w:t xml:space="preserve">, </w:t>
      </w:r>
    </w:p>
    <w:p w:rsidR="009A08DC" w:rsidRPr="00147418" w:rsidRDefault="009A08DC" w:rsidP="00AA248C">
      <w:pPr>
        <w:pStyle w:val="a4"/>
        <w:numPr>
          <w:ilvl w:val="0"/>
          <w:numId w:val="7"/>
        </w:numPr>
        <w:jc w:val="both"/>
        <w:rPr>
          <w:szCs w:val="24"/>
        </w:rPr>
      </w:pPr>
      <w:r w:rsidRPr="00147418">
        <w:rPr>
          <w:szCs w:val="24"/>
        </w:rPr>
        <w:t xml:space="preserve">τους διαγωνισμούς που ολοκληρώθηκαν μέσα στο έτος, π.χ. Μαρίνα Χίου, Μαρίνα Αλίμου, </w:t>
      </w:r>
      <w:proofErr w:type="spellStart"/>
      <w:r w:rsidRPr="00147418">
        <w:rPr>
          <w:szCs w:val="24"/>
        </w:rPr>
        <w:t>Castello</w:t>
      </w:r>
      <w:proofErr w:type="spellEnd"/>
      <w:r w:rsidRPr="00147418">
        <w:rPr>
          <w:szCs w:val="24"/>
        </w:rPr>
        <w:t xml:space="preserve"> </w:t>
      </w:r>
      <w:proofErr w:type="spellStart"/>
      <w:r w:rsidRPr="00147418">
        <w:rPr>
          <w:szCs w:val="24"/>
        </w:rPr>
        <w:t>Bibelli</w:t>
      </w:r>
      <w:proofErr w:type="spellEnd"/>
      <w:r w:rsidRPr="00147418">
        <w:rPr>
          <w:szCs w:val="24"/>
        </w:rPr>
        <w:t>,</w:t>
      </w:r>
    </w:p>
    <w:p w:rsidR="009A08DC" w:rsidRPr="00147418" w:rsidRDefault="009A08DC" w:rsidP="00AA248C">
      <w:pPr>
        <w:pStyle w:val="a4"/>
        <w:numPr>
          <w:ilvl w:val="0"/>
          <w:numId w:val="7"/>
        </w:numPr>
        <w:jc w:val="both"/>
        <w:rPr>
          <w:szCs w:val="24"/>
        </w:rPr>
      </w:pPr>
      <w:r w:rsidRPr="00147418">
        <w:rPr>
          <w:szCs w:val="24"/>
        </w:rPr>
        <w:t>την πώληση λοιπών ακινήτων.</w:t>
      </w:r>
    </w:p>
    <w:p w:rsidR="009A08DC" w:rsidRPr="00147418" w:rsidRDefault="009A08DC" w:rsidP="00AA248C">
      <w:pPr>
        <w:jc w:val="both"/>
        <w:rPr>
          <w:szCs w:val="24"/>
        </w:rPr>
      </w:pPr>
      <w:r w:rsidRPr="00147418">
        <w:rPr>
          <w:szCs w:val="24"/>
        </w:rPr>
        <w:t>Τα έσοδα του 2021 θα προέλθουν από:</w:t>
      </w:r>
    </w:p>
    <w:p w:rsidR="009A08DC" w:rsidRPr="00147418" w:rsidRDefault="009A08DC" w:rsidP="00AA248C">
      <w:pPr>
        <w:pStyle w:val="a4"/>
        <w:numPr>
          <w:ilvl w:val="0"/>
          <w:numId w:val="8"/>
        </w:numPr>
        <w:jc w:val="both"/>
        <w:rPr>
          <w:szCs w:val="24"/>
        </w:rPr>
      </w:pPr>
      <w:r w:rsidRPr="00147418">
        <w:rPr>
          <w:szCs w:val="24"/>
        </w:rPr>
        <w:t>τους διαγωνισμούς που έχουν κλείσει σε προηγούμενα έτη και λαμβάνονται οι επόμενες δόσεις, π.χ. ΟΠΑΠ, Δικαιώματα κινητής τηλεφωνίας, ψηφιακό μέρισμα, ηλεκτρονικές δημοπρασίες ακινήτων,</w:t>
      </w:r>
    </w:p>
    <w:p w:rsidR="009A08DC" w:rsidRPr="00147418" w:rsidRDefault="009A08DC" w:rsidP="00AA248C">
      <w:pPr>
        <w:pStyle w:val="a4"/>
        <w:numPr>
          <w:ilvl w:val="0"/>
          <w:numId w:val="8"/>
        </w:numPr>
        <w:jc w:val="both"/>
        <w:rPr>
          <w:szCs w:val="24"/>
        </w:rPr>
      </w:pPr>
      <w:r w:rsidRPr="00147418">
        <w:rPr>
          <w:szCs w:val="24"/>
        </w:rPr>
        <w:t>την πώληση λοιπών ακινήτων,</w:t>
      </w:r>
    </w:p>
    <w:p w:rsidR="009A08DC" w:rsidRPr="00147418" w:rsidRDefault="009A08DC" w:rsidP="00AA248C">
      <w:pPr>
        <w:pStyle w:val="a4"/>
        <w:numPr>
          <w:ilvl w:val="0"/>
          <w:numId w:val="8"/>
        </w:numPr>
        <w:jc w:val="both"/>
        <w:rPr>
          <w:szCs w:val="24"/>
        </w:rPr>
      </w:pPr>
      <w:r w:rsidRPr="00147418">
        <w:rPr>
          <w:szCs w:val="24"/>
        </w:rPr>
        <w:t xml:space="preserve">νέους διαγωνισμούς που θα διεξαχθούν ή διεξήχθησαν και πρόκειται να ολοκληρωθούν μέσα στο έτος, π.χ. Δικαιώματα συχνοτήτων κινητής τηλεφωνίας (5G), Ελληνικό, Βόρειο </w:t>
      </w:r>
      <w:proofErr w:type="spellStart"/>
      <w:r w:rsidRPr="00147418">
        <w:rPr>
          <w:szCs w:val="24"/>
        </w:rPr>
        <w:t>Αφάντου</w:t>
      </w:r>
      <w:proofErr w:type="spellEnd"/>
      <w:r w:rsidRPr="00147418">
        <w:rPr>
          <w:szCs w:val="24"/>
        </w:rPr>
        <w:t xml:space="preserve"> κ.α.</w:t>
      </w:r>
    </w:p>
    <w:p w:rsidR="009A08DC" w:rsidRPr="00147418" w:rsidRDefault="009A08DC" w:rsidP="00AA248C">
      <w:pPr>
        <w:jc w:val="both"/>
        <w:rPr>
          <w:szCs w:val="24"/>
        </w:rPr>
      </w:pPr>
      <w:r w:rsidRPr="00147418">
        <w:rPr>
          <w:szCs w:val="24"/>
        </w:rPr>
        <w:t>Από το 2022 και μετά τα έσοδα θα προέλθουν κυρίως από διαγωνισμούς που  βρίσκονται σε εξέλιξη ή πρόκειται να διεξαχθούν, σύμφωνα με το Επιχειρησιακό Πρόγραμμα Αξιοποίησης του ΤΑΙΠΕΔ, π.χ. Εγνατία, Διεθνής Αερολιμένας Αθηνών, ΕΛΠΕ, Αττική Οδός, Μαρίνες, ΔΕΠΑ Εμπορίας, ΔΕΠΑ Υποδομών, ΔΕΗ, ΕΥΑΘ, ΕΥΔΑΠ, Υπόγεια Αποθήκη Νότιας Καβάλας κ.α.</w:t>
      </w:r>
    </w:p>
    <w:p w:rsidR="00F635B8" w:rsidRDefault="00F635B8" w:rsidP="004F6DB4">
      <w:pPr>
        <w:spacing w:line="360" w:lineRule="auto"/>
        <w:jc w:val="both"/>
        <w:rPr>
          <w:rFonts w:eastAsiaTheme="majorEastAsia" w:cstheme="majorBidi"/>
          <w:b/>
          <w:color w:val="365F91" w:themeColor="accent1" w:themeShade="BF"/>
          <w:sz w:val="24"/>
          <w:szCs w:val="24"/>
        </w:rPr>
      </w:pPr>
    </w:p>
    <w:p w:rsidR="00D512E5" w:rsidRPr="005170CC" w:rsidRDefault="00D512E5" w:rsidP="00AA248C">
      <w:pPr>
        <w:pStyle w:val="2"/>
        <w:spacing w:before="0" w:after="200"/>
        <w:jc w:val="both"/>
        <w:rPr>
          <w:rFonts w:asciiTheme="minorHAnsi" w:hAnsiTheme="minorHAnsi"/>
          <w:b/>
          <w:sz w:val="24"/>
          <w:szCs w:val="24"/>
        </w:rPr>
      </w:pPr>
      <w:bookmarkStart w:id="23" w:name="_Toc74930203"/>
      <w:r w:rsidRPr="005170CC">
        <w:rPr>
          <w:rFonts w:asciiTheme="minorHAnsi" w:hAnsiTheme="minorHAnsi"/>
          <w:b/>
          <w:sz w:val="24"/>
          <w:szCs w:val="24"/>
        </w:rPr>
        <w:lastRenderedPageBreak/>
        <w:t>2.</w:t>
      </w:r>
      <w:r w:rsidR="00236400" w:rsidRPr="005170CC">
        <w:rPr>
          <w:rFonts w:asciiTheme="minorHAnsi" w:hAnsiTheme="minorHAnsi"/>
          <w:b/>
          <w:sz w:val="24"/>
          <w:szCs w:val="24"/>
        </w:rPr>
        <w:t>10</w:t>
      </w:r>
      <w:r w:rsidRPr="005170CC">
        <w:rPr>
          <w:rFonts w:asciiTheme="minorHAnsi" w:hAnsiTheme="minorHAnsi"/>
          <w:b/>
          <w:sz w:val="24"/>
          <w:szCs w:val="24"/>
        </w:rPr>
        <w:t xml:space="preserve"> </w:t>
      </w:r>
      <w:r w:rsidR="00236400" w:rsidRPr="005170CC">
        <w:rPr>
          <w:rFonts w:asciiTheme="minorHAnsi" w:hAnsiTheme="minorHAnsi"/>
          <w:b/>
          <w:sz w:val="24"/>
          <w:szCs w:val="24"/>
        </w:rPr>
        <w:t>Δημοσιονομική διαχείριση</w:t>
      </w:r>
      <w:bookmarkEnd w:id="23"/>
    </w:p>
    <w:p w:rsidR="00D512E5" w:rsidRPr="00147418" w:rsidRDefault="00D512E5" w:rsidP="00AA248C">
      <w:pPr>
        <w:jc w:val="both"/>
        <w:rPr>
          <w:szCs w:val="24"/>
        </w:rPr>
      </w:pPr>
    </w:p>
    <w:p w:rsidR="00C766D0" w:rsidRPr="00147418" w:rsidRDefault="00C766D0" w:rsidP="00AA248C">
      <w:pPr>
        <w:jc w:val="both"/>
        <w:rPr>
          <w:rFonts w:eastAsiaTheme="majorEastAsia" w:cstheme="majorBidi"/>
          <w:b/>
          <w:color w:val="365F91" w:themeColor="accent1" w:themeShade="BF"/>
          <w:szCs w:val="24"/>
        </w:rPr>
      </w:pPr>
      <w:r w:rsidRPr="00147418">
        <w:rPr>
          <w:rFonts w:eastAsiaTheme="majorEastAsia" w:cstheme="majorBidi"/>
          <w:b/>
          <w:color w:val="365F91" w:themeColor="accent1" w:themeShade="BF"/>
          <w:szCs w:val="24"/>
        </w:rPr>
        <w:t>Επισκόπηση δαπανών και εσόδων</w:t>
      </w:r>
    </w:p>
    <w:p w:rsidR="00C766D0" w:rsidRPr="00147418" w:rsidRDefault="00C766D0" w:rsidP="00AA248C">
      <w:pPr>
        <w:jc w:val="both"/>
        <w:rPr>
          <w:szCs w:val="24"/>
        </w:rPr>
      </w:pPr>
      <w:r w:rsidRPr="00147418">
        <w:rPr>
          <w:szCs w:val="24"/>
        </w:rPr>
        <w:t xml:space="preserve">Η επισκόπηση δαπανών και εσόδων έχει καταστεί πλέον τακτική διαδικασία και κύριο εργαλείο του Υπουργείου Οικονομικών για τη βελτίωση της ποιότητας στη δημοσιονομική διαχείριση. Κύριος στόχος είναι η αξιολόγηση των κυβερνητικών δράσεων και η διαμόρφωση προτάσεων για διαρθρωτικές αλλαγές που θα συμβάλουν στη δημιουργία δημοσιονομικού χώρου είτε μέσα από </w:t>
      </w:r>
      <w:proofErr w:type="spellStart"/>
      <w:r w:rsidRPr="00147418">
        <w:rPr>
          <w:szCs w:val="24"/>
        </w:rPr>
        <w:t>εξορθολογισμό</w:t>
      </w:r>
      <w:proofErr w:type="spellEnd"/>
      <w:r w:rsidRPr="00147418">
        <w:rPr>
          <w:szCs w:val="24"/>
        </w:rPr>
        <w:t xml:space="preserve"> δαπανών είτε μέσα από αντίστοιχες παρεμβάσεις στο σκέλος των εσόδων. </w:t>
      </w:r>
    </w:p>
    <w:p w:rsidR="00C766D0" w:rsidRPr="00147418" w:rsidRDefault="00C766D0" w:rsidP="00AA248C">
      <w:pPr>
        <w:jc w:val="both"/>
        <w:rPr>
          <w:szCs w:val="24"/>
        </w:rPr>
      </w:pPr>
      <w:r w:rsidRPr="00147418">
        <w:rPr>
          <w:szCs w:val="24"/>
        </w:rPr>
        <w:t xml:space="preserve">Η πανδημία Covid-19 και το νέο δημοσιονομικό περιβάλλον που δημιουργήθηκε συνέβαλε στη μετατόπιση της εστίασης των επισκοπήσεων από τον περιορισμό συγκεκριμένων κατηγοριών δαπανών στην κατεύθυνση της υλοποίησης διαρθρωτικών μεταρρυθμίσεων. Οι παρεμβάσεις που επιλέγονται αναμένεται να συμβάλουν στη δημιουργία δημοσιονομικού χώρου με παράλληλες θετικές επιπτώσεις στην κοινωνική αποτελεσματικότητα στους υπόψη τομείς αλλά και στη βελτίωση της αποδοτικότητας και της ποιότητας των παρεχόμενων υπηρεσιών. </w:t>
      </w:r>
    </w:p>
    <w:p w:rsidR="00C766D0" w:rsidRPr="00147418" w:rsidRDefault="00C766D0" w:rsidP="00AA248C">
      <w:pPr>
        <w:jc w:val="both"/>
        <w:rPr>
          <w:szCs w:val="24"/>
        </w:rPr>
      </w:pPr>
      <w:r w:rsidRPr="00147418">
        <w:rPr>
          <w:szCs w:val="24"/>
        </w:rPr>
        <w:t>Σε αυτό το πλαίσιο, κύριες τομεακές δράσεις αναφέρονται:</w:t>
      </w:r>
    </w:p>
    <w:p w:rsidR="00C766D0" w:rsidRPr="00147418" w:rsidRDefault="00C766D0" w:rsidP="00AA248C">
      <w:pPr>
        <w:pStyle w:val="a4"/>
        <w:numPr>
          <w:ilvl w:val="0"/>
          <w:numId w:val="5"/>
        </w:numPr>
        <w:jc w:val="both"/>
        <w:rPr>
          <w:szCs w:val="24"/>
        </w:rPr>
      </w:pPr>
      <w:r w:rsidRPr="00147418">
        <w:rPr>
          <w:szCs w:val="24"/>
        </w:rPr>
        <w:t xml:space="preserve">στην ενίσχυση της κοινωνικοοικονομικής αποτελεσματικότητας των παροχών πρόνοιας και υγειονομικής περίθαλψης, μέσα από κωδικοποίηση της σχετικής νομοθεσίας, ενίσχυση της </w:t>
      </w:r>
      <w:proofErr w:type="spellStart"/>
      <w:r w:rsidRPr="00147418">
        <w:rPr>
          <w:szCs w:val="24"/>
        </w:rPr>
        <w:t>διαλειτουργικότητας</w:t>
      </w:r>
      <w:proofErr w:type="spellEnd"/>
      <w:r w:rsidRPr="00147418">
        <w:rPr>
          <w:szCs w:val="24"/>
        </w:rPr>
        <w:t xml:space="preserve"> των βάσεων δεδομένων των συναρμόδιων φορέων και θέσπιση ενιαίου ελεγκτικού μηχανισμού για τη θωράκιση του συστήματος έναντι καταχρηστικής χρήσης αυτού,</w:t>
      </w:r>
    </w:p>
    <w:p w:rsidR="00C766D0" w:rsidRPr="00147418" w:rsidRDefault="00C766D0" w:rsidP="00AA248C">
      <w:pPr>
        <w:pStyle w:val="a4"/>
        <w:numPr>
          <w:ilvl w:val="0"/>
          <w:numId w:val="5"/>
        </w:numPr>
        <w:jc w:val="both"/>
        <w:rPr>
          <w:szCs w:val="24"/>
        </w:rPr>
      </w:pPr>
      <w:r w:rsidRPr="00147418">
        <w:rPr>
          <w:szCs w:val="24"/>
        </w:rPr>
        <w:t xml:space="preserve">στη βελτίωση της </w:t>
      </w:r>
      <w:proofErr w:type="spellStart"/>
      <w:r w:rsidRPr="00147418">
        <w:rPr>
          <w:szCs w:val="24"/>
        </w:rPr>
        <w:t>εισπραξιμότητας</w:t>
      </w:r>
      <w:proofErr w:type="spellEnd"/>
      <w:r w:rsidRPr="00147418">
        <w:rPr>
          <w:szCs w:val="24"/>
        </w:rPr>
        <w:t xml:space="preserve"> των οφειλόμενων στο σύστημα κοινωνικής ασφάλισης ποσών από </w:t>
      </w:r>
      <w:proofErr w:type="spellStart"/>
      <w:r w:rsidRPr="00147418">
        <w:rPr>
          <w:szCs w:val="24"/>
        </w:rPr>
        <w:t>μεγαλοοφειλέτες</w:t>
      </w:r>
      <w:proofErr w:type="spellEnd"/>
      <w:r w:rsidRPr="00147418">
        <w:rPr>
          <w:szCs w:val="24"/>
        </w:rPr>
        <w:t>,</w:t>
      </w:r>
    </w:p>
    <w:p w:rsidR="00C766D0" w:rsidRPr="00147418" w:rsidRDefault="00C766D0" w:rsidP="00AA248C">
      <w:pPr>
        <w:pStyle w:val="a4"/>
        <w:numPr>
          <w:ilvl w:val="0"/>
          <w:numId w:val="5"/>
        </w:numPr>
        <w:jc w:val="both"/>
        <w:rPr>
          <w:szCs w:val="24"/>
        </w:rPr>
      </w:pPr>
      <w:r w:rsidRPr="00147418">
        <w:rPr>
          <w:szCs w:val="24"/>
        </w:rPr>
        <w:t>στον εκσυγχρονισμό του συστήματος είσπραξης προστίμων για παραβάσεις του κώδικα οδικής κυκλοφορίας, με έμφαση στην ψηφιοποίηση της διαδικασίας βεβαίωσης και παρακολούθησης.</w:t>
      </w:r>
    </w:p>
    <w:p w:rsidR="00C766D0" w:rsidRPr="00147418" w:rsidRDefault="00C766D0" w:rsidP="00AA248C">
      <w:pPr>
        <w:jc w:val="both"/>
        <w:rPr>
          <w:szCs w:val="24"/>
        </w:rPr>
      </w:pPr>
      <w:r w:rsidRPr="00147418">
        <w:rPr>
          <w:szCs w:val="24"/>
        </w:rPr>
        <w:t xml:space="preserve">Πέραν των ανωτέρω και άλλων σχετικών τομεακών δράσεων, υλοποιούνται παράλληλα οριζόντιες επισκοπήσεις σε τομείς δραστηριότητας κοινούς σε όλα τα Υπουργεία. Αναφέρονται ενδεικτικά η επισκόπηση της διαχείρισης των κτιρίων ιδιοκτησίας του Δημοσίου και του στόλου των κρατικών οχημάτων αλλά και η δράση μείωσης των ενεργειακών καταναλώσεων των φορέων γενικής κυβέρνησης. </w:t>
      </w:r>
    </w:p>
    <w:p w:rsidR="00C766D0" w:rsidRPr="00147418" w:rsidRDefault="00C766D0" w:rsidP="00AA248C">
      <w:pPr>
        <w:jc w:val="both"/>
        <w:rPr>
          <w:szCs w:val="24"/>
        </w:rPr>
      </w:pPr>
      <w:r w:rsidRPr="00147418">
        <w:rPr>
          <w:szCs w:val="24"/>
        </w:rPr>
        <w:t>Για την περαιτέρω ενίσχυση της διαδικασίας, υλοποιούνται και αναμένεται να ενισχυθούν στην επόμενη περίοδο ειδικές πιλοτικές επισκοπήσεις σε συνεργασία με εκπροσώπους του Υποτομέα των ΟΤΑ και των Νοσοκομείων. Μέσα από τη διαδικασία αυτή, μεταξύ άλλων, θα παρακολουθηθούν συγκεκριμένοι τομείς δράσεις και διαδικασίες στους υπόψη φορείς και θα εντοπιστούν καλές πρακτικές που μπορούν να έχουν οριζόντια εφαρμογή.</w:t>
      </w:r>
    </w:p>
    <w:p w:rsidR="00C766D0" w:rsidRPr="00147418" w:rsidRDefault="00C766D0" w:rsidP="00AA248C">
      <w:pPr>
        <w:jc w:val="both"/>
        <w:rPr>
          <w:szCs w:val="24"/>
        </w:rPr>
      </w:pPr>
    </w:p>
    <w:p w:rsidR="00C766D0" w:rsidRPr="00147418" w:rsidRDefault="00C766D0" w:rsidP="00AA248C">
      <w:pPr>
        <w:jc w:val="both"/>
        <w:rPr>
          <w:rFonts w:eastAsiaTheme="majorEastAsia" w:cstheme="majorBidi"/>
          <w:b/>
          <w:color w:val="365F91" w:themeColor="accent1" w:themeShade="BF"/>
          <w:szCs w:val="24"/>
        </w:rPr>
      </w:pPr>
      <w:r w:rsidRPr="00147418">
        <w:rPr>
          <w:rFonts w:eastAsiaTheme="majorEastAsia" w:cstheme="majorBidi"/>
          <w:b/>
          <w:color w:val="365F91" w:themeColor="accent1" w:themeShade="BF"/>
          <w:szCs w:val="24"/>
        </w:rPr>
        <w:t>Προϋπολογισμός επιδόσεων (</w:t>
      </w:r>
      <w:proofErr w:type="spellStart"/>
      <w:r w:rsidRPr="00147418">
        <w:rPr>
          <w:rFonts w:eastAsiaTheme="majorEastAsia" w:cstheme="majorBidi"/>
          <w:b/>
          <w:color w:val="365F91" w:themeColor="accent1" w:themeShade="BF"/>
          <w:szCs w:val="24"/>
        </w:rPr>
        <w:t>performance</w:t>
      </w:r>
      <w:proofErr w:type="spellEnd"/>
      <w:r w:rsidRPr="00147418">
        <w:rPr>
          <w:rFonts w:eastAsiaTheme="majorEastAsia" w:cstheme="majorBidi"/>
          <w:b/>
          <w:color w:val="365F91" w:themeColor="accent1" w:themeShade="BF"/>
          <w:szCs w:val="24"/>
        </w:rPr>
        <w:t xml:space="preserve"> </w:t>
      </w:r>
      <w:proofErr w:type="spellStart"/>
      <w:r w:rsidRPr="00147418">
        <w:rPr>
          <w:rFonts w:eastAsiaTheme="majorEastAsia" w:cstheme="majorBidi"/>
          <w:b/>
          <w:color w:val="365F91" w:themeColor="accent1" w:themeShade="BF"/>
          <w:szCs w:val="24"/>
        </w:rPr>
        <w:t>budgeting</w:t>
      </w:r>
      <w:proofErr w:type="spellEnd"/>
      <w:r w:rsidRPr="00147418">
        <w:rPr>
          <w:rFonts w:eastAsiaTheme="majorEastAsia" w:cstheme="majorBidi"/>
          <w:b/>
          <w:color w:val="365F91" w:themeColor="accent1" w:themeShade="BF"/>
          <w:szCs w:val="24"/>
        </w:rPr>
        <w:t>)</w:t>
      </w:r>
    </w:p>
    <w:p w:rsidR="00C766D0" w:rsidRPr="00147418" w:rsidRDefault="00C766D0" w:rsidP="00AA248C">
      <w:pPr>
        <w:jc w:val="both"/>
        <w:rPr>
          <w:szCs w:val="24"/>
        </w:rPr>
      </w:pPr>
      <w:r w:rsidRPr="00147418">
        <w:rPr>
          <w:szCs w:val="24"/>
        </w:rPr>
        <w:t xml:space="preserve">Στην ίδια κατεύθυνση της ενίσχυσης της αποτελεσματικότητας στη δημοσιονομική διαχείριση, συνεχίζεται η προετοιμασία της μετάβασης σε προϋπολογισμό επιδόσεων. Το 2021, ο πιλοτικός σχεδιασμός για το νέο σύστημα επεκτείνεται σε όλους τους φορείς κεντρικής διοίκησης: Υπουργεία, Αποκεντρωμένες Διοικήσεις, Βουλή των Ελλήνων, Προεδρία της Δημοκρατίας, Προεδρία της Κυβέρνησης, ώστε ο προϋπολογισμός του 2022 να παρουσιαστεί και με τη δομή προγραμμάτων και υποστηριζόμενος από στοιχεία επίδοσης. Αντίστοιχες </w:t>
      </w:r>
      <w:r w:rsidRPr="00147418">
        <w:rPr>
          <w:szCs w:val="24"/>
        </w:rPr>
        <w:lastRenderedPageBreak/>
        <w:t>Διυπουργικές Επιτροπές εργάζονται για τη διαμόρφωση της νέας ταξινόμησης βάσει Προγραμμάτων του προϋπολογισμού, την αποτύπωση του συνόλου των πόρων που διατίθενται σε κάθε Πρόγραμμα και την ανάδειξη των κύριων στόχων που επιδιώκονται μέσα από αυτό και τους κύριους δείκτες επίδοσης (</w:t>
      </w:r>
      <w:proofErr w:type="spellStart"/>
      <w:r w:rsidRPr="00147418">
        <w:rPr>
          <w:szCs w:val="24"/>
        </w:rPr>
        <w:t>KPIs</w:t>
      </w:r>
      <w:proofErr w:type="spellEnd"/>
      <w:r w:rsidRPr="00147418">
        <w:rPr>
          <w:szCs w:val="24"/>
        </w:rPr>
        <w:t xml:space="preserve">) που θα μετρήσουν τον βαθμό επίτευξής τους. Οι πληροφορίες αυτές περιλαμβάνονται στο Ετήσιο Σχέδιο Προγράμματος (ΕΣΠ). </w:t>
      </w:r>
    </w:p>
    <w:p w:rsidR="00C766D0" w:rsidRPr="00147418" w:rsidRDefault="00C766D0" w:rsidP="00AA248C">
      <w:pPr>
        <w:jc w:val="both"/>
        <w:rPr>
          <w:szCs w:val="24"/>
        </w:rPr>
      </w:pPr>
      <w:r w:rsidRPr="00147418">
        <w:rPr>
          <w:szCs w:val="24"/>
        </w:rPr>
        <w:t>Τα πιλοτικά Υπουργεία συνεργάζονται με το Γενικό Λογιστήριο του Κράτους για τη θεμελίωση της ανάπτυξης ενός συνεκτικού συστήματος μέτρησης της επίδοσης της κυβερνητικής δράσης. Η συμπερίληψη των στοιχείων αυτών στα κείμενα του προϋπολογισμού αναμένεται να ενισχύσει τη διαφάνεια στη λήψη αποφάσεων και να υποστηρίξει αποφάσεις για την (</w:t>
      </w:r>
      <w:proofErr w:type="spellStart"/>
      <w:r w:rsidRPr="00147418">
        <w:rPr>
          <w:szCs w:val="24"/>
        </w:rPr>
        <w:t>ανα</w:t>
      </w:r>
      <w:proofErr w:type="spellEnd"/>
      <w:r w:rsidRPr="00147418">
        <w:rPr>
          <w:szCs w:val="24"/>
        </w:rPr>
        <w:t xml:space="preserve">)κατανομή των διαθέσιμων πόρων, που κρίνεται ιδιαίτερα κρίσιμη στην παρούσα οικονομική συγκυρία. Περαιτέρω, αναμένεται να συμβάλει στην ενίσχυση του κοινοβουλευτικού διαλόγου στο πλαίσιο της διαδικασίας προϋπολογισμού. </w:t>
      </w:r>
    </w:p>
    <w:p w:rsidR="00C766D0" w:rsidRPr="00147418" w:rsidRDefault="00C766D0" w:rsidP="00AA248C">
      <w:pPr>
        <w:jc w:val="both"/>
        <w:rPr>
          <w:szCs w:val="24"/>
        </w:rPr>
      </w:pPr>
      <w:r w:rsidRPr="00147418">
        <w:rPr>
          <w:szCs w:val="24"/>
        </w:rPr>
        <w:t>Μετά την ολοκλήρωση του πρώτου σταδίου της μεταρρύθμισης, θα ξεκινήσει η προετοιμασία για το δεύτερο στάδιο που συνίσταται στην παρακολούθηση της εκτέλεσης του προϋπολογισμού στη βάση Προγραμμάτων από το 2024 και εξής.</w:t>
      </w:r>
    </w:p>
    <w:p w:rsidR="00C36C0A" w:rsidRPr="00147418" w:rsidRDefault="00C36C0A" w:rsidP="00AA248C">
      <w:pPr>
        <w:jc w:val="both"/>
        <w:rPr>
          <w:szCs w:val="24"/>
        </w:rPr>
      </w:pPr>
    </w:p>
    <w:p w:rsidR="00C36C0A" w:rsidRPr="00147418" w:rsidRDefault="00C766D0" w:rsidP="00AA248C">
      <w:pPr>
        <w:jc w:val="both"/>
        <w:rPr>
          <w:rFonts w:eastAsiaTheme="majorEastAsia" w:cstheme="majorBidi"/>
          <w:b/>
          <w:color w:val="365F91" w:themeColor="accent1" w:themeShade="BF"/>
          <w:szCs w:val="24"/>
        </w:rPr>
      </w:pPr>
      <w:r w:rsidRPr="00147418">
        <w:rPr>
          <w:rFonts w:eastAsiaTheme="majorEastAsia" w:cstheme="majorBidi"/>
          <w:b/>
          <w:color w:val="365F91" w:themeColor="accent1" w:themeShade="BF"/>
          <w:szCs w:val="24"/>
        </w:rPr>
        <w:t>Ενσωμάτωση περιβαλλοντικής διάστασης στον προϋπολογισμό (</w:t>
      </w:r>
      <w:proofErr w:type="spellStart"/>
      <w:r w:rsidRPr="00147418">
        <w:rPr>
          <w:rFonts w:eastAsiaTheme="majorEastAsia" w:cstheme="majorBidi"/>
          <w:b/>
          <w:color w:val="365F91" w:themeColor="accent1" w:themeShade="BF"/>
          <w:szCs w:val="24"/>
        </w:rPr>
        <w:t>Green</w:t>
      </w:r>
      <w:proofErr w:type="spellEnd"/>
      <w:r w:rsidRPr="00147418">
        <w:rPr>
          <w:rFonts w:eastAsiaTheme="majorEastAsia" w:cstheme="majorBidi"/>
          <w:b/>
          <w:color w:val="365F91" w:themeColor="accent1" w:themeShade="BF"/>
          <w:szCs w:val="24"/>
        </w:rPr>
        <w:t xml:space="preserve"> </w:t>
      </w:r>
      <w:proofErr w:type="spellStart"/>
      <w:r w:rsidRPr="00147418">
        <w:rPr>
          <w:rFonts w:eastAsiaTheme="majorEastAsia" w:cstheme="majorBidi"/>
          <w:b/>
          <w:color w:val="365F91" w:themeColor="accent1" w:themeShade="BF"/>
          <w:szCs w:val="24"/>
        </w:rPr>
        <w:t>Budgeting</w:t>
      </w:r>
      <w:proofErr w:type="spellEnd"/>
      <w:r w:rsidRPr="00147418">
        <w:rPr>
          <w:rFonts w:eastAsiaTheme="majorEastAsia" w:cstheme="majorBidi"/>
          <w:b/>
          <w:color w:val="365F91" w:themeColor="accent1" w:themeShade="BF"/>
          <w:szCs w:val="24"/>
        </w:rPr>
        <w:t>)</w:t>
      </w:r>
    </w:p>
    <w:p w:rsidR="00C766D0" w:rsidRPr="00147418" w:rsidRDefault="00C766D0" w:rsidP="00AA248C">
      <w:pPr>
        <w:jc w:val="both"/>
        <w:rPr>
          <w:szCs w:val="24"/>
        </w:rPr>
      </w:pPr>
      <w:r w:rsidRPr="00147418">
        <w:rPr>
          <w:szCs w:val="24"/>
        </w:rPr>
        <w:t>Η φιλική προς το περιβάλλον ανάπτυξη αποτελεί κύρια προτεραιότητα σε επίπεδο Ευρωπαϊκής Ένωσης και, πλέον, αναδεικνύεται σε βασικό τομέα τη</w:t>
      </w:r>
      <w:r w:rsidR="00482ED3">
        <w:rPr>
          <w:szCs w:val="24"/>
        </w:rPr>
        <w:t>ς δημόσιας διαχείρισης στη μετά</w:t>
      </w:r>
      <w:r w:rsidRPr="00147418">
        <w:rPr>
          <w:szCs w:val="24"/>
        </w:rPr>
        <w:t xml:space="preserve"> </w:t>
      </w:r>
      <w:proofErr w:type="spellStart"/>
      <w:r w:rsidRPr="00147418">
        <w:rPr>
          <w:szCs w:val="24"/>
        </w:rPr>
        <w:t>Covid</w:t>
      </w:r>
      <w:proofErr w:type="spellEnd"/>
      <w:r w:rsidRPr="00147418">
        <w:rPr>
          <w:szCs w:val="24"/>
        </w:rPr>
        <w:t xml:space="preserve"> εποχή. Σε αυτό το πλαίσιο, η μεταρρύθμιση του συστήματος προϋπολογισμού περιλαμβάνει την ενσωμάτωση της περιβαλλοντικής διάστασης στον προϋπολογισμό επιδόσεων. </w:t>
      </w:r>
    </w:p>
    <w:p w:rsidR="00C766D0" w:rsidRPr="00147418" w:rsidRDefault="00C766D0" w:rsidP="00AA248C">
      <w:pPr>
        <w:jc w:val="both"/>
        <w:rPr>
          <w:szCs w:val="24"/>
        </w:rPr>
      </w:pPr>
      <w:r w:rsidRPr="00147418">
        <w:rPr>
          <w:szCs w:val="24"/>
        </w:rPr>
        <w:t xml:space="preserve">Η πράσινη διάσταση του προϋπολογισμού συνίσταται, σύμφωνα με τον ΟΟΣΑ, στη χρήση των εργαλείων λήψης αποφάσεων σε ζητήματα δημοσιονομικής πολιτικής και προϋπολογισμού για την επίτευξη των στόχων προστασίας του περιβάλλοντος. Περιλαμβάνει, κυρίως, την παρουσίαση και αξιολόγηση του περιβαλλοντικού αποτυπώματος των δημοσιονομικών πολιτικών και της συνεκτικότητάς τους με τις εθνικές και διεθνείς προτεραιότητες για την αντιμετώπιση της κλιματικής αλλαγής. </w:t>
      </w:r>
    </w:p>
    <w:p w:rsidR="00C766D0" w:rsidRPr="00147418" w:rsidRDefault="00C766D0" w:rsidP="00AA248C">
      <w:pPr>
        <w:jc w:val="both"/>
        <w:rPr>
          <w:szCs w:val="24"/>
        </w:rPr>
      </w:pPr>
      <w:r w:rsidRPr="00147418">
        <w:rPr>
          <w:szCs w:val="24"/>
        </w:rPr>
        <w:t>Μετά την πρώτη πιλοτική παρουσίαση στον προϋπολογισμό του 2021 της πληροφορίας που θα παρέχεται στο πλαίσιο της συγκεκριμένης μεταρρύθμισης, το Υπουργείο Οικονομικών αναμένεται να εργαστεί εντατικά προς την υλοποίηση αυτού του στόχου τα επόμενα έτη. Για την επιτυχία του εγχειρήματος σύμφωνα με τα διεθνή πρότυπα, το Υπουργείο Οικονομικών παρακολουθεί τις σχετικές εξελίξεις στο πλαίσιο των αντίστοιχων ομάδων εργασίας της Ευρωπαϊκής Επιτροπής, ενώ λαμβάνει τεχνική βοήθεια και από τον ΟΟΣΑ.</w:t>
      </w:r>
    </w:p>
    <w:p w:rsidR="00C766D0" w:rsidRDefault="00C766D0" w:rsidP="00AA248C">
      <w:pPr>
        <w:jc w:val="both"/>
        <w:rPr>
          <w:szCs w:val="24"/>
        </w:rPr>
      </w:pPr>
      <w:r w:rsidRPr="00147418">
        <w:rPr>
          <w:szCs w:val="24"/>
        </w:rPr>
        <w:t>Η συνέχιση της προσπάθειας αφορά καταρχήν στην εκπόνηση μεθοδολογίας και προτύπων για τη διασφάλιση της τήρησης ενιαίων κανόνων στον χαρακτηρισμό δράσεων/ δαπανών ως φιλικών ή μη προς το περιβάλλον με βάση και τη σχετική Ευρωπαϊκή νομοθεσία που θα εφαρμοστεί και στα έργα που προωθούνται μέσω του Ταμείου Ανάκαμψης και Ανθεκτικότητας.</w:t>
      </w:r>
    </w:p>
    <w:p w:rsidR="00197E35" w:rsidRPr="00197E35" w:rsidRDefault="00197E35" w:rsidP="00907641">
      <w:pPr>
        <w:jc w:val="both"/>
        <w:rPr>
          <w:rFonts w:eastAsiaTheme="majorEastAsia" w:cstheme="majorBidi"/>
          <w:b/>
          <w:color w:val="365F91" w:themeColor="accent1" w:themeShade="BF"/>
          <w:szCs w:val="24"/>
        </w:rPr>
      </w:pPr>
      <w:r w:rsidRPr="00197E35">
        <w:rPr>
          <w:rFonts w:eastAsiaTheme="majorEastAsia" w:cstheme="majorBidi"/>
          <w:b/>
          <w:color w:val="365F91" w:themeColor="accent1" w:themeShade="BF"/>
          <w:szCs w:val="24"/>
        </w:rPr>
        <w:t>Εκκαθάριση ληξιπροθέσμων οφειλών φορέων ΓΚ προς τρίτους</w:t>
      </w:r>
    </w:p>
    <w:p w:rsidR="00197E35" w:rsidRPr="00197E35" w:rsidRDefault="00197E35" w:rsidP="00907641">
      <w:pPr>
        <w:jc w:val="both"/>
        <w:rPr>
          <w:szCs w:val="24"/>
        </w:rPr>
      </w:pPr>
      <w:r w:rsidRPr="00197E35">
        <w:rPr>
          <w:szCs w:val="24"/>
        </w:rPr>
        <w:t>Στο πλαίσιο της ενισχυμένης εποπτείας η κυβέρνηση έχει δεσμευτεί να εκκαθαρίσει τις καθαρές ληξιπρόθεσμες οφειλές των φορέων ΓΚ προς τρίτους και να αποφύγει τη δημιουργία νέων.</w:t>
      </w:r>
      <w:r w:rsidRPr="00907641">
        <w:rPr>
          <w:vertAlign w:val="superscript"/>
        </w:rPr>
        <w:footnoteReference w:id="41"/>
      </w:r>
      <w:r w:rsidRPr="00907641">
        <w:rPr>
          <w:szCs w:val="24"/>
          <w:vertAlign w:val="superscript"/>
        </w:rPr>
        <w:t xml:space="preserve"> </w:t>
      </w:r>
      <w:r w:rsidRPr="00197E35">
        <w:rPr>
          <w:szCs w:val="24"/>
        </w:rPr>
        <w:t xml:space="preserve">Την τελευταία πενταετία οι </w:t>
      </w:r>
      <w:r w:rsidRPr="00197E35">
        <w:rPr>
          <w:szCs w:val="24"/>
        </w:rPr>
        <w:lastRenderedPageBreak/>
        <w:t xml:space="preserve">εντατικές προσπάθειες των αρχών μαζί με προγράμματα αποπληρωμής οδήγησαν σε αποκλιμάκωση των καθαρών ληξιπροθέσμων οφειλών της ΓΚ από περίπου 8,7 δισ. </w:t>
      </w:r>
      <w:r w:rsidR="007F4BBB">
        <w:rPr>
          <w:szCs w:val="24"/>
        </w:rPr>
        <w:t>ευρώ</w:t>
      </w:r>
      <w:r w:rsidRPr="00197E35">
        <w:rPr>
          <w:szCs w:val="24"/>
        </w:rPr>
        <w:t xml:space="preserve"> το Δεκέμβριο 2015 σε 968 εκατ. </w:t>
      </w:r>
      <w:r w:rsidR="007F4BBB">
        <w:rPr>
          <w:szCs w:val="24"/>
        </w:rPr>
        <w:t xml:space="preserve">ευρώ </w:t>
      </w:r>
      <w:r w:rsidRPr="00197E35">
        <w:rPr>
          <w:szCs w:val="24"/>
        </w:rPr>
        <w:t xml:space="preserve">το Δεκέμβριο 2020. </w:t>
      </w:r>
    </w:p>
    <w:p w:rsidR="009D2DCE" w:rsidRPr="00197E35" w:rsidRDefault="009D2DCE" w:rsidP="009D2DCE">
      <w:pPr>
        <w:jc w:val="both"/>
        <w:rPr>
          <w:szCs w:val="24"/>
        </w:rPr>
      </w:pPr>
      <w:r w:rsidRPr="00197E35">
        <w:rPr>
          <w:szCs w:val="24"/>
        </w:rPr>
        <w:t xml:space="preserve">Τον Απρίλιο 2021 υιοθετήθηκε ένα επικαιροποιημένο σχέδιο εκκαθάρισης των ληξιπροθέσμων, λαμβάνοντας υπόψη εποχιακές διακυμάνσεις εντός του έτους που παρατηρούνται σε ορισμένους υποτομείς και ένα ελάχιστο στοκ ληξιπροθέσμων που είναι αποδεκτό ανά υποτομέα. Ο απώτερος στόχος είναι να διατηρηθούν οι ληξιπρόθεσμες οφειλές κατά μέγιστο στο 0,2% του ΑΕΠ (στο τέλος κάθε έτους) με ένα στενό εύρος ως +0,1% του ΑΕΠ εντός του έτους σε συνάρτηση με την τυχόν εποχικότητα. </w:t>
      </w:r>
    </w:p>
    <w:p w:rsidR="009D2DCE" w:rsidRPr="00197E35" w:rsidRDefault="009D2DCE" w:rsidP="009D2DCE">
      <w:pPr>
        <w:jc w:val="both"/>
        <w:rPr>
          <w:szCs w:val="24"/>
        </w:rPr>
      </w:pPr>
      <w:r w:rsidRPr="00197E35">
        <w:rPr>
          <w:szCs w:val="24"/>
        </w:rPr>
        <w:t>Οι σημαντικότερες ενέργειες που έγιναν προς την κατεύθυνση αυτή το τελευταίο διάστημα είναι το πρόγραμμα για την εκκαθάριση ληξιπροθέσμων των ΟΤΑ, οι επιχορηγήσεις προς ορισμένους συγκοινωνιακούς φορείς για να αντιμετωπίσουν τα προβλήματα ρευστότητάς τους λόγω της πανδημίας, η προκαταβολή συντάξεων για εκκρεμείς αιτήσεις</w:t>
      </w:r>
      <w:r>
        <w:rPr>
          <w:szCs w:val="24"/>
        </w:rPr>
        <w:t xml:space="preserve"> συνταξιοδότησης</w:t>
      </w:r>
      <w:r w:rsidRPr="00197E35">
        <w:rPr>
          <w:szCs w:val="24"/>
        </w:rPr>
        <w:t xml:space="preserve">. </w:t>
      </w:r>
    </w:p>
    <w:p w:rsidR="00197E35" w:rsidRPr="00197E35" w:rsidRDefault="00197E35" w:rsidP="00907641">
      <w:pPr>
        <w:jc w:val="both"/>
        <w:rPr>
          <w:szCs w:val="24"/>
        </w:rPr>
      </w:pPr>
      <w:r w:rsidRPr="00197E35">
        <w:rPr>
          <w:szCs w:val="24"/>
        </w:rPr>
        <w:t>Για την εποπτεία της υλοποίησης του σχεδίου εκκαθάρισης ληξιπροθέσμων οφειλών έχει δημιουργηθεί και λειτουργεί μια συντονιστική διυπουργική επιτροπή από τον Δεκέμβριο 2019, η οποία πρόσφατα διευρύνθηκε με τη συμμετοχή εκπροσώπων από τα Υπουργεία Εθνικής Άμυνας, Υποδομών &amp; Μεταφορών και Προστασίας του Πολίτη.</w:t>
      </w:r>
    </w:p>
    <w:p w:rsidR="00197E35" w:rsidRPr="00C94F4F" w:rsidRDefault="00197E35" w:rsidP="00907641">
      <w:pPr>
        <w:jc w:val="both"/>
        <w:rPr>
          <w:sz w:val="24"/>
          <w:szCs w:val="24"/>
        </w:rPr>
      </w:pPr>
    </w:p>
    <w:p w:rsidR="00AA29AF" w:rsidRPr="005170CC" w:rsidRDefault="00236400" w:rsidP="00AA248C">
      <w:pPr>
        <w:pStyle w:val="2"/>
        <w:spacing w:before="0" w:after="200"/>
        <w:jc w:val="both"/>
        <w:rPr>
          <w:rFonts w:asciiTheme="minorHAnsi" w:hAnsiTheme="minorHAnsi"/>
          <w:b/>
          <w:sz w:val="24"/>
          <w:szCs w:val="24"/>
        </w:rPr>
      </w:pPr>
      <w:bookmarkStart w:id="24" w:name="_Toc74930204"/>
      <w:r w:rsidRPr="005170CC">
        <w:rPr>
          <w:rFonts w:asciiTheme="minorHAnsi" w:hAnsiTheme="minorHAnsi"/>
          <w:b/>
          <w:sz w:val="24"/>
          <w:szCs w:val="24"/>
        </w:rPr>
        <w:t>2.11</w:t>
      </w:r>
      <w:r w:rsidR="00D512E5" w:rsidRPr="005170CC">
        <w:rPr>
          <w:rFonts w:asciiTheme="minorHAnsi" w:hAnsiTheme="minorHAnsi"/>
          <w:b/>
          <w:sz w:val="24"/>
          <w:szCs w:val="24"/>
        </w:rPr>
        <w:t xml:space="preserve"> </w:t>
      </w:r>
      <w:r w:rsidR="005A6CF7" w:rsidRPr="005170CC">
        <w:rPr>
          <w:rFonts w:asciiTheme="minorHAnsi" w:hAnsiTheme="minorHAnsi"/>
          <w:b/>
          <w:sz w:val="24"/>
          <w:szCs w:val="24"/>
        </w:rPr>
        <w:t>Πηγές κινδύνου για τις δημοσιονομικές προβλέψεις</w:t>
      </w:r>
      <w:bookmarkEnd w:id="24"/>
    </w:p>
    <w:p w:rsidR="005A6CF7" w:rsidRPr="005A6CF7" w:rsidRDefault="005A6CF7" w:rsidP="005A6CF7"/>
    <w:p w:rsidR="005A6CF7" w:rsidRPr="00B104AC" w:rsidRDefault="005A6CF7" w:rsidP="00B104AC">
      <w:pPr>
        <w:rPr>
          <w:b/>
          <w:color w:val="365F91" w:themeColor="accent1" w:themeShade="BF"/>
          <w:szCs w:val="24"/>
        </w:rPr>
      </w:pPr>
      <w:r w:rsidRPr="00B104AC">
        <w:rPr>
          <w:b/>
          <w:color w:val="365F91" w:themeColor="accent1" w:themeShade="BF"/>
          <w:szCs w:val="24"/>
        </w:rPr>
        <w:t>Ανάλυση ευαισθησίας (</w:t>
      </w:r>
      <w:r w:rsidRPr="00B104AC">
        <w:rPr>
          <w:b/>
          <w:color w:val="365F91" w:themeColor="accent1" w:themeShade="BF"/>
          <w:szCs w:val="24"/>
          <w:lang w:val="en-US"/>
        </w:rPr>
        <w:t>s</w:t>
      </w:r>
      <w:proofErr w:type="spellStart"/>
      <w:r w:rsidRPr="00B104AC">
        <w:rPr>
          <w:b/>
          <w:color w:val="365F91" w:themeColor="accent1" w:themeShade="BF"/>
          <w:szCs w:val="24"/>
        </w:rPr>
        <w:t>ensitivity</w:t>
      </w:r>
      <w:proofErr w:type="spellEnd"/>
      <w:r w:rsidRPr="00B104AC">
        <w:rPr>
          <w:b/>
          <w:color w:val="365F91" w:themeColor="accent1" w:themeShade="BF"/>
          <w:szCs w:val="24"/>
        </w:rPr>
        <w:t xml:space="preserve"> </w:t>
      </w:r>
      <w:r w:rsidRPr="00B104AC">
        <w:rPr>
          <w:b/>
          <w:color w:val="365F91" w:themeColor="accent1" w:themeShade="BF"/>
          <w:szCs w:val="24"/>
          <w:lang w:val="en-US"/>
        </w:rPr>
        <w:t>analysis</w:t>
      </w:r>
      <w:r w:rsidRPr="00B104AC">
        <w:rPr>
          <w:b/>
          <w:color w:val="365F91" w:themeColor="accent1" w:themeShade="BF"/>
          <w:szCs w:val="24"/>
        </w:rPr>
        <w:t>)</w:t>
      </w:r>
    </w:p>
    <w:p w:rsidR="00696734" w:rsidRPr="00147418" w:rsidRDefault="00696734" w:rsidP="00AA248C">
      <w:pPr>
        <w:jc w:val="both"/>
        <w:rPr>
          <w:szCs w:val="24"/>
        </w:rPr>
      </w:pPr>
      <w:r w:rsidRPr="00147418">
        <w:rPr>
          <w:szCs w:val="24"/>
        </w:rPr>
        <w:t>Σύμφωνα με το βασικό μακροοικονομικό σενάριο, το 2021 προβλέπεται μερική ανάκαμψη της οικονομίας, με το πραγματικό ΑΕΠ να εκτιμάται ότι θα αυξηθεί κατά 3,6%, ενώ το 2022 η αναμενόμενη επιτάχυνση της οικονομικής δραστηριότητας θα επιτρέψει την ανάκτηση των απωλειών που επήλθαν λόγω της υγειονομικής κρίσης και θα επαναφέρει το πραγματικό ΑΕΠ σε επίπεδα ελαφρώς υψηλότερα από τα προ κρίσης επίπεδα. Ακολούθως, η πραγματική ανάπτυξη αναμένεται να παραμείνει ισχυρή την περίοδο 2023-2024, χάρη σε μεγάλο βαθμό και στην εφαρμογή του Εθνικού Σχεδίου Ανάκαμψης και Ανθεκτικότητας. Ωστόσο, η αβεβαιότητα αναφορικά με την εξέλιξη της πανδημίας παραμένει ακόμα υψηλή, με αποτέλεσμα να υπάρχουν στις εκτιμήσεις αυτές πηγές τόσο θετικών όσο και αρνητικών αποκλίσεων, ειδικά για το τρέχον έτος. Για παράδειγμα ενδεχόμενη εμφάνιση μεταλλάξεων του ιού ή περαιτέρω επιτάχυνση του εμβολιαστικού προγράμματος μπορούν να έχουν δυσμενείς ή αντίστοιχα ευνοϊκές συνέπειες στην εξέλιξη της οικονομικής δραστηριότητας τους επόμενους μήνες.</w:t>
      </w:r>
    </w:p>
    <w:p w:rsidR="00696734" w:rsidRPr="00147418" w:rsidRDefault="00696734" w:rsidP="00AA248C">
      <w:pPr>
        <w:jc w:val="both"/>
        <w:rPr>
          <w:szCs w:val="24"/>
        </w:rPr>
      </w:pPr>
      <w:r w:rsidRPr="00147418">
        <w:rPr>
          <w:szCs w:val="24"/>
        </w:rPr>
        <w:t>Η ανάλυση ευαισθησίας διερευνά τις επιπτώσεις που θα προκύψουν ανάλογα με την εξέλιξη των παραπάνω αβεβαιοτήτων. Ειδικότερα, εξετάζει δ</w:t>
      </w:r>
      <w:r w:rsidR="00FF6031">
        <w:rPr>
          <w:szCs w:val="24"/>
        </w:rPr>
        <w:t>ύ</w:t>
      </w:r>
      <w:r w:rsidRPr="00147418">
        <w:rPr>
          <w:szCs w:val="24"/>
        </w:rPr>
        <w:t xml:space="preserve">ο σενάρια που υποθέτουν απόκλιση από τις μακροοικονομικές προβλέψεις του Μεσοπρόθεσμου Πλαισίου Δημοσιονομικής Στρατηγικής σε σχέση με τον πραγματικό ρυθμό ανάπτυξης του 2021. Το πρώτο σενάριο βασίζεται στην υπόθεση ότι η οικονομική μεγέθυνση θα είναι χαμηλότερη κατά μία ποσοστιαία μονάδα το τρέχον έτος σε σχέση με την πρόβλεψη στο σενάριο βάσης.  Αντίθετα, σύμφωνα με το δεύτερο σενάριο, η ανάκαμψη το 2021 θα είναι πιο ισχυρή από την αναμενόμενη και </w:t>
      </w:r>
      <w:r w:rsidRPr="00147418">
        <w:rPr>
          <w:szCs w:val="24"/>
        </w:rPr>
        <w:lastRenderedPageBreak/>
        <w:t>ο πραγματικός ρυθμός ανάπτυξης θα είναι υψηλότερος κατά μια ποσοστιαία μονάδα σε σχέση με τον προβλεπόμενο στο σενάριο βάσης. Επισημαίνεται ότι ο προκαλούμενος αντίκτυπος στην οικονομική δραστηριότητα, από την επικράτηση είτε θετικών είτε αρνητικών αποκλίσεων, θεωρείται ότι θα είναι βραχυπρόθεσμος και ως εκ τούτου θα επιδράσει μόνο στον ρυθμό ανάπτυξης του τρέχοντος έτους, ενώ  η οικονομία θα επιστρέψει στην πορεία ανάπτυξης που προβλέπει το βασικό σενάριο από το 2022 και εφεξής.</w:t>
      </w:r>
    </w:p>
    <w:p w:rsidR="00696734" w:rsidRPr="00147418" w:rsidRDefault="00696734" w:rsidP="00AA248C">
      <w:pPr>
        <w:jc w:val="both"/>
        <w:rPr>
          <w:szCs w:val="24"/>
        </w:rPr>
      </w:pPr>
      <w:r w:rsidRPr="00147418">
        <w:rPr>
          <w:szCs w:val="24"/>
        </w:rPr>
        <w:t>Επιπλέον, εξετάζονται τα αποτελέσματα μιας ανάλυσης ευαισθησίας από ενδεχόμενη αύξηση των επιτοκίων. Σε αντίθεση με τα εναλλακτικά σενάρια για το</w:t>
      </w:r>
      <w:r w:rsidR="00FF6031">
        <w:rPr>
          <w:szCs w:val="24"/>
        </w:rPr>
        <w:t>ν</w:t>
      </w:r>
      <w:r w:rsidRPr="00147418">
        <w:rPr>
          <w:szCs w:val="24"/>
        </w:rPr>
        <w:t xml:space="preserve"> ρυθμό ανάπτυξης της οικονομίας, γίνεται η υπόθεση ότι η αύξηση στα επιτόκια δεν επιδρά μόνο στο έτος 2021, αλλά ότι έχει αντίκτυπο στο μεσοπρόθεσμο διάστημα. Ειδικότερα, γίνεται η υπόθεση ότι θα υπάρξει μια σταδιακή αύξηση των επιτοκίων τα επόμενα τρία έτη, η οποία και θα οδηγήσει σε μια συνολική αύξηση σε περίοδο τριετίας κατά 100 μονάδες βάσης. Πιο συγκεκριμένα, το 2022 γίνεται η υπόθεση ότι τα επιτόκια θα αυξηθούν κατά 50 μονάδες βάσης, το 2023 κατά 30 περαιτέρω μονάδες βάσης και το 2024 κατά 20 περαιτέρω μονάδες βάσης.</w:t>
      </w:r>
    </w:p>
    <w:p w:rsidR="00696734" w:rsidRDefault="00696734" w:rsidP="00AA248C">
      <w:pPr>
        <w:jc w:val="both"/>
        <w:rPr>
          <w:szCs w:val="24"/>
        </w:rPr>
      </w:pPr>
      <w:r w:rsidRPr="00147418">
        <w:rPr>
          <w:szCs w:val="24"/>
        </w:rPr>
        <w:t xml:space="preserve">Η ανάλυση των παραπάνω τριών σεναρίων διεξάγεται μέσω του μοντέλου </w:t>
      </w:r>
      <w:proofErr w:type="spellStart"/>
      <w:r w:rsidRPr="00147418">
        <w:rPr>
          <w:szCs w:val="24"/>
          <w:lang w:val="en-US"/>
        </w:rPr>
        <w:t>NiGEM</w:t>
      </w:r>
      <w:proofErr w:type="spellEnd"/>
      <w:r w:rsidR="00FF6031">
        <w:rPr>
          <w:szCs w:val="24"/>
        </w:rPr>
        <w:t>,</w:t>
      </w:r>
      <w:r w:rsidRPr="00147418">
        <w:rPr>
          <w:szCs w:val="24"/>
        </w:rPr>
        <w:t xml:space="preserve"> το οποίο αναπτύχθηκε από το Εθνικό Ίδρυμα Οικονομικών και Κοινωνικών Ερευνών του Ηνωμένου Βασιλείου.</w:t>
      </w:r>
    </w:p>
    <w:p w:rsidR="00CD3B1A" w:rsidRPr="00147418" w:rsidRDefault="00455148" w:rsidP="00AA248C">
      <w:pPr>
        <w:jc w:val="both"/>
        <w:rPr>
          <w:szCs w:val="24"/>
        </w:rPr>
      </w:pPr>
      <w:r w:rsidRPr="00455148">
        <w:rPr>
          <w:noProof/>
          <w:szCs w:val="24"/>
        </w:rPr>
        <w:drawing>
          <wp:inline distT="0" distB="0" distL="0" distR="0">
            <wp:extent cx="6445360" cy="3912041"/>
            <wp:effectExtent l="19050" t="0" r="0" b="0"/>
            <wp:docPr id="75"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cstate="print"/>
                    <a:srcRect/>
                    <a:stretch>
                      <a:fillRect/>
                    </a:stretch>
                  </pic:blipFill>
                  <pic:spPr bwMode="auto">
                    <a:xfrm>
                      <a:off x="0" y="0"/>
                      <a:ext cx="6450460" cy="3915136"/>
                    </a:xfrm>
                    <a:prstGeom prst="rect">
                      <a:avLst/>
                    </a:prstGeom>
                    <a:noFill/>
                    <a:ln w="9525">
                      <a:noFill/>
                      <a:miter lim="800000"/>
                      <a:headEnd/>
                      <a:tailEnd/>
                    </a:ln>
                  </pic:spPr>
                </pic:pic>
              </a:graphicData>
            </a:graphic>
          </wp:inline>
        </w:drawing>
      </w:r>
    </w:p>
    <w:p w:rsidR="005170CC" w:rsidRDefault="005170CC" w:rsidP="00AA248C">
      <w:pPr>
        <w:jc w:val="both"/>
        <w:rPr>
          <w:szCs w:val="24"/>
        </w:rPr>
      </w:pPr>
    </w:p>
    <w:p w:rsidR="00696734" w:rsidRPr="00147418" w:rsidRDefault="00696734" w:rsidP="00AA248C">
      <w:pPr>
        <w:jc w:val="both"/>
        <w:rPr>
          <w:szCs w:val="24"/>
        </w:rPr>
      </w:pPr>
      <w:r w:rsidRPr="00147418">
        <w:rPr>
          <w:szCs w:val="24"/>
        </w:rPr>
        <w:t xml:space="preserve">Τα αποτελέσματα της ανάλυσης ευαισθησίας παρουσιάζονται στον </w:t>
      </w:r>
      <w:r w:rsidRPr="00B95281">
        <w:rPr>
          <w:szCs w:val="24"/>
        </w:rPr>
        <w:t xml:space="preserve">Πίνακα </w:t>
      </w:r>
      <w:r w:rsidR="004E3F4F">
        <w:rPr>
          <w:szCs w:val="24"/>
        </w:rPr>
        <w:t>22</w:t>
      </w:r>
      <w:r w:rsidRPr="00B95281">
        <w:rPr>
          <w:szCs w:val="24"/>
        </w:rPr>
        <w:t>, όπου</w:t>
      </w:r>
      <w:r w:rsidRPr="00147418">
        <w:rPr>
          <w:szCs w:val="24"/>
        </w:rPr>
        <w:t xml:space="preserve"> όλες οι τιμές εκφράζονται ως ποσοστιαίες αποκλίσεις από το βασικό σενάριο. Το πρώτο σενάριο προβλέπει μείωση του ρυθμού ανάπτυξης του πραγματικού ΑΕΠ του έτους 2021 κατά 1%, αλλά αμετάβλητους ρυθμούς ανάπτυξης τα επόμενα έτη. Παρά το αρνητικό ενδεχόμενο, το πραγματικό ΑΕΠ στο τέλος του έτους 2022 υπερβαίνει οριακά το επίπεδο του έτους 2019. Η εξέλιξη αυτή συνεπάγεται τη διαμόρφωση των ισοζυγίων της Γενικής Κυβέρνησης σε επίπεδο σταθερά χαμηλότερο ανά έτος κατά 0,5% του ΑΕΠ, καθώς επίσης και μια αρχική αύξηση στο ποσοστό χρέους κατά 2,1% του ΑΕΠ η οποία όμως επηρεάζει και τα επόμενα έτη. Κατά συνέπεια, σε αυτό το σενάριο, το ποσοστό αναφοράς </w:t>
      </w:r>
      <w:r w:rsidRPr="00147418">
        <w:rPr>
          <w:szCs w:val="24"/>
        </w:rPr>
        <w:lastRenderedPageBreak/>
        <w:t>για το έλλειμμα της Γενικής Κυβέρνησης παραμένει πάνω από το 3% του ΑΕΠ το 2022, σχεδόν ισοσκελισμένο ισοζύγιο επιτυγχάνεται από το 2024, ενώ το διαρθρωτικό ισοζύγιο κινείται σε θετικό έδαφος ήδη από το 2023.</w:t>
      </w:r>
    </w:p>
    <w:p w:rsidR="00696734" w:rsidRPr="00147418" w:rsidRDefault="00696734" w:rsidP="00AA248C">
      <w:pPr>
        <w:jc w:val="both"/>
        <w:rPr>
          <w:szCs w:val="24"/>
        </w:rPr>
      </w:pPr>
      <w:r w:rsidRPr="00147418">
        <w:rPr>
          <w:szCs w:val="24"/>
        </w:rPr>
        <w:t>Το δεύτερο σενάριο προβλέπει αύξηση του ρυθμού ανάπτυξης του πραγματικού ΑΕΠ του έτους 2021 της τάξεως του 1%, που δεν θα επιδράσει όμως στους ρυθμούς ανάπτυξης των επόμενων ετών. Στο δημοσιονομικό σκέλος, το ισοζύγιο της Γενικής Κυβέρνησης διαμορφώνεται σε επίπεδο σταθερά υψηλότερο ανά έτος κατά 0,5% του ΑΕΠ και διαμορφώνονται θετικές τιμές για το διαρθρωτικό ισοζύγιο ήδη από το 2022, προσεγγίζοντας το 2% του ΑΕΠ το 2024.</w:t>
      </w:r>
    </w:p>
    <w:p w:rsidR="00925460" w:rsidRPr="00152B13" w:rsidRDefault="00696734" w:rsidP="00AA248C">
      <w:pPr>
        <w:jc w:val="both"/>
        <w:rPr>
          <w:szCs w:val="24"/>
        </w:rPr>
      </w:pPr>
      <w:r w:rsidRPr="00147418">
        <w:rPr>
          <w:szCs w:val="24"/>
        </w:rPr>
        <w:t>Το τρίτο σενάριο στηρίζεται στην υπόθεση ότι θα κινηθούν ανοδικά τα επιτόκια, με την αύξησ</w:t>
      </w:r>
      <w:r w:rsidR="00FF6031">
        <w:rPr>
          <w:szCs w:val="24"/>
        </w:rPr>
        <w:t>ή</w:t>
      </w:r>
      <w:r w:rsidRPr="00147418">
        <w:rPr>
          <w:szCs w:val="24"/>
        </w:rPr>
        <w:t xml:space="preserve"> τους όμως να πραγματοποιείται σταδιακά και με επιβραδυνόμενο ρυθμό, και να ανέρχεται σε 100 μονάδες βάσης, τη</w:t>
      </w:r>
      <w:r w:rsidR="00FF6031">
        <w:rPr>
          <w:szCs w:val="24"/>
        </w:rPr>
        <w:t>ν</w:t>
      </w:r>
      <w:r w:rsidRPr="00147418">
        <w:rPr>
          <w:szCs w:val="24"/>
        </w:rPr>
        <w:t xml:space="preserve"> τριετία 2022-2024. Η προαναφερόμενη εξέλιξη αναμένεται να έχει ήπια αρνητική επίδραση στο ρυθμό ανάπτυξης, με το πραγματικό ΑΕΠ το 2025 να είναι μόνο κατά 0,19% χαμηλότερο από το αντίστοιχο του σεναρίου βάσης.  Αντίστοιχα, η επίδραση στο ισοζύγιο της Γενικής Κυβέρνησης διαμορφώνεται στο 0,1% του ΑΕΠ το 2022 και προσεγγίζει το 0,3% κατά το τέλος του χρονικού ορίζοντα της προγραμματικής περιόδου, αλλά η επίδραση στο πρωτογενές πλεόνασμα είναι πολύ χαμηλή, έως 0,1% του ΑΕΠ. Η αρνητική επίδραση στο δημόσιο χρέος είναι επίσης μικρή, με το ποσοστό χρέους να ανέρχεται σε επίπεδο μόλις 0,2% υψηλότερο έναντι της πρόβλεψης του σεναρίου βάσης το 2025.</w:t>
      </w:r>
    </w:p>
    <w:p w:rsidR="006C6464" w:rsidRDefault="006C6464" w:rsidP="00152B13">
      <w:pPr>
        <w:jc w:val="both"/>
        <w:rPr>
          <w:b/>
          <w:color w:val="365F91" w:themeColor="accent1" w:themeShade="BF"/>
          <w:szCs w:val="24"/>
        </w:rPr>
      </w:pPr>
    </w:p>
    <w:p w:rsidR="00152B13" w:rsidRPr="007F3A58" w:rsidRDefault="00152B13" w:rsidP="00152B13">
      <w:pPr>
        <w:jc w:val="both"/>
        <w:rPr>
          <w:b/>
          <w:color w:val="365F91" w:themeColor="accent1" w:themeShade="BF"/>
          <w:szCs w:val="24"/>
        </w:rPr>
      </w:pPr>
      <w:r w:rsidRPr="00152B13">
        <w:rPr>
          <w:b/>
          <w:color w:val="365F91" w:themeColor="accent1" w:themeShade="BF"/>
          <w:szCs w:val="24"/>
        </w:rPr>
        <w:t>Ενδεχόμενες Υποχρεώσεις</w:t>
      </w:r>
    </w:p>
    <w:p w:rsidR="00152B13" w:rsidRPr="00152B13" w:rsidRDefault="00152B13" w:rsidP="00152B13">
      <w:pPr>
        <w:jc w:val="both"/>
        <w:rPr>
          <w:szCs w:val="24"/>
          <w:u w:val="single"/>
        </w:rPr>
      </w:pPr>
      <w:r w:rsidRPr="00152B13">
        <w:rPr>
          <w:szCs w:val="24"/>
          <w:u w:val="single"/>
        </w:rPr>
        <w:t>Εγγυήσεις</w:t>
      </w:r>
    </w:p>
    <w:p w:rsidR="00152B13" w:rsidRPr="00152B13" w:rsidRDefault="00152B13" w:rsidP="00152B13">
      <w:pPr>
        <w:jc w:val="both"/>
        <w:rPr>
          <w:szCs w:val="24"/>
        </w:rPr>
      </w:pPr>
      <w:r w:rsidRPr="00152B13">
        <w:rPr>
          <w:szCs w:val="24"/>
        </w:rPr>
        <w:t xml:space="preserve">Η παροχή εγγυήσεων από το Ελληνικό Δημόσιο, στο πλαίσιο των Ν.4549/2018 (άρθρα 91-108), 3723/2008 και 4649/2019, αποτελεί εργαλείο Οικονομικής Πολιτικής το οποίο έχει χρησιμοποιηθεί για τη χρηματοδότηση Δημοσίων και Ιδιωτικών Επενδύσεων με σκοπό την άντληση ρευστότητας χωρίς την άμεση επιβάρυνση του Κρατικού Προϋπολογισμού. </w:t>
      </w:r>
    </w:p>
    <w:p w:rsidR="00152B13" w:rsidRPr="00152B13" w:rsidRDefault="00152B13" w:rsidP="00152B13">
      <w:pPr>
        <w:jc w:val="both"/>
        <w:rPr>
          <w:szCs w:val="24"/>
        </w:rPr>
      </w:pPr>
      <w:r w:rsidRPr="00152B13">
        <w:rPr>
          <w:szCs w:val="24"/>
        </w:rPr>
        <w:t>Συγκεκριμένα,</w:t>
      </w:r>
    </w:p>
    <w:p w:rsidR="00152B13" w:rsidRPr="00152B13" w:rsidRDefault="00152B13" w:rsidP="00152B13">
      <w:pPr>
        <w:jc w:val="both"/>
        <w:rPr>
          <w:szCs w:val="24"/>
        </w:rPr>
      </w:pPr>
      <w:r w:rsidRPr="00152B13">
        <w:rPr>
          <w:szCs w:val="24"/>
        </w:rPr>
        <w:t>Με τον ν.4549/2018 παρέχονται εγγυήσεις:</w:t>
      </w:r>
    </w:p>
    <w:p w:rsidR="00152B13" w:rsidRPr="00152B13" w:rsidRDefault="00152B13" w:rsidP="00152B13">
      <w:pPr>
        <w:pStyle w:val="a4"/>
        <w:numPr>
          <w:ilvl w:val="0"/>
          <w:numId w:val="26"/>
        </w:numPr>
        <w:jc w:val="both"/>
        <w:rPr>
          <w:szCs w:val="24"/>
        </w:rPr>
      </w:pPr>
      <w:r w:rsidRPr="00152B13">
        <w:rPr>
          <w:szCs w:val="24"/>
        </w:rPr>
        <w:t>Σε Διεθνή Χρηματοπιστωτικά Ιδρύματα για δάνεια που χορηγούν σε ΟΤΑ και ΔΕΚΟ και μόνο για αναπτυξιακούς και κοινωνικούς σκοπούς.</w:t>
      </w:r>
    </w:p>
    <w:p w:rsidR="003C5E1C" w:rsidRPr="00152B13" w:rsidRDefault="003C5E1C" w:rsidP="003C5E1C">
      <w:pPr>
        <w:pStyle w:val="a4"/>
        <w:numPr>
          <w:ilvl w:val="0"/>
          <w:numId w:val="26"/>
        </w:numPr>
        <w:jc w:val="both"/>
        <w:rPr>
          <w:szCs w:val="24"/>
        </w:rPr>
      </w:pPr>
      <w:r w:rsidRPr="00152B13">
        <w:rPr>
          <w:szCs w:val="24"/>
        </w:rPr>
        <w:t>Στην Ευρωπαϊκή Τράπεζα Επενδύσεων (</w:t>
      </w:r>
      <w:proofErr w:type="spellStart"/>
      <w:r w:rsidRPr="00152B13">
        <w:rPr>
          <w:szCs w:val="24"/>
        </w:rPr>
        <w:t>ΕΤΕπ</w:t>
      </w:r>
      <w:proofErr w:type="spellEnd"/>
      <w:r w:rsidRPr="00152B13">
        <w:rPr>
          <w:szCs w:val="24"/>
        </w:rPr>
        <w:t>) για δάνεια που χορηγεί σε Τράπεζες στο πλαίσιο των προγραμμάτων της με σκοπό την ενίσχυση της επιχειρηματικότητας και με τελικούς αποδέκτες μικρές επιχειρήσεις και επιχειρήσεις μεσαίας κεφαλαιοποίησης.</w:t>
      </w:r>
    </w:p>
    <w:p w:rsidR="00152B13" w:rsidRPr="00152B13" w:rsidRDefault="00152B13" w:rsidP="00152B13">
      <w:pPr>
        <w:pStyle w:val="a4"/>
        <w:numPr>
          <w:ilvl w:val="0"/>
          <w:numId w:val="26"/>
        </w:numPr>
        <w:jc w:val="both"/>
        <w:rPr>
          <w:szCs w:val="24"/>
        </w:rPr>
      </w:pPr>
      <w:r w:rsidRPr="00152B13">
        <w:rPr>
          <w:szCs w:val="24"/>
        </w:rPr>
        <w:t>Σε δάνεια που έλαβαν Φυσικά Πρόσωπα ή Επιχειρήσεις που επλήγησαν από Φυσικές Καταστροφές.</w:t>
      </w:r>
    </w:p>
    <w:p w:rsidR="00152B13" w:rsidRPr="00152B13" w:rsidRDefault="00152B13" w:rsidP="00152B13">
      <w:pPr>
        <w:pStyle w:val="a4"/>
        <w:numPr>
          <w:ilvl w:val="0"/>
          <w:numId w:val="26"/>
        </w:numPr>
        <w:jc w:val="both"/>
        <w:rPr>
          <w:szCs w:val="24"/>
        </w:rPr>
      </w:pPr>
      <w:r w:rsidRPr="00152B13">
        <w:rPr>
          <w:szCs w:val="24"/>
        </w:rPr>
        <w:t xml:space="preserve">Στην Ευρωπαϊκή Επιτροπή στο πλαίσιο του Προγράμματος </w:t>
      </w:r>
      <w:r w:rsidR="00FF6031">
        <w:rPr>
          <w:szCs w:val="24"/>
          <w:lang w:val="en-US"/>
        </w:rPr>
        <w:t>SURE</w:t>
      </w:r>
      <w:r w:rsidR="00FF6031" w:rsidRPr="00FF6031">
        <w:rPr>
          <w:szCs w:val="24"/>
        </w:rPr>
        <w:t xml:space="preserve"> </w:t>
      </w:r>
      <w:r w:rsidRPr="00152B13">
        <w:rPr>
          <w:szCs w:val="24"/>
        </w:rPr>
        <w:t>για τ</w:t>
      </w:r>
      <w:r w:rsidR="00FF6031">
        <w:rPr>
          <w:szCs w:val="24"/>
        </w:rPr>
        <w:t>ην ενίσχυση της Απασχόλησης</w:t>
      </w:r>
      <w:r w:rsidRPr="00152B13">
        <w:rPr>
          <w:szCs w:val="24"/>
        </w:rPr>
        <w:t>.</w:t>
      </w:r>
    </w:p>
    <w:p w:rsidR="00152B13" w:rsidRPr="00152B13" w:rsidRDefault="00152B13" w:rsidP="00152B13">
      <w:pPr>
        <w:pStyle w:val="a4"/>
        <w:numPr>
          <w:ilvl w:val="0"/>
          <w:numId w:val="26"/>
        </w:numPr>
        <w:jc w:val="both"/>
        <w:rPr>
          <w:szCs w:val="24"/>
        </w:rPr>
      </w:pPr>
      <w:r w:rsidRPr="00152B13">
        <w:rPr>
          <w:szCs w:val="24"/>
        </w:rPr>
        <w:t xml:space="preserve">Στην </w:t>
      </w:r>
      <w:proofErr w:type="spellStart"/>
      <w:r w:rsidRPr="00152B13">
        <w:rPr>
          <w:szCs w:val="24"/>
        </w:rPr>
        <w:t>ΕΤΕπ</w:t>
      </w:r>
      <w:proofErr w:type="spellEnd"/>
      <w:r w:rsidRPr="00152B13">
        <w:rPr>
          <w:szCs w:val="24"/>
        </w:rPr>
        <w:t xml:space="preserve"> για την ίδρυση Πανευρωπαϊκού Ταμείο</w:t>
      </w:r>
      <w:r w:rsidR="00FF6031">
        <w:rPr>
          <w:szCs w:val="24"/>
        </w:rPr>
        <w:t>υ</w:t>
      </w:r>
      <w:r w:rsidRPr="00152B13">
        <w:rPr>
          <w:szCs w:val="24"/>
        </w:rPr>
        <w:t xml:space="preserve"> Εγγυοδοσίας για την αντιμετώπιση της  Πανδημίας Covid-19</w:t>
      </w:r>
    </w:p>
    <w:p w:rsidR="00152B13" w:rsidRPr="00152B13" w:rsidRDefault="00152B13" w:rsidP="00152B13">
      <w:pPr>
        <w:jc w:val="both"/>
        <w:rPr>
          <w:szCs w:val="24"/>
        </w:rPr>
      </w:pPr>
      <w:r w:rsidRPr="00152B13">
        <w:rPr>
          <w:szCs w:val="24"/>
        </w:rPr>
        <w:t>Με τον ν.3723/2008 παρέχονται εγγυήσεις σε πιστωτικά ιδρύματα για την ενίσχυση της ρευστότητας των Τραπεζών (διεκόπη τον Απρίλιο του 2021).</w:t>
      </w:r>
    </w:p>
    <w:p w:rsidR="00152B13" w:rsidRPr="00152B13" w:rsidRDefault="00152B13" w:rsidP="00152B13">
      <w:pPr>
        <w:jc w:val="both"/>
        <w:rPr>
          <w:szCs w:val="24"/>
        </w:rPr>
      </w:pPr>
      <w:r w:rsidRPr="00152B13">
        <w:rPr>
          <w:szCs w:val="24"/>
        </w:rPr>
        <w:t xml:space="preserve">Με τον ν.4649/2019 παρέχονται εγγυήσεις σε ομολογίες υψηλής διαβάθμισης που προκύπτουν από την </w:t>
      </w:r>
      <w:proofErr w:type="spellStart"/>
      <w:r w:rsidRPr="00152B13">
        <w:rPr>
          <w:szCs w:val="24"/>
        </w:rPr>
        <w:t>τιτλοποίηση</w:t>
      </w:r>
      <w:proofErr w:type="spellEnd"/>
      <w:r w:rsidRPr="00152B13">
        <w:rPr>
          <w:szCs w:val="24"/>
        </w:rPr>
        <w:t xml:space="preserve"> των απαιτήσεων μη εξυπηρετούμενων δανείων ελληνικών τραπεζών (πρόγραμμα Ηρακλής). Οι </w:t>
      </w:r>
      <w:r w:rsidRPr="00152B13">
        <w:rPr>
          <w:szCs w:val="24"/>
        </w:rPr>
        <w:lastRenderedPageBreak/>
        <w:t>εγγυήσεις αυτές συμπεριλαμβάνονται στις εξαιρέσεις του ανώτατου ετήσιου ορίου στην παροχή κρατικών εγγυήσεων.</w:t>
      </w:r>
    </w:p>
    <w:p w:rsidR="00152B13" w:rsidRPr="00152B13" w:rsidRDefault="00152B13" w:rsidP="00152B13">
      <w:pPr>
        <w:jc w:val="both"/>
        <w:rPr>
          <w:szCs w:val="24"/>
        </w:rPr>
      </w:pPr>
      <w:r w:rsidRPr="00152B13">
        <w:rPr>
          <w:szCs w:val="24"/>
        </w:rPr>
        <w:t>Τέλος, εκτός από το Υπουργείο Οικονομικών, παρέχει εγγυήσεις και η Ελληνική Αναπτυξιακή Τράπεζα (ΕΑΤ), κυρίως μέσω του Ταμείου Εγγυοδοσίας Επιχειρήσεων COVID-19.</w:t>
      </w:r>
    </w:p>
    <w:p w:rsidR="00152B13" w:rsidRPr="00152B13" w:rsidRDefault="00152B13" w:rsidP="00152B13">
      <w:pPr>
        <w:jc w:val="both"/>
        <w:rPr>
          <w:szCs w:val="24"/>
        </w:rPr>
      </w:pPr>
      <w:r w:rsidRPr="00152B13">
        <w:rPr>
          <w:szCs w:val="24"/>
        </w:rPr>
        <w:t>Το ανεξόφλητο υπόλοιπο εγγυημένων από τη Γενική Κυβέρνηση δανείων στο τέλος του 2019 και του 2020 εμφανίζονται στον παρακάτω πίνακα:</w:t>
      </w:r>
    </w:p>
    <w:p w:rsidR="00D01A45" w:rsidRPr="005E7510" w:rsidRDefault="005E7510" w:rsidP="00152B13">
      <w:pPr>
        <w:jc w:val="both"/>
        <w:rPr>
          <w:szCs w:val="24"/>
        </w:rPr>
      </w:pPr>
      <w:r w:rsidRPr="005E7510">
        <w:rPr>
          <w:noProof/>
          <w:szCs w:val="24"/>
        </w:rPr>
        <w:drawing>
          <wp:inline distT="0" distB="0" distL="0" distR="0">
            <wp:extent cx="6200775" cy="2905125"/>
            <wp:effectExtent l="19050" t="0" r="9525" b="0"/>
            <wp:docPr id="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6200775" cy="2905125"/>
                    </a:xfrm>
                    <a:prstGeom prst="rect">
                      <a:avLst/>
                    </a:prstGeom>
                    <a:noFill/>
                    <a:ln w="9525">
                      <a:noFill/>
                      <a:miter lim="800000"/>
                      <a:headEnd/>
                      <a:tailEnd/>
                    </a:ln>
                  </pic:spPr>
                </pic:pic>
              </a:graphicData>
            </a:graphic>
          </wp:inline>
        </w:drawing>
      </w:r>
    </w:p>
    <w:p w:rsidR="00152B13" w:rsidRPr="00152B13" w:rsidRDefault="00152B13" w:rsidP="00152B13">
      <w:pPr>
        <w:jc w:val="both"/>
        <w:rPr>
          <w:szCs w:val="24"/>
        </w:rPr>
      </w:pPr>
      <w:r w:rsidRPr="00152B13">
        <w:rPr>
          <w:szCs w:val="24"/>
        </w:rPr>
        <w:t xml:space="preserve">Ιδιαίτερο ρόλο σε μεσοπρόθεσμο χρονικό ορίζοντα αναμένεται να έχει το πρόγραμμα Ηρακλής, στο πλαίσιο του οποίου το Ε.Δ. έχει ήδη ξεκινήσει να παρέχει την εγγύησή του σε ομολογίες υψηλής διαβάθμισης που προκύπτουν από την </w:t>
      </w:r>
      <w:proofErr w:type="spellStart"/>
      <w:r w:rsidRPr="00152B13">
        <w:rPr>
          <w:szCs w:val="24"/>
        </w:rPr>
        <w:t>τιτλοποίηση</w:t>
      </w:r>
      <w:proofErr w:type="spellEnd"/>
      <w:r w:rsidRPr="00152B13">
        <w:rPr>
          <w:szCs w:val="24"/>
        </w:rPr>
        <w:t xml:space="preserve"> μη εξυπηρετούμενων δανείων (</w:t>
      </w:r>
      <w:proofErr w:type="spellStart"/>
      <w:r w:rsidRPr="00152B13">
        <w:rPr>
          <w:szCs w:val="24"/>
        </w:rPr>
        <w:t>NPLs</w:t>
      </w:r>
      <w:proofErr w:type="spellEnd"/>
      <w:r w:rsidRPr="00152B13">
        <w:rPr>
          <w:szCs w:val="24"/>
        </w:rPr>
        <w:t xml:space="preserve">) των ελληνικών τραπεζών. Η παροχή των εγγυήσεων αυτών αναμένεται να κορυφωθεί στο προσεχές διάστημα, συνεισφέροντας σημαντικά στη μείωση των </w:t>
      </w:r>
      <w:proofErr w:type="spellStart"/>
      <w:r w:rsidRPr="00152B13">
        <w:rPr>
          <w:szCs w:val="24"/>
        </w:rPr>
        <w:t>NPLs</w:t>
      </w:r>
      <w:proofErr w:type="spellEnd"/>
      <w:r w:rsidRPr="00152B13">
        <w:rPr>
          <w:szCs w:val="24"/>
        </w:rPr>
        <w:t xml:space="preserve"> και, έμμεσα, στην ενίσχυση της αναπτυξιακής δυναμικής της χώρας, καθώς και στην περαιτέρω συμπίεση του κόστους εξυπηρέτησης του δημόσιου χρέους.</w:t>
      </w:r>
    </w:p>
    <w:p w:rsidR="00152B13" w:rsidRPr="00152B13" w:rsidRDefault="00152B13" w:rsidP="00152B13">
      <w:pPr>
        <w:jc w:val="both"/>
        <w:rPr>
          <w:szCs w:val="24"/>
        </w:rPr>
      </w:pPr>
      <w:r w:rsidRPr="00152B13">
        <w:rPr>
          <w:szCs w:val="24"/>
        </w:rPr>
        <w:t>Σημειώνεται ότι έχουν περιληφθεί στις δημοσιονομικές εκτιμήσεις και κατά συνέπεια δεν περιλαμβάνονται στην κατηγορία των Ενδεχόμενων Υποχρεώσεων, πληρωμές για καταπτώσεις για τις οποίες έχουν ήδη κατατεθεί αιτ</w:t>
      </w:r>
      <w:r>
        <w:rPr>
          <w:szCs w:val="24"/>
        </w:rPr>
        <w:t>ήματα</w:t>
      </w:r>
      <w:r>
        <w:rPr>
          <w:rStyle w:val="af1"/>
          <w:szCs w:val="24"/>
        </w:rPr>
        <w:footnoteReference w:id="42"/>
      </w:r>
      <w:r w:rsidRPr="00152B13">
        <w:rPr>
          <w:szCs w:val="24"/>
        </w:rPr>
        <w:t>, αλλά και εκτιμήσεις μελλοντικών καταπτώσεων, προς φορείς εκτός Γενικής Κυβέρνησης, συνολικού ύψους 2,4 δι</w:t>
      </w:r>
      <w:r w:rsidR="00FF6031">
        <w:rPr>
          <w:szCs w:val="24"/>
        </w:rPr>
        <w:t>σ.</w:t>
      </w:r>
      <w:r w:rsidRPr="00152B13">
        <w:rPr>
          <w:szCs w:val="24"/>
        </w:rPr>
        <w:t xml:space="preserve"> ευρώ για το διάστημα 2021-2025.</w:t>
      </w:r>
    </w:p>
    <w:p w:rsidR="00152B13" w:rsidRDefault="00152B13" w:rsidP="00152B13">
      <w:pPr>
        <w:jc w:val="both"/>
        <w:rPr>
          <w:szCs w:val="24"/>
        </w:rPr>
      </w:pPr>
    </w:p>
    <w:p w:rsidR="006C6464" w:rsidRDefault="006C6464" w:rsidP="00152B13">
      <w:pPr>
        <w:jc w:val="both"/>
        <w:rPr>
          <w:szCs w:val="24"/>
        </w:rPr>
      </w:pPr>
    </w:p>
    <w:p w:rsidR="0096074C" w:rsidRDefault="0096074C" w:rsidP="00152B13">
      <w:pPr>
        <w:jc w:val="both"/>
        <w:rPr>
          <w:szCs w:val="24"/>
        </w:rPr>
      </w:pPr>
    </w:p>
    <w:p w:rsidR="0096074C" w:rsidRDefault="0096074C" w:rsidP="00152B13">
      <w:pPr>
        <w:jc w:val="both"/>
        <w:rPr>
          <w:szCs w:val="24"/>
        </w:rPr>
      </w:pPr>
    </w:p>
    <w:p w:rsidR="006C6464" w:rsidRPr="00152B13" w:rsidRDefault="006C6464" w:rsidP="00152B13">
      <w:pPr>
        <w:jc w:val="both"/>
        <w:rPr>
          <w:szCs w:val="24"/>
        </w:rPr>
      </w:pPr>
    </w:p>
    <w:p w:rsidR="00152B13" w:rsidRPr="00152B13" w:rsidRDefault="00152B13" w:rsidP="00152B13">
      <w:pPr>
        <w:jc w:val="both"/>
        <w:rPr>
          <w:szCs w:val="24"/>
          <w:u w:val="single"/>
        </w:rPr>
      </w:pPr>
      <w:r w:rsidRPr="00152B13">
        <w:rPr>
          <w:szCs w:val="24"/>
          <w:u w:val="single"/>
        </w:rPr>
        <w:lastRenderedPageBreak/>
        <w:t>Λοιπές Ενδεχόμενες Υποχρεώσεις</w:t>
      </w:r>
    </w:p>
    <w:p w:rsidR="00152B13" w:rsidRPr="00EE62F0" w:rsidRDefault="00152B13" w:rsidP="00152B13">
      <w:pPr>
        <w:jc w:val="both"/>
        <w:rPr>
          <w:szCs w:val="24"/>
        </w:rPr>
      </w:pPr>
      <w:r w:rsidRPr="00152B13">
        <w:rPr>
          <w:szCs w:val="24"/>
        </w:rPr>
        <w:t>Στους επόμενους πίνακες, παρουσιάζεται η εξέλιξη των υποχρεώσεων που απορρέουν από Συμπράξεις Δημοσίου-Ιδιωτικού Τομέα (ΣΔΙΤ), καθώς και των μη εξυπηρετούμενων δανείων που έχουν χορηγηθεί από φορείς της Γενικής Κυβέρνησης σε τρίτους.</w:t>
      </w:r>
    </w:p>
    <w:p w:rsidR="00EC6E2E" w:rsidRPr="00EE62F0" w:rsidRDefault="00EC6E2E" w:rsidP="00152B13">
      <w:pPr>
        <w:jc w:val="both"/>
        <w:rPr>
          <w:szCs w:val="24"/>
        </w:rPr>
      </w:pPr>
    </w:p>
    <w:tbl>
      <w:tblPr>
        <w:tblW w:w="10069" w:type="dxa"/>
        <w:tblInd w:w="96" w:type="dxa"/>
        <w:tblLook w:val="04A0"/>
      </w:tblPr>
      <w:tblGrid>
        <w:gridCol w:w="5753"/>
        <w:gridCol w:w="1079"/>
        <w:gridCol w:w="1079"/>
        <w:gridCol w:w="1079"/>
        <w:gridCol w:w="1079"/>
      </w:tblGrid>
      <w:tr w:rsidR="00EC6E2E" w:rsidRPr="00EC6E2E" w:rsidTr="00EC6E2E">
        <w:trPr>
          <w:trHeight w:val="788"/>
        </w:trPr>
        <w:tc>
          <w:tcPr>
            <w:tcW w:w="10068" w:type="dxa"/>
            <w:gridSpan w:val="5"/>
            <w:tcBorders>
              <w:top w:val="single" w:sz="8" w:space="0" w:color="auto"/>
              <w:left w:val="single" w:sz="8" w:space="0" w:color="auto"/>
              <w:bottom w:val="nil"/>
              <w:right w:val="single" w:sz="8" w:space="0" w:color="000000"/>
            </w:tcBorders>
            <w:shd w:val="clear" w:color="000000" w:fill="5A5A5A"/>
            <w:vAlign w:val="center"/>
            <w:hideMark/>
          </w:tcPr>
          <w:p w:rsidR="00EC6E2E" w:rsidRPr="00EC6E2E" w:rsidRDefault="00EC6E2E" w:rsidP="00EC6E2E">
            <w:pPr>
              <w:spacing w:after="0" w:line="240" w:lineRule="auto"/>
              <w:jc w:val="center"/>
              <w:rPr>
                <w:rFonts w:ascii="Calibri" w:eastAsia="Times New Roman" w:hAnsi="Calibri" w:cs="Times New Roman"/>
                <w:b/>
                <w:bCs/>
                <w:color w:val="FFFFFF"/>
              </w:rPr>
            </w:pPr>
            <w:r w:rsidRPr="00EC6E2E">
              <w:rPr>
                <w:rFonts w:ascii="Calibri" w:eastAsia="Times New Roman" w:hAnsi="Calibri" w:cs="Times New Roman"/>
                <w:b/>
                <w:bCs/>
                <w:color w:val="FFFFFF"/>
              </w:rPr>
              <w:t>Πίνακας 24  Υποχρεώσεις που απορρέουν από Συμπράξεις Δημοσίου-Ιδιωτικού Τομέα (ΣΔΙΤ) που καταγράφονται εκτός προϋπολογισμού (</w:t>
            </w:r>
            <w:proofErr w:type="spellStart"/>
            <w:r w:rsidRPr="00EC6E2E">
              <w:rPr>
                <w:rFonts w:ascii="Calibri" w:eastAsia="Times New Roman" w:hAnsi="Calibri" w:cs="Times New Roman"/>
                <w:b/>
                <w:bCs/>
                <w:color w:val="FFFFFF"/>
              </w:rPr>
              <w:t>off</w:t>
            </w:r>
            <w:proofErr w:type="spellEnd"/>
            <w:r w:rsidRPr="00EC6E2E">
              <w:rPr>
                <w:rFonts w:ascii="Calibri" w:eastAsia="Times New Roman" w:hAnsi="Calibri" w:cs="Times New Roman"/>
                <w:b/>
                <w:bCs/>
                <w:color w:val="FFFFFF"/>
              </w:rPr>
              <w:t>-</w:t>
            </w:r>
            <w:proofErr w:type="spellStart"/>
            <w:r w:rsidRPr="00EC6E2E">
              <w:rPr>
                <w:rFonts w:ascii="Calibri" w:eastAsia="Times New Roman" w:hAnsi="Calibri" w:cs="Times New Roman"/>
                <w:b/>
                <w:bCs/>
                <w:color w:val="FFFFFF"/>
              </w:rPr>
              <w:t>balance</w:t>
            </w:r>
            <w:proofErr w:type="spellEnd"/>
            <w:r w:rsidRPr="00EC6E2E">
              <w:rPr>
                <w:rFonts w:ascii="Calibri" w:eastAsia="Times New Roman" w:hAnsi="Calibri" w:cs="Times New Roman"/>
                <w:b/>
                <w:bCs/>
                <w:color w:val="FFFFFF"/>
              </w:rPr>
              <w:t xml:space="preserve"> </w:t>
            </w:r>
            <w:proofErr w:type="spellStart"/>
            <w:r w:rsidRPr="00EC6E2E">
              <w:rPr>
                <w:rFonts w:ascii="Calibri" w:eastAsia="Times New Roman" w:hAnsi="Calibri" w:cs="Times New Roman"/>
                <w:b/>
                <w:bCs/>
                <w:color w:val="FFFFFF"/>
              </w:rPr>
              <w:t>sheet</w:t>
            </w:r>
            <w:proofErr w:type="spellEnd"/>
            <w:r w:rsidRPr="00EC6E2E">
              <w:rPr>
                <w:rFonts w:ascii="Calibri" w:eastAsia="Times New Roman" w:hAnsi="Calibri" w:cs="Times New Roman"/>
                <w:b/>
                <w:bCs/>
                <w:color w:val="FFFFFF"/>
              </w:rPr>
              <w:t>)</w:t>
            </w:r>
          </w:p>
        </w:tc>
      </w:tr>
      <w:tr w:rsidR="00EC6E2E" w:rsidRPr="00EC6E2E" w:rsidTr="00EC6E2E">
        <w:trPr>
          <w:trHeight w:val="93"/>
        </w:trPr>
        <w:tc>
          <w:tcPr>
            <w:tcW w:w="10068" w:type="dxa"/>
            <w:gridSpan w:val="5"/>
            <w:tcBorders>
              <w:top w:val="nil"/>
              <w:left w:val="single" w:sz="8" w:space="0" w:color="auto"/>
              <w:bottom w:val="nil"/>
              <w:right w:val="single" w:sz="8" w:space="0" w:color="000000"/>
            </w:tcBorders>
            <w:shd w:val="clear" w:color="000000" w:fill="5A5A5A"/>
            <w:vAlign w:val="center"/>
            <w:hideMark/>
          </w:tcPr>
          <w:p w:rsidR="00EC6E2E" w:rsidRPr="00EC6E2E" w:rsidRDefault="00EC6E2E" w:rsidP="00EC6E2E">
            <w:pPr>
              <w:spacing w:after="0" w:line="240" w:lineRule="auto"/>
              <w:jc w:val="center"/>
              <w:rPr>
                <w:rFonts w:ascii="Calibri" w:eastAsia="Times New Roman" w:hAnsi="Calibri" w:cs="Times New Roman"/>
                <w:color w:val="FFFFFF"/>
              </w:rPr>
            </w:pPr>
            <w:r w:rsidRPr="00EC6E2E">
              <w:rPr>
                <w:rFonts w:ascii="Calibri" w:eastAsia="Times New Roman" w:hAnsi="Calibri" w:cs="Times New Roman"/>
                <w:color w:val="FFFFFF"/>
              </w:rPr>
              <w:t> </w:t>
            </w:r>
          </w:p>
        </w:tc>
      </w:tr>
      <w:tr w:rsidR="00EC6E2E" w:rsidRPr="00EC6E2E" w:rsidTr="00EC6E2E">
        <w:trPr>
          <w:trHeight w:val="247"/>
        </w:trPr>
        <w:tc>
          <w:tcPr>
            <w:tcW w:w="575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2016</w:t>
            </w:r>
          </w:p>
        </w:tc>
        <w:tc>
          <w:tcPr>
            <w:tcW w:w="1079"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2017</w:t>
            </w:r>
          </w:p>
        </w:tc>
        <w:tc>
          <w:tcPr>
            <w:tcW w:w="1079"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2018</w:t>
            </w:r>
          </w:p>
        </w:tc>
        <w:tc>
          <w:tcPr>
            <w:tcW w:w="1079" w:type="dxa"/>
            <w:tcBorders>
              <w:top w:val="nil"/>
              <w:left w:val="nil"/>
              <w:bottom w:val="nil"/>
              <w:right w:val="single" w:sz="8" w:space="0" w:color="auto"/>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2019</w:t>
            </w:r>
          </w:p>
        </w:tc>
      </w:tr>
      <w:tr w:rsidR="00EC6E2E" w:rsidRPr="00EC6E2E" w:rsidTr="00EC6E2E">
        <w:trPr>
          <w:trHeight w:val="355"/>
        </w:trPr>
        <w:tc>
          <w:tcPr>
            <w:tcW w:w="5753" w:type="dxa"/>
            <w:tcBorders>
              <w:top w:val="nil"/>
              <w:left w:val="single" w:sz="8" w:space="0" w:color="auto"/>
              <w:bottom w:val="single" w:sz="4" w:space="0" w:color="auto"/>
              <w:right w:val="single" w:sz="4" w:space="0" w:color="auto"/>
            </w:tcBorders>
            <w:shd w:val="clear" w:color="000000" w:fill="D8D8D8"/>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σε εκατ. Ευρώ</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single" w:sz="8" w:space="0" w:color="auto"/>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r>
      <w:tr w:rsidR="00EC6E2E" w:rsidRPr="00EC6E2E" w:rsidTr="00EC6E2E">
        <w:trPr>
          <w:trHeight w:val="309"/>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Γενική Κυβέρνηση</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221,30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234,00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270,20</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267,83</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Κεντρική Κυβέρνηση</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221,30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234,00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270,20</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267,83</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Τοπική Αυτοδιοίκηση </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Φορείς Κοινωνικής Ασφάλισης </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309"/>
        </w:trPr>
        <w:tc>
          <w:tcPr>
            <w:tcW w:w="5753" w:type="dxa"/>
            <w:tcBorders>
              <w:top w:val="single" w:sz="4" w:space="0" w:color="auto"/>
              <w:left w:val="single" w:sz="8" w:space="0" w:color="auto"/>
              <w:bottom w:val="single" w:sz="4" w:space="0" w:color="auto"/>
              <w:right w:val="single" w:sz="4" w:space="0" w:color="auto"/>
            </w:tcBorders>
            <w:shd w:val="clear" w:color="000000" w:fill="D8D8D8"/>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ως % του ΑΕΠ</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9" w:type="dxa"/>
            <w:tcBorders>
              <w:top w:val="single" w:sz="4" w:space="0" w:color="auto"/>
              <w:left w:val="nil"/>
              <w:bottom w:val="single" w:sz="4" w:space="0" w:color="auto"/>
              <w:right w:val="single" w:sz="8" w:space="0" w:color="auto"/>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Γενική Κυβέρνηση</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0,13</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0,13</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0,15</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0,15</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Κεντρική Κυβέρνηση</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0,13</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0,13</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0,15</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0,15</w:t>
            </w:r>
          </w:p>
        </w:tc>
      </w:tr>
      <w:tr w:rsidR="00EC6E2E" w:rsidRPr="00EC6E2E" w:rsidTr="00EC6E2E">
        <w:trPr>
          <w:trHeight w:val="247"/>
        </w:trPr>
        <w:tc>
          <w:tcPr>
            <w:tcW w:w="5753"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Τοπική Αυτοδιοίκηση </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263"/>
        </w:trPr>
        <w:tc>
          <w:tcPr>
            <w:tcW w:w="5753" w:type="dxa"/>
            <w:tcBorders>
              <w:top w:val="nil"/>
              <w:left w:val="single" w:sz="8" w:space="0" w:color="auto"/>
              <w:bottom w:val="single" w:sz="8" w:space="0" w:color="auto"/>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Φορείς Κοινωνικής Ασφάλισης </w:t>
            </w:r>
          </w:p>
        </w:tc>
        <w:tc>
          <w:tcPr>
            <w:tcW w:w="1079"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9" w:type="dxa"/>
            <w:tcBorders>
              <w:top w:val="nil"/>
              <w:left w:val="nil"/>
              <w:bottom w:val="single" w:sz="8" w:space="0" w:color="auto"/>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309"/>
        </w:trPr>
        <w:tc>
          <w:tcPr>
            <w:tcW w:w="5753" w:type="dxa"/>
            <w:tcBorders>
              <w:top w:val="nil"/>
              <w:left w:val="nil"/>
              <w:bottom w:val="nil"/>
              <w:right w:val="nil"/>
            </w:tcBorders>
            <w:shd w:val="clear" w:color="auto" w:fill="auto"/>
            <w:vAlign w:val="bottom"/>
            <w:hideMark/>
          </w:tcPr>
          <w:p w:rsidR="00EC6E2E" w:rsidRPr="00EC6E2E" w:rsidRDefault="00EC6E2E" w:rsidP="00EC6E2E">
            <w:pPr>
              <w:spacing w:after="0" w:line="240" w:lineRule="auto"/>
              <w:rPr>
                <w:rFonts w:ascii="Calibri" w:eastAsia="Times New Roman" w:hAnsi="Calibri" w:cs="Times New Roman"/>
                <w:color w:val="000000"/>
                <w:sz w:val="20"/>
                <w:szCs w:val="20"/>
              </w:rPr>
            </w:pPr>
            <w:r w:rsidRPr="00EC6E2E">
              <w:rPr>
                <w:rFonts w:ascii="Calibri" w:eastAsia="Times New Roman" w:hAnsi="Calibri" w:cs="Times New Roman"/>
                <w:color w:val="000000"/>
                <w:sz w:val="20"/>
                <w:szCs w:val="20"/>
              </w:rPr>
              <w:t xml:space="preserve">Πηγή: </w:t>
            </w:r>
            <w:proofErr w:type="spellStart"/>
            <w:r w:rsidRPr="00EC6E2E">
              <w:rPr>
                <w:rFonts w:ascii="Calibri" w:eastAsia="Times New Roman" w:hAnsi="Calibri" w:cs="Times New Roman"/>
                <w:color w:val="000000"/>
                <w:sz w:val="20"/>
                <w:szCs w:val="20"/>
              </w:rPr>
              <w:t>Eurostat</w:t>
            </w:r>
            <w:proofErr w:type="spellEnd"/>
          </w:p>
        </w:tc>
        <w:tc>
          <w:tcPr>
            <w:tcW w:w="1079"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9"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9"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9"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r>
    </w:tbl>
    <w:p w:rsidR="00B74FCE" w:rsidRDefault="00B74FCE" w:rsidP="00152B13">
      <w:pPr>
        <w:jc w:val="both"/>
        <w:rPr>
          <w:b/>
          <w:color w:val="000000" w:themeColor="text1"/>
          <w:szCs w:val="24"/>
        </w:rPr>
      </w:pPr>
    </w:p>
    <w:tbl>
      <w:tblPr>
        <w:tblW w:w="10059" w:type="dxa"/>
        <w:tblInd w:w="96" w:type="dxa"/>
        <w:tblLook w:val="04A0"/>
      </w:tblPr>
      <w:tblGrid>
        <w:gridCol w:w="5747"/>
        <w:gridCol w:w="1078"/>
        <w:gridCol w:w="1078"/>
        <w:gridCol w:w="1078"/>
        <w:gridCol w:w="1078"/>
      </w:tblGrid>
      <w:tr w:rsidR="00EC6E2E" w:rsidRPr="00EC6E2E" w:rsidTr="00EC6E2E">
        <w:trPr>
          <w:trHeight w:val="570"/>
        </w:trPr>
        <w:tc>
          <w:tcPr>
            <w:tcW w:w="10057" w:type="dxa"/>
            <w:gridSpan w:val="5"/>
            <w:tcBorders>
              <w:top w:val="single" w:sz="8" w:space="0" w:color="auto"/>
              <w:left w:val="single" w:sz="8" w:space="0" w:color="auto"/>
              <w:bottom w:val="nil"/>
              <w:right w:val="single" w:sz="8" w:space="0" w:color="000000"/>
            </w:tcBorders>
            <w:shd w:val="clear" w:color="000000" w:fill="5A5A5A"/>
            <w:vAlign w:val="center"/>
            <w:hideMark/>
          </w:tcPr>
          <w:p w:rsidR="00EC6E2E" w:rsidRPr="00EC6E2E" w:rsidRDefault="00EC6E2E" w:rsidP="00EC6E2E">
            <w:pPr>
              <w:spacing w:after="0" w:line="240" w:lineRule="auto"/>
              <w:jc w:val="center"/>
              <w:rPr>
                <w:rFonts w:ascii="Calibri" w:eastAsia="Times New Roman" w:hAnsi="Calibri" w:cs="Times New Roman"/>
                <w:b/>
                <w:bCs/>
                <w:color w:val="FFFFFF"/>
              </w:rPr>
            </w:pPr>
            <w:r w:rsidRPr="00EC6E2E">
              <w:rPr>
                <w:rFonts w:ascii="Calibri" w:eastAsia="Times New Roman" w:hAnsi="Calibri" w:cs="Times New Roman"/>
                <w:b/>
                <w:bCs/>
                <w:color w:val="FFFFFF"/>
              </w:rPr>
              <w:t xml:space="preserve">Πίνακας 25  Μη εξυπηρετούμενα δάνεια χορηγηθέντα από φορείς της Γενικής Κυβέρνησης </w:t>
            </w:r>
          </w:p>
        </w:tc>
      </w:tr>
      <w:tr w:rsidR="00EC6E2E" w:rsidRPr="00EC6E2E" w:rsidTr="00EC6E2E">
        <w:trPr>
          <w:trHeight w:val="30"/>
        </w:trPr>
        <w:tc>
          <w:tcPr>
            <w:tcW w:w="10057" w:type="dxa"/>
            <w:gridSpan w:val="5"/>
            <w:tcBorders>
              <w:top w:val="nil"/>
              <w:left w:val="single" w:sz="8" w:space="0" w:color="auto"/>
              <w:bottom w:val="nil"/>
              <w:right w:val="single" w:sz="8" w:space="0" w:color="000000"/>
            </w:tcBorders>
            <w:shd w:val="clear" w:color="000000" w:fill="5A5A5A"/>
            <w:vAlign w:val="center"/>
            <w:hideMark/>
          </w:tcPr>
          <w:p w:rsidR="00EC6E2E" w:rsidRPr="00EC6E2E" w:rsidRDefault="00EC6E2E" w:rsidP="00EC6E2E">
            <w:pPr>
              <w:spacing w:after="0" w:line="240" w:lineRule="auto"/>
              <w:jc w:val="center"/>
              <w:rPr>
                <w:rFonts w:ascii="Calibri" w:eastAsia="Times New Roman" w:hAnsi="Calibri" w:cs="Times New Roman"/>
                <w:color w:val="FFFFFF"/>
              </w:rPr>
            </w:pPr>
            <w:r w:rsidRPr="00EC6E2E">
              <w:rPr>
                <w:rFonts w:ascii="Calibri" w:eastAsia="Times New Roman" w:hAnsi="Calibri" w:cs="Times New Roman"/>
                <w:color w:val="FFFFFF"/>
              </w:rPr>
              <w:t> </w:t>
            </w:r>
          </w:p>
        </w:tc>
      </w:tr>
      <w:tr w:rsidR="00EC6E2E" w:rsidRPr="00EC6E2E" w:rsidTr="00EC6E2E">
        <w:trPr>
          <w:trHeight w:val="240"/>
        </w:trPr>
        <w:tc>
          <w:tcPr>
            <w:tcW w:w="574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2016</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2017</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2018</w:t>
            </w:r>
          </w:p>
        </w:tc>
        <w:tc>
          <w:tcPr>
            <w:tcW w:w="1078" w:type="dxa"/>
            <w:tcBorders>
              <w:top w:val="nil"/>
              <w:left w:val="nil"/>
              <w:bottom w:val="nil"/>
              <w:right w:val="single" w:sz="8" w:space="0" w:color="auto"/>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sz w:val="18"/>
                <w:szCs w:val="18"/>
              </w:rPr>
            </w:pPr>
            <w:r w:rsidRPr="00EC6E2E">
              <w:rPr>
                <w:rFonts w:ascii="Calibri" w:eastAsia="Times New Roman" w:hAnsi="Calibri" w:cs="Times New Roman"/>
                <w:b/>
                <w:bCs/>
                <w:sz w:val="18"/>
                <w:szCs w:val="18"/>
              </w:rPr>
              <w:t>2019</w:t>
            </w:r>
          </w:p>
        </w:tc>
      </w:tr>
      <w:tr w:rsidR="00EC6E2E" w:rsidRPr="00EC6E2E" w:rsidTr="00EC6E2E">
        <w:trPr>
          <w:trHeight w:val="345"/>
        </w:trPr>
        <w:tc>
          <w:tcPr>
            <w:tcW w:w="5747" w:type="dxa"/>
            <w:tcBorders>
              <w:top w:val="nil"/>
              <w:left w:val="single" w:sz="8" w:space="0" w:color="auto"/>
              <w:bottom w:val="single" w:sz="4" w:space="0" w:color="auto"/>
              <w:right w:val="single" w:sz="4" w:space="0" w:color="auto"/>
            </w:tcBorders>
            <w:shd w:val="clear" w:color="000000" w:fill="D8D8D8"/>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σε εκατ. Ευρώ</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single" w:sz="8" w:space="0" w:color="auto"/>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Γενική Κυβέρνηση</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419,0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549,0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471,0</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528,0</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Κεντρική Κυβέρνηση</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419,0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549,0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471,0</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528,0</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Τοπική Αυτοδιοίκηση </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Φορείς Κοινωνικής Ασφάλισης </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90"/>
        </w:trPr>
        <w:tc>
          <w:tcPr>
            <w:tcW w:w="5747" w:type="dxa"/>
            <w:tcBorders>
              <w:top w:val="nil"/>
              <w:left w:val="single" w:sz="8" w:space="0" w:color="auto"/>
              <w:bottom w:val="nil"/>
              <w:right w:val="single" w:sz="4" w:space="0" w:color="auto"/>
            </w:tcBorders>
            <w:shd w:val="clear" w:color="000000" w:fill="FFFFFF"/>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nil"/>
              <w:left w:val="nil"/>
              <w:bottom w:val="nil"/>
              <w:right w:val="nil"/>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nil"/>
              <w:left w:val="nil"/>
              <w:bottom w:val="nil"/>
              <w:right w:val="single" w:sz="8" w:space="0" w:color="auto"/>
            </w:tcBorders>
            <w:shd w:val="clear" w:color="000000" w:fill="FFFFFF"/>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r>
      <w:tr w:rsidR="00EC6E2E" w:rsidRPr="00EC6E2E" w:rsidTr="00EC6E2E">
        <w:trPr>
          <w:trHeight w:val="240"/>
        </w:trPr>
        <w:tc>
          <w:tcPr>
            <w:tcW w:w="5747" w:type="dxa"/>
            <w:tcBorders>
              <w:top w:val="single" w:sz="4" w:space="0" w:color="auto"/>
              <w:left w:val="single" w:sz="8" w:space="0" w:color="auto"/>
              <w:bottom w:val="single" w:sz="4" w:space="0" w:color="auto"/>
              <w:right w:val="single" w:sz="4" w:space="0" w:color="auto"/>
            </w:tcBorders>
            <w:shd w:val="clear" w:color="000000" w:fill="D8D8D8"/>
            <w:vAlign w:val="center"/>
            <w:hideMark/>
          </w:tcPr>
          <w:p w:rsidR="00EC6E2E" w:rsidRPr="00EC6E2E" w:rsidRDefault="00EC6E2E" w:rsidP="00EC6E2E">
            <w:pPr>
              <w:spacing w:after="0" w:line="240" w:lineRule="auto"/>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ως % του ΑΕΠ</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nil"/>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c>
          <w:tcPr>
            <w:tcW w:w="1078" w:type="dxa"/>
            <w:tcBorders>
              <w:top w:val="single" w:sz="4" w:space="0" w:color="auto"/>
              <w:left w:val="nil"/>
              <w:bottom w:val="single" w:sz="4" w:space="0" w:color="auto"/>
              <w:right w:val="single" w:sz="8" w:space="0" w:color="auto"/>
            </w:tcBorders>
            <w:shd w:val="clear" w:color="000000" w:fill="D8D8D8"/>
            <w:vAlign w:val="center"/>
            <w:hideMark/>
          </w:tcPr>
          <w:p w:rsidR="00EC6E2E" w:rsidRPr="00EC6E2E" w:rsidRDefault="00EC6E2E" w:rsidP="00EC6E2E">
            <w:pPr>
              <w:spacing w:after="0" w:line="240" w:lineRule="auto"/>
              <w:jc w:val="right"/>
              <w:rPr>
                <w:rFonts w:ascii="Calibri" w:eastAsia="Times New Roman" w:hAnsi="Calibri" w:cs="Times New Roman"/>
                <w:b/>
                <w:bCs/>
                <w:color w:val="000000"/>
                <w:sz w:val="18"/>
                <w:szCs w:val="18"/>
              </w:rPr>
            </w:pPr>
            <w:r w:rsidRPr="00EC6E2E">
              <w:rPr>
                <w:rFonts w:ascii="Calibri" w:eastAsia="Times New Roman" w:hAnsi="Calibri" w:cs="Times New Roman"/>
                <w:b/>
                <w:bCs/>
                <w:color w:val="000000"/>
                <w:sz w:val="18"/>
                <w:szCs w:val="18"/>
              </w:rPr>
              <w:t> </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Γενική Κυβέρνηση</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0,24</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0,31</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0,26</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0,29</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Κεντρική Κυβέρνηση</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0,24</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0,31</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0,26</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0,29</w:t>
            </w:r>
          </w:p>
        </w:tc>
      </w:tr>
      <w:tr w:rsidR="00EC6E2E" w:rsidRPr="00EC6E2E" w:rsidTr="00EC6E2E">
        <w:trPr>
          <w:trHeight w:val="240"/>
        </w:trPr>
        <w:tc>
          <w:tcPr>
            <w:tcW w:w="5747" w:type="dxa"/>
            <w:tcBorders>
              <w:top w:val="nil"/>
              <w:left w:val="single" w:sz="8" w:space="0" w:color="auto"/>
              <w:bottom w:val="nil"/>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Τοπική Αυτοδιοίκηση </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nil"/>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255"/>
        </w:trPr>
        <w:tc>
          <w:tcPr>
            <w:tcW w:w="5747" w:type="dxa"/>
            <w:tcBorders>
              <w:top w:val="nil"/>
              <w:left w:val="single" w:sz="8" w:space="0" w:color="auto"/>
              <w:bottom w:val="single" w:sz="8" w:space="0" w:color="auto"/>
              <w:right w:val="single" w:sz="4" w:space="0" w:color="auto"/>
            </w:tcBorders>
            <w:shd w:val="clear" w:color="auto" w:fill="auto"/>
            <w:vAlign w:val="center"/>
            <w:hideMark/>
          </w:tcPr>
          <w:p w:rsidR="00EC6E2E" w:rsidRPr="00EC6E2E" w:rsidRDefault="00EC6E2E" w:rsidP="00EC6E2E">
            <w:pPr>
              <w:spacing w:after="0" w:line="240" w:lineRule="auto"/>
              <w:rPr>
                <w:rFonts w:ascii="Calibri" w:eastAsia="Times New Roman" w:hAnsi="Calibri" w:cs="Times New Roman"/>
                <w:sz w:val="18"/>
                <w:szCs w:val="18"/>
              </w:rPr>
            </w:pPr>
            <w:r w:rsidRPr="00EC6E2E">
              <w:rPr>
                <w:rFonts w:ascii="Calibri" w:eastAsia="Times New Roman" w:hAnsi="Calibri" w:cs="Times New Roman"/>
                <w:sz w:val="18"/>
                <w:szCs w:val="18"/>
              </w:rPr>
              <w:t xml:space="preserve">Φορείς Κοινωνικής Ασφάλισης </w:t>
            </w:r>
          </w:p>
        </w:tc>
        <w:tc>
          <w:tcPr>
            <w:tcW w:w="1078"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single" w:sz="8" w:space="0" w:color="auto"/>
              <w:right w:val="nil"/>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c>
          <w:tcPr>
            <w:tcW w:w="1078" w:type="dxa"/>
            <w:tcBorders>
              <w:top w:val="nil"/>
              <w:left w:val="nil"/>
              <w:bottom w:val="single" w:sz="8" w:space="0" w:color="auto"/>
              <w:right w:val="single" w:sz="8" w:space="0" w:color="auto"/>
            </w:tcBorders>
            <w:shd w:val="clear" w:color="auto" w:fill="auto"/>
            <w:vAlign w:val="center"/>
            <w:hideMark/>
          </w:tcPr>
          <w:p w:rsidR="00EC6E2E" w:rsidRPr="00EC6E2E" w:rsidRDefault="00EC6E2E" w:rsidP="00EC6E2E">
            <w:pPr>
              <w:spacing w:after="0" w:line="240" w:lineRule="auto"/>
              <w:jc w:val="right"/>
              <w:rPr>
                <w:rFonts w:ascii="Calibri" w:eastAsia="Times New Roman" w:hAnsi="Calibri" w:cs="Times New Roman"/>
                <w:sz w:val="18"/>
                <w:szCs w:val="18"/>
              </w:rPr>
            </w:pPr>
            <w:r w:rsidRPr="00EC6E2E">
              <w:rPr>
                <w:rFonts w:ascii="Calibri" w:eastAsia="Times New Roman" w:hAnsi="Calibri" w:cs="Times New Roman"/>
                <w:sz w:val="18"/>
                <w:szCs w:val="18"/>
              </w:rPr>
              <w:t>0</w:t>
            </w:r>
          </w:p>
        </w:tc>
      </w:tr>
      <w:tr w:rsidR="00EC6E2E" w:rsidRPr="00EC6E2E" w:rsidTr="00EC6E2E">
        <w:trPr>
          <w:trHeight w:val="300"/>
        </w:trPr>
        <w:tc>
          <w:tcPr>
            <w:tcW w:w="5747" w:type="dxa"/>
            <w:tcBorders>
              <w:top w:val="nil"/>
              <w:left w:val="nil"/>
              <w:bottom w:val="nil"/>
              <w:right w:val="nil"/>
            </w:tcBorders>
            <w:shd w:val="clear" w:color="auto" w:fill="auto"/>
            <w:vAlign w:val="bottom"/>
            <w:hideMark/>
          </w:tcPr>
          <w:p w:rsidR="00EC6E2E" w:rsidRPr="00EC6E2E" w:rsidRDefault="00EC6E2E" w:rsidP="00EC6E2E">
            <w:pPr>
              <w:spacing w:after="0" w:line="240" w:lineRule="auto"/>
              <w:rPr>
                <w:rFonts w:ascii="Calibri" w:eastAsia="Times New Roman" w:hAnsi="Calibri" w:cs="Times New Roman"/>
                <w:color w:val="000000"/>
                <w:sz w:val="20"/>
                <w:szCs w:val="20"/>
              </w:rPr>
            </w:pPr>
            <w:r w:rsidRPr="00EC6E2E">
              <w:rPr>
                <w:rFonts w:ascii="Calibri" w:eastAsia="Times New Roman" w:hAnsi="Calibri" w:cs="Times New Roman"/>
                <w:color w:val="000000"/>
                <w:sz w:val="20"/>
                <w:szCs w:val="20"/>
              </w:rPr>
              <w:t xml:space="preserve">Πηγή: </w:t>
            </w:r>
            <w:proofErr w:type="spellStart"/>
            <w:r w:rsidRPr="00EC6E2E">
              <w:rPr>
                <w:rFonts w:ascii="Calibri" w:eastAsia="Times New Roman" w:hAnsi="Calibri" w:cs="Times New Roman"/>
                <w:color w:val="000000"/>
                <w:sz w:val="20"/>
                <w:szCs w:val="20"/>
              </w:rPr>
              <w:t>Eurostat</w:t>
            </w:r>
            <w:proofErr w:type="spellEnd"/>
          </w:p>
        </w:tc>
        <w:tc>
          <w:tcPr>
            <w:tcW w:w="1078"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8"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8"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c>
          <w:tcPr>
            <w:tcW w:w="1078" w:type="dxa"/>
            <w:tcBorders>
              <w:top w:val="nil"/>
              <w:left w:val="nil"/>
              <w:bottom w:val="nil"/>
              <w:right w:val="nil"/>
            </w:tcBorders>
            <w:shd w:val="clear" w:color="auto" w:fill="auto"/>
            <w:noWrap/>
            <w:vAlign w:val="bottom"/>
            <w:hideMark/>
          </w:tcPr>
          <w:p w:rsidR="00EC6E2E" w:rsidRPr="00EC6E2E" w:rsidRDefault="00EC6E2E" w:rsidP="00EC6E2E">
            <w:pPr>
              <w:spacing w:after="0" w:line="240" w:lineRule="auto"/>
              <w:jc w:val="right"/>
              <w:rPr>
                <w:rFonts w:ascii="Calibri" w:eastAsia="Times New Roman" w:hAnsi="Calibri" w:cs="Times New Roman"/>
                <w:color w:val="000000"/>
              </w:rPr>
            </w:pPr>
          </w:p>
        </w:tc>
      </w:tr>
    </w:tbl>
    <w:p w:rsidR="000614CA" w:rsidRPr="00B74FCE" w:rsidRDefault="000614CA" w:rsidP="00152B13">
      <w:pPr>
        <w:jc w:val="both"/>
        <w:rPr>
          <w:b/>
          <w:color w:val="000000" w:themeColor="text1"/>
          <w:szCs w:val="24"/>
        </w:rPr>
      </w:pPr>
    </w:p>
    <w:p w:rsidR="00152B13" w:rsidRPr="00152B13" w:rsidRDefault="00152B13" w:rsidP="00AA248C">
      <w:pPr>
        <w:jc w:val="both"/>
        <w:rPr>
          <w:szCs w:val="24"/>
        </w:rPr>
      </w:pPr>
    </w:p>
    <w:p w:rsidR="00925460" w:rsidRDefault="00925460">
      <w:pPr>
        <w:rPr>
          <w:sz w:val="24"/>
          <w:szCs w:val="24"/>
        </w:rPr>
      </w:pPr>
      <w:r>
        <w:rPr>
          <w:sz w:val="24"/>
          <w:szCs w:val="24"/>
        </w:rPr>
        <w:br w:type="page"/>
      </w:r>
    </w:p>
    <w:p w:rsidR="00925460" w:rsidRDefault="00925460" w:rsidP="00AA248C">
      <w:pPr>
        <w:pStyle w:val="2"/>
        <w:spacing w:before="0" w:after="200"/>
        <w:jc w:val="center"/>
        <w:rPr>
          <w:rFonts w:asciiTheme="minorHAnsi" w:hAnsiTheme="minorHAnsi"/>
          <w:b/>
          <w:sz w:val="22"/>
          <w:szCs w:val="24"/>
        </w:rPr>
      </w:pPr>
      <w:bookmarkStart w:id="25" w:name="_Toc74930205"/>
      <w:r w:rsidRPr="00147418">
        <w:rPr>
          <w:rFonts w:asciiTheme="minorHAnsi" w:hAnsiTheme="minorHAnsi"/>
          <w:b/>
          <w:sz w:val="22"/>
          <w:szCs w:val="24"/>
        </w:rPr>
        <w:lastRenderedPageBreak/>
        <w:t>Παράρτημα</w:t>
      </w:r>
      <w:bookmarkEnd w:id="25"/>
    </w:p>
    <w:p w:rsidR="00B82ADA" w:rsidRPr="00B82ADA" w:rsidRDefault="00B82ADA" w:rsidP="00B82ADA"/>
    <w:p w:rsidR="000640C0" w:rsidRPr="00696734" w:rsidRDefault="007F4BBB" w:rsidP="00696734">
      <w:pPr>
        <w:pStyle w:val="ParagraphNumbering"/>
        <w:tabs>
          <w:tab w:val="clear" w:pos="720"/>
        </w:tabs>
        <w:spacing w:after="200" w:line="360" w:lineRule="auto"/>
        <w:jc w:val="both"/>
        <w:rPr>
          <w:lang w:val="el-GR"/>
        </w:rPr>
      </w:pPr>
      <w:r w:rsidRPr="007F4BBB">
        <w:rPr>
          <w:noProof/>
          <w:lang w:val="el-GR" w:eastAsia="el-GR"/>
        </w:rPr>
        <w:drawing>
          <wp:inline distT="0" distB="0" distL="0" distR="0">
            <wp:extent cx="6624000" cy="7632763"/>
            <wp:effectExtent l="19050" t="0" r="540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6624000" cy="7632763"/>
                    </a:xfrm>
                    <a:prstGeom prst="rect">
                      <a:avLst/>
                    </a:prstGeom>
                    <a:noFill/>
                    <a:ln w="9525">
                      <a:noFill/>
                      <a:miter lim="800000"/>
                      <a:headEnd/>
                      <a:tailEnd/>
                    </a:ln>
                  </pic:spPr>
                </pic:pic>
              </a:graphicData>
            </a:graphic>
          </wp:inline>
        </w:drawing>
      </w:r>
    </w:p>
    <w:sectPr w:rsidR="000640C0" w:rsidRPr="00696734" w:rsidSect="007D1706">
      <w:footerReference w:type="first" r:id="rId56"/>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F81" w:rsidRDefault="00816F81" w:rsidP="00404883">
      <w:pPr>
        <w:spacing w:after="0" w:line="240" w:lineRule="auto"/>
      </w:pPr>
      <w:r>
        <w:separator/>
      </w:r>
    </w:p>
  </w:endnote>
  <w:endnote w:type="continuationSeparator" w:id="1">
    <w:p w:rsidR="00816F81" w:rsidRDefault="00816F81" w:rsidP="00404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Lato Blac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font266">
    <w:charset w:val="A1"/>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693370"/>
      <w:docPartObj>
        <w:docPartGallery w:val="Page Numbers (Bottom of Page)"/>
        <w:docPartUnique/>
      </w:docPartObj>
    </w:sdtPr>
    <w:sdtEndPr>
      <w:rPr>
        <w:noProof/>
      </w:rPr>
    </w:sdtEndPr>
    <w:sdtContent>
      <w:p w:rsidR="00816F81" w:rsidRDefault="007D1372">
        <w:pPr>
          <w:pStyle w:val="a6"/>
          <w:jc w:val="center"/>
        </w:pPr>
        <w:fldSimple w:instr=" PAGE   \* MERGEFORMAT ">
          <w:r w:rsidR="007D0DA1">
            <w:rPr>
              <w:noProof/>
            </w:rPr>
            <w:t>24</w:t>
          </w:r>
        </w:fldSimple>
      </w:p>
    </w:sdtContent>
  </w:sdt>
  <w:p w:rsidR="00816F81" w:rsidRDefault="00816F8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F81" w:rsidRDefault="00816F81">
    <w:pPr>
      <w:pStyle w:val="a6"/>
      <w:jc w:val="center"/>
    </w:pPr>
  </w:p>
  <w:p w:rsidR="00816F81" w:rsidRDefault="00816F81">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06594"/>
      <w:docPartObj>
        <w:docPartGallery w:val="Page Numbers (Bottom of Page)"/>
        <w:docPartUnique/>
      </w:docPartObj>
    </w:sdtPr>
    <w:sdtEndPr>
      <w:rPr>
        <w:noProof/>
      </w:rPr>
    </w:sdtEndPr>
    <w:sdtContent>
      <w:p w:rsidR="00816F81" w:rsidRDefault="007D1372">
        <w:pPr>
          <w:pStyle w:val="a6"/>
          <w:jc w:val="center"/>
        </w:pPr>
        <w:fldSimple w:instr=" PAGE   \* MERGEFORMAT ">
          <w:r w:rsidR="007D0DA1">
            <w:rPr>
              <w:noProof/>
            </w:rPr>
            <w:t>9</w:t>
          </w:r>
        </w:fldSimple>
      </w:p>
    </w:sdtContent>
  </w:sdt>
  <w:p w:rsidR="00816F81" w:rsidRDefault="00816F8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F81" w:rsidRDefault="00816F81" w:rsidP="00404883">
      <w:pPr>
        <w:spacing w:after="0" w:line="240" w:lineRule="auto"/>
      </w:pPr>
      <w:r>
        <w:separator/>
      </w:r>
    </w:p>
  </w:footnote>
  <w:footnote w:type="continuationSeparator" w:id="1">
    <w:p w:rsidR="00816F81" w:rsidRDefault="00816F81" w:rsidP="00404883">
      <w:pPr>
        <w:spacing w:after="0" w:line="240" w:lineRule="auto"/>
      </w:pPr>
      <w:r>
        <w:continuationSeparator/>
      </w:r>
    </w:p>
  </w:footnote>
  <w:footnote w:id="2">
    <w:p w:rsidR="00816F81" w:rsidRPr="00E53C99" w:rsidRDefault="00816F81" w:rsidP="00CF389F">
      <w:pPr>
        <w:pStyle w:val="af0"/>
        <w:rPr>
          <w:b/>
          <w:bCs/>
          <w:szCs w:val="22"/>
          <w:lang w:val="en-US"/>
        </w:rPr>
      </w:pPr>
      <w:r w:rsidRPr="00E53C99">
        <w:rPr>
          <w:rStyle w:val="af1"/>
          <w:szCs w:val="22"/>
        </w:rPr>
        <w:footnoteRef/>
      </w:r>
      <w:r w:rsidRPr="00E53C99">
        <w:rPr>
          <w:szCs w:val="22"/>
          <w:lang w:val="en-US"/>
        </w:rPr>
        <w:t xml:space="preserve"> </w:t>
      </w:r>
      <w:proofErr w:type="gramStart"/>
      <w:r w:rsidRPr="00E53C99">
        <w:rPr>
          <w:szCs w:val="22"/>
          <w:lang w:val="en-US"/>
        </w:rPr>
        <w:t>«</w:t>
      </w:r>
      <w:r w:rsidRPr="00E53C99">
        <w:rPr>
          <w:rFonts w:cstheme="minorHAnsi"/>
          <w:i/>
          <w:iCs/>
          <w:szCs w:val="22"/>
          <w:lang w:val="en-US"/>
        </w:rPr>
        <w:t>Support to mitigate Unemployment Risks in an Emergency</w:t>
      </w:r>
      <w:r w:rsidRPr="00E53C99">
        <w:rPr>
          <w:rFonts w:cstheme="minorHAnsi"/>
          <w:szCs w:val="22"/>
          <w:lang w:val="en-US"/>
        </w:rPr>
        <w:t>»</w:t>
      </w:r>
      <w:r>
        <w:rPr>
          <w:rFonts w:cstheme="minorHAnsi"/>
          <w:szCs w:val="22"/>
          <w:lang w:val="en-US"/>
        </w:rPr>
        <w:t>.</w:t>
      </w:r>
      <w:proofErr w:type="gramEnd"/>
    </w:p>
  </w:footnote>
  <w:footnote w:id="3">
    <w:p w:rsidR="00816F81" w:rsidRPr="006E7DF2" w:rsidRDefault="00816F81" w:rsidP="00222435">
      <w:pPr>
        <w:pStyle w:val="af0"/>
        <w:jc w:val="both"/>
        <w:rPr>
          <w:szCs w:val="22"/>
        </w:rPr>
      </w:pPr>
      <w:r w:rsidRPr="00695268">
        <w:rPr>
          <w:rStyle w:val="af1"/>
          <w:szCs w:val="22"/>
        </w:rPr>
        <w:footnoteRef/>
      </w:r>
      <w:r w:rsidRPr="00695268">
        <w:rPr>
          <w:szCs w:val="22"/>
        </w:rPr>
        <w:t xml:space="preserve"> Βάσει των εαρινών προβλέψεων της Ευρωπαϊκής Επιτροπής (</w:t>
      </w:r>
      <w:r w:rsidRPr="00695268">
        <w:rPr>
          <w:szCs w:val="22"/>
          <w:lang w:val="en-US"/>
        </w:rPr>
        <w:t>Spring</w:t>
      </w:r>
      <w:r w:rsidRPr="00695268">
        <w:rPr>
          <w:szCs w:val="22"/>
        </w:rPr>
        <w:t xml:space="preserve"> </w:t>
      </w:r>
      <w:r w:rsidRPr="00695268">
        <w:rPr>
          <w:szCs w:val="22"/>
          <w:lang w:val="en-US"/>
        </w:rPr>
        <w:t>Economic</w:t>
      </w:r>
      <w:r w:rsidRPr="00695268">
        <w:rPr>
          <w:szCs w:val="22"/>
        </w:rPr>
        <w:t xml:space="preserve"> </w:t>
      </w:r>
      <w:r w:rsidRPr="00695268">
        <w:rPr>
          <w:szCs w:val="22"/>
          <w:lang w:val="en-US"/>
        </w:rPr>
        <w:t>Forecasts</w:t>
      </w:r>
      <w:r w:rsidRPr="00695268">
        <w:rPr>
          <w:szCs w:val="22"/>
        </w:rPr>
        <w:t xml:space="preserve">, </w:t>
      </w:r>
      <w:r w:rsidRPr="00695268">
        <w:rPr>
          <w:szCs w:val="22"/>
          <w:lang w:val="en-US"/>
        </w:rPr>
        <w:t>May</w:t>
      </w:r>
      <w:r w:rsidRPr="00695268">
        <w:rPr>
          <w:szCs w:val="22"/>
        </w:rPr>
        <w:t xml:space="preserve"> 2021)</w:t>
      </w:r>
      <w:r w:rsidRPr="006E7DF2">
        <w:rPr>
          <w:szCs w:val="22"/>
        </w:rPr>
        <w:t>.</w:t>
      </w:r>
    </w:p>
  </w:footnote>
  <w:footnote w:id="4">
    <w:p w:rsidR="00816F81" w:rsidRPr="006E7DF2" w:rsidRDefault="00816F81" w:rsidP="00222435">
      <w:pPr>
        <w:pStyle w:val="af0"/>
        <w:jc w:val="both"/>
        <w:rPr>
          <w:szCs w:val="22"/>
        </w:rPr>
      </w:pPr>
      <w:r w:rsidRPr="00695268">
        <w:rPr>
          <w:rStyle w:val="af1"/>
          <w:szCs w:val="22"/>
        </w:rPr>
        <w:footnoteRef/>
      </w:r>
      <w:r w:rsidRPr="00695268">
        <w:rPr>
          <w:szCs w:val="22"/>
        </w:rPr>
        <w:t xml:space="preserve"> Ο ρυθμός αύξησης του πραγματικού ΑΕΠ εκτιμάται σε 4,0% το 2021, σε 4,1% το 2022 και 2,1% το 2023 βάσει των στοιχείων της Ευρωπαϊκής Κεντρικής Τράπεζας (Μακροοικονομικές προβλέψεις εμπειρογνωμόνων της ΕΚΤ για τη ζώνη του ευρώ, Μάρτιος 2021)</w:t>
      </w:r>
      <w:r w:rsidRPr="006E7DF2">
        <w:rPr>
          <w:szCs w:val="22"/>
        </w:rPr>
        <w:t>.</w:t>
      </w:r>
    </w:p>
  </w:footnote>
  <w:footnote w:id="5">
    <w:p w:rsidR="00816F81" w:rsidRPr="006E7DF2" w:rsidRDefault="00816F81" w:rsidP="00222435">
      <w:pPr>
        <w:pStyle w:val="af0"/>
        <w:jc w:val="both"/>
        <w:rPr>
          <w:szCs w:val="22"/>
        </w:rPr>
      </w:pPr>
      <w:r w:rsidRPr="00695268">
        <w:rPr>
          <w:rStyle w:val="af1"/>
          <w:szCs w:val="22"/>
        </w:rPr>
        <w:footnoteRef/>
      </w:r>
      <w:r w:rsidRPr="00695268">
        <w:rPr>
          <w:szCs w:val="22"/>
        </w:rPr>
        <w:t xml:space="preserve"> Σύμφωνα με το </w:t>
      </w:r>
      <w:r w:rsidRPr="00695268">
        <w:rPr>
          <w:szCs w:val="22"/>
          <w:lang w:val="en-US"/>
        </w:rPr>
        <w:t>Focus</w:t>
      </w:r>
      <w:r w:rsidRPr="00695268">
        <w:rPr>
          <w:szCs w:val="22"/>
        </w:rPr>
        <w:t xml:space="preserve"> </w:t>
      </w:r>
      <w:r w:rsidRPr="00695268">
        <w:rPr>
          <w:szCs w:val="22"/>
          <w:lang w:val="en-US"/>
        </w:rPr>
        <w:t>Economics</w:t>
      </w:r>
      <w:r w:rsidRPr="00695268">
        <w:rPr>
          <w:szCs w:val="22"/>
        </w:rPr>
        <w:t xml:space="preserve"> </w:t>
      </w:r>
      <w:r w:rsidRPr="00695268">
        <w:rPr>
          <w:szCs w:val="22"/>
          <w:lang w:val="en-US"/>
        </w:rPr>
        <w:t>Consensus</w:t>
      </w:r>
      <w:r w:rsidRPr="00695268">
        <w:rPr>
          <w:szCs w:val="22"/>
        </w:rPr>
        <w:t xml:space="preserve"> </w:t>
      </w:r>
      <w:r w:rsidRPr="00695268">
        <w:rPr>
          <w:szCs w:val="22"/>
          <w:lang w:val="en-US"/>
        </w:rPr>
        <w:t>Forecast</w:t>
      </w:r>
      <w:r w:rsidRPr="00695268">
        <w:rPr>
          <w:szCs w:val="22"/>
        </w:rPr>
        <w:t xml:space="preserve"> (</w:t>
      </w:r>
      <w:r w:rsidRPr="00695268">
        <w:rPr>
          <w:szCs w:val="22"/>
          <w:lang w:val="en-US"/>
        </w:rPr>
        <w:t>May</w:t>
      </w:r>
      <w:r w:rsidRPr="00695268">
        <w:rPr>
          <w:szCs w:val="22"/>
        </w:rPr>
        <w:t xml:space="preserve"> 2021), ο ρυθμός αύξησης του πραγματικού ΑΕΠ στην Ευρωζώνη εκτιμάται ότι θα αυξηθεί κατά 4,1% για το 2021 και 2022, 2,0% το 2023, 1,7% το 2024 και 1,3% το 2025</w:t>
      </w:r>
      <w:r w:rsidRPr="006E7DF2">
        <w:rPr>
          <w:szCs w:val="22"/>
        </w:rPr>
        <w:t>.</w:t>
      </w:r>
    </w:p>
  </w:footnote>
  <w:footnote w:id="6">
    <w:p w:rsidR="00816F81" w:rsidRPr="006E7DF2" w:rsidRDefault="00816F81" w:rsidP="00222435">
      <w:pPr>
        <w:pStyle w:val="af0"/>
        <w:jc w:val="both"/>
        <w:rPr>
          <w:szCs w:val="22"/>
        </w:rPr>
      </w:pPr>
      <w:r w:rsidRPr="00695268">
        <w:rPr>
          <w:rStyle w:val="af1"/>
          <w:szCs w:val="22"/>
        </w:rPr>
        <w:footnoteRef/>
      </w:r>
      <w:r w:rsidRPr="00695268">
        <w:rPr>
          <w:szCs w:val="22"/>
        </w:rPr>
        <w:t xml:space="preserve"> Ευρωπαϊκή Κεντρική Τράπεζα (ΕΚΤ), Μακροοικονομικές Προβολές Εμπειρογνωμόνων της ΕΚΤ, Μάρτιος 2021</w:t>
      </w:r>
      <w:r w:rsidRPr="006E7DF2">
        <w:rPr>
          <w:szCs w:val="22"/>
        </w:rPr>
        <w:t>.</w:t>
      </w:r>
    </w:p>
  </w:footnote>
  <w:footnote w:id="7">
    <w:p w:rsidR="00816F81" w:rsidRPr="006E7DF2" w:rsidRDefault="00816F81" w:rsidP="00CF389F">
      <w:pPr>
        <w:pStyle w:val="af0"/>
        <w:jc w:val="both"/>
        <w:rPr>
          <w:szCs w:val="22"/>
        </w:rPr>
      </w:pPr>
      <w:r w:rsidRPr="00695268">
        <w:rPr>
          <w:rStyle w:val="af1"/>
          <w:szCs w:val="22"/>
        </w:rPr>
        <w:footnoteRef/>
      </w:r>
      <w:r w:rsidRPr="00695268">
        <w:rPr>
          <w:szCs w:val="22"/>
        </w:rPr>
        <w:t xml:space="preserve"> Σύ</w:t>
      </w:r>
      <w:r>
        <w:rPr>
          <w:szCs w:val="22"/>
        </w:rPr>
        <w:t>μφωνα με τις εαρινές προβλέψεις</w:t>
      </w:r>
      <w:r w:rsidRPr="00695268">
        <w:rPr>
          <w:szCs w:val="22"/>
        </w:rPr>
        <w:t xml:space="preserve"> της Ευρωπαϊκής Επιτροπής εκτιμάται σε  1,7% και 1,3% το 2021 και 2022 αντίστοιχα</w:t>
      </w:r>
      <w:r w:rsidRPr="006E7DF2">
        <w:rPr>
          <w:szCs w:val="22"/>
        </w:rPr>
        <w:t>.</w:t>
      </w:r>
    </w:p>
  </w:footnote>
  <w:footnote w:id="8">
    <w:p w:rsidR="00816F81" w:rsidRPr="006E7DF2" w:rsidRDefault="00816F81" w:rsidP="00CF389F">
      <w:pPr>
        <w:pStyle w:val="af0"/>
        <w:jc w:val="both"/>
        <w:rPr>
          <w:szCs w:val="22"/>
        </w:rPr>
      </w:pPr>
      <w:r w:rsidRPr="00695268">
        <w:rPr>
          <w:rStyle w:val="af1"/>
          <w:szCs w:val="22"/>
        </w:rPr>
        <w:footnoteRef/>
      </w:r>
      <w:r w:rsidRPr="00695268">
        <w:rPr>
          <w:szCs w:val="22"/>
        </w:rPr>
        <w:t xml:space="preserve"> Η μέση τιμή πετρελαίου σε δολάρια ΗΠΑ ανά βαρέλι ήταν 42,3 το 2020, ενώ το 2021 αναμένεται να ανέλθει σε 59,3 το 2021, σύμφωνα με την ΕΚΤ</w:t>
      </w:r>
      <w:r w:rsidRPr="006E7DF2">
        <w:rPr>
          <w:szCs w:val="22"/>
        </w:rPr>
        <w:t>.</w:t>
      </w:r>
    </w:p>
  </w:footnote>
  <w:footnote w:id="9">
    <w:p w:rsidR="00816F81" w:rsidRPr="006E7DF2" w:rsidRDefault="00816F81" w:rsidP="00CF389F">
      <w:pPr>
        <w:pStyle w:val="af0"/>
        <w:jc w:val="both"/>
        <w:rPr>
          <w:szCs w:val="22"/>
        </w:rPr>
      </w:pPr>
      <w:r w:rsidRPr="00695268">
        <w:rPr>
          <w:rStyle w:val="af1"/>
          <w:szCs w:val="22"/>
        </w:rPr>
        <w:footnoteRef/>
      </w:r>
      <w:r w:rsidRPr="00695268">
        <w:rPr>
          <w:szCs w:val="22"/>
        </w:rPr>
        <w:t xml:space="preserve"> Σύμφωνα με τον Παγκόσμιο Οργανισμό Τουρισμού, λόγω του </w:t>
      </w:r>
      <w:proofErr w:type="spellStart"/>
      <w:r w:rsidRPr="00695268">
        <w:rPr>
          <w:szCs w:val="22"/>
          <w:lang w:val="en-US"/>
        </w:rPr>
        <w:t>Covid</w:t>
      </w:r>
      <w:proofErr w:type="spellEnd"/>
      <w:r w:rsidRPr="00695268">
        <w:rPr>
          <w:szCs w:val="22"/>
        </w:rPr>
        <w:t xml:space="preserve">-19 οι διεθνείς τουριστικές αφίξεις σε παγκόσμιο επίπεδο σημείωσαν πτώση κατά 74%, με τις απώλειες εισοδήματος να είναι </w:t>
      </w:r>
      <w:proofErr w:type="spellStart"/>
      <w:r w:rsidRPr="00695268">
        <w:rPr>
          <w:szCs w:val="22"/>
        </w:rPr>
        <w:t>εντεκαπλάσιες</w:t>
      </w:r>
      <w:proofErr w:type="spellEnd"/>
      <w:r w:rsidRPr="00695268">
        <w:rPr>
          <w:szCs w:val="22"/>
        </w:rPr>
        <w:t xml:space="preserve"> από </w:t>
      </w:r>
      <w:proofErr w:type="spellStart"/>
      <w:r w:rsidRPr="00695268">
        <w:rPr>
          <w:szCs w:val="22"/>
        </w:rPr>
        <w:t>ό,τι</w:t>
      </w:r>
      <w:proofErr w:type="spellEnd"/>
      <w:r w:rsidRPr="00695268">
        <w:rPr>
          <w:szCs w:val="22"/>
        </w:rPr>
        <w:t xml:space="preserve"> κατά την οικονομική κρίση του 2009, και με 100 ως 120 εκατομμύρια άμεσες θέσεις εργασίας στον κλάδο του τουρισμού να βρίσκονται σε κίνδυνο. Στοιχεία Παγκόσμιου Οργανισμού Τουρισμού, «2020: Α </w:t>
      </w:r>
      <w:r w:rsidRPr="00695268">
        <w:rPr>
          <w:szCs w:val="22"/>
          <w:lang w:val="en-US"/>
        </w:rPr>
        <w:t>year</w:t>
      </w:r>
      <w:r w:rsidRPr="00695268">
        <w:rPr>
          <w:szCs w:val="22"/>
        </w:rPr>
        <w:t xml:space="preserve"> </w:t>
      </w:r>
      <w:r w:rsidRPr="00695268">
        <w:rPr>
          <w:szCs w:val="22"/>
          <w:lang w:val="en-US"/>
        </w:rPr>
        <w:t>in</w:t>
      </w:r>
      <w:r w:rsidRPr="00695268">
        <w:rPr>
          <w:szCs w:val="22"/>
        </w:rPr>
        <w:t xml:space="preserve"> </w:t>
      </w:r>
      <w:r w:rsidRPr="00695268">
        <w:rPr>
          <w:szCs w:val="22"/>
          <w:lang w:val="en-US"/>
        </w:rPr>
        <w:t>review</w:t>
      </w:r>
      <w:r w:rsidRPr="00695268">
        <w:rPr>
          <w:szCs w:val="22"/>
        </w:rPr>
        <w:t>», Ιανουάριος 2021 (</w:t>
      </w:r>
      <w:hyperlink r:id="rId1" w:history="1">
        <w:r w:rsidRPr="00695268">
          <w:rPr>
            <w:rStyle w:val="-"/>
            <w:szCs w:val="22"/>
          </w:rPr>
          <w:t>https://www.unwto.org/covid-19-and-tourism-2020</w:t>
        </w:r>
      </w:hyperlink>
      <w:r w:rsidRPr="00695268">
        <w:rPr>
          <w:szCs w:val="22"/>
        </w:rPr>
        <w:t>)</w:t>
      </w:r>
      <w:r w:rsidRPr="006E7DF2">
        <w:rPr>
          <w:szCs w:val="22"/>
        </w:rPr>
        <w:t>.</w:t>
      </w:r>
    </w:p>
  </w:footnote>
  <w:footnote w:id="10">
    <w:p w:rsidR="00816F81" w:rsidRPr="006E7DF2" w:rsidRDefault="00816F81">
      <w:pPr>
        <w:pStyle w:val="af0"/>
        <w:rPr>
          <w:szCs w:val="22"/>
        </w:rPr>
      </w:pPr>
      <w:r w:rsidRPr="00695268">
        <w:rPr>
          <w:rStyle w:val="af1"/>
          <w:szCs w:val="22"/>
        </w:rPr>
        <w:footnoteRef/>
      </w:r>
      <w:r w:rsidRPr="00695268">
        <w:rPr>
          <w:szCs w:val="22"/>
        </w:rPr>
        <w:t xml:space="preserve"> Υπό το βάρος της υψηλής βάσης ΑΕΠ τρίτου τριμήνου στον μέσο όρο των κρατών μελών</w:t>
      </w:r>
      <w:r w:rsidRPr="006E7DF2">
        <w:rPr>
          <w:szCs w:val="22"/>
        </w:rPr>
        <w:t>.</w:t>
      </w:r>
    </w:p>
  </w:footnote>
  <w:footnote w:id="11">
    <w:p w:rsidR="00816F81" w:rsidRPr="006E7DF2" w:rsidRDefault="00816F81">
      <w:pPr>
        <w:pStyle w:val="af0"/>
        <w:rPr>
          <w:szCs w:val="22"/>
        </w:rPr>
      </w:pPr>
      <w:r w:rsidRPr="00695268">
        <w:rPr>
          <w:rStyle w:val="af1"/>
          <w:szCs w:val="22"/>
        </w:rPr>
        <w:footnoteRef/>
      </w:r>
      <w:r w:rsidRPr="00695268">
        <w:rPr>
          <w:szCs w:val="22"/>
        </w:rPr>
        <w:t xml:space="preserve"> Σε </w:t>
      </w:r>
      <w:proofErr w:type="spellStart"/>
      <w:r w:rsidRPr="00695268">
        <w:rPr>
          <w:szCs w:val="22"/>
        </w:rPr>
        <w:t>εθνικολογιστική</w:t>
      </w:r>
      <w:proofErr w:type="spellEnd"/>
      <w:r w:rsidRPr="00695268">
        <w:rPr>
          <w:szCs w:val="22"/>
        </w:rPr>
        <w:t xml:space="preserve"> βάση</w:t>
      </w:r>
      <w:r w:rsidRPr="006E7DF2">
        <w:rPr>
          <w:szCs w:val="22"/>
        </w:rPr>
        <w:t>.</w:t>
      </w:r>
    </w:p>
  </w:footnote>
  <w:footnote w:id="12">
    <w:p w:rsidR="00816F81" w:rsidRPr="006E7DF2" w:rsidRDefault="00816F81" w:rsidP="00CF389F">
      <w:pPr>
        <w:pStyle w:val="af0"/>
        <w:jc w:val="both"/>
        <w:rPr>
          <w:szCs w:val="22"/>
        </w:rPr>
      </w:pPr>
      <w:r w:rsidRPr="00695268">
        <w:rPr>
          <w:rStyle w:val="af1"/>
          <w:szCs w:val="22"/>
        </w:rPr>
        <w:footnoteRef/>
      </w:r>
      <w:r w:rsidRPr="00695268">
        <w:rPr>
          <w:szCs w:val="22"/>
        </w:rPr>
        <w:t xml:space="preserve"> Κλάδος ορυχείων και λατομείων, μεταποίησης, ενέργειας, παροχής νερού, επεξεργασίας λυμάτων, διαχείρισης αποβλήτων και εξυγίανσης, της Α10 ταξινόμησης οικονομικής δραστηριότητας NACE Rev.2</w:t>
      </w:r>
      <w:r w:rsidRPr="006E7DF2">
        <w:rPr>
          <w:szCs w:val="22"/>
        </w:rPr>
        <w:t>.</w:t>
      </w:r>
    </w:p>
  </w:footnote>
  <w:footnote w:id="13">
    <w:p w:rsidR="00816F81" w:rsidRPr="006E7DF2" w:rsidRDefault="00816F81">
      <w:pPr>
        <w:pStyle w:val="af0"/>
        <w:rPr>
          <w:szCs w:val="22"/>
        </w:rPr>
      </w:pPr>
      <w:r w:rsidRPr="00695268">
        <w:rPr>
          <w:rStyle w:val="af1"/>
          <w:szCs w:val="22"/>
        </w:rPr>
        <w:footnoteRef/>
      </w:r>
      <w:r w:rsidRPr="00695268">
        <w:rPr>
          <w:szCs w:val="22"/>
        </w:rPr>
        <w:t xml:space="preserve"> 15,6% στις κατοικίες και 9,2% στις λοιπές κατασκευές</w:t>
      </w:r>
      <w:r w:rsidRPr="006E7DF2">
        <w:rPr>
          <w:szCs w:val="22"/>
        </w:rPr>
        <w:t>.</w:t>
      </w:r>
    </w:p>
  </w:footnote>
  <w:footnote w:id="14">
    <w:p w:rsidR="00816F81" w:rsidRPr="006E7DF2" w:rsidRDefault="00816F81">
      <w:pPr>
        <w:pStyle w:val="af0"/>
        <w:rPr>
          <w:szCs w:val="22"/>
        </w:rPr>
      </w:pPr>
      <w:r w:rsidRPr="00695268">
        <w:rPr>
          <w:rStyle w:val="af1"/>
          <w:szCs w:val="22"/>
        </w:rPr>
        <w:footnoteRef/>
      </w:r>
      <w:r w:rsidRPr="00695268">
        <w:rPr>
          <w:szCs w:val="22"/>
        </w:rPr>
        <w:t xml:space="preserve"> Πειραματικές Στατιστικές, Κύκλος Εργασιών Επιχειρήσεων σε Αναστολή Λειτουργίας λόγω της πανδημίας </w:t>
      </w:r>
      <w:r w:rsidRPr="00695268">
        <w:rPr>
          <w:szCs w:val="22"/>
          <w:lang w:val="en-US"/>
        </w:rPr>
        <w:t>COVID</w:t>
      </w:r>
      <w:r w:rsidRPr="00695268">
        <w:rPr>
          <w:szCs w:val="22"/>
        </w:rPr>
        <w:t xml:space="preserve">-19 κατά </w:t>
      </w:r>
      <w:r w:rsidRPr="00695268">
        <w:rPr>
          <w:szCs w:val="22"/>
          <w:lang w:val="en-US"/>
        </w:rPr>
        <w:t>NACE</w:t>
      </w:r>
      <w:r w:rsidRPr="00695268">
        <w:rPr>
          <w:szCs w:val="22"/>
        </w:rPr>
        <w:t xml:space="preserve"> </w:t>
      </w:r>
      <w:proofErr w:type="spellStart"/>
      <w:r w:rsidRPr="00695268">
        <w:rPr>
          <w:szCs w:val="22"/>
        </w:rPr>
        <w:t>Αναθ</w:t>
      </w:r>
      <w:proofErr w:type="spellEnd"/>
      <w:r w:rsidRPr="00695268">
        <w:rPr>
          <w:szCs w:val="22"/>
        </w:rPr>
        <w:t>. 2, Δεκέμβριος 2020</w:t>
      </w:r>
      <w:r w:rsidRPr="006E7DF2">
        <w:rPr>
          <w:szCs w:val="22"/>
        </w:rPr>
        <w:t>.</w:t>
      </w:r>
    </w:p>
  </w:footnote>
  <w:footnote w:id="15">
    <w:p w:rsidR="00816F81" w:rsidRPr="006E7DF2" w:rsidRDefault="00816F81" w:rsidP="00CF389F">
      <w:pPr>
        <w:pStyle w:val="af0"/>
        <w:rPr>
          <w:szCs w:val="22"/>
        </w:rPr>
      </w:pPr>
      <w:r w:rsidRPr="00695268">
        <w:rPr>
          <w:rStyle w:val="af1"/>
          <w:szCs w:val="22"/>
        </w:rPr>
        <w:footnoteRef/>
      </w:r>
      <w:r w:rsidRPr="00695268">
        <w:rPr>
          <w:szCs w:val="22"/>
        </w:rPr>
        <w:t xml:space="preserve"> Τριμηνιαίοι μη χρηματοοικονομικοί λογαριασμοί θεσμικών τομέων, Δ’ τρίμηνο 2020, Ελληνική Στατιστική Αρχή (Απρίλιος 2021)</w:t>
      </w:r>
      <w:r w:rsidRPr="006E7DF2">
        <w:rPr>
          <w:szCs w:val="22"/>
        </w:rPr>
        <w:t>.</w:t>
      </w:r>
    </w:p>
  </w:footnote>
  <w:footnote w:id="16">
    <w:p w:rsidR="00816F81" w:rsidRPr="006E7DF2" w:rsidRDefault="00816F81">
      <w:pPr>
        <w:pStyle w:val="af0"/>
        <w:rPr>
          <w:szCs w:val="22"/>
        </w:rPr>
      </w:pPr>
      <w:r w:rsidRPr="00695268">
        <w:rPr>
          <w:rStyle w:val="af1"/>
          <w:szCs w:val="22"/>
        </w:rPr>
        <w:footnoteRef/>
      </w:r>
      <w:r w:rsidRPr="00695268">
        <w:rPr>
          <w:szCs w:val="22"/>
        </w:rPr>
        <w:t xml:space="preserve"> Έκθεση του Διοικητή για το έτος 2020, Απρίλιος 2021</w:t>
      </w:r>
      <w:r w:rsidRPr="006E7DF2">
        <w:rPr>
          <w:szCs w:val="22"/>
        </w:rPr>
        <w:t>.</w:t>
      </w:r>
    </w:p>
  </w:footnote>
  <w:footnote w:id="17">
    <w:p w:rsidR="00816F81" w:rsidRPr="006E7DF2" w:rsidRDefault="00816F81" w:rsidP="007F7D3F">
      <w:pPr>
        <w:pStyle w:val="af0"/>
        <w:rPr>
          <w:szCs w:val="22"/>
        </w:rPr>
      </w:pPr>
      <w:r w:rsidRPr="00695268">
        <w:rPr>
          <w:rStyle w:val="af1"/>
          <w:szCs w:val="22"/>
        </w:rPr>
        <w:footnoteRef/>
      </w:r>
      <w:r w:rsidRPr="00695268">
        <w:rPr>
          <w:szCs w:val="22"/>
        </w:rPr>
        <w:t xml:space="preserve"> Στοιχεία εθνικών λογαριασμών, 1</w:t>
      </w:r>
      <w:r w:rsidRPr="00695268">
        <w:rPr>
          <w:szCs w:val="22"/>
          <w:vertAlign w:val="superscript"/>
        </w:rPr>
        <w:t>η</w:t>
      </w:r>
      <w:r w:rsidRPr="00695268">
        <w:rPr>
          <w:szCs w:val="22"/>
        </w:rPr>
        <w:t xml:space="preserve"> εκτίμηση για το 2020, Ελληνική Στατιστική Αρχή (Μάρτιος 2021)</w:t>
      </w:r>
      <w:r w:rsidRPr="006E7DF2">
        <w:rPr>
          <w:szCs w:val="22"/>
        </w:rPr>
        <w:t>.</w:t>
      </w:r>
    </w:p>
  </w:footnote>
  <w:footnote w:id="18">
    <w:p w:rsidR="00816F81" w:rsidRPr="006E7DF2" w:rsidRDefault="00816F81" w:rsidP="007F7D3F">
      <w:pPr>
        <w:pStyle w:val="af0"/>
        <w:rPr>
          <w:szCs w:val="22"/>
        </w:rPr>
      </w:pPr>
      <w:r w:rsidRPr="00695268">
        <w:rPr>
          <w:rStyle w:val="af1"/>
          <w:szCs w:val="22"/>
        </w:rPr>
        <w:footnoteRef/>
      </w:r>
      <w:r w:rsidRPr="00695268">
        <w:rPr>
          <w:szCs w:val="22"/>
        </w:rPr>
        <w:t xml:space="preserve"> Τριμηνιαίοι μη χρηματοοικονομικοί λογαριασμοί θεσμικών τομέων, Δ’ τρίμηνο 2020, Ελληνική Στατιστική Αρχή (Απρίλιος 2021)</w:t>
      </w:r>
      <w:r w:rsidRPr="006E7DF2">
        <w:rPr>
          <w:szCs w:val="22"/>
        </w:rPr>
        <w:t>.</w:t>
      </w:r>
    </w:p>
  </w:footnote>
  <w:footnote w:id="19">
    <w:p w:rsidR="00816F81" w:rsidRPr="006E7DF2" w:rsidRDefault="00816F81">
      <w:pPr>
        <w:pStyle w:val="af0"/>
        <w:rPr>
          <w:szCs w:val="22"/>
        </w:rPr>
      </w:pPr>
      <w:r w:rsidRPr="00695268">
        <w:rPr>
          <w:rStyle w:val="af1"/>
          <w:szCs w:val="22"/>
        </w:rPr>
        <w:footnoteRef/>
      </w:r>
      <w:r w:rsidRPr="00695268">
        <w:rPr>
          <w:szCs w:val="22"/>
        </w:rPr>
        <w:t xml:space="preserve"> Έκθεση του Διοικητή για το έτος 2020, Απρίλιος 2021</w:t>
      </w:r>
      <w:r w:rsidRPr="006E7DF2">
        <w:rPr>
          <w:szCs w:val="22"/>
        </w:rPr>
        <w:t>.</w:t>
      </w:r>
    </w:p>
  </w:footnote>
  <w:footnote w:id="20">
    <w:p w:rsidR="00816F81" w:rsidRPr="00695268" w:rsidRDefault="00816F81" w:rsidP="00CF389F">
      <w:pPr>
        <w:pStyle w:val="af0"/>
        <w:jc w:val="both"/>
        <w:rPr>
          <w:szCs w:val="22"/>
        </w:rPr>
      </w:pPr>
      <w:r w:rsidRPr="00695268">
        <w:rPr>
          <w:rStyle w:val="af1"/>
          <w:szCs w:val="22"/>
        </w:rPr>
        <w:footnoteRef/>
      </w:r>
      <w:r w:rsidRPr="00695268">
        <w:rPr>
          <w:szCs w:val="22"/>
        </w:rPr>
        <w:t xml:space="preserve"> Μεταξύ των οποίων, η συμπερίληψη των ελληνικών ομολόγων στο </w:t>
      </w:r>
      <w:r w:rsidRPr="00695268">
        <w:rPr>
          <w:rStyle w:val="af3"/>
          <w:szCs w:val="22"/>
        </w:rPr>
        <w:t>έκτακτο πρόγραμμα αγοράς στοιχείων ενεργητικού λόγω πανδημίας (PEPP)</w:t>
      </w:r>
      <w:r w:rsidRPr="00695268">
        <w:rPr>
          <w:b/>
          <w:bCs/>
          <w:szCs w:val="22"/>
        </w:rPr>
        <w:t xml:space="preserve"> </w:t>
      </w:r>
      <w:r w:rsidRPr="00695268">
        <w:rPr>
          <w:szCs w:val="22"/>
        </w:rPr>
        <w:t>και η αποδοχή</w:t>
      </w:r>
      <w:r w:rsidRPr="00695268">
        <w:rPr>
          <w:b/>
          <w:bCs/>
          <w:szCs w:val="22"/>
        </w:rPr>
        <w:t xml:space="preserve"> </w:t>
      </w:r>
      <w:r w:rsidRPr="00695268">
        <w:rPr>
          <w:szCs w:val="22"/>
        </w:rPr>
        <w:t xml:space="preserve">τους στις πράξεις αναχρηματοδότησης μέσω του </w:t>
      </w:r>
      <w:proofErr w:type="spellStart"/>
      <w:r w:rsidRPr="00695268">
        <w:rPr>
          <w:szCs w:val="22"/>
        </w:rPr>
        <w:t>Ευρωσυστήματος</w:t>
      </w:r>
      <w:proofErr w:type="spellEnd"/>
      <w:r w:rsidRPr="006E7DF2">
        <w:rPr>
          <w:szCs w:val="22"/>
        </w:rPr>
        <w:t>.</w:t>
      </w:r>
      <w:r w:rsidRPr="00695268">
        <w:rPr>
          <w:szCs w:val="22"/>
        </w:rPr>
        <w:t xml:space="preserve"> </w:t>
      </w:r>
    </w:p>
  </w:footnote>
  <w:footnote w:id="21">
    <w:p w:rsidR="00816F81" w:rsidRPr="00695268" w:rsidRDefault="00816F81" w:rsidP="00CF389F">
      <w:pPr>
        <w:pStyle w:val="af0"/>
        <w:jc w:val="both"/>
        <w:rPr>
          <w:szCs w:val="22"/>
        </w:rPr>
      </w:pPr>
      <w:r w:rsidRPr="00695268">
        <w:rPr>
          <w:rStyle w:val="af1"/>
          <w:szCs w:val="22"/>
        </w:rPr>
        <w:footnoteRef/>
      </w:r>
      <w:r w:rsidRPr="00695268">
        <w:rPr>
          <w:szCs w:val="22"/>
        </w:rPr>
        <w:t xml:space="preserve"> Και των επενδύσεων σε άλλα προϊόντα πλην κατασκευαστικών, εξοπλιστικών και αγροτικών (προϊόντα πνευματικής ιδιοκτησίας κτλ), που μειώθηκαν κατά 2,6% έναντι του 2019</w:t>
      </w:r>
      <w:r w:rsidRPr="006E7DF2">
        <w:rPr>
          <w:szCs w:val="22"/>
        </w:rPr>
        <w:t>.</w:t>
      </w:r>
      <w:r w:rsidRPr="00695268">
        <w:rPr>
          <w:szCs w:val="22"/>
        </w:rPr>
        <w:t xml:space="preserve"> </w:t>
      </w:r>
    </w:p>
  </w:footnote>
  <w:footnote w:id="22">
    <w:p w:rsidR="00816F81" w:rsidRPr="006E7DF2" w:rsidRDefault="00816F81">
      <w:pPr>
        <w:pStyle w:val="af0"/>
        <w:rPr>
          <w:szCs w:val="22"/>
        </w:rPr>
      </w:pPr>
      <w:r w:rsidRPr="00695268">
        <w:rPr>
          <w:rStyle w:val="af1"/>
          <w:szCs w:val="22"/>
        </w:rPr>
        <w:footnoteRef/>
      </w:r>
      <w:r w:rsidRPr="00695268">
        <w:rPr>
          <w:szCs w:val="22"/>
        </w:rPr>
        <w:t xml:space="preserve"> Πηγή: </w:t>
      </w:r>
      <w:proofErr w:type="spellStart"/>
      <w:r w:rsidRPr="00695268">
        <w:rPr>
          <w:szCs w:val="22"/>
          <w:lang w:val="en-US"/>
        </w:rPr>
        <w:t>Eurostat</w:t>
      </w:r>
      <w:proofErr w:type="spellEnd"/>
      <w:r w:rsidRPr="00695268">
        <w:rPr>
          <w:szCs w:val="22"/>
        </w:rPr>
        <w:t>, Διεθνές εμπόριο αγαθών κατά ΤΤΔΕ (</w:t>
      </w:r>
      <w:r w:rsidRPr="00695268">
        <w:rPr>
          <w:rStyle w:val="leftside"/>
          <w:szCs w:val="22"/>
          <w:lang w:val="en-US"/>
        </w:rPr>
        <w:t>SITC</w:t>
      </w:r>
      <w:r w:rsidRPr="00695268">
        <w:rPr>
          <w:rStyle w:val="leftside"/>
          <w:szCs w:val="22"/>
        </w:rPr>
        <w:t>)</w:t>
      </w:r>
      <w:r w:rsidRPr="006E7DF2">
        <w:rPr>
          <w:rStyle w:val="leftside"/>
          <w:szCs w:val="22"/>
        </w:rPr>
        <w:t>.</w:t>
      </w:r>
    </w:p>
  </w:footnote>
  <w:footnote w:id="23">
    <w:p w:rsidR="00816F81" w:rsidRPr="00695268" w:rsidRDefault="00816F81" w:rsidP="00CF389F">
      <w:pPr>
        <w:pStyle w:val="2"/>
        <w:spacing w:before="0"/>
        <w:jc w:val="both"/>
        <w:rPr>
          <w:color w:val="auto"/>
          <w:sz w:val="20"/>
          <w:szCs w:val="22"/>
        </w:rPr>
      </w:pPr>
      <w:r w:rsidRPr="00695268">
        <w:rPr>
          <w:rStyle w:val="af1"/>
          <w:rFonts w:asciiTheme="minorHAnsi" w:eastAsiaTheme="minorHAnsi" w:hAnsiTheme="minorHAnsi" w:cstheme="minorBidi"/>
          <w:color w:val="auto"/>
          <w:sz w:val="20"/>
          <w:szCs w:val="22"/>
          <w:lang w:eastAsia="en-US"/>
        </w:rPr>
        <w:footnoteRef/>
      </w:r>
      <w:r w:rsidRPr="00695268">
        <w:rPr>
          <w:rStyle w:val="af1"/>
          <w:rFonts w:asciiTheme="minorHAnsi" w:eastAsiaTheme="minorHAnsi" w:hAnsiTheme="minorHAnsi" w:cstheme="minorBidi"/>
          <w:color w:val="auto"/>
          <w:sz w:val="20"/>
          <w:szCs w:val="22"/>
          <w:lang w:eastAsia="en-US"/>
        </w:rPr>
        <w:t xml:space="preserve"> </w:t>
      </w:r>
      <w:r w:rsidRPr="00695268">
        <w:rPr>
          <w:rFonts w:asciiTheme="minorHAnsi" w:eastAsiaTheme="minorHAnsi" w:hAnsiTheme="minorHAnsi" w:cstheme="minorBidi"/>
          <w:color w:val="auto"/>
          <w:sz w:val="20"/>
          <w:szCs w:val="22"/>
          <w:lang w:eastAsia="en-US"/>
        </w:rPr>
        <w:t>Εκτίμηση για τις Προσδοκίες των Ελληνικών Εξαγωγικών Επιχειρήσεων - Σειρά Πειραματικών Στατιστικών 2020.</w:t>
      </w:r>
    </w:p>
  </w:footnote>
  <w:footnote w:id="24">
    <w:p w:rsidR="00816F81" w:rsidRPr="00E53C99" w:rsidRDefault="00816F81" w:rsidP="00CB5668">
      <w:pPr>
        <w:pStyle w:val="af0"/>
        <w:jc w:val="both"/>
      </w:pPr>
      <w:r w:rsidRPr="00E53C99">
        <w:rPr>
          <w:rStyle w:val="af1"/>
        </w:rPr>
        <w:footnoteRef/>
      </w:r>
      <w:r w:rsidRPr="00E53C99">
        <w:t xml:space="preserve"> Από ήπια ανάπτυξη της τάξης του 1,2%, στις χειμερινές προβλέψεις Φεβρουαρίου 2020 σε ύφεση 7,7% στις εαρινές προβλέψεις Μαΐου 2020, και ακολούθως σε ύφεση 8,7% και 7,8% αντίστοιχα στις θερινές και φθινοπωρινές προβλέψεις της. Τέλος, υπό το φως των διαθέσιμων προκαταρκτικών εκτιμήσεων (</w:t>
      </w:r>
      <w:r w:rsidRPr="00E53C99">
        <w:rPr>
          <w:lang w:val="en-US"/>
        </w:rPr>
        <w:t>flash</w:t>
      </w:r>
      <w:r w:rsidRPr="00E53C99">
        <w:t xml:space="preserve"> </w:t>
      </w:r>
      <w:r w:rsidRPr="00E53C99">
        <w:rPr>
          <w:lang w:val="en-US"/>
        </w:rPr>
        <w:t>estimates</w:t>
      </w:r>
      <w:r w:rsidRPr="00E53C99">
        <w:t xml:space="preserve">) από την Ευρωπαϊκή Στατιστική Αρχή, η τελική εκτίμηση της Ευρωπαϊκής Επιτροπής για την ύφεση στην Ευρωζώνη βελτιώθηκε στο 6,8% λίγο πριν την ανακοίνωση των προσωρινών στοιχείων για το 2020. </w:t>
      </w:r>
    </w:p>
  </w:footnote>
  <w:footnote w:id="25">
    <w:p w:rsidR="00816F81" w:rsidRPr="00695268" w:rsidRDefault="00816F81" w:rsidP="00CF389F">
      <w:pPr>
        <w:pStyle w:val="af0"/>
        <w:jc w:val="both"/>
        <w:rPr>
          <w:szCs w:val="22"/>
        </w:rPr>
      </w:pPr>
      <w:r w:rsidRPr="00695268">
        <w:rPr>
          <w:rStyle w:val="af1"/>
          <w:szCs w:val="22"/>
        </w:rPr>
        <w:footnoteRef/>
      </w:r>
      <w:r w:rsidRPr="00695268">
        <w:rPr>
          <w:szCs w:val="22"/>
        </w:rPr>
        <w:t xml:space="preserve"> Ειδικότερα, στο σύνολο των κλάδων πλην του πρωτογενούς τομέα και του κλάδου των κατασκευών (με τον τελευταίο, όμως, να έχει προηγουμένως αναπτύξει ανοδική πορεία το 2020, ακόμα και κατά τη διάρκεια του δεύτερου τριμήνου).  </w:t>
      </w:r>
    </w:p>
  </w:footnote>
  <w:footnote w:id="26">
    <w:p w:rsidR="00816F81" w:rsidRPr="00695268" w:rsidRDefault="00816F81" w:rsidP="00CF389F">
      <w:pPr>
        <w:spacing w:after="0"/>
        <w:jc w:val="both"/>
        <w:rPr>
          <w:sz w:val="20"/>
        </w:rPr>
      </w:pPr>
      <w:r w:rsidRPr="00695268">
        <w:rPr>
          <w:rStyle w:val="af1"/>
          <w:sz w:val="20"/>
        </w:rPr>
        <w:footnoteRef/>
      </w:r>
      <w:r w:rsidRPr="00695268">
        <w:rPr>
          <w:sz w:val="20"/>
        </w:rPr>
        <w:t xml:space="preserve"> Σε όρους κύκλου εργασιών, οι απώλειες για τις επιχειρήσεις υπηρεσιών καταλυμάτων σε αναστολή λειτουργίας περιορίστηκαν στο τέταρτο τρίμηνο στο 51,6% σε ετήσια βάση, έναντι ολοσχερών απωλειών 94,7% σε ετήσια βάση στο δεύτερο τρίμηνο, οπότε είχε ισχύσει γενικευμένη απαγόρευση διεθνών μετακινήσεων. Για τις επιχειρήσεις του λιανεμπορίου και της εστίασης, οι απώλειες εσόδων στο τέταρτο τρίμηνο σημείωσαν συγκριτικά μικρότερη συγκράτηση, παραμένοντας ωστόσο κάτω από τις αντίστοιχες ποσοστιαίες μεταβολές του δεύτερου τριμήνου 2020 (-27,3% και -47,0%, αντίστοιχα, έναντι -30,2% και -59,5% στο δεύτερο τρίμηνο) (Πειραματικές στατιστικές της Ελληνικής Στατιστικής Αρχής, Εξέλιξη κύκλου εργασιών επιχειρήσεων που τέθηκαν σε αναστολή λειτουργίας με κρατική εντολή λόγω της πανδημίας, Δεκέμβριος 2020).  </w:t>
      </w:r>
    </w:p>
  </w:footnote>
  <w:footnote w:id="27">
    <w:p w:rsidR="00816F81" w:rsidRPr="006E7DF2" w:rsidRDefault="00816F81" w:rsidP="000F7935">
      <w:pPr>
        <w:pStyle w:val="af0"/>
        <w:rPr>
          <w:szCs w:val="22"/>
        </w:rPr>
      </w:pPr>
      <w:r w:rsidRPr="00695268">
        <w:rPr>
          <w:rStyle w:val="af1"/>
          <w:szCs w:val="22"/>
        </w:rPr>
        <w:footnoteRef/>
      </w:r>
      <w:r w:rsidRPr="00695268">
        <w:rPr>
          <w:szCs w:val="22"/>
        </w:rPr>
        <w:t xml:space="preserve"> </w:t>
      </w:r>
      <w:r w:rsidRPr="00695268">
        <w:rPr>
          <w:rStyle w:val="acopre"/>
          <w:szCs w:val="22"/>
        </w:rPr>
        <w:t xml:space="preserve">"Αναφορά </w:t>
      </w:r>
      <w:r w:rsidRPr="00695268">
        <w:rPr>
          <w:rStyle w:val="af4"/>
          <w:i w:val="0"/>
          <w:iCs w:val="0"/>
          <w:szCs w:val="22"/>
        </w:rPr>
        <w:t>Κινητικότητας</w:t>
      </w:r>
      <w:r w:rsidRPr="00695268">
        <w:rPr>
          <w:rStyle w:val="acopre"/>
          <w:szCs w:val="22"/>
        </w:rPr>
        <w:t xml:space="preserve"> Κοινότητας για τον COVID-19" της </w:t>
      </w:r>
      <w:proofErr w:type="spellStart"/>
      <w:r w:rsidRPr="00695268">
        <w:rPr>
          <w:rStyle w:val="af4"/>
          <w:i w:val="0"/>
          <w:iCs w:val="0"/>
          <w:szCs w:val="22"/>
        </w:rPr>
        <w:t>Google</w:t>
      </w:r>
      <w:proofErr w:type="spellEnd"/>
      <w:r w:rsidRPr="006E7DF2">
        <w:rPr>
          <w:rStyle w:val="af4"/>
          <w:i w:val="0"/>
          <w:iCs w:val="0"/>
          <w:szCs w:val="22"/>
        </w:rPr>
        <w:t>.</w:t>
      </w:r>
    </w:p>
  </w:footnote>
  <w:footnote w:id="28">
    <w:p w:rsidR="00816F81" w:rsidRPr="006E7DF2" w:rsidRDefault="00816F81" w:rsidP="000F7935">
      <w:pPr>
        <w:pStyle w:val="af0"/>
        <w:jc w:val="both"/>
        <w:rPr>
          <w:szCs w:val="22"/>
        </w:rPr>
      </w:pPr>
      <w:r w:rsidRPr="00695268">
        <w:rPr>
          <w:rStyle w:val="af1"/>
          <w:szCs w:val="22"/>
        </w:rPr>
        <w:footnoteRef/>
      </w:r>
      <w:r w:rsidRPr="00695268">
        <w:rPr>
          <w:szCs w:val="22"/>
        </w:rPr>
        <w:t xml:space="preserve"> Όπως, μεταξύ άλλων, η μείωση του ΦΠΑ σε κλάδους υπηρεσιών που σχετίζονται με τουρισμό και αναψυχή, οι αποζημιώσεις ειδικού σκοπού για πληττόμενους εργαζόμενους και η χρονική επέκταση του επιδόματος ανεργίας, η στήριξη με προσωρινό προσωπικό του συστήματος υγείας και των δημόσιων μεταφορών, η χρηματοδότηση επιχειρήσεων με τη μορφή επιστρεπτέας προκαταβολής, το πρόγραμμα «Γέφυρα» για επιδότηση δανείων με υποθήκη την πρώτη κατοικία και ο μηχανισμός «ΣΥΝ-ΕΡΓΑΣΙΑ» για την οικονομική ενίσχυση βραχυχρόνιας εργασίας με χρηματοδότηση από το ευρωπαϊκό πρόγραμμα </w:t>
      </w:r>
      <w:r w:rsidRPr="00695268">
        <w:rPr>
          <w:szCs w:val="22"/>
          <w:lang w:val="en-US"/>
        </w:rPr>
        <w:t>SURE</w:t>
      </w:r>
      <w:r w:rsidRPr="006E7DF2">
        <w:rPr>
          <w:szCs w:val="22"/>
        </w:rPr>
        <w:t>.</w:t>
      </w:r>
    </w:p>
  </w:footnote>
  <w:footnote w:id="29">
    <w:p w:rsidR="00816F81" w:rsidRPr="006E7DF2" w:rsidRDefault="00816F81" w:rsidP="000F7935">
      <w:pPr>
        <w:pStyle w:val="af0"/>
        <w:jc w:val="both"/>
        <w:rPr>
          <w:szCs w:val="22"/>
        </w:rPr>
      </w:pPr>
      <w:r w:rsidRPr="00695268">
        <w:rPr>
          <w:rStyle w:val="af1"/>
          <w:szCs w:val="22"/>
        </w:rPr>
        <w:footnoteRef/>
      </w:r>
      <w:r w:rsidRPr="00695268">
        <w:rPr>
          <w:szCs w:val="22"/>
        </w:rPr>
        <w:t xml:space="preserve"> Όπως η αναστολή πληρωμών ΦΠΑ, φορολογικών υποχρεώσεων συμπεριλαμβανομένων δόσεων σε ρύθμιση, και ασφαλιστικών εισφορών</w:t>
      </w:r>
      <w:r w:rsidRPr="006E7DF2">
        <w:rPr>
          <w:szCs w:val="22"/>
        </w:rPr>
        <w:t>.</w:t>
      </w:r>
    </w:p>
  </w:footnote>
  <w:footnote w:id="30">
    <w:p w:rsidR="00816F81" w:rsidRPr="00695268" w:rsidRDefault="00816F81" w:rsidP="000F7935">
      <w:pPr>
        <w:pStyle w:val="af0"/>
        <w:jc w:val="both"/>
        <w:rPr>
          <w:szCs w:val="22"/>
        </w:rPr>
      </w:pPr>
      <w:r w:rsidRPr="00695268">
        <w:rPr>
          <w:rStyle w:val="af1"/>
          <w:szCs w:val="22"/>
        </w:rPr>
        <w:footnoteRef/>
      </w:r>
      <w:r w:rsidRPr="00695268">
        <w:rPr>
          <w:szCs w:val="22"/>
        </w:rPr>
        <w:t xml:space="preserve"> Το πρόγραμμα παροχής δανείων κεφαλαίου κίνησης προς μικρομεσαίες επιχειρήσεις με διετή επιδότηση επιτοκίου λόγω πανδημίας από το ΤΕΠΙΧ ΙΙ, και το Ταμείο Εγγυοδοσίας Επιχειρήσεων Covid-19, ως ανεξάρτητη χρηματοδοτική μονάδα στο πλαίσιο της Ελληνικής Αναπτυξιακής Τράπεζας, με εγγυημένα δάνεια κεφαλαίου κίνησης για μικρές, μεσαίες και μεγάλες επιχειρήσεις.</w:t>
      </w:r>
    </w:p>
  </w:footnote>
  <w:footnote w:id="31">
    <w:p w:rsidR="00816F81" w:rsidRPr="00695268" w:rsidRDefault="00816F81">
      <w:pPr>
        <w:pStyle w:val="af0"/>
        <w:rPr>
          <w:szCs w:val="22"/>
        </w:rPr>
      </w:pPr>
      <w:r w:rsidRPr="00695268">
        <w:rPr>
          <w:rStyle w:val="af1"/>
          <w:szCs w:val="22"/>
        </w:rPr>
        <w:footnoteRef/>
      </w:r>
      <w:r w:rsidRPr="00695268">
        <w:rPr>
          <w:szCs w:val="22"/>
        </w:rPr>
        <w:t xml:space="preserve"> Το υπολειπόμενο 1,9% αφορά τον μήνα Μάρτιο 2020. </w:t>
      </w:r>
    </w:p>
  </w:footnote>
  <w:footnote w:id="32">
    <w:p w:rsidR="00816F81" w:rsidRPr="006E7DF2" w:rsidRDefault="00816F81">
      <w:pPr>
        <w:pStyle w:val="af0"/>
        <w:rPr>
          <w:szCs w:val="22"/>
        </w:rPr>
      </w:pPr>
      <w:r w:rsidRPr="00695268">
        <w:rPr>
          <w:rStyle w:val="af1"/>
          <w:szCs w:val="22"/>
        </w:rPr>
        <w:footnoteRef/>
      </w:r>
      <w:r w:rsidRPr="00695268">
        <w:rPr>
          <w:szCs w:val="22"/>
        </w:rPr>
        <w:t xml:space="preserve"> Σε </w:t>
      </w:r>
      <w:proofErr w:type="spellStart"/>
      <w:r w:rsidRPr="00695268">
        <w:rPr>
          <w:szCs w:val="22"/>
        </w:rPr>
        <w:t>εθνικολογιστική</w:t>
      </w:r>
      <w:proofErr w:type="spellEnd"/>
      <w:r w:rsidRPr="00695268">
        <w:rPr>
          <w:szCs w:val="22"/>
        </w:rPr>
        <w:t xml:space="preserve"> βάση</w:t>
      </w:r>
      <w:r w:rsidRPr="006E7DF2">
        <w:rPr>
          <w:szCs w:val="22"/>
        </w:rPr>
        <w:t>.</w:t>
      </w:r>
    </w:p>
  </w:footnote>
  <w:footnote w:id="33">
    <w:p w:rsidR="00816F81" w:rsidRPr="006E7DF2" w:rsidRDefault="00816F81" w:rsidP="006C49DF">
      <w:pPr>
        <w:pStyle w:val="af0"/>
        <w:jc w:val="both"/>
        <w:rPr>
          <w:szCs w:val="22"/>
        </w:rPr>
      </w:pPr>
      <w:r w:rsidRPr="00695268">
        <w:rPr>
          <w:rStyle w:val="af1"/>
          <w:szCs w:val="22"/>
        </w:rPr>
        <w:footnoteRef/>
      </w:r>
      <w:r w:rsidRPr="00695268">
        <w:rPr>
          <w:szCs w:val="22"/>
        </w:rPr>
        <w:t xml:space="preserve"> Στις αρχές Απριλίου για το λιανεμπόριο, με χρονικό περιορισμό και ραντεβού (</w:t>
      </w:r>
      <w:r w:rsidRPr="00695268">
        <w:rPr>
          <w:szCs w:val="22"/>
          <w:lang w:val="en-US"/>
        </w:rPr>
        <w:t>click</w:t>
      </w:r>
      <w:r w:rsidRPr="00695268">
        <w:rPr>
          <w:szCs w:val="22"/>
        </w:rPr>
        <w:t xml:space="preserve"> </w:t>
      </w:r>
      <w:r w:rsidRPr="00695268">
        <w:rPr>
          <w:szCs w:val="22"/>
          <w:lang w:val="en-US"/>
        </w:rPr>
        <w:t>in</w:t>
      </w:r>
      <w:r w:rsidRPr="00695268">
        <w:rPr>
          <w:szCs w:val="22"/>
        </w:rPr>
        <w:t xml:space="preserve"> </w:t>
      </w:r>
      <w:r w:rsidRPr="00695268">
        <w:rPr>
          <w:szCs w:val="22"/>
          <w:lang w:val="en-US"/>
        </w:rPr>
        <w:t>shop</w:t>
      </w:r>
      <w:r w:rsidRPr="00695268">
        <w:rPr>
          <w:szCs w:val="22"/>
        </w:rPr>
        <w:t>) ή παραλαβή χωρίς είσοδο στο κατάστημα (</w:t>
      </w:r>
      <w:r w:rsidRPr="00695268">
        <w:rPr>
          <w:szCs w:val="22"/>
          <w:lang w:val="en-US"/>
        </w:rPr>
        <w:t>click</w:t>
      </w:r>
      <w:r w:rsidRPr="00695268">
        <w:rPr>
          <w:szCs w:val="22"/>
        </w:rPr>
        <w:t xml:space="preserve"> </w:t>
      </w:r>
      <w:r w:rsidRPr="00695268">
        <w:rPr>
          <w:szCs w:val="22"/>
          <w:lang w:val="en-US"/>
        </w:rPr>
        <w:t>away</w:t>
      </w:r>
      <w:r w:rsidRPr="00695268">
        <w:rPr>
          <w:szCs w:val="22"/>
        </w:rPr>
        <w:t>), στις αρχές Μαΐου για την εστίαση, και στα μέσα Μαΐου για τον εσωτερικό και εξωτερικό τουρισμό</w:t>
      </w:r>
      <w:r w:rsidRPr="006E7DF2">
        <w:rPr>
          <w:szCs w:val="22"/>
        </w:rPr>
        <w:t>.</w:t>
      </w:r>
    </w:p>
  </w:footnote>
  <w:footnote w:id="34">
    <w:p w:rsidR="00816F81" w:rsidRPr="006E7DF2" w:rsidRDefault="00816F81" w:rsidP="00CF389F">
      <w:pPr>
        <w:pStyle w:val="af0"/>
        <w:jc w:val="both"/>
        <w:rPr>
          <w:szCs w:val="22"/>
        </w:rPr>
      </w:pPr>
      <w:r w:rsidRPr="00695268">
        <w:rPr>
          <w:rStyle w:val="af1"/>
          <w:szCs w:val="22"/>
        </w:rPr>
        <w:footnoteRef/>
      </w:r>
      <w:r w:rsidRPr="00695268">
        <w:rPr>
          <w:szCs w:val="22"/>
        </w:rPr>
        <w:t xml:space="preserve"> Πράσινη Μετάβαση, Ψηφιακή Μετάβαση, Απασχόληση/Δεξιότητες και Κοινωνική Συνοχή, Ιδιωτικές Επενδύσεις και Μετασχηματισμός της Οικονομίας</w:t>
      </w:r>
      <w:r w:rsidRPr="006E7DF2">
        <w:rPr>
          <w:szCs w:val="22"/>
        </w:rPr>
        <w:t>.</w:t>
      </w:r>
    </w:p>
  </w:footnote>
  <w:footnote w:id="35">
    <w:p w:rsidR="00816F81" w:rsidRPr="006E7DF2" w:rsidRDefault="00816F81" w:rsidP="00CF389F">
      <w:pPr>
        <w:pStyle w:val="af0"/>
        <w:jc w:val="both"/>
        <w:rPr>
          <w:szCs w:val="22"/>
        </w:rPr>
      </w:pPr>
      <w:r w:rsidRPr="00695268">
        <w:rPr>
          <w:rStyle w:val="af1"/>
          <w:szCs w:val="22"/>
        </w:rPr>
        <w:footnoteRef/>
      </w:r>
      <w:r w:rsidRPr="00695268">
        <w:rPr>
          <w:szCs w:val="22"/>
        </w:rPr>
        <w:t xml:space="preserve"> Χαμηλότερη από την εκτίμηση του Κρατικού Προϋπολογισμού 2021 λόγω μετατόπισης των μέγιστων ετήσιων ροών από το 2021 στο 2022</w:t>
      </w:r>
      <w:r w:rsidRPr="006E7DF2">
        <w:rPr>
          <w:szCs w:val="22"/>
        </w:rPr>
        <w:t>.</w:t>
      </w:r>
    </w:p>
  </w:footnote>
  <w:footnote w:id="36">
    <w:p w:rsidR="00816F81" w:rsidRPr="006E7DF2" w:rsidRDefault="00816F81">
      <w:pPr>
        <w:pStyle w:val="af0"/>
        <w:rPr>
          <w:szCs w:val="22"/>
        </w:rPr>
      </w:pPr>
      <w:r w:rsidRPr="00695268">
        <w:rPr>
          <w:rStyle w:val="af1"/>
          <w:szCs w:val="22"/>
        </w:rPr>
        <w:footnoteRef/>
      </w:r>
      <w:r w:rsidRPr="00695268">
        <w:rPr>
          <w:szCs w:val="22"/>
        </w:rPr>
        <w:t xml:space="preserve"> Η Τράπεζα της Ελλάδος εκτιμά ότι τα νέα μη εξυπηρετούμενα δάνεια λόγω των συνεπειών της πανδημίας θα ανέλθουν σε 8–10 δισεκατομμύρια ευρώ (Έκθεση του Διοικητή για το έτος 2020, Απρίλιος 2021)</w:t>
      </w:r>
      <w:r w:rsidRPr="006E7DF2">
        <w:rPr>
          <w:szCs w:val="22"/>
        </w:rPr>
        <w:t>.</w:t>
      </w:r>
    </w:p>
  </w:footnote>
  <w:footnote w:id="37">
    <w:p w:rsidR="00816F81" w:rsidRPr="006E7DF2" w:rsidRDefault="00816F81" w:rsidP="000B4E29">
      <w:pPr>
        <w:pStyle w:val="af0"/>
        <w:jc w:val="both"/>
        <w:rPr>
          <w:szCs w:val="22"/>
        </w:rPr>
      </w:pPr>
      <w:r w:rsidRPr="00695268">
        <w:rPr>
          <w:rStyle w:val="af1"/>
          <w:szCs w:val="22"/>
        </w:rPr>
        <w:footnoteRef/>
      </w:r>
      <w:r w:rsidRPr="00695268">
        <w:rPr>
          <w:szCs w:val="22"/>
        </w:rPr>
        <w:t xml:space="preserve"> Ενδεικτικά, την περίοδο Ιανουαρίου-Μαρτίου 2021, ο </w:t>
      </w:r>
      <w:proofErr w:type="spellStart"/>
      <w:r w:rsidRPr="00695268">
        <w:rPr>
          <w:szCs w:val="22"/>
        </w:rPr>
        <w:t>Εν.ΔΤΚ</w:t>
      </w:r>
      <w:proofErr w:type="spellEnd"/>
      <w:r w:rsidRPr="00695268">
        <w:rPr>
          <w:szCs w:val="22"/>
        </w:rPr>
        <w:t xml:space="preserve"> κυμάνθηκε στο -2,1% έναντι της αντίστοιχης περιόδου του 2020, με τον </w:t>
      </w:r>
      <w:proofErr w:type="spellStart"/>
      <w:r w:rsidRPr="00695268">
        <w:rPr>
          <w:szCs w:val="22"/>
        </w:rPr>
        <w:t>Εν.ΔΤΚ</w:t>
      </w:r>
      <w:proofErr w:type="spellEnd"/>
      <w:r w:rsidRPr="00695268">
        <w:rPr>
          <w:szCs w:val="22"/>
        </w:rPr>
        <w:t xml:space="preserve"> με σταθερούς φόρους επίσης αρνητικό, στο -1,2%</w:t>
      </w:r>
      <w:r w:rsidRPr="006E7DF2">
        <w:rPr>
          <w:szCs w:val="22"/>
        </w:rPr>
        <w:t>.</w:t>
      </w:r>
    </w:p>
  </w:footnote>
  <w:footnote w:id="38">
    <w:p w:rsidR="00816F81" w:rsidRPr="006E7DF2" w:rsidRDefault="00816F81" w:rsidP="00CF389F">
      <w:pPr>
        <w:pStyle w:val="af0"/>
        <w:jc w:val="both"/>
      </w:pPr>
      <w:r>
        <w:rPr>
          <w:rStyle w:val="af1"/>
        </w:rPr>
        <w:footnoteRef/>
      </w:r>
      <w:r>
        <w:t xml:space="preserve"> Στη βάση της οποίας το 2022 προβλέπεται συρρικνωμένο, αλλά αρνητικό δημοσιονομικό αποτέλεσμα, στο 2,9% του ΑΕΠ από 9,9% το 2021</w:t>
      </w:r>
      <w:r w:rsidRPr="006E7DF2">
        <w:t>.</w:t>
      </w:r>
    </w:p>
  </w:footnote>
  <w:footnote w:id="39">
    <w:p w:rsidR="00816F81" w:rsidRDefault="00816F81" w:rsidP="00CF389F">
      <w:pPr>
        <w:pStyle w:val="af0"/>
        <w:jc w:val="both"/>
      </w:pPr>
      <w:r>
        <w:rPr>
          <w:rStyle w:val="af1"/>
        </w:rPr>
        <w:footnoteRef/>
      </w:r>
      <w:r>
        <w:t xml:space="preserve"> Σε αυτό συντελεί η επίδραση χαμηλής βάσης των επενδύσεων, λόγω της παρατεταμένης περιόδου </w:t>
      </w:r>
      <w:proofErr w:type="spellStart"/>
      <w:r>
        <w:t>απομείωσής</w:t>
      </w:r>
      <w:proofErr w:type="spellEnd"/>
      <w:r>
        <w:t xml:space="preserve"> τους από την έναρξη της οικονομικής κρίσης το 2008.  </w:t>
      </w:r>
    </w:p>
  </w:footnote>
  <w:footnote w:id="40">
    <w:p w:rsidR="00816F81" w:rsidRPr="00960060" w:rsidRDefault="00816F81" w:rsidP="008068D2">
      <w:pPr>
        <w:pStyle w:val="af0"/>
        <w:jc w:val="both"/>
        <w:rPr>
          <w:rFonts w:ascii="Calibri" w:eastAsia="Times New Roman" w:hAnsi="Calibri" w:cs="Times New Roman"/>
        </w:rPr>
      </w:pPr>
      <w:r>
        <w:rPr>
          <w:rStyle w:val="af1"/>
          <w:rFonts w:ascii="Calibri" w:eastAsia="Times New Roman" w:hAnsi="Calibri" w:cs="Times New Roman"/>
        </w:rPr>
        <w:footnoteRef/>
      </w:r>
      <w:r w:rsidRPr="005C4CCD">
        <w:rPr>
          <w:rFonts w:ascii="Calibri" w:eastAsia="Times New Roman" w:hAnsi="Calibri" w:cs="Times New Roman"/>
        </w:rPr>
        <w:t xml:space="preserve"> </w:t>
      </w:r>
      <w:r w:rsidRPr="00960060">
        <w:rPr>
          <w:rFonts w:ascii="Calibri" w:eastAsia="Times New Roman" w:hAnsi="Calibri" w:cs="Times New Roman"/>
        </w:rPr>
        <w:t>Το ποσ</w:t>
      </w:r>
      <w:r>
        <w:rPr>
          <w:rFonts w:ascii="Calibri" w:eastAsia="Times New Roman" w:hAnsi="Calibri" w:cs="Times New Roman"/>
        </w:rPr>
        <w:t>οστ</w:t>
      </w:r>
      <w:r w:rsidRPr="00960060">
        <w:rPr>
          <w:rFonts w:ascii="Calibri" w:eastAsia="Times New Roman" w:hAnsi="Calibri" w:cs="Times New Roman"/>
        </w:rPr>
        <w:t>ό</w:t>
      </w:r>
      <w:r w:rsidRPr="00F03956">
        <w:rPr>
          <w:rFonts w:ascii="Calibri" w:eastAsia="Times New Roman" w:hAnsi="Calibri" w:cs="Times New Roman"/>
        </w:rPr>
        <w:t xml:space="preserve"> απορρόφησης</w:t>
      </w:r>
      <w:r w:rsidRPr="00960060">
        <w:rPr>
          <w:rFonts w:ascii="Calibri" w:eastAsia="Times New Roman" w:hAnsi="Calibri" w:cs="Times New Roman"/>
        </w:rPr>
        <w:t xml:space="preserve"> </w:t>
      </w:r>
      <w:r>
        <w:rPr>
          <w:rFonts w:ascii="Calibri" w:eastAsia="Times New Roman" w:hAnsi="Calibri" w:cs="Times New Roman"/>
        </w:rPr>
        <w:t>του 60,6</w:t>
      </w:r>
      <w:r w:rsidRPr="0040573D">
        <w:rPr>
          <w:rFonts w:ascii="Calibri" w:eastAsia="Times New Roman" w:hAnsi="Calibri" w:cs="Times New Roman"/>
        </w:rPr>
        <w:t>5</w:t>
      </w:r>
      <w:r>
        <w:rPr>
          <w:rFonts w:ascii="Calibri" w:eastAsia="Times New Roman" w:hAnsi="Calibri" w:cs="Times New Roman"/>
        </w:rPr>
        <w:t xml:space="preserve">% αφορά στη συνολική διαθέσιμη </w:t>
      </w:r>
      <w:proofErr w:type="spellStart"/>
      <w:r>
        <w:rPr>
          <w:rFonts w:ascii="Calibri" w:eastAsia="Times New Roman" w:hAnsi="Calibri" w:cs="Times New Roman"/>
        </w:rPr>
        <w:t>ενωσιακή</w:t>
      </w:r>
      <w:proofErr w:type="spellEnd"/>
      <w:r>
        <w:rPr>
          <w:rFonts w:ascii="Calibri" w:eastAsia="Times New Roman" w:hAnsi="Calibri" w:cs="Times New Roman"/>
        </w:rPr>
        <w:t xml:space="preserve"> </w:t>
      </w:r>
      <w:r w:rsidRPr="003B1FFE">
        <w:rPr>
          <w:rFonts w:ascii="Calibri" w:eastAsia="Times New Roman" w:hAnsi="Calibri" w:cs="Times New Roman"/>
        </w:rPr>
        <w:t>στήριξη</w:t>
      </w:r>
      <w:r>
        <w:rPr>
          <w:rFonts w:ascii="Calibri" w:eastAsia="Times New Roman" w:hAnsi="Calibri" w:cs="Times New Roman"/>
        </w:rPr>
        <w:t>,</w:t>
      </w:r>
      <w:r w:rsidRPr="003B1FFE">
        <w:rPr>
          <w:rFonts w:ascii="Calibri" w:eastAsia="Times New Roman" w:hAnsi="Calibri" w:cs="Times New Roman"/>
        </w:rPr>
        <w:t xml:space="preserve"> η οποία στο τέλος του 2019, με την εξασφάλιση του αποθεματικού επίδοσης, ανήλθε σε 21,5 δισ. ευρώ. Το αντίστοιχο</w:t>
      </w:r>
      <w:r>
        <w:rPr>
          <w:rFonts w:ascii="Calibri" w:eastAsia="Times New Roman" w:hAnsi="Calibri" w:cs="Times New Roman"/>
        </w:rPr>
        <w:t xml:space="preserve"> ποσοστό επί της κύριας </w:t>
      </w:r>
      <w:proofErr w:type="spellStart"/>
      <w:r>
        <w:rPr>
          <w:rFonts w:ascii="Calibri" w:eastAsia="Times New Roman" w:hAnsi="Calibri" w:cs="Times New Roman"/>
        </w:rPr>
        <w:t>ενωσιακής</w:t>
      </w:r>
      <w:proofErr w:type="spellEnd"/>
      <w:r>
        <w:rPr>
          <w:rFonts w:ascii="Calibri" w:eastAsia="Times New Roman" w:hAnsi="Calibri" w:cs="Times New Roman"/>
        </w:rPr>
        <w:t xml:space="preserve"> σ</w:t>
      </w:r>
      <w:r w:rsidRPr="00F03956">
        <w:rPr>
          <w:rFonts w:ascii="Calibri" w:eastAsia="Times New Roman" w:hAnsi="Calibri" w:cs="Times New Roman"/>
        </w:rPr>
        <w:t>τήριξης</w:t>
      </w:r>
      <w:r w:rsidRPr="00960060">
        <w:rPr>
          <w:rFonts w:ascii="Calibri" w:eastAsia="Times New Roman" w:hAnsi="Calibri" w:cs="Times New Roman"/>
        </w:rPr>
        <w:t xml:space="preserve"> διαμορφώνεται σε 6</w:t>
      </w:r>
      <w:r>
        <w:rPr>
          <w:rFonts w:ascii="Calibri" w:eastAsia="Times New Roman" w:hAnsi="Calibri" w:cs="Times New Roman"/>
        </w:rPr>
        <w:t>4,</w:t>
      </w:r>
      <w:r w:rsidRPr="001E7BA4">
        <w:rPr>
          <w:rFonts w:ascii="Calibri" w:eastAsia="Times New Roman" w:hAnsi="Calibri" w:cs="Times New Roman"/>
        </w:rPr>
        <w:t>5</w:t>
      </w:r>
      <w:r w:rsidRPr="0040573D">
        <w:rPr>
          <w:rFonts w:ascii="Calibri" w:eastAsia="Times New Roman" w:hAnsi="Calibri" w:cs="Times New Roman"/>
        </w:rPr>
        <w:t>3</w:t>
      </w:r>
      <w:r w:rsidRPr="00960060">
        <w:rPr>
          <w:rFonts w:ascii="Calibri" w:eastAsia="Times New Roman" w:hAnsi="Calibri" w:cs="Times New Roman"/>
        </w:rPr>
        <w:t xml:space="preserve">%. </w:t>
      </w:r>
    </w:p>
  </w:footnote>
  <w:footnote w:id="41">
    <w:p w:rsidR="00816F81" w:rsidRPr="007F4BBB" w:rsidRDefault="00816F81" w:rsidP="00197E35">
      <w:pPr>
        <w:pStyle w:val="af0"/>
        <w:spacing w:line="276" w:lineRule="auto"/>
        <w:jc w:val="both"/>
      </w:pPr>
      <w:r>
        <w:rPr>
          <w:rStyle w:val="af1"/>
        </w:rPr>
        <w:footnoteRef/>
      </w:r>
      <w:r>
        <w:t xml:space="preserve"> </w:t>
      </w:r>
      <w:r w:rsidRPr="007F4BBB">
        <w:t xml:space="preserve">Οι καθαρές ληξιπρόθεσμες οφειλές είναι αυτές που απομένουν μετά την εξαίρεση των εκκρεμών συντάξεων που δεν μπορούν να εκκαθαριστούν λόγω νομικών ή τεχνικών λόγων πέρα από τον έλεγχο των αρχών, των ποσών που συμψηφίζονται με </w:t>
      </w:r>
      <w:proofErr w:type="spellStart"/>
      <w:r w:rsidRPr="007F4BBB">
        <w:rPr>
          <w:lang w:val="en-US"/>
        </w:rPr>
        <w:t>clawback</w:t>
      </w:r>
      <w:proofErr w:type="spellEnd"/>
      <w:r w:rsidRPr="007F4BBB">
        <w:t xml:space="preserve"> και </w:t>
      </w:r>
      <w:r w:rsidRPr="007F4BBB">
        <w:rPr>
          <w:lang w:val="en-US"/>
        </w:rPr>
        <w:t>rebate</w:t>
      </w:r>
      <w:r w:rsidRPr="007F4BBB">
        <w:t xml:space="preserve"> και των ποσών που εμπίπτουν σε άλλες κατηγορίες συμφωνημένων προσαρμογών στο πλαίσιο της ενισχυμένης εποπτείας. </w:t>
      </w:r>
    </w:p>
    <w:p w:rsidR="00816F81" w:rsidRPr="00C94F4F" w:rsidRDefault="00816F81" w:rsidP="00197E35">
      <w:pPr>
        <w:pStyle w:val="af0"/>
      </w:pPr>
    </w:p>
  </w:footnote>
  <w:footnote w:id="42">
    <w:p w:rsidR="00816F81" w:rsidRPr="00152B13" w:rsidRDefault="00816F81" w:rsidP="00152B13">
      <w:pPr>
        <w:pStyle w:val="af0"/>
        <w:jc w:val="both"/>
      </w:pPr>
      <w:r>
        <w:rPr>
          <w:rStyle w:val="af1"/>
        </w:rPr>
        <w:footnoteRef/>
      </w:r>
      <w:r>
        <w:t xml:space="preserve"> Για την επιτάχυνση της επεξεργασίας και πληρωμής σχετικών αιτημάτων, υλοποιείται ήδη σχέδιο δράσης, που προβλέπει μεταξύ άλλων την αξιοποίηση ψηφιακών δυνατοτήτων και αναμένεται να οδηγήσει στην αποπληρωμή των ήδη υπαρχόντων αιτημάτων ως το 2024.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69C6"/>
    <w:multiLevelType w:val="hybridMultilevel"/>
    <w:tmpl w:val="496416FC"/>
    <w:lvl w:ilvl="0" w:tplc="1D467C14">
      <w:start w:val="1"/>
      <w:numFmt w:val="bullet"/>
      <w:lvlText w:val=""/>
      <w:lvlJc w:val="left"/>
      <w:pPr>
        <w:ind w:left="862" w:hanging="360"/>
      </w:pPr>
      <w:rPr>
        <w:rFonts w:ascii="Symbol" w:hAnsi="Symbol" w:hint="default"/>
        <w:color w:val="auto"/>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
    <w:nsid w:val="0BA4409F"/>
    <w:multiLevelType w:val="hybridMultilevel"/>
    <w:tmpl w:val="B4FEF5CC"/>
    <w:lvl w:ilvl="0" w:tplc="04080001">
      <w:start w:val="1"/>
      <w:numFmt w:val="bullet"/>
      <w:lvlText w:val=""/>
      <w:lvlJc w:val="left"/>
      <w:pPr>
        <w:ind w:left="1118" w:hanging="360"/>
      </w:pPr>
      <w:rPr>
        <w:rFonts w:ascii="Symbol" w:hAnsi="Symbol" w:hint="default"/>
      </w:rPr>
    </w:lvl>
    <w:lvl w:ilvl="1" w:tplc="04080003" w:tentative="1">
      <w:start w:val="1"/>
      <w:numFmt w:val="bullet"/>
      <w:lvlText w:val="o"/>
      <w:lvlJc w:val="left"/>
      <w:pPr>
        <w:ind w:left="1838" w:hanging="360"/>
      </w:pPr>
      <w:rPr>
        <w:rFonts w:ascii="Courier New" w:hAnsi="Courier New" w:cs="Courier New" w:hint="default"/>
      </w:rPr>
    </w:lvl>
    <w:lvl w:ilvl="2" w:tplc="04080005" w:tentative="1">
      <w:start w:val="1"/>
      <w:numFmt w:val="bullet"/>
      <w:lvlText w:val=""/>
      <w:lvlJc w:val="left"/>
      <w:pPr>
        <w:ind w:left="2558" w:hanging="360"/>
      </w:pPr>
      <w:rPr>
        <w:rFonts w:ascii="Wingdings" w:hAnsi="Wingdings" w:hint="default"/>
      </w:rPr>
    </w:lvl>
    <w:lvl w:ilvl="3" w:tplc="04080001" w:tentative="1">
      <w:start w:val="1"/>
      <w:numFmt w:val="bullet"/>
      <w:lvlText w:val=""/>
      <w:lvlJc w:val="left"/>
      <w:pPr>
        <w:ind w:left="3278" w:hanging="360"/>
      </w:pPr>
      <w:rPr>
        <w:rFonts w:ascii="Symbol" w:hAnsi="Symbol" w:hint="default"/>
      </w:rPr>
    </w:lvl>
    <w:lvl w:ilvl="4" w:tplc="04080003" w:tentative="1">
      <w:start w:val="1"/>
      <w:numFmt w:val="bullet"/>
      <w:lvlText w:val="o"/>
      <w:lvlJc w:val="left"/>
      <w:pPr>
        <w:ind w:left="3998" w:hanging="360"/>
      </w:pPr>
      <w:rPr>
        <w:rFonts w:ascii="Courier New" w:hAnsi="Courier New" w:cs="Courier New" w:hint="default"/>
      </w:rPr>
    </w:lvl>
    <w:lvl w:ilvl="5" w:tplc="04080005" w:tentative="1">
      <w:start w:val="1"/>
      <w:numFmt w:val="bullet"/>
      <w:lvlText w:val=""/>
      <w:lvlJc w:val="left"/>
      <w:pPr>
        <w:ind w:left="4718" w:hanging="360"/>
      </w:pPr>
      <w:rPr>
        <w:rFonts w:ascii="Wingdings" w:hAnsi="Wingdings" w:hint="default"/>
      </w:rPr>
    </w:lvl>
    <w:lvl w:ilvl="6" w:tplc="04080001" w:tentative="1">
      <w:start w:val="1"/>
      <w:numFmt w:val="bullet"/>
      <w:lvlText w:val=""/>
      <w:lvlJc w:val="left"/>
      <w:pPr>
        <w:ind w:left="5438" w:hanging="360"/>
      </w:pPr>
      <w:rPr>
        <w:rFonts w:ascii="Symbol" w:hAnsi="Symbol" w:hint="default"/>
      </w:rPr>
    </w:lvl>
    <w:lvl w:ilvl="7" w:tplc="04080003" w:tentative="1">
      <w:start w:val="1"/>
      <w:numFmt w:val="bullet"/>
      <w:lvlText w:val="o"/>
      <w:lvlJc w:val="left"/>
      <w:pPr>
        <w:ind w:left="6158" w:hanging="360"/>
      </w:pPr>
      <w:rPr>
        <w:rFonts w:ascii="Courier New" w:hAnsi="Courier New" w:cs="Courier New" w:hint="default"/>
      </w:rPr>
    </w:lvl>
    <w:lvl w:ilvl="8" w:tplc="04080005" w:tentative="1">
      <w:start w:val="1"/>
      <w:numFmt w:val="bullet"/>
      <w:lvlText w:val=""/>
      <w:lvlJc w:val="left"/>
      <w:pPr>
        <w:ind w:left="6878" w:hanging="360"/>
      </w:pPr>
      <w:rPr>
        <w:rFonts w:ascii="Wingdings" w:hAnsi="Wingdings" w:hint="default"/>
      </w:rPr>
    </w:lvl>
  </w:abstractNum>
  <w:abstractNum w:abstractNumId="2">
    <w:nsid w:val="0BE868BD"/>
    <w:multiLevelType w:val="hybridMultilevel"/>
    <w:tmpl w:val="CCC06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DEA73F6"/>
    <w:multiLevelType w:val="hybridMultilevel"/>
    <w:tmpl w:val="E45C49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F7655D2"/>
    <w:multiLevelType w:val="hybridMultilevel"/>
    <w:tmpl w:val="B82613EE"/>
    <w:lvl w:ilvl="0" w:tplc="0CA2E99A">
      <w:start w:val="1"/>
      <w:numFmt w:val="bullet"/>
      <w:lvlText w:val=""/>
      <w:lvlJc w:val="left"/>
      <w:pPr>
        <w:ind w:left="502" w:hanging="360"/>
      </w:pPr>
      <w:rPr>
        <w:rFonts w:ascii="Symbol" w:hAnsi="Symbol" w:hint="default"/>
        <w:b/>
        <w:color w:val="000000"/>
      </w:rPr>
    </w:lvl>
    <w:lvl w:ilvl="1" w:tplc="04080005">
      <w:start w:val="1"/>
      <w:numFmt w:val="bullet"/>
      <w:lvlText w:val=""/>
      <w:lvlJc w:val="left"/>
      <w:pPr>
        <w:ind w:left="1724" w:hanging="360"/>
      </w:pPr>
      <w:rPr>
        <w:rFonts w:ascii="Wingdings" w:hAnsi="Wingdings" w:hint="default"/>
      </w:rPr>
    </w:lvl>
    <w:lvl w:ilvl="2" w:tplc="04080005">
      <w:start w:val="1"/>
      <w:numFmt w:val="bullet"/>
      <w:lvlText w:val=""/>
      <w:lvlJc w:val="left"/>
      <w:pPr>
        <w:ind w:left="2444" w:hanging="360"/>
      </w:pPr>
      <w:rPr>
        <w:rFonts w:ascii="Wingdings" w:hAnsi="Wingdings" w:hint="default"/>
      </w:rPr>
    </w:lvl>
    <w:lvl w:ilvl="3" w:tplc="04080001">
      <w:start w:val="1"/>
      <w:numFmt w:val="bullet"/>
      <w:lvlText w:val=""/>
      <w:lvlJc w:val="left"/>
      <w:pPr>
        <w:ind w:left="3164" w:hanging="360"/>
      </w:pPr>
      <w:rPr>
        <w:rFonts w:ascii="Symbol" w:hAnsi="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hint="default"/>
      </w:rPr>
    </w:lvl>
    <w:lvl w:ilvl="6" w:tplc="04080001">
      <w:start w:val="1"/>
      <w:numFmt w:val="bullet"/>
      <w:lvlText w:val=""/>
      <w:lvlJc w:val="left"/>
      <w:pPr>
        <w:ind w:left="5324" w:hanging="360"/>
      </w:pPr>
      <w:rPr>
        <w:rFonts w:ascii="Symbol" w:hAnsi="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hint="default"/>
      </w:rPr>
    </w:lvl>
  </w:abstractNum>
  <w:abstractNum w:abstractNumId="5">
    <w:nsid w:val="11BE5648"/>
    <w:multiLevelType w:val="hybridMultilevel"/>
    <w:tmpl w:val="90A8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4105CA9"/>
    <w:multiLevelType w:val="hybridMultilevel"/>
    <w:tmpl w:val="B5A6144C"/>
    <w:lvl w:ilvl="0" w:tplc="928C7FB0">
      <w:start w:val="1"/>
      <w:numFmt w:val="decimal"/>
      <w:lvlText w:val="%1.     "/>
      <w:lvlJc w:val="left"/>
      <w:pPr>
        <w:tabs>
          <w:tab w:val="num" w:pos="720"/>
        </w:tabs>
        <w:ind w:left="0" w:firstLine="0"/>
      </w:pPr>
      <w:rPr>
        <w:rFonts w:hint="default"/>
        <w:color w:val="auto"/>
        <w:sz w:val="24"/>
      </w:rPr>
    </w:lvl>
    <w:lvl w:ilvl="1" w:tplc="04090019">
      <w:start w:val="1"/>
      <w:numFmt w:val="lowerLetter"/>
      <w:lvlText w:val="%2."/>
      <w:lvlJc w:val="left"/>
      <w:pPr>
        <w:tabs>
          <w:tab w:val="num" w:pos="-65"/>
        </w:tabs>
        <w:ind w:left="-65" w:hanging="360"/>
      </w:pPr>
    </w:lvl>
    <w:lvl w:ilvl="2" w:tplc="0409001B" w:tentative="1">
      <w:start w:val="1"/>
      <w:numFmt w:val="lowerRoman"/>
      <w:lvlText w:val="%3."/>
      <w:lvlJc w:val="right"/>
      <w:pPr>
        <w:tabs>
          <w:tab w:val="num" w:pos="742"/>
        </w:tabs>
        <w:ind w:left="742" w:hanging="180"/>
      </w:pPr>
    </w:lvl>
    <w:lvl w:ilvl="3" w:tplc="0409000F" w:tentative="1">
      <w:start w:val="1"/>
      <w:numFmt w:val="decimal"/>
      <w:lvlText w:val="%4."/>
      <w:lvlJc w:val="left"/>
      <w:pPr>
        <w:tabs>
          <w:tab w:val="num" w:pos="1462"/>
        </w:tabs>
        <w:ind w:left="1462" w:hanging="360"/>
      </w:pPr>
    </w:lvl>
    <w:lvl w:ilvl="4" w:tplc="04090019" w:tentative="1">
      <w:start w:val="1"/>
      <w:numFmt w:val="lowerLetter"/>
      <w:lvlText w:val="%5."/>
      <w:lvlJc w:val="left"/>
      <w:pPr>
        <w:tabs>
          <w:tab w:val="num" w:pos="2182"/>
        </w:tabs>
        <w:ind w:left="2182" w:hanging="360"/>
      </w:pPr>
    </w:lvl>
    <w:lvl w:ilvl="5" w:tplc="0409001B" w:tentative="1">
      <w:start w:val="1"/>
      <w:numFmt w:val="lowerRoman"/>
      <w:lvlText w:val="%6."/>
      <w:lvlJc w:val="right"/>
      <w:pPr>
        <w:tabs>
          <w:tab w:val="num" w:pos="2902"/>
        </w:tabs>
        <w:ind w:left="2902" w:hanging="180"/>
      </w:pPr>
    </w:lvl>
    <w:lvl w:ilvl="6" w:tplc="0409000F" w:tentative="1">
      <w:start w:val="1"/>
      <w:numFmt w:val="decimal"/>
      <w:lvlText w:val="%7."/>
      <w:lvlJc w:val="left"/>
      <w:pPr>
        <w:tabs>
          <w:tab w:val="num" w:pos="3622"/>
        </w:tabs>
        <w:ind w:left="3622" w:hanging="360"/>
      </w:pPr>
    </w:lvl>
    <w:lvl w:ilvl="7" w:tplc="04090019" w:tentative="1">
      <w:start w:val="1"/>
      <w:numFmt w:val="lowerLetter"/>
      <w:lvlText w:val="%8."/>
      <w:lvlJc w:val="left"/>
      <w:pPr>
        <w:tabs>
          <w:tab w:val="num" w:pos="4342"/>
        </w:tabs>
        <w:ind w:left="4342" w:hanging="360"/>
      </w:pPr>
    </w:lvl>
    <w:lvl w:ilvl="8" w:tplc="0409001B" w:tentative="1">
      <w:start w:val="1"/>
      <w:numFmt w:val="lowerRoman"/>
      <w:lvlText w:val="%9."/>
      <w:lvlJc w:val="right"/>
      <w:pPr>
        <w:tabs>
          <w:tab w:val="num" w:pos="5062"/>
        </w:tabs>
        <w:ind w:left="5062" w:hanging="180"/>
      </w:pPr>
    </w:lvl>
  </w:abstractNum>
  <w:abstractNum w:abstractNumId="7">
    <w:nsid w:val="15947E7C"/>
    <w:multiLevelType w:val="hybridMultilevel"/>
    <w:tmpl w:val="6DF48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5CF480D"/>
    <w:multiLevelType w:val="hybridMultilevel"/>
    <w:tmpl w:val="D89EDE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EB7C8C"/>
    <w:multiLevelType w:val="hybridMultilevel"/>
    <w:tmpl w:val="D304F380"/>
    <w:lvl w:ilvl="0" w:tplc="1D467C14">
      <w:start w:val="1"/>
      <w:numFmt w:val="bullet"/>
      <w:lvlText w:val=""/>
      <w:lvlJc w:val="left"/>
      <w:pPr>
        <w:tabs>
          <w:tab w:val="num" w:pos="284"/>
        </w:tabs>
        <w:ind w:left="284" w:hanging="284"/>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nsid w:val="1E9160D3"/>
    <w:multiLevelType w:val="hybridMultilevel"/>
    <w:tmpl w:val="826270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F744E18"/>
    <w:multiLevelType w:val="hybridMultilevel"/>
    <w:tmpl w:val="2EC6D35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24743EBC"/>
    <w:multiLevelType w:val="hybridMultilevel"/>
    <w:tmpl w:val="D9FEA63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25543D43"/>
    <w:multiLevelType w:val="hybridMultilevel"/>
    <w:tmpl w:val="D6BA5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765781C"/>
    <w:multiLevelType w:val="hybridMultilevel"/>
    <w:tmpl w:val="69345304"/>
    <w:lvl w:ilvl="0" w:tplc="04080001">
      <w:start w:val="1"/>
      <w:numFmt w:val="bullet"/>
      <w:lvlText w:val=""/>
      <w:lvlJc w:val="left"/>
      <w:pPr>
        <w:ind w:left="1080" w:hanging="360"/>
      </w:pPr>
      <w:rPr>
        <w:rFonts w:ascii="Symbol" w:hAnsi="Symbol" w:hint="default"/>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nsid w:val="27E65AC7"/>
    <w:multiLevelType w:val="hybridMultilevel"/>
    <w:tmpl w:val="A60234FC"/>
    <w:lvl w:ilvl="0" w:tplc="FFEA3D1E">
      <w:start w:val="1"/>
      <w:numFmt w:val="bullet"/>
      <w:lvlText w:val=""/>
      <w:lvlJc w:val="left"/>
      <w:pPr>
        <w:tabs>
          <w:tab w:val="num" w:pos="720"/>
        </w:tabs>
        <w:ind w:left="720" w:hanging="360"/>
      </w:pPr>
      <w:rPr>
        <w:rFonts w:ascii="Wingdings" w:hAnsi="Wingdings" w:hint="default"/>
      </w:rPr>
    </w:lvl>
    <w:lvl w:ilvl="1" w:tplc="1040EC8E" w:tentative="1">
      <w:start w:val="1"/>
      <w:numFmt w:val="bullet"/>
      <w:lvlText w:val=""/>
      <w:lvlJc w:val="left"/>
      <w:pPr>
        <w:tabs>
          <w:tab w:val="num" w:pos="1440"/>
        </w:tabs>
        <w:ind w:left="1440" w:hanging="360"/>
      </w:pPr>
      <w:rPr>
        <w:rFonts w:ascii="Wingdings" w:hAnsi="Wingdings" w:hint="default"/>
      </w:rPr>
    </w:lvl>
    <w:lvl w:ilvl="2" w:tplc="84CE61BC" w:tentative="1">
      <w:start w:val="1"/>
      <w:numFmt w:val="bullet"/>
      <w:lvlText w:val=""/>
      <w:lvlJc w:val="left"/>
      <w:pPr>
        <w:tabs>
          <w:tab w:val="num" w:pos="2160"/>
        </w:tabs>
        <w:ind w:left="2160" w:hanging="360"/>
      </w:pPr>
      <w:rPr>
        <w:rFonts w:ascii="Wingdings" w:hAnsi="Wingdings" w:hint="default"/>
      </w:rPr>
    </w:lvl>
    <w:lvl w:ilvl="3" w:tplc="D2D61B64" w:tentative="1">
      <w:start w:val="1"/>
      <w:numFmt w:val="bullet"/>
      <w:lvlText w:val=""/>
      <w:lvlJc w:val="left"/>
      <w:pPr>
        <w:tabs>
          <w:tab w:val="num" w:pos="2880"/>
        </w:tabs>
        <w:ind w:left="2880" w:hanging="360"/>
      </w:pPr>
      <w:rPr>
        <w:rFonts w:ascii="Wingdings" w:hAnsi="Wingdings" w:hint="default"/>
      </w:rPr>
    </w:lvl>
    <w:lvl w:ilvl="4" w:tplc="100CDEC4" w:tentative="1">
      <w:start w:val="1"/>
      <w:numFmt w:val="bullet"/>
      <w:lvlText w:val=""/>
      <w:lvlJc w:val="left"/>
      <w:pPr>
        <w:tabs>
          <w:tab w:val="num" w:pos="3600"/>
        </w:tabs>
        <w:ind w:left="3600" w:hanging="360"/>
      </w:pPr>
      <w:rPr>
        <w:rFonts w:ascii="Wingdings" w:hAnsi="Wingdings" w:hint="default"/>
      </w:rPr>
    </w:lvl>
    <w:lvl w:ilvl="5" w:tplc="A4B08DBA" w:tentative="1">
      <w:start w:val="1"/>
      <w:numFmt w:val="bullet"/>
      <w:lvlText w:val=""/>
      <w:lvlJc w:val="left"/>
      <w:pPr>
        <w:tabs>
          <w:tab w:val="num" w:pos="4320"/>
        </w:tabs>
        <w:ind w:left="4320" w:hanging="360"/>
      </w:pPr>
      <w:rPr>
        <w:rFonts w:ascii="Wingdings" w:hAnsi="Wingdings" w:hint="default"/>
      </w:rPr>
    </w:lvl>
    <w:lvl w:ilvl="6" w:tplc="C532A4E0" w:tentative="1">
      <w:start w:val="1"/>
      <w:numFmt w:val="bullet"/>
      <w:lvlText w:val=""/>
      <w:lvlJc w:val="left"/>
      <w:pPr>
        <w:tabs>
          <w:tab w:val="num" w:pos="5040"/>
        </w:tabs>
        <w:ind w:left="5040" w:hanging="360"/>
      </w:pPr>
      <w:rPr>
        <w:rFonts w:ascii="Wingdings" w:hAnsi="Wingdings" w:hint="default"/>
      </w:rPr>
    </w:lvl>
    <w:lvl w:ilvl="7" w:tplc="A91E5DF0" w:tentative="1">
      <w:start w:val="1"/>
      <w:numFmt w:val="bullet"/>
      <w:lvlText w:val=""/>
      <w:lvlJc w:val="left"/>
      <w:pPr>
        <w:tabs>
          <w:tab w:val="num" w:pos="5760"/>
        </w:tabs>
        <w:ind w:left="5760" w:hanging="360"/>
      </w:pPr>
      <w:rPr>
        <w:rFonts w:ascii="Wingdings" w:hAnsi="Wingdings" w:hint="default"/>
      </w:rPr>
    </w:lvl>
    <w:lvl w:ilvl="8" w:tplc="1E0898EC" w:tentative="1">
      <w:start w:val="1"/>
      <w:numFmt w:val="bullet"/>
      <w:lvlText w:val=""/>
      <w:lvlJc w:val="left"/>
      <w:pPr>
        <w:tabs>
          <w:tab w:val="num" w:pos="6480"/>
        </w:tabs>
        <w:ind w:left="6480" w:hanging="360"/>
      </w:pPr>
      <w:rPr>
        <w:rFonts w:ascii="Wingdings" w:hAnsi="Wingdings" w:hint="default"/>
      </w:rPr>
    </w:lvl>
  </w:abstractNum>
  <w:abstractNum w:abstractNumId="16">
    <w:nsid w:val="2AC617C7"/>
    <w:multiLevelType w:val="hybridMultilevel"/>
    <w:tmpl w:val="A74231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B156E6E"/>
    <w:multiLevelType w:val="multilevel"/>
    <w:tmpl w:val="765AEB20"/>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B016BD"/>
    <w:multiLevelType w:val="multilevel"/>
    <w:tmpl w:val="B1488DA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E4F57EF"/>
    <w:multiLevelType w:val="hybridMultilevel"/>
    <w:tmpl w:val="8BE436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082222E"/>
    <w:multiLevelType w:val="hybridMultilevel"/>
    <w:tmpl w:val="ED487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2720988"/>
    <w:multiLevelType w:val="hybridMultilevel"/>
    <w:tmpl w:val="D2E65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4402F15"/>
    <w:multiLevelType w:val="hybridMultilevel"/>
    <w:tmpl w:val="3E104144"/>
    <w:lvl w:ilvl="0" w:tplc="89B216CC">
      <w:start w:val="1"/>
      <w:numFmt w:val="bullet"/>
      <w:lvlText w:val=""/>
      <w:lvlJc w:val="left"/>
      <w:pPr>
        <w:ind w:left="786" w:hanging="360"/>
      </w:pPr>
      <w:rPr>
        <w:rFonts w:ascii="Symbol" w:hAnsi="Symbol" w:hint="default"/>
        <w:lang w:val="en-US"/>
      </w:rPr>
    </w:lvl>
    <w:lvl w:ilvl="1" w:tplc="0408000B">
      <w:start w:val="1"/>
      <w:numFmt w:val="bullet"/>
      <w:lvlText w:val=""/>
      <w:lvlJc w:val="left"/>
      <w:pPr>
        <w:ind w:left="2007" w:hanging="360"/>
      </w:pPr>
      <w:rPr>
        <w:rFonts w:ascii="Wingdings" w:hAnsi="Wingdings" w:hint="default"/>
      </w:rPr>
    </w:lvl>
    <w:lvl w:ilvl="2" w:tplc="04080005">
      <w:start w:val="1"/>
      <w:numFmt w:val="bullet"/>
      <w:lvlText w:val=""/>
      <w:lvlJc w:val="left"/>
      <w:pPr>
        <w:ind w:left="2727" w:hanging="360"/>
      </w:pPr>
      <w:rPr>
        <w:rFonts w:ascii="Wingdings" w:hAnsi="Wingdings" w:hint="default"/>
      </w:rPr>
    </w:lvl>
    <w:lvl w:ilvl="3" w:tplc="04080001">
      <w:start w:val="1"/>
      <w:numFmt w:val="bullet"/>
      <w:lvlText w:val=""/>
      <w:lvlJc w:val="left"/>
      <w:pPr>
        <w:ind w:left="3447" w:hanging="360"/>
      </w:pPr>
      <w:rPr>
        <w:rFonts w:ascii="Symbol" w:hAnsi="Symbol" w:hint="default"/>
      </w:rPr>
    </w:lvl>
    <w:lvl w:ilvl="4" w:tplc="04080003">
      <w:start w:val="1"/>
      <w:numFmt w:val="bullet"/>
      <w:lvlText w:val="o"/>
      <w:lvlJc w:val="left"/>
      <w:pPr>
        <w:ind w:left="4167" w:hanging="360"/>
      </w:pPr>
      <w:rPr>
        <w:rFonts w:ascii="Courier New" w:hAnsi="Courier New" w:cs="Courier New" w:hint="default"/>
      </w:rPr>
    </w:lvl>
    <w:lvl w:ilvl="5" w:tplc="04080005">
      <w:start w:val="1"/>
      <w:numFmt w:val="bullet"/>
      <w:lvlText w:val=""/>
      <w:lvlJc w:val="left"/>
      <w:pPr>
        <w:ind w:left="4887" w:hanging="360"/>
      </w:pPr>
      <w:rPr>
        <w:rFonts w:ascii="Wingdings" w:hAnsi="Wingdings" w:hint="default"/>
      </w:rPr>
    </w:lvl>
    <w:lvl w:ilvl="6" w:tplc="04080001">
      <w:start w:val="1"/>
      <w:numFmt w:val="bullet"/>
      <w:lvlText w:val=""/>
      <w:lvlJc w:val="left"/>
      <w:pPr>
        <w:ind w:left="5607" w:hanging="360"/>
      </w:pPr>
      <w:rPr>
        <w:rFonts w:ascii="Symbol" w:hAnsi="Symbol" w:hint="default"/>
      </w:rPr>
    </w:lvl>
    <w:lvl w:ilvl="7" w:tplc="04080003">
      <w:start w:val="1"/>
      <w:numFmt w:val="bullet"/>
      <w:lvlText w:val="o"/>
      <w:lvlJc w:val="left"/>
      <w:pPr>
        <w:ind w:left="6327" w:hanging="360"/>
      </w:pPr>
      <w:rPr>
        <w:rFonts w:ascii="Courier New" w:hAnsi="Courier New" w:cs="Courier New" w:hint="default"/>
      </w:rPr>
    </w:lvl>
    <w:lvl w:ilvl="8" w:tplc="04080005">
      <w:start w:val="1"/>
      <w:numFmt w:val="bullet"/>
      <w:lvlText w:val=""/>
      <w:lvlJc w:val="left"/>
      <w:pPr>
        <w:ind w:left="7047" w:hanging="360"/>
      </w:pPr>
      <w:rPr>
        <w:rFonts w:ascii="Wingdings" w:hAnsi="Wingdings" w:hint="default"/>
      </w:rPr>
    </w:lvl>
  </w:abstractNum>
  <w:abstractNum w:abstractNumId="23">
    <w:nsid w:val="3A5A4E54"/>
    <w:multiLevelType w:val="hybridMultilevel"/>
    <w:tmpl w:val="D71AB65C"/>
    <w:lvl w:ilvl="0" w:tplc="F5183D44">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BE571D9"/>
    <w:multiLevelType w:val="hybridMultilevel"/>
    <w:tmpl w:val="E168E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E4F2313"/>
    <w:multiLevelType w:val="hybridMultilevel"/>
    <w:tmpl w:val="77DCA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E8B24C6"/>
    <w:multiLevelType w:val="hybridMultilevel"/>
    <w:tmpl w:val="7B9C6B6A"/>
    <w:lvl w:ilvl="0" w:tplc="04080001">
      <w:start w:val="1"/>
      <w:numFmt w:val="bullet"/>
      <w:lvlText w:val=""/>
      <w:lvlJc w:val="left"/>
      <w:pPr>
        <w:ind w:left="758" w:hanging="360"/>
      </w:pPr>
      <w:rPr>
        <w:rFonts w:ascii="Symbol" w:hAnsi="Symbol" w:hint="default"/>
      </w:rPr>
    </w:lvl>
    <w:lvl w:ilvl="1" w:tplc="04080003" w:tentative="1">
      <w:start w:val="1"/>
      <w:numFmt w:val="bullet"/>
      <w:lvlText w:val="o"/>
      <w:lvlJc w:val="left"/>
      <w:pPr>
        <w:ind w:left="1478" w:hanging="360"/>
      </w:pPr>
      <w:rPr>
        <w:rFonts w:ascii="Courier New" w:hAnsi="Courier New" w:cs="Courier New" w:hint="default"/>
      </w:rPr>
    </w:lvl>
    <w:lvl w:ilvl="2" w:tplc="04080005" w:tentative="1">
      <w:start w:val="1"/>
      <w:numFmt w:val="bullet"/>
      <w:lvlText w:val=""/>
      <w:lvlJc w:val="left"/>
      <w:pPr>
        <w:ind w:left="2198" w:hanging="360"/>
      </w:pPr>
      <w:rPr>
        <w:rFonts w:ascii="Wingdings" w:hAnsi="Wingdings" w:hint="default"/>
      </w:rPr>
    </w:lvl>
    <w:lvl w:ilvl="3" w:tplc="04080001" w:tentative="1">
      <w:start w:val="1"/>
      <w:numFmt w:val="bullet"/>
      <w:lvlText w:val=""/>
      <w:lvlJc w:val="left"/>
      <w:pPr>
        <w:ind w:left="2918" w:hanging="360"/>
      </w:pPr>
      <w:rPr>
        <w:rFonts w:ascii="Symbol" w:hAnsi="Symbol" w:hint="default"/>
      </w:rPr>
    </w:lvl>
    <w:lvl w:ilvl="4" w:tplc="04080003" w:tentative="1">
      <w:start w:val="1"/>
      <w:numFmt w:val="bullet"/>
      <w:lvlText w:val="o"/>
      <w:lvlJc w:val="left"/>
      <w:pPr>
        <w:ind w:left="3638" w:hanging="360"/>
      </w:pPr>
      <w:rPr>
        <w:rFonts w:ascii="Courier New" w:hAnsi="Courier New" w:cs="Courier New" w:hint="default"/>
      </w:rPr>
    </w:lvl>
    <w:lvl w:ilvl="5" w:tplc="04080005" w:tentative="1">
      <w:start w:val="1"/>
      <w:numFmt w:val="bullet"/>
      <w:lvlText w:val=""/>
      <w:lvlJc w:val="left"/>
      <w:pPr>
        <w:ind w:left="4358" w:hanging="360"/>
      </w:pPr>
      <w:rPr>
        <w:rFonts w:ascii="Wingdings" w:hAnsi="Wingdings" w:hint="default"/>
      </w:rPr>
    </w:lvl>
    <w:lvl w:ilvl="6" w:tplc="04080001" w:tentative="1">
      <w:start w:val="1"/>
      <w:numFmt w:val="bullet"/>
      <w:lvlText w:val=""/>
      <w:lvlJc w:val="left"/>
      <w:pPr>
        <w:ind w:left="5078" w:hanging="360"/>
      </w:pPr>
      <w:rPr>
        <w:rFonts w:ascii="Symbol" w:hAnsi="Symbol" w:hint="default"/>
      </w:rPr>
    </w:lvl>
    <w:lvl w:ilvl="7" w:tplc="04080003" w:tentative="1">
      <w:start w:val="1"/>
      <w:numFmt w:val="bullet"/>
      <w:lvlText w:val="o"/>
      <w:lvlJc w:val="left"/>
      <w:pPr>
        <w:ind w:left="5798" w:hanging="360"/>
      </w:pPr>
      <w:rPr>
        <w:rFonts w:ascii="Courier New" w:hAnsi="Courier New" w:cs="Courier New" w:hint="default"/>
      </w:rPr>
    </w:lvl>
    <w:lvl w:ilvl="8" w:tplc="04080005" w:tentative="1">
      <w:start w:val="1"/>
      <w:numFmt w:val="bullet"/>
      <w:lvlText w:val=""/>
      <w:lvlJc w:val="left"/>
      <w:pPr>
        <w:ind w:left="6518" w:hanging="360"/>
      </w:pPr>
      <w:rPr>
        <w:rFonts w:ascii="Wingdings" w:hAnsi="Wingdings" w:hint="default"/>
      </w:rPr>
    </w:lvl>
  </w:abstractNum>
  <w:abstractNum w:abstractNumId="27">
    <w:nsid w:val="3FDA52C1"/>
    <w:multiLevelType w:val="hybridMultilevel"/>
    <w:tmpl w:val="FAB236DE"/>
    <w:lvl w:ilvl="0" w:tplc="04080001">
      <w:start w:val="1"/>
      <w:numFmt w:val="bullet"/>
      <w:lvlText w:val=""/>
      <w:lvlJc w:val="left"/>
      <w:pPr>
        <w:ind w:left="1077" w:hanging="360"/>
      </w:pPr>
      <w:rPr>
        <w:rFonts w:ascii="Symbol" w:hAnsi="Symbol" w:hint="default"/>
      </w:rPr>
    </w:lvl>
    <w:lvl w:ilvl="1" w:tplc="04080003">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28">
    <w:nsid w:val="40DD19AF"/>
    <w:multiLevelType w:val="hybridMultilevel"/>
    <w:tmpl w:val="03A055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1616EFD"/>
    <w:multiLevelType w:val="hybridMultilevel"/>
    <w:tmpl w:val="50C87A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54F1BAC"/>
    <w:multiLevelType w:val="hybridMultilevel"/>
    <w:tmpl w:val="86E454E2"/>
    <w:lvl w:ilvl="0" w:tplc="1D467C14">
      <w:start w:val="1"/>
      <w:numFmt w:val="bullet"/>
      <w:lvlText w:val=""/>
      <w:lvlJc w:val="left"/>
      <w:pPr>
        <w:tabs>
          <w:tab w:val="num" w:pos="360"/>
        </w:tabs>
        <w:ind w:left="360" w:hanging="360"/>
      </w:pPr>
      <w:rPr>
        <w:rFonts w:ascii="Symbol" w:hAnsi="Symbol" w:hint="default"/>
        <w:color w:val="auto"/>
      </w:rPr>
    </w:lvl>
    <w:lvl w:ilvl="1" w:tplc="04080019">
      <w:start w:val="1"/>
      <w:numFmt w:val="lowerLetter"/>
      <w:lvlText w:val="%2."/>
      <w:lvlJc w:val="left"/>
      <w:pPr>
        <w:tabs>
          <w:tab w:val="num" w:pos="1080"/>
        </w:tabs>
        <w:ind w:left="1080" w:hanging="360"/>
      </w:pPr>
      <w:rPr>
        <w:rFonts w:cs="Times New Roman"/>
      </w:rPr>
    </w:lvl>
    <w:lvl w:ilvl="2" w:tplc="0408001B">
      <w:start w:val="1"/>
      <w:numFmt w:val="lowerRoman"/>
      <w:lvlText w:val="%3."/>
      <w:lvlJc w:val="right"/>
      <w:pPr>
        <w:tabs>
          <w:tab w:val="num" w:pos="1800"/>
        </w:tabs>
        <w:ind w:left="1800" w:hanging="180"/>
      </w:pPr>
      <w:rPr>
        <w:rFonts w:cs="Times New Roman"/>
      </w:rPr>
    </w:lvl>
    <w:lvl w:ilvl="3" w:tplc="0408000F">
      <w:start w:val="1"/>
      <w:numFmt w:val="decimal"/>
      <w:lvlText w:val="%4."/>
      <w:lvlJc w:val="left"/>
      <w:pPr>
        <w:tabs>
          <w:tab w:val="num" w:pos="2520"/>
        </w:tabs>
        <w:ind w:left="2520" w:hanging="360"/>
      </w:pPr>
      <w:rPr>
        <w:rFonts w:cs="Times New Roman"/>
      </w:rPr>
    </w:lvl>
    <w:lvl w:ilvl="4" w:tplc="04080019">
      <w:start w:val="1"/>
      <w:numFmt w:val="lowerLetter"/>
      <w:lvlText w:val="%5."/>
      <w:lvlJc w:val="left"/>
      <w:pPr>
        <w:tabs>
          <w:tab w:val="num" w:pos="3240"/>
        </w:tabs>
        <w:ind w:left="3240" w:hanging="360"/>
      </w:pPr>
      <w:rPr>
        <w:rFonts w:cs="Times New Roman"/>
      </w:rPr>
    </w:lvl>
    <w:lvl w:ilvl="5" w:tplc="0408001B">
      <w:start w:val="1"/>
      <w:numFmt w:val="lowerRoman"/>
      <w:lvlText w:val="%6."/>
      <w:lvlJc w:val="right"/>
      <w:pPr>
        <w:tabs>
          <w:tab w:val="num" w:pos="3960"/>
        </w:tabs>
        <w:ind w:left="3960" w:hanging="180"/>
      </w:pPr>
      <w:rPr>
        <w:rFonts w:cs="Times New Roman"/>
      </w:rPr>
    </w:lvl>
    <w:lvl w:ilvl="6" w:tplc="0408000F">
      <w:start w:val="1"/>
      <w:numFmt w:val="decimal"/>
      <w:lvlText w:val="%7."/>
      <w:lvlJc w:val="left"/>
      <w:pPr>
        <w:tabs>
          <w:tab w:val="num" w:pos="4680"/>
        </w:tabs>
        <w:ind w:left="4680" w:hanging="360"/>
      </w:pPr>
      <w:rPr>
        <w:rFonts w:cs="Times New Roman"/>
      </w:rPr>
    </w:lvl>
    <w:lvl w:ilvl="7" w:tplc="04080019">
      <w:start w:val="1"/>
      <w:numFmt w:val="lowerLetter"/>
      <w:lvlText w:val="%8."/>
      <w:lvlJc w:val="left"/>
      <w:pPr>
        <w:tabs>
          <w:tab w:val="num" w:pos="5400"/>
        </w:tabs>
        <w:ind w:left="5400" w:hanging="360"/>
      </w:pPr>
      <w:rPr>
        <w:rFonts w:cs="Times New Roman"/>
      </w:rPr>
    </w:lvl>
    <w:lvl w:ilvl="8" w:tplc="0408001B">
      <w:start w:val="1"/>
      <w:numFmt w:val="lowerRoman"/>
      <w:lvlText w:val="%9."/>
      <w:lvlJc w:val="right"/>
      <w:pPr>
        <w:tabs>
          <w:tab w:val="num" w:pos="6120"/>
        </w:tabs>
        <w:ind w:left="6120" w:hanging="180"/>
      </w:pPr>
      <w:rPr>
        <w:rFonts w:cs="Times New Roman"/>
      </w:rPr>
    </w:lvl>
  </w:abstractNum>
  <w:abstractNum w:abstractNumId="31">
    <w:nsid w:val="466730D7"/>
    <w:multiLevelType w:val="hybridMultilevel"/>
    <w:tmpl w:val="14E63802"/>
    <w:lvl w:ilvl="0" w:tplc="CFF6871A">
      <w:start w:val="1"/>
      <w:numFmt w:val="bullet"/>
      <w:lvlText w:val="-"/>
      <w:lvlJc w:val="left"/>
      <w:pPr>
        <w:ind w:left="720" w:hanging="360"/>
      </w:pPr>
      <w:rPr>
        <w:rFonts w:ascii="Times New Roman" w:eastAsia="Calibri"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7AE2170"/>
    <w:multiLevelType w:val="hybridMultilevel"/>
    <w:tmpl w:val="F000C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B1D67E5"/>
    <w:multiLevelType w:val="hybridMultilevel"/>
    <w:tmpl w:val="C914A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4C8F57D7"/>
    <w:multiLevelType w:val="hybridMultilevel"/>
    <w:tmpl w:val="554E22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4E0970EA"/>
    <w:multiLevelType w:val="hybridMultilevel"/>
    <w:tmpl w:val="1626F2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537744CA"/>
    <w:multiLevelType w:val="hybridMultilevel"/>
    <w:tmpl w:val="7E8C40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86E47EF"/>
    <w:multiLevelType w:val="hybridMultilevel"/>
    <w:tmpl w:val="3FFAE682"/>
    <w:lvl w:ilvl="0" w:tplc="E0604370">
      <w:start w:val="1"/>
      <w:numFmt w:val="bullet"/>
      <w:lvlText w:val=""/>
      <w:lvlJc w:val="left"/>
      <w:pPr>
        <w:ind w:left="2629"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59345BEB"/>
    <w:multiLevelType w:val="hybridMultilevel"/>
    <w:tmpl w:val="0D2A51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AB04CC9"/>
    <w:multiLevelType w:val="hybridMultilevel"/>
    <w:tmpl w:val="01F6B0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5FC01902"/>
    <w:multiLevelType w:val="hybridMultilevel"/>
    <w:tmpl w:val="18E20F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6E323511"/>
    <w:multiLevelType w:val="hybridMultilevel"/>
    <w:tmpl w:val="185C02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02458FC"/>
    <w:multiLevelType w:val="hybridMultilevel"/>
    <w:tmpl w:val="2570B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03E590A"/>
    <w:multiLevelType w:val="hybridMultilevel"/>
    <w:tmpl w:val="1E2830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045668D"/>
    <w:multiLevelType w:val="multilevel"/>
    <w:tmpl w:val="F56CBA7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0E831E8"/>
    <w:multiLevelType w:val="hybridMultilevel"/>
    <w:tmpl w:val="03F65DBA"/>
    <w:lvl w:ilvl="0" w:tplc="9E3AAC4A">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35A1A13"/>
    <w:multiLevelType w:val="hybridMultilevel"/>
    <w:tmpl w:val="19C6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4C63330"/>
    <w:multiLevelType w:val="hybridMultilevel"/>
    <w:tmpl w:val="0F78D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5BA24E6"/>
    <w:multiLevelType w:val="hybridMultilevel"/>
    <w:tmpl w:val="ACF4A1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5E807A2"/>
    <w:multiLevelType w:val="hybridMultilevel"/>
    <w:tmpl w:val="01E63B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42"/>
  </w:num>
  <w:num w:numId="5">
    <w:abstractNumId w:val="7"/>
  </w:num>
  <w:num w:numId="6">
    <w:abstractNumId w:val="28"/>
  </w:num>
  <w:num w:numId="7">
    <w:abstractNumId w:val="25"/>
  </w:num>
  <w:num w:numId="8">
    <w:abstractNumId w:val="13"/>
  </w:num>
  <w:num w:numId="9">
    <w:abstractNumId w:val="31"/>
  </w:num>
  <w:num w:numId="10">
    <w:abstractNumId w:val="44"/>
  </w:num>
  <w:num w:numId="11">
    <w:abstractNumId w:val="35"/>
  </w:num>
  <w:num w:numId="12">
    <w:abstractNumId w:val="46"/>
  </w:num>
  <w:num w:numId="13">
    <w:abstractNumId w:val="24"/>
  </w:num>
  <w:num w:numId="14">
    <w:abstractNumId w:val="21"/>
  </w:num>
  <w:num w:numId="15">
    <w:abstractNumId w:val="41"/>
  </w:num>
  <w:num w:numId="16">
    <w:abstractNumId w:val="34"/>
  </w:num>
  <w:num w:numId="17">
    <w:abstractNumId w:val="2"/>
  </w:num>
  <w:num w:numId="18">
    <w:abstractNumId w:val="22"/>
  </w:num>
  <w:num w:numId="19">
    <w:abstractNumId w:val="4"/>
  </w:num>
  <w:num w:numId="20">
    <w:abstractNumId w:val="27"/>
  </w:num>
  <w:num w:numId="21">
    <w:abstractNumId w:val="37"/>
  </w:num>
  <w:num w:numId="22">
    <w:abstractNumId w:val="33"/>
  </w:num>
  <w:num w:numId="23">
    <w:abstractNumId w:val="49"/>
  </w:num>
  <w:num w:numId="24">
    <w:abstractNumId w:val="15"/>
  </w:num>
  <w:num w:numId="25">
    <w:abstractNumId w:val="32"/>
  </w:num>
  <w:num w:numId="26">
    <w:abstractNumId w:val="16"/>
  </w:num>
  <w:num w:numId="27">
    <w:abstractNumId w:val="26"/>
  </w:num>
  <w:num w:numId="28">
    <w:abstractNumId w:val="1"/>
  </w:num>
  <w:num w:numId="29">
    <w:abstractNumId w:val="40"/>
  </w:num>
  <w:num w:numId="30">
    <w:abstractNumId w:val="38"/>
  </w:num>
  <w:num w:numId="31">
    <w:abstractNumId w:val="9"/>
  </w:num>
  <w:num w:numId="32">
    <w:abstractNumId w:val="18"/>
  </w:num>
  <w:num w:numId="33">
    <w:abstractNumId w:val="30"/>
  </w:num>
  <w:num w:numId="34">
    <w:abstractNumId w:val="3"/>
  </w:num>
  <w:num w:numId="35">
    <w:abstractNumId w:val="0"/>
  </w:num>
  <w:num w:numId="36">
    <w:abstractNumId w:val="39"/>
  </w:num>
  <w:num w:numId="37">
    <w:abstractNumId w:val="36"/>
  </w:num>
  <w:num w:numId="38">
    <w:abstractNumId w:val="17"/>
  </w:num>
  <w:num w:numId="39">
    <w:abstractNumId w:val="48"/>
  </w:num>
  <w:num w:numId="40">
    <w:abstractNumId w:val="47"/>
  </w:num>
  <w:num w:numId="41">
    <w:abstractNumId w:val="43"/>
  </w:num>
  <w:num w:numId="42">
    <w:abstractNumId w:val="10"/>
  </w:num>
  <w:num w:numId="43">
    <w:abstractNumId w:val="19"/>
  </w:num>
  <w:num w:numId="44">
    <w:abstractNumId w:val="20"/>
  </w:num>
  <w:num w:numId="45">
    <w:abstractNumId w:val="29"/>
  </w:num>
  <w:num w:numId="46">
    <w:abstractNumId w:val="14"/>
  </w:num>
  <w:num w:numId="47">
    <w:abstractNumId w:val="11"/>
  </w:num>
  <w:num w:numId="48">
    <w:abstractNumId w:val="45"/>
  </w:num>
  <w:num w:numId="49">
    <w:abstractNumId w:val="23"/>
  </w:num>
  <w:num w:numId="50">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51553"/>
  </w:hdrShapeDefaults>
  <w:footnotePr>
    <w:footnote w:id="0"/>
    <w:footnote w:id="1"/>
  </w:footnotePr>
  <w:endnotePr>
    <w:endnote w:id="0"/>
    <w:endnote w:id="1"/>
  </w:endnotePr>
  <w:compat/>
  <w:rsids>
    <w:rsidRoot w:val="00901E9C"/>
    <w:rsid w:val="000025C2"/>
    <w:rsid w:val="00002CD8"/>
    <w:rsid w:val="00004255"/>
    <w:rsid w:val="000056EB"/>
    <w:rsid w:val="0001063D"/>
    <w:rsid w:val="0001220C"/>
    <w:rsid w:val="00014537"/>
    <w:rsid w:val="0001588C"/>
    <w:rsid w:val="000159D3"/>
    <w:rsid w:val="00016280"/>
    <w:rsid w:val="00017F7B"/>
    <w:rsid w:val="00027C8F"/>
    <w:rsid w:val="00030F62"/>
    <w:rsid w:val="000320D2"/>
    <w:rsid w:val="00033CF3"/>
    <w:rsid w:val="00035019"/>
    <w:rsid w:val="00040000"/>
    <w:rsid w:val="000418B7"/>
    <w:rsid w:val="00044293"/>
    <w:rsid w:val="0004523E"/>
    <w:rsid w:val="000523C8"/>
    <w:rsid w:val="000529C7"/>
    <w:rsid w:val="00055F59"/>
    <w:rsid w:val="000564E4"/>
    <w:rsid w:val="000606CB"/>
    <w:rsid w:val="000614CA"/>
    <w:rsid w:val="000640C0"/>
    <w:rsid w:val="00065C54"/>
    <w:rsid w:val="00066755"/>
    <w:rsid w:val="000670F8"/>
    <w:rsid w:val="00067405"/>
    <w:rsid w:val="00070F78"/>
    <w:rsid w:val="00074945"/>
    <w:rsid w:val="00080D3B"/>
    <w:rsid w:val="00082EF3"/>
    <w:rsid w:val="00087ACB"/>
    <w:rsid w:val="000902E5"/>
    <w:rsid w:val="00090643"/>
    <w:rsid w:val="00092BD9"/>
    <w:rsid w:val="000933CC"/>
    <w:rsid w:val="000944D0"/>
    <w:rsid w:val="00095361"/>
    <w:rsid w:val="0009549D"/>
    <w:rsid w:val="00096C1A"/>
    <w:rsid w:val="00096F2C"/>
    <w:rsid w:val="00097BBD"/>
    <w:rsid w:val="000A092D"/>
    <w:rsid w:val="000B2804"/>
    <w:rsid w:val="000B45E7"/>
    <w:rsid w:val="000B4E29"/>
    <w:rsid w:val="000B6A3E"/>
    <w:rsid w:val="000B78F8"/>
    <w:rsid w:val="000C1032"/>
    <w:rsid w:val="000C38A6"/>
    <w:rsid w:val="000C3F55"/>
    <w:rsid w:val="000C4191"/>
    <w:rsid w:val="000C4554"/>
    <w:rsid w:val="000C4D98"/>
    <w:rsid w:val="000C5C2A"/>
    <w:rsid w:val="000D284D"/>
    <w:rsid w:val="000D3506"/>
    <w:rsid w:val="000D58B1"/>
    <w:rsid w:val="000E03A1"/>
    <w:rsid w:val="000F2058"/>
    <w:rsid w:val="000F3632"/>
    <w:rsid w:val="000F6218"/>
    <w:rsid w:val="000F6AAA"/>
    <w:rsid w:val="000F7935"/>
    <w:rsid w:val="00101424"/>
    <w:rsid w:val="00101646"/>
    <w:rsid w:val="001017B6"/>
    <w:rsid w:val="00102A3A"/>
    <w:rsid w:val="00102E77"/>
    <w:rsid w:val="00104B7F"/>
    <w:rsid w:val="0010657B"/>
    <w:rsid w:val="00111335"/>
    <w:rsid w:val="0011218B"/>
    <w:rsid w:val="00113834"/>
    <w:rsid w:val="0011457C"/>
    <w:rsid w:val="00115AD3"/>
    <w:rsid w:val="0011753C"/>
    <w:rsid w:val="001200F1"/>
    <w:rsid w:val="00120469"/>
    <w:rsid w:val="00125E8C"/>
    <w:rsid w:val="00126BE0"/>
    <w:rsid w:val="0013241A"/>
    <w:rsid w:val="00135226"/>
    <w:rsid w:val="001360F1"/>
    <w:rsid w:val="0013676D"/>
    <w:rsid w:val="0013757E"/>
    <w:rsid w:val="00140F0A"/>
    <w:rsid w:val="00141C15"/>
    <w:rsid w:val="00142EBB"/>
    <w:rsid w:val="001432E3"/>
    <w:rsid w:val="00147418"/>
    <w:rsid w:val="00147E67"/>
    <w:rsid w:val="00147EFF"/>
    <w:rsid w:val="00152B13"/>
    <w:rsid w:val="0015471B"/>
    <w:rsid w:val="00160E7E"/>
    <w:rsid w:val="00162136"/>
    <w:rsid w:val="001700E7"/>
    <w:rsid w:val="001722D9"/>
    <w:rsid w:val="00172DBF"/>
    <w:rsid w:val="00175F63"/>
    <w:rsid w:val="0017758E"/>
    <w:rsid w:val="00180A5B"/>
    <w:rsid w:val="001839AC"/>
    <w:rsid w:val="00192CD8"/>
    <w:rsid w:val="0019377B"/>
    <w:rsid w:val="00194C0D"/>
    <w:rsid w:val="00197E35"/>
    <w:rsid w:val="001A22E0"/>
    <w:rsid w:val="001A28DB"/>
    <w:rsid w:val="001A4E34"/>
    <w:rsid w:val="001A6BFD"/>
    <w:rsid w:val="001A70E2"/>
    <w:rsid w:val="001B3A24"/>
    <w:rsid w:val="001B6AF1"/>
    <w:rsid w:val="001B70FD"/>
    <w:rsid w:val="001C07E5"/>
    <w:rsid w:val="001D275E"/>
    <w:rsid w:val="001D449D"/>
    <w:rsid w:val="001D4B07"/>
    <w:rsid w:val="001D632F"/>
    <w:rsid w:val="001E2EB2"/>
    <w:rsid w:val="001E3F0A"/>
    <w:rsid w:val="001E4F49"/>
    <w:rsid w:val="001E5166"/>
    <w:rsid w:val="001E5AE0"/>
    <w:rsid w:val="001F0567"/>
    <w:rsid w:val="001F0CA1"/>
    <w:rsid w:val="001F1002"/>
    <w:rsid w:val="001F2246"/>
    <w:rsid w:val="001F5D23"/>
    <w:rsid w:val="001F6295"/>
    <w:rsid w:val="001F6B93"/>
    <w:rsid w:val="002001F4"/>
    <w:rsid w:val="00201DF1"/>
    <w:rsid w:val="00203051"/>
    <w:rsid w:val="0020464F"/>
    <w:rsid w:val="00204FB8"/>
    <w:rsid w:val="002069AB"/>
    <w:rsid w:val="002123AF"/>
    <w:rsid w:val="00213333"/>
    <w:rsid w:val="00220FCE"/>
    <w:rsid w:val="0022102A"/>
    <w:rsid w:val="00222435"/>
    <w:rsid w:val="002245D4"/>
    <w:rsid w:val="00224D2B"/>
    <w:rsid w:val="00226AF9"/>
    <w:rsid w:val="00227E1F"/>
    <w:rsid w:val="00233D90"/>
    <w:rsid w:val="00236400"/>
    <w:rsid w:val="00237098"/>
    <w:rsid w:val="002404ED"/>
    <w:rsid w:val="002433B7"/>
    <w:rsid w:val="00243E9A"/>
    <w:rsid w:val="00244F0F"/>
    <w:rsid w:val="0024508F"/>
    <w:rsid w:val="0024523D"/>
    <w:rsid w:val="002454A2"/>
    <w:rsid w:val="00247064"/>
    <w:rsid w:val="00252A6D"/>
    <w:rsid w:val="0025551F"/>
    <w:rsid w:val="0025692D"/>
    <w:rsid w:val="00257B31"/>
    <w:rsid w:val="002637A0"/>
    <w:rsid w:val="002639A8"/>
    <w:rsid w:val="002644DC"/>
    <w:rsid w:val="00265667"/>
    <w:rsid w:val="00266062"/>
    <w:rsid w:val="00270F45"/>
    <w:rsid w:val="00271936"/>
    <w:rsid w:val="0027592E"/>
    <w:rsid w:val="00277594"/>
    <w:rsid w:val="00280550"/>
    <w:rsid w:val="002809DE"/>
    <w:rsid w:val="00280F5D"/>
    <w:rsid w:val="00282BD2"/>
    <w:rsid w:val="00284612"/>
    <w:rsid w:val="002864C7"/>
    <w:rsid w:val="00286E23"/>
    <w:rsid w:val="00287C89"/>
    <w:rsid w:val="00290284"/>
    <w:rsid w:val="00293832"/>
    <w:rsid w:val="002944FC"/>
    <w:rsid w:val="00294C1B"/>
    <w:rsid w:val="00295075"/>
    <w:rsid w:val="00295B24"/>
    <w:rsid w:val="00296EC2"/>
    <w:rsid w:val="002A014E"/>
    <w:rsid w:val="002A0827"/>
    <w:rsid w:val="002A1564"/>
    <w:rsid w:val="002A38F0"/>
    <w:rsid w:val="002A4DC6"/>
    <w:rsid w:val="002A4FF0"/>
    <w:rsid w:val="002A5CF4"/>
    <w:rsid w:val="002B180B"/>
    <w:rsid w:val="002B20E3"/>
    <w:rsid w:val="002B278A"/>
    <w:rsid w:val="002B3215"/>
    <w:rsid w:val="002B4D87"/>
    <w:rsid w:val="002C010C"/>
    <w:rsid w:val="002C3236"/>
    <w:rsid w:val="002C6A06"/>
    <w:rsid w:val="002D0579"/>
    <w:rsid w:val="002D0CF9"/>
    <w:rsid w:val="002D0EC1"/>
    <w:rsid w:val="002D18D9"/>
    <w:rsid w:val="002D1C71"/>
    <w:rsid w:val="002D2941"/>
    <w:rsid w:val="002D55B0"/>
    <w:rsid w:val="002D5662"/>
    <w:rsid w:val="002D5809"/>
    <w:rsid w:val="002D6275"/>
    <w:rsid w:val="002E13F9"/>
    <w:rsid w:val="002E2072"/>
    <w:rsid w:val="002E7198"/>
    <w:rsid w:val="002E7D68"/>
    <w:rsid w:val="002F3CE1"/>
    <w:rsid w:val="002F4223"/>
    <w:rsid w:val="002F5620"/>
    <w:rsid w:val="002F5F11"/>
    <w:rsid w:val="002F6ABC"/>
    <w:rsid w:val="00304327"/>
    <w:rsid w:val="00304E92"/>
    <w:rsid w:val="003134C5"/>
    <w:rsid w:val="00321644"/>
    <w:rsid w:val="003256B8"/>
    <w:rsid w:val="00325704"/>
    <w:rsid w:val="00327207"/>
    <w:rsid w:val="00327BCB"/>
    <w:rsid w:val="003302DE"/>
    <w:rsid w:val="00330A51"/>
    <w:rsid w:val="00330D2E"/>
    <w:rsid w:val="003321B8"/>
    <w:rsid w:val="003363A2"/>
    <w:rsid w:val="003447C2"/>
    <w:rsid w:val="00347393"/>
    <w:rsid w:val="00347D04"/>
    <w:rsid w:val="00347F37"/>
    <w:rsid w:val="0035132B"/>
    <w:rsid w:val="00353061"/>
    <w:rsid w:val="003532ED"/>
    <w:rsid w:val="00353797"/>
    <w:rsid w:val="00353A69"/>
    <w:rsid w:val="003549B2"/>
    <w:rsid w:val="00360DBD"/>
    <w:rsid w:val="00361C97"/>
    <w:rsid w:val="00363E48"/>
    <w:rsid w:val="0036433C"/>
    <w:rsid w:val="00365059"/>
    <w:rsid w:val="0036685C"/>
    <w:rsid w:val="00367293"/>
    <w:rsid w:val="00371798"/>
    <w:rsid w:val="00372F45"/>
    <w:rsid w:val="00373BF1"/>
    <w:rsid w:val="00375191"/>
    <w:rsid w:val="00380B81"/>
    <w:rsid w:val="0038614C"/>
    <w:rsid w:val="003865D8"/>
    <w:rsid w:val="00386F59"/>
    <w:rsid w:val="00387FA6"/>
    <w:rsid w:val="00391254"/>
    <w:rsid w:val="0039209E"/>
    <w:rsid w:val="0039229A"/>
    <w:rsid w:val="003928E8"/>
    <w:rsid w:val="0039312F"/>
    <w:rsid w:val="003931B0"/>
    <w:rsid w:val="003965F0"/>
    <w:rsid w:val="00396B78"/>
    <w:rsid w:val="00396B79"/>
    <w:rsid w:val="003975D1"/>
    <w:rsid w:val="00397804"/>
    <w:rsid w:val="003A18EF"/>
    <w:rsid w:val="003A3257"/>
    <w:rsid w:val="003A350C"/>
    <w:rsid w:val="003A3D6E"/>
    <w:rsid w:val="003A6D3E"/>
    <w:rsid w:val="003A7BB2"/>
    <w:rsid w:val="003B0041"/>
    <w:rsid w:val="003B171E"/>
    <w:rsid w:val="003B1F6E"/>
    <w:rsid w:val="003B227A"/>
    <w:rsid w:val="003B246C"/>
    <w:rsid w:val="003B29CD"/>
    <w:rsid w:val="003B366B"/>
    <w:rsid w:val="003B3A02"/>
    <w:rsid w:val="003B5170"/>
    <w:rsid w:val="003B6BAB"/>
    <w:rsid w:val="003C2315"/>
    <w:rsid w:val="003C2989"/>
    <w:rsid w:val="003C3068"/>
    <w:rsid w:val="003C5E1C"/>
    <w:rsid w:val="003D01AB"/>
    <w:rsid w:val="003D2A5A"/>
    <w:rsid w:val="003D4A94"/>
    <w:rsid w:val="003D7CDA"/>
    <w:rsid w:val="003E165E"/>
    <w:rsid w:val="003E3E43"/>
    <w:rsid w:val="003E4A16"/>
    <w:rsid w:val="003E6BA1"/>
    <w:rsid w:val="003F1B2C"/>
    <w:rsid w:val="003F5207"/>
    <w:rsid w:val="003F52A5"/>
    <w:rsid w:val="00404883"/>
    <w:rsid w:val="0040696D"/>
    <w:rsid w:val="00406CB2"/>
    <w:rsid w:val="0041028B"/>
    <w:rsid w:val="00415855"/>
    <w:rsid w:val="00415B02"/>
    <w:rsid w:val="00415B76"/>
    <w:rsid w:val="00417389"/>
    <w:rsid w:val="0041794D"/>
    <w:rsid w:val="00420ABD"/>
    <w:rsid w:val="00422B87"/>
    <w:rsid w:val="00423355"/>
    <w:rsid w:val="0042414D"/>
    <w:rsid w:val="0042478A"/>
    <w:rsid w:val="00425100"/>
    <w:rsid w:val="00425388"/>
    <w:rsid w:val="00426C40"/>
    <w:rsid w:val="00431F25"/>
    <w:rsid w:val="00432CA4"/>
    <w:rsid w:val="00434859"/>
    <w:rsid w:val="004349C5"/>
    <w:rsid w:val="00434B65"/>
    <w:rsid w:val="004356B9"/>
    <w:rsid w:val="0043586F"/>
    <w:rsid w:val="0043628B"/>
    <w:rsid w:val="00436DB2"/>
    <w:rsid w:val="00440D1B"/>
    <w:rsid w:val="004423A7"/>
    <w:rsid w:val="00447442"/>
    <w:rsid w:val="0045169F"/>
    <w:rsid w:val="00453F3F"/>
    <w:rsid w:val="00455148"/>
    <w:rsid w:val="004553EE"/>
    <w:rsid w:val="00455CD0"/>
    <w:rsid w:val="00461B97"/>
    <w:rsid w:val="004623C0"/>
    <w:rsid w:val="004631E6"/>
    <w:rsid w:val="00463A6B"/>
    <w:rsid w:val="00465271"/>
    <w:rsid w:val="00466592"/>
    <w:rsid w:val="00472311"/>
    <w:rsid w:val="004748CB"/>
    <w:rsid w:val="004818F2"/>
    <w:rsid w:val="00482736"/>
    <w:rsid w:val="00482A70"/>
    <w:rsid w:val="00482ED3"/>
    <w:rsid w:val="00482F40"/>
    <w:rsid w:val="0048351C"/>
    <w:rsid w:val="004835E5"/>
    <w:rsid w:val="00483C08"/>
    <w:rsid w:val="00485971"/>
    <w:rsid w:val="004904D8"/>
    <w:rsid w:val="00491B99"/>
    <w:rsid w:val="00491E04"/>
    <w:rsid w:val="004947F8"/>
    <w:rsid w:val="004965F1"/>
    <w:rsid w:val="00497DBC"/>
    <w:rsid w:val="004A000A"/>
    <w:rsid w:val="004A23D0"/>
    <w:rsid w:val="004A28E3"/>
    <w:rsid w:val="004A4887"/>
    <w:rsid w:val="004A4A9D"/>
    <w:rsid w:val="004A4E44"/>
    <w:rsid w:val="004A54DB"/>
    <w:rsid w:val="004A7E1C"/>
    <w:rsid w:val="004B4F67"/>
    <w:rsid w:val="004B513F"/>
    <w:rsid w:val="004B6209"/>
    <w:rsid w:val="004B660C"/>
    <w:rsid w:val="004B674A"/>
    <w:rsid w:val="004C0814"/>
    <w:rsid w:val="004C219E"/>
    <w:rsid w:val="004C2D31"/>
    <w:rsid w:val="004C4F2C"/>
    <w:rsid w:val="004C51D5"/>
    <w:rsid w:val="004C701E"/>
    <w:rsid w:val="004C7F4F"/>
    <w:rsid w:val="004C7F80"/>
    <w:rsid w:val="004D2020"/>
    <w:rsid w:val="004D559C"/>
    <w:rsid w:val="004D7566"/>
    <w:rsid w:val="004E0AFA"/>
    <w:rsid w:val="004E3F4F"/>
    <w:rsid w:val="004E4CB6"/>
    <w:rsid w:val="004E6C4B"/>
    <w:rsid w:val="004F0103"/>
    <w:rsid w:val="004F56A6"/>
    <w:rsid w:val="004F6DB4"/>
    <w:rsid w:val="004F710F"/>
    <w:rsid w:val="004F713A"/>
    <w:rsid w:val="004F7878"/>
    <w:rsid w:val="00500AAA"/>
    <w:rsid w:val="005016BA"/>
    <w:rsid w:val="0050325E"/>
    <w:rsid w:val="00503394"/>
    <w:rsid w:val="00503717"/>
    <w:rsid w:val="005056FC"/>
    <w:rsid w:val="00505E4D"/>
    <w:rsid w:val="0050716A"/>
    <w:rsid w:val="005109A5"/>
    <w:rsid w:val="005114C6"/>
    <w:rsid w:val="00512946"/>
    <w:rsid w:val="0051490A"/>
    <w:rsid w:val="005170CC"/>
    <w:rsid w:val="00520246"/>
    <w:rsid w:val="0052287C"/>
    <w:rsid w:val="00524110"/>
    <w:rsid w:val="00525A54"/>
    <w:rsid w:val="00526132"/>
    <w:rsid w:val="00535F8C"/>
    <w:rsid w:val="00537EF0"/>
    <w:rsid w:val="005408CE"/>
    <w:rsid w:val="00541B2B"/>
    <w:rsid w:val="0054445F"/>
    <w:rsid w:val="0054463B"/>
    <w:rsid w:val="00545A4C"/>
    <w:rsid w:val="00547121"/>
    <w:rsid w:val="00553D52"/>
    <w:rsid w:val="005540D7"/>
    <w:rsid w:val="00557E7B"/>
    <w:rsid w:val="00564EF0"/>
    <w:rsid w:val="00567999"/>
    <w:rsid w:val="00567D24"/>
    <w:rsid w:val="005713B1"/>
    <w:rsid w:val="00574773"/>
    <w:rsid w:val="00574D3A"/>
    <w:rsid w:val="00577965"/>
    <w:rsid w:val="00577EEE"/>
    <w:rsid w:val="00580C36"/>
    <w:rsid w:val="005811ED"/>
    <w:rsid w:val="00581653"/>
    <w:rsid w:val="0058198E"/>
    <w:rsid w:val="005822BB"/>
    <w:rsid w:val="005837A6"/>
    <w:rsid w:val="00587506"/>
    <w:rsid w:val="005913CF"/>
    <w:rsid w:val="00594937"/>
    <w:rsid w:val="00597913"/>
    <w:rsid w:val="005A057D"/>
    <w:rsid w:val="005A31FF"/>
    <w:rsid w:val="005A3EC7"/>
    <w:rsid w:val="005A4044"/>
    <w:rsid w:val="005A4A64"/>
    <w:rsid w:val="005A5495"/>
    <w:rsid w:val="005A56C5"/>
    <w:rsid w:val="005A5C4B"/>
    <w:rsid w:val="005A6CF7"/>
    <w:rsid w:val="005A6E0C"/>
    <w:rsid w:val="005A724C"/>
    <w:rsid w:val="005B030C"/>
    <w:rsid w:val="005B2314"/>
    <w:rsid w:val="005B51B0"/>
    <w:rsid w:val="005B632B"/>
    <w:rsid w:val="005C13F1"/>
    <w:rsid w:val="005C321F"/>
    <w:rsid w:val="005D065B"/>
    <w:rsid w:val="005D0C7E"/>
    <w:rsid w:val="005D17A8"/>
    <w:rsid w:val="005D3B0A"/>
    <w:rsid w:val="005D4F7C"/>
    <w:rsid w:val="005D620B"/>
    <w:rsid w:val="005D7272"/>
    <w:rsid w:val="005E0E58"/>
    <w:rsid w:val="005E36ED"/>
    <w:rsid w:val="005E3A65"/>
    <w:rsid w:val="005E56CB"/>
    <w:rsid w:val="005E7510"/>
    <w:rsid w:val="005F00BA"/>
    <w:rsid w:val="005F09D4"/>
    <w:rsid w:val="005F1080"/>
    <w:rsid w:val="005F1FD7"/>
    <w:rsid w:val="005F2C1B"/>
    <w:rsid w:val="005F5BA3"/>
    <w:rsid w:val="005F62F9"/>
    <w:rsid w:val="006000B6"/>
    <w:rsid w:val="006020F1"/>
    <w:rsid w:val="00603A30"/>
    <w:rsid w:val="006040DB"/>
    <w:rsid w:val="00607EF9"/>
    <w:rsid w:val="00610F33"/>
    <w:rsid w:val="0061375D"/>
    <w:rsid w:val="00614BB9"/>
    <w:rsid w:val="006161C5"/>
    <w:rsid w:val="006162EF"/>
    <w:rsid w:val="006179B5"/>
    <w:rsid w:val="0062367C"/>
    <w:rsid w:val="00626349"/>
    <w:rsid w:val="0062639B"/>
    <w:rsid w:val="00630E7C"/>
    <w:rsid w:val="00631D2D"/>
    <w:rsid w:val="00632C26"/>
    <w:rsid w:val="00632E75"/>
    <w:rsid w:val="0063318D"/>
    <w:rsid w:val="0063329D"/>
    <w:rsid w:val="0063410D"/>
    <w:rsid w:val="00634175"/>
    <w:rsid w:val="00635E7B"/>
    <w:rsid w:val="00635EB7"/>
    <w:rsid w:val="00636AF5"/>
    <w:rsid w:val="00637C54"/>
    <w:rsid w:val="00640ADA"/>
    <w:rsid w:val="00641B6A"/>
    <w:rsid w:val="0064767B"/>
    <w:rsid w:val="00650151"/>
    <w:rsid w:val="00650C0F"/>
    <w:rsid w:val="00654672"/>
    <w:rsid w:val="00654C57"/>
    <w:rsid w:val="00656D7A"/>
    <w:rsid w:val="00662884"/>
    <w:rsid w:val="00663F10"/>
    <w:rsid w:val="00664247"/>
    <w:rsid w:val="0066755D"/>
    <w:rsid w:val="006703F1"/>
    <w:rsid w:val="00673CAA"/>
    <w:rsid w:val="00680472"/>
    <w:rsid w:val="00683D34"/>
    <w:rsid w:val="0068416D"/>
    <w:rsid w:val="006930CF"/>
    <w:rsid w:val="006935D4"/>
    <w:rsid w:val="00695268"/>
    <w:rsid w:val="00696734"/>
    <w:rsid w:val="006A5A6A"/>
    <w:rsid w:val="006B0DAB"/>
    <w:rsid w:val="006B31E7"/>
    <w:rsid w:val="006B3C39"/>
    <w:rsid w:val="006B589B"/>
    <w:rsid w:val="006B6928"/>
    <w:rsid w:val="006C02CA"/>
    <w:rsid w:val="006C0369"/>
    <w:rsid w:val="006C0FDC"/>
    <w:rsid w:val="006C214D"/>
    <w:rsid w:val="006C3355"/>
    <w:rsid w:val="006C34FA"/>
    <w:rsid w:val="006C49DF"/>
    <w:rsid w:val="006C6464"/>
    <w:rsid w:val="006C73DC"/>
    <w:rsid w:val="006D1D66"/>
    <w:rsid w:val="006D2286"/>
    <w:rsid w:val="006D28B7"/>
    <w:rsid w:val="006D4214"/>
    <w:rsid w:val="006D4488"/>
    <w:rsid w:val="006D5017"/>
    <w:rsid w:val="006D5E2F"/>
    <w:rsid w:val="006D7F8B"/>
    <w:rsid w:val="006E09C1"/>
    <w:rsid w:val="006E0F5A"/>
    <w:rsid w:val="006E18CB"/>
    <w:rsid w:val="006E6CCD"/>
    <w:rsid w:val="006E7DF2"/>
    <w:rsid w:val="006F2FEA"/>
    <w:rsid w:val="006F4A93"/>
    <w:rsid w:val="006F6FC5"/>
    <w:rsid w:val="006F7EED"/>
    <w:rsid w:val="00700D34"/>
    <w:rsid w:val="00701677"/>
    <w:rsid w:val="00703E91"/>
    <w:rsid w:val="00704430"/>
    <w:rsid w:val="007064CC"/>
    <w:rsid w:val="0070673D"/>
    <w:rsid w:val="0070675D"/>
    <w:rsid w:val="007126D7"/>
    <w:rsid w:val="0071495D"/>
    <w:rsid w:val="007177B9"/>
    <w:rsid w:val="00720631"/>
    <w:rsid w:val="00721672"/>
    <w:rsid w:val="00721AB1"/>
    <w:rsid w:val="0072385E"/>
    <w:rsid w:val="0072407C"/>
    <w:rsid w:val="00725064"/>
    <w:rsid w:val="007262C5"/>
    <w:rsid w:val="007275C4"/>
    <w:rsid w:val="00731F3C"/>
    <w:rsid w:val="0073521F"/>
    <w:rsid w:val="00735C53"/>
    <w:rsid w:val="00740610"/>
    <w:rsid w:val="00741083"/>
    <w:rsid w:val="00741658"/>
    <w:rsid w:val="00741803"/>
    <w:rsid w:val="00741C4D"/>
    <w:rsid w:val="00742A37"/>
    <w:rsid w:val="00742CF7"/>
    <w:rsid w:val="007450C1"/>
    <w:rsid w:val="007467D6"/>
    <w:rsid w:val="007475A3"/>
    <w:rsid w:val="00750F47"/>
    <w:rsid w:val="00751399"/>
    <w:rsid w:val="00751CF6"/>
    <w:rsid w:val="00753A10"/>
    <w:rsid w:val="00753D3A"/>
    <w:rsid w:val="00756A6C"/>
    <w:rsid w:val="00761461"/>
    <w:rsid w:val="00761FFF"/>
    <w:rsid w:val="0076542C"/>
    <w:rsid w:val="0077146F"/>
    <w:rsid w:val="00776DB8"/>
    <w:rsid w:val="0077710A"/>
    <w:rsid w:val="00781529"/>
    <w:rsid w:val="00782140"/>
    <w:rsid w:val="0078418B"/>
    <w:rsid w:val="00784CEC"/>
    <w:rsid w:val="007859E2"/>
    <w:rsid w:val="00785CB9"/>
    <w:rsid w:val="00787701"/>
    <w:rsid w:val="00790C3E"/>
    <w:rsid w:val="007911C6"/>
    <w:rsid w:val="00792574"/>
    <w:rsid w:val="00792CD1"/>
    <w:rsid w:val="007A5AC5"/>
    <w:rsid w:val="007A717B"/>
    <w:rsid w:val="007A7DC3"/>
    <w:rsid w:val="007B25BB"/>
    <w:rsid w:val="007B2C3C"/>
    <w:rsid w:val="007B2FC5"/>
    <w:rsid w:val="007B4757"/>
    <w:rsid w:val="007B5408"/>
    <w:rsid w:val="007B5824"/>
    <w:rsid w:val="007C2467"/>
    <w:rsid w:val="007C65E2"/>
    <w:rsid w:val="007C78FD"/>
    <w:rsid w:val="007D0DA1"/>
    <w:rsid w:val="007D1372"/>
    <w:rsid w:val="007D1706"/>
    <w:rsid w:val="007D5531"/>
    <w:rsid w:val="007D5C51"/>
    <w:rsid w:val="007D74F7"/>
    <w:rsid w:val="007D7B23"/>
    <w:rsid w:val="007E1308"/>
    <w:rsid w:val="007E23DC"/>
    <w:rsid w:val="007E2412"/>
    <w:rsid w:val="007F3A58"/>
    <w:rsid w:val="007F474A"/>
    <w:rsid w:val="007F4BBB"/>
    <w:rsid w:val="007F5A79"/>
    <w:rsid w:val="007F786D"/>
    <w:rsid w:val="007F7B4E"/>
    <w:rsid w:val="007F7D3F"/>
    <w:rsid w:val="00800A8A"/>
    <w:rsid w:val="00800C14"/>
    <w:rsid w:val="00800C26"/>
    <w:rsid w:val="008015A0"/>
    <w:rsid w:val="00803B87"/>
    <w:rsid w:val="008054E2"/>
    <w:rsid w:val="008068D2"/>
    <w:rsid w:val="0080799F"/>
    <w:rsid w:val="00807A3E"/>
    <w:rsid w:val="008102AD"/>
    <w:rsid w:val="00816F81"/>
    <w:rsid w:val="00820A0D"/>
    <w:rsid w:val="008219CE"/>
    <w:rsid w:val="00827584"/>
    <w:rsid w:val="00833A7E"/>
    <w:rsid w:val="00835379"/>
    <w:rsid w:val="0083554C"/>
    <w:rsid w:val="00836E28"/>
    <w:rsid w:val="00836E55"/>
    <w:rsid w:val="00837527"/>
    <w:rsid w:val="00840027"/>
    <w:rsid w:val="008405C2"/>
    <w:rsid w:val="00842A49"/>
    <w:rsid w:val="00845F5C"/>
    <w:rsid w:val="00850A2D"/>
    <w:rsid w:val="00851D25"/>
    <w:rsid w:val="00855232"/>
    <w:rsid w:val="00855570"/>
    <w:rsid w:val="008560E3"/>
    <w:rsid w:val="00857850"/>
    <w:rsid w:val="00861D7D"/>
    <w:rsid w:val="00862EE5"/>
    <w:rsid w:val="00865A33"/>
    <w:rsid w:val="0086704A"/>
    <w:rsid w:val="00867AEB"/>
    <w:rsid w:val="00867F22"/>
    <w:rsid w:val="008713C4"/>
    <w:rsid w:val="008719C1"/>
    <w:rsid w:val="008719F3"/>
    <w:rsid w:val="008735D6"/>
    <w:rsid w:val="00873CB0"/>
    <w:rsid w:val="00874111"/>
    <w:rsid w:val="00875C9A"/>
    <w:rsid w:val="008812A5"/>
    <w:rsid w:val="008834DC"/>
    <w:rsid w:val="00884997"/>
    <w:rsid w:val="00886B80"/>
    <w:rsid w:val="008871E8"/>
    <w:rsid w:val="0089115B"/>
    <w:rsid w:val="008918C3"/>
    <w:rsid w:val="0089496F"/>
    <w:rsid w:val="008A22DB"/>
    <w:rsid w:val="008A3CFC"/>
    <w:rsid w:val="008A40D6"/>
    <w:rsid w:val="008A4D28"/>
    <w:rsid w:val="008B06BF"/>
    <w:rsid w:val="008B12C1"/>
    <w:rsid w:val="008B1565"/>
    <w:rsid w:val="008B32BE"/>
    <w:rsid w:val="008B5EA2"/>
    <w:rsid w:val="008C085A"/>
    <w:rsid w:val="008C1582"/>
    <w:rsid w:val="008C3ED3"/>
    <w:rsid w:val="008C5B7D"/>
    <w:rsid w:val="008C6830"/>
    <w:rsid w:val="008D0319"/>
    <w:rsid w:val="008D16DC"/>
    <w:rsid w:val="008D43DF"/>
    <w:rsid w:val="008D45D7"/>
    <w:rsid w:val="008D762C"/>
    <w:rsid w:val="008E256B"/>
    <w:rsid w:val="008E31B4"/>
    <w:rsid w:val="008E3CB1"/>
    <w:rsid w:val="008E4945"/>
    <w:rsid w:val="008E5ECB"/>
    <w:rsid w:val="008E6012"/>
    <w:rsid w:val="008E7EDB"/>
    <w:rsid w:val="008F130E"/>
    <w:rsid w:val="008F188E"/>
    <w:rsid w:val="008F2160"/>
    <w:rsid w:val="008F2351"/>
    <w:rsid w:val="008F2F51"/>
    <w:rsid w:val="008F5E12"/>
    <w:rsid w:val="008F6139"/>
    <w:rsid w:val="008F7980"/>
    <w:rsid w:val="008F79EB"/>
    <w:rsid w:val="008F7B91"/>
    <w:rsid w:val="00901E9C"/>
    <w:rsid w:val="00906966"/>
    <w:rsid w:val="00906C10"/>
    <w:rsid w:val="00907641"/>
    <w:rsid w:val="009103AD"/>
    <w:rsid w:val="009121CE"/>
    <w:rsid w:val="00915C70"/>
    <w:rsid w:val="009177D7"/>
    <w:rsid w:val="00921229"/>
    <w:rsid w:val="00921DB7"/>
    <w:rsid w:val="009224D3"/>
    <w:rsid w:val="00923223"/>
    <w:rsid w:val="0092507D"/>
    <w:rsid w:val="0092512C"/>
    <w:rsid w:val="00925460"/>
    <w:rsid w:val="00925C68"/>
    <w:rsid w:val="009268CB"/>
    <w:rsid w:val="009268EF"/>
    <w:rsid w:val="00927064"/>
    <w:rsid w:val="00927CDC"/>
    <w:rsid w:val="009318DE"/>
    <w:rsid w:val="00934473"/>
    <w:rsid w:val="009353C0"/>
    <w:rsid w:val="00936509"/>
    <w:rsid w:val="00937D57"/>
    <w:rsid w:val="009402DC"/>
    <w:rsid w:val="0094250F"/>
    <w:rsid w:val="00943EF3"/>
    <w:rsid w:val="00946A96"/>
    <w:rsid w:val="00946C36"/>
    <w:rsid w:val="00954128"/>
    <w:rsid w:val="0095696F"/>
    <w:rsid w:val="0096074C"/>
    <w:rsid w:val="00963594"/>
    <w:rsid w:val="009638F3"/>
    <w:rsid w:val="0096401B"/>
    <w:rsid w:val="00966C28"/>
    <w:rsid w:val="009725B7"/>
    <w:rsid w:val="00973CC6"/>
    <w:rsid w:val="00976F96"/>
    <w:rsid w:val="00980B6F"/>
    <w:rsid w:val="00980C01"/>
    <w:rsid w:val="00980D74"/>
    <w:rsid w:val="00983A86"/>
    <w:rsid w:val="009870A8"/>
    <w:rsid w:val="00991EDA"/>
    <w:rsid w:val="009925E1"/>
    <w:rsid w:val="00993BF1"/>
    <w:rsid w:val="00994688"/>
    <w:rsid w:val="009A08DC"/>
    <w:rsid w:val="009A15BC"/>
    <w:rsid w:val="009A2EDC"/>
    <w:rsid w:val="009A37A6"/>
    <w:rsid w:val="009A3DD2"/>
    <w:rsid w:val="009A42FE"/>
    <w:rsid w:val="009A45C8"/>
    <w:rsid w:val="009A4615"/>
    <w:rsid w:val="009A4D4D"/>
    <w:rsid w:val="009A7DA5"/>
    <w:rsid w:val="009B373B"/>
    <w:rsid w:val="009B5274"/>
    <w:rsid w:val="009B5774"/>
    <w:rsid w:val="009C288F"/>
    <w:rsid w:val="009C2F3F"/>
    <w:rsid w:val="009C4828"/>
    <w:rsid w:val="009C64A4"/>
    <w:rsid w:val="009D191A"/>
    <w:rsid w:val="009D29DA"/>
    <w:rsid w:val="009D2DCE"/>
    <w:rsid w:val="009D3328"/>
    <w:rsid w:val="009D3AE1"/>
    <w:rsid w:val="009D49B1"/>
    <w:rsid w:val="009D5AE1"/>
    <w:rsid w:val="009D5B9E"/>
    <w:rsid w:val="009D5D1E"/>
    <w:rsid w:val="009E0062"/>
    <w:rsid w:val="009E017C"/>
    <w:rsid w:val="009E020F"/>
    <w:rsid w:val="009E1CA2"/>
    <w:rsid w:val="009E1F97"/>
    <w:rsid w:val="009E32E9"/>
    <w:rsid w:val="009E3A1A"/>
    <w:rsid w:val="009E3B28"/>
    <w:rsid w:val="009E477A"/>
    <w:rsid w:val="009E560E"/>
    <w:rsid w:val="009E57C4"/>
    <w:rsid w:val="009E596A"/>
    <w:rsid w:val="009E69B2"/>
    <w:rsid w:val="009E6D38"/>
    <w:rsid w:val="009F152B"/>
    <w:rsid w:val="009F2374"/>
    <w:rsid w:val="009F27F8"/>
    <w:rsid w:val="009F2D40"/>
    <w:rsid w:val="009F2FC4"/>
    <w:rsid w:val="009F5349"/>
    <w:rsid w:val="00A001E3"/>
    <w:rsid w:val="00A01E2E"/>
    <w:rsid w:val="00A02587"/>
    <w:rsid w:val="00A02FB5"/>
    <w:rsid w:val="00A038B9"/>
    <w:rsid w:val="00A0409D"/>
    <w:rsid w:val="00A05687"/>
    <w:rsid w:val="00A07FE2"/>
    <w:rsid w:val="00A107CF"/>
    <w:rsid w:val="00A136DF"/>
    <w:rsid w:val="00A13947"/>
    <w:rsid w:val="00A13FA6"/>
    <w:rsid w:val="00A14476"/>
    <w:rsid w:val="00A148A3"/>
    <w:rsid w:val="00A1644C"/>
    <w:rsid w:val="00A17F73"/>
    <w:rsid w:val="00A20E5A"/>
    <w:rsid w:val="00A20EED"/>
    <w:rsid w:val="00A21E31"/>
    <w:rsid w:val="00A22029"/>
    <w:rsid w:val="00A2365E"/>
    <w:rsid w:val="00A241CA"/>
    <w:rsid w:val="00A255C1"/>
    <w:rsid w:val="00A264FB"/>
    <w:rsid w:val="00A303EA"/>
    <w:rsid w:val="00A319DD"/>
    <w:rsid w:val="00A32EE4"/>
    <w:rsid w:val="00A34F47"/>
    <w:rsid w:val="00A35892"/>
    <w:rsid w:val="00A3760E"/>
    <w:rsid w:val="00A4018F"/>
    <w:rsid w:val="00A40C05"/>
    <w:rsid w:val="00A42929"/>
    <w:rsid w:val="00A43F06"/>
    <w:rsid w:val="00A44D18"/>
    <w:rsid w:val="00A454C1"/>
    <w:rsid w:val="00A5252E"/>
    <w:rsid w:val="00A526C8"/>
    <w:rsid w:val="00A545EA"/>
    <w:rsid w:val="00A57F3A"/>
    <w:rsid w:val="00A60FEC"/>
    <w:rsid w:val="00A61461"/>
    <w:rsid w:val="00A62CA0"/>
    <w:rsid w:val="00A64175"/>
    <w:rsid w:val="00A64E0A"/>
    <w:rsid w:val="00A64E2F"/>
    <w:rsid w:val="00A65773"/>
    <w:rsid w:val="00A74AFA"/>
    <w:rsid w:val="00A74BC5"/>
    <w:rsid w:val="00A76098"/>
    <w:rsid w:val="00A7652A"/>
    <w:rsid w:val="00A8267D"/>
    <w:rsid w:val="00A854C3"/>
    <w:rsid w:val="00A855D0"/>
    <w:rsid w:val="00A928F2"/>
    <w:rsid w:val="00A93DA7"/>
    <w:rsid w:val="00A975B2"/>
    <w:rsid w:val="00A9767B"/>
    <w:rsid w:val="00AA1A27"/>
    <w:rsid w:val="00AA1BAD"/>
    <w:rsid w:val="00AA248C"/>
    <w:rsid w:val="00AA29AF"/>
    <w:rsid w:val="00AA36C5"/>
    <w:rsid w:val="00AA6B69"/>
    <w:rsid w:val="00AA6CA7"/>
    <w:rsid w:val="00AB0070"/>
    <w:rsid w:val="00AB2975"/>
    <w:rsid w:val="00AB62CD"/>
    <w:rsid w:val="00AB7BC3"/>
    <w:rsid w:val="00AC00BD"/>
    <w:rsid w:val="00AC1A87"/>
    <w:rsid w:val="00AC2CD2"/>
    <w:rsid w:val="00AC522A"/>
    <w:rsid w:val="00AD0FF1"/>
    <w:rsid w:val="00AD395A"/>
    <w:rsid w:val="00AE11BF"/>
    <w:rsid w:val="00AE3E37"/>
    <w:rsid w:val="00AE56F3"/>
    <w:rsid w:val="00AE5CFF"/>
    <w:rsid w:val="00AE6341"/>
    <w:rsid w:val="00AF27DF"/>
    <w:rsid w:val="00AF318F"/>
    <w:rsid w:val="00AF665B"/>
    <w:rsid w:val="00B028D2"/>
    <w:rsid w:val="00B02938"/>
    <w:rsid w:val="00B03574"/>
    <w:rsid w:val="00B05117"/>
    <w:rsid w:val="00B104AC"/>
    <w:rsid w:val="00B105F7"/>
    <w:rsid w:val="00B11B20"/>
    <w:rsid w:val="00B14027"/>
    <w:rsid w:val="00B16393"/>
    <w:rsid w:val="00B1688B"/>
    <w:rsid w:val="00B2006B"/>
    <w:rsid w:val="00B20B9D"/>
    <w:rsid w:val="00B225D3"/>
    <w:rsid w:val="00B24899"/>
    <w:rsid w:val="00B264F4"/>
    <w:rsid w:val="00B27F4C"/>
    <w:rsid w:val="00B334D9"/>
    <w:rsid w:val="00B35326"/>
    <w:rsid w:val="00B4038D"/>
    <w:rsid w:val="00B407A4"/>
    <w:rsid w:val="00B45E17"/>
    <w:rsid w:val="00B4663D"/>
    <w:rsid w:val="00B52A23"/>
    <w:rsid w:val="00B52B12"/>
    <w:rsid w:val="00B5376B"/>
    <w:rsid w:val="00B54134"/>
    <w:rsid w:val="00B54E0A"/>
    <w:rsid w:val="00B55A89"/>
    <w:rsid w:val="00B565BE"/>
    <w:rsid w:val="00B63696"/>
    <w:rsid w:val="00B65B91"/>
    <w:rsid w:val="00B66214"/>
    <w:rsid w:val="00B6689E"/>
    <w:rsid w:val="00B66AB5"/>
    <w:rsid w:val="00B71B96"/>
    <w:rsid w:val="00B74F7D"/>
    <w:rsid w:val="00B74FCE"/>
    <w:rsid w:val="00B761A3"/>
    <w:rsid w:val="00B777A3"/>
    <w:rsid w:val="00B778E3"/>
    <w:rsid w:val="00B80DEC"/>
    <w:rsid w:val="00B81135"/>
    <w:rsid w:val="00B8269E"/>
    <w:rsid w:val="00B829EE"/>
    <w:rsid w:val="00B82ADA"/>
    <w:rsid w:val="00B83DC1"/>
    <w:rsid w:val="00B84469"/>
    <w:rsid w:val="00B858E8"/>
    <w:rsid w:val="00B879DE"/>
    <w:rsid w:val="00B90282"/>
    <w:rsid w:val="00B90389"/>
    <w:rsid w:val="00B90602"/>
    <w:rsid w:val="00B916F5"/>
    <w:rsid w:val="00B95281"/>
    <w:rsid w:val="00B955A5"/>
    <w:rsid w:val="00B95907"/>
    <w:rsid w:val="00B95DDC"/>
    <w:rsid w:val="00B9610C"/>
    <w:rsid w:val="00BA0275"/>
    <w:rsid w:val="00BA0404"/>
    <w:rsid w:val="00BA0774"/>
    <w:rsid w:val="00BA1451"/>
    <w:rsid w:val="00BA3509"/>
    <w:rsid w:val="00BA462D"/>
    <w:rsid w:val="00BA5C91"/>
    <w:rsid w:val="00BA78B4"/>
    <w:rsid w:val="00BB1727"/>
    <w:rsid w:val="00BB23EB"/>
    <w:rsid w:val="00BB47E7"/>
    <w:rsid w:val="00BB6591"/>
    <w:rsid w:val="00BB77BC"/>
    <w:rsid w:val="00BC21CE"/>
    <w:rsid w:val="00BC2753"/>
    <w:rsid w:val="00BC2958"/>
    <w:rsid w:val="00BC443A"/>
    <w:rsid w:val="00BC736D"/>
    <w:rsid w:val="00BD0EDD"/>
    <w:rsid w:val="00BD2868"/>
    <w:rsid w:val="00BD5DC0"/>
    <w:rsid w:val="00BD68E7"/>
    <w:rsid w:val="00BD6CB5"/>
    <w:rsid w:val="00BE1D95"/>
    <w:rsid w:val="00BE3031"/>
    <w:rsid w:val="00BE4D37"/>
    <w:rsid w:val="00BE4EE8"/>
    <w:rsid w:val="00BE7213"/>
    <w:rsid w:val="00BF1025"/>
    <w:rsid w:val="00BF1551"/>
    <w:rsid w:val="00BF3916"/>
    <w:rsid w:val="00BF48B6"/>
    <w:rsid w:val="00BF5889"/>
    <w:rsid w:val="00BF5E5D"/>
    <w:rsid w:val="00C00198"/>
    <w:rsid w:val="00C00908"/>
    <w:rsid w:val="00C03352"/>
    <w:rsid w:val="00C04F9F"/>
    <w:rsid w:val="00C0729E"/>
    <w:rsid w:val="00C1496A"/>
    <w:rsid w:val="00C1554D"/>
    <w:rsid w:val="00C168FE"/>
    <w:rsid w:val="00C17292"/>
    <w:rsid w:val="00C17D7B"/>
    <w:rsid w:val="00C22B16"/>
    <w:rsid w:val="00C23E38"/>
    <w:rsid w:val="00C24027"/>
    <w:rsid w:val="00C24515"/>
    <w:rsid w:val="00C24A43"/>
    <w:rsid w:val="00C25082"/>
    <w:rsid w:val="00C25A7A"/>
    <w:rsid w:val="00C2625A"/>
    <w:rsid w:val="00C27358"/>
    <w:rsid w:val="00C2747E"/>
    <w:rsid w:val="00C27ADE"/>
    <w:rsid w:val="00C31D79"/>
    <w:rsid w:val="00C3295B"/>
    <w:rsid w:val="00C32D0B"/>
    <w:rsid w:val="00C3509D"/>
    <w:rsid w:val="00C360B4"/>
    <w:rsid w:val="00C36C0A"/>
    <w:rsid w:val="00C37D1A"/>
    <w:rsid w:val="00C4065B"/>
    <w:rsid w:val="00C438C2"/>
    <w:rsid w:val="00C4510C"/>
    <w:rsid w:val="00C4691B"/>
    <w:rsid w:val="00C50831"/>
    <w:rsid w:val="00C50EEC"/>
    <w:rsid w:val="00C637E7"/>
    <w:rsid w:val="00C6765C"/>
    <w:rsid w:val="00C7009E"/>
    <w:rsid w:val="00C70BAE"/>
    <w:rsid w:val="00C71386"/>
    <w:rsid w:val="00C71558"/>
    <w:rsid w:val="00C73463"/>
    <w:rsid w:val="00C73ADE"/>
    <w:rsid w:val="00C74154"/>
    <w:rsid w:val="00C766D0"/>
    <w:rsid w:val="00C77EA9"/>
    <w:rsid w:val="00C8132E"/>
    <w:rsid w:val="00C850DE"/>
    <w:rsid w:val="00C85372"/>
    <w:rsid w:val="00C91EF6"/>
    <w:rsid w:val="00C964AF"/>
    <w:rsid w:val="00CA29B5"/>
    <w:rsid w:val="00CA39F8"/>
    <w:rsid w:val="00CA3E6C"/>
    <w:rsid w:val="00CA680A"/>
    <w:rsid w:val="00CB1D83"/>
    <w:rsid w:val="00CB1EA9"/>
    <w:rsid w:val="00CB2225"/>
    <w:rsid w:val="00CB3D50"/>
    <w:rsid w:val="00CB4473"/>
    <w:rsid w:val="00CB5668"/>
    <w:rsid w:val="00CB6201"/>
    <w:rsid w:val="00CC43E7"/>
    <w:rsid w:val="00CC4BAD"/>
    <w:rsid w:val="00CC56B8"/>
    <w:rsid w:val="00CC750E"/>
    <w:rsid w:val="00CD0000"/>
    <w:rsid w:val="00CD3B19"/>
    <w:rsid w:val="00CD3B1A"/>
    <w:rsid w:val="00CD4AA5"/>
    <w:rsid w:val="00CD7050"/>
    <w:rsid w:val="00CE000A"/>
    <w:rsid w:val="00CE2408"/>
    <w:rsid w:val="00CE372A"/>
    <w:rsid w:val="00CE3AF6"/>
    <w:rsid w:val="00CE4FB5"/>
    <w:rsid w:val="00CE5DF4"/>
    <w:rsid w:val="00CE7C01"/>
    <w:rsid w:val="00CF01C8"/>
    <w:rsid w:val="00CF14AD"/>
    <w:rsid w:val="00CF389F"/>
    <w:rsid w:val="00CF3BF5"/>
    <w:rsid w:val="00CF5A60"/>
    <w:rsid w:val="00D00C48"/>
    <w:rsid w:val="00D01A45"/>
    <w:rsid w:val="00D02123"/>
    <w:rsid w:val="00D0479C"/>
    <w:rsid w:val="00D0559C"/>
    <w:rsid w:val="00D05E5C"/>
    <w:rsid w:val="00D06F6C"/>
    <w:rsid w:val="00D10CA0"/>
    <w:rsid w:val="00D12970"/>
    <w:rsid w:val="00D132AA"/>
    <w:rsid w:val="00D1625B"/>
    <w:rsid w:val="00D22436"/>
    <w:rsid w:val="00D27FCF"/>
    <w:rsid w:val="00D32879"/>
    <w:rsid w:val="00D32F4A"/>
    <w:rsid w:val="00D335D3"/>
    <w:rsid w:val="00D33A86"/>
    <w:rsid w:val="00D33D0B"/>
    <w:rsid w:val="00D424FB"/>
    <w:rsid w:val="00D4306E"/>
    <w:rsid w:val="00D442E7"/>
    <w:rsid w:val="00D4542A"/>
    <w:rsid w:val="00D470D4"/>
    <w:rsid w:val="00D512E5"/>
    <w:rsid w:val="00D51CFA"/>
    <w:rsid w:val="00D5286E"/>
    <w:rsid w:val="00D52BCF"/>
    <w:rsid w:val="00D53811"/>
    <w:rsid w:val="00D54140"/>
    <w:rsid w:val="00D54B10"/>
    <w:rsid w:val="00D54F32"/>
    <w:rsid w:val="00D55CC4"/>
    <w:rsid w:val="00D56D02"/>
    <w:rsid w:val="00D56D2F"/>
    <w:rsid w:val="00D56E5F"/>
    <w:rsid w:val="00D57C3E"/>
    <w:rsid w:val="00D60168"/>
    <w:rsid w:val="00D62B4C"/>
    <w:rsid w:val="00D636DA"/>
    <w:rsid w:val="00D64A08"/>
    <w:rsid w:val="00D64E2F"/>
    <w:rsid w:val="00D65552"/>
    <w:rsid w:val="00D66C07"/>
    <w:rsid w:val="00D673D5"/>
    <w:rsid w:val="00D74AF4"/>
    <w:rsid w:val="00D76682"/>
    <w:rsid w:val="00D77133"/>
    <w:rsid w:val="00D80B08"/>
    <w:rsid w:val="00D82411"/>
    <w:rsid w:val="00D83FD9"/>
    <w:rsid w:val="00D8591D"/>
    <w:rsid w:val="00D860B0"/>
    <w:rsid w:val="00D861A5"/>
    <w:rsid w:val="00D877CB"/>
    <w:rsid w:val="00D910DD"/>
    <w:rsid w:val="00D91549"/>
    <w:rsid w:val="00D94583"/>
    <w:rsid w:val="00D96B5B"/>
    <w:rsid w:val="00D97D64"/>
    <w:rsid w:val="00DA5BA8"/>
    <w:rsid w:val="00DA6344"/>
    <w:rsid w:val="00DA6E61"/>
    <w:rsid w:val="00DB17EC"/>
    <w:rsid w:val="00DB42C1"/>
    <w:rsid w:val="00DB556D"/>
    <w:rsid w:val="00DC18C7"/>
    <w:rsid w:val="00DC1B5F"/>
    <w:rsid w:val="00DC3484"/>
    <w:rsid w:val="00DC6441"/>
    <w:rsid w:val="00DD3F28"/>
    <w:rsid w:val="00DD740B"/>
    <w:rsid w:val="00DD7F3A"/>
    <w:rsid w:val="00DE1191"/>
    <w:rsid w:val="00DE2917"/>
    <w:rsid w:val="00DE4222"/>
    <w:rsid w:val="00DE4813"/>
    <w:rsid w:val="00DE6F54"/>
    <w:rsid w:val="00DF0870"/>
    <w:rsid w:val="00DF201C"/>
    <w:rsid w:val="00DF289F"/>
    <w:rsid w:val="00DF2E3B"/>
    <w:rsid w:val="00DF3513"/>
    <w:rsid w:val="00DF368D"/>
    <w:rsid w:val="00E01073"/>
    <w:rsid w:val="00E0333A"/>
    <w:rsid w:val="00E1187F"/>
    <w:rsid w:val="00E11C2C"/>
    <w:rsid w:val="00E11CA2"/>
    <w:rsid w:val="00E1345E"/>
    <w:rsid w:val="00E142E5"/>
    <w:rsid w:val="00E16854"/>
    <w:rsid w:val="00E20062"/>
    <w:rsid w:val="00E212D3"/>
    <w:rsid w:val="00E216C5"/>
    <w:rsid w:val="00E224FF"/>
    <w:rsid w:val="00E2309F"/>
    <w:rsid w:val="00E231A8"/>
    <w:rsid w:val="00E253F4"/>
    <w:rsid w:val="00E255C0"/>
    <w:rsid w:val="00E269DE"/>
    <w:rsid w:val="00E318B9"/>
    <w:rsid w:val="00E33750"/>
    <w:rsid w:val="00E3530E"/>
    <w:rsid w:val="00E35423"/>
    <w:rsid w:val="00E35518"/>
    <w:rsid w:val="00E3589A"/>
    <w:rsid w:val="00E40D8E"/>
    <w:rsid w:val="00E423F1"/>
    <w:rsid w:val="00E43B07"/>
    <w:rsid w:val="00E454A8"/>
    <w:rsid w:val="00E52074"/>
    <w:rsid w:val="00E52643"/>
    <w:rsid w:val="00E53C99"/>
    <w:rsid w:val="00E61901"/>
    <w:rsid w:val="00E65D3F"/>
    <w:rsid w:val="00E6723B"/>
    <w:rsid w:val="00E7029C"/>
    <w:rsid w:val="00E708C3"/>
    <w:rsid w:val="00E739A5"/>
    <w:rsid w:val="00E75F10"/>
    <w:rsid w:val="00E77C27"/>
    <w:rsid w:val="00E80511"/>
    <w:rsid w:val="00E81296"/>
    <w:rsid w:val="00E82C61"/>
    <w:rsid w:val="00E85235"/>
    <w:rsid w:val="00E85E3E"/>
    <w:rsid w:val="00E90B3C"/>
    <w:rsid w:val="00EA0EA0"/>
    <w:rsid w:val="00EA2CFC"/>
    <w:rsid w:val="00EA5E72"/>
    <w:rsid w:val="00EB3C15"/>
    <w:rsid w:val="00EB3E0C"/>
    <w:rsid w:val="00EB58FD"/>
    <w:rsid w:val="00EB644B"/>
    <w:rsid w:val="00EB7161"/>
    <w:rsid w:val="00EC02F5"/>
    <w:rsid w:val="00EC10A0"/>
    <w:rsid w:val="00EC369A"/>
    <w:rsid w:val="00EC6E2E"/>
    <w:rsid w:val="00EC7236"/>
    <w:rsid w:val="00ED1B68"/>
    <w:rsid w:val="00ED1E12"/>
    <w:rsid w:val="00ED28FF"/>
    <w:rsid w:val="00ED4313"/>
    <w:rsid w:val="00ED5382"/>
    <w:rsid w:val="00ED5922"/>
    <w:rsid w:val="00EE5C97"/>
    <w:rsid w:val="00EE62F0"/>
    <w:rsid w:val="00EF48B8"/>
    <w:rsid w:val="00EF515E"/>
    <w:rsid w:val="00EF66D1"/>
    <w:rsid w:val="00F004FA"/>
    <w:rsid w:val="00F02311"/>
    <w:rsid w:val="00F027FC"/>
    <w:rsid w:val="00F04156"/>
    <w:rsid w:val="00F051B0"/>
    <w:rsid w:val="00F055A1"/>
    <w:rsid w:val="00F06940"/>
    <w:rsid w:val="00F07110"/>
    <w:rsid w:val="00F14622"/>
    <w:rsid w:val="00F201FF"/>
    <w:rsid w:val="00F211AF"/>
    <w:rsid w:val="00F234C1"/>
    <w:rsid w:val="00F300E0"/>
    <w:rsid w:val="00F31A1A"/>
    <w:rsid w:val="00F430D6"/>
    <w:rsid w:val="00F55687"/>
    <w:rsid w:val="00F6092D"/>
    <w:rsid w:val="00F635B8"/>
    <w:rsid w:val="00F640C5"/>
    <w:rsid w:val="00F67397"/>
    <w:rsid w:val="00F7003C"/>
    <w:rsid w:val="00F70457"/>
    <w:rsid w:val="00F71608"/>
    <w:rsid w:val="00F71948"/>
    <w:rsid w:val="00F75986"/>
    <w:rsid w:val="00F764B1"/>
    <w:rsid w:val="00F77B42"/>
    <w:rsid w:val="00F81EBE"/>
    <w:rsid w:val="00F82916"/>
    <w:rsid w:val="00F83107"/>
    <w:rsid w:val="00F83AFC"/>
    <w:rsid w:val="00F85E41"/>
    <w:rsid w:val="00F905A6"/>
    <w:rsid w:val="00F940BB"/>
    <w:rsid w:val="00F964D1"/>
    <w:rsid w:val="00F977C3"/>
    <w:rsid w:val="00F97832"/>
    <w:rsid w:val="00FA17D9"/>
    <w:rsid w:val="00FA4B2C"/>
    <w:rsid w:val="00FA527F"/>
    <w:rsid w:val="00FB0952"/>
    <w:rsid w:val="00FB20AF"/>
    <w:rsid w:val="00FB23CD"/>
    <w:rsid w:val="00FB6DDD"/>
    <w:rsid w:val="00FB7ECD"/>
    <w:rsid w:val="00FC3755"/>
    <w:rsid w:val="00FC5A74"/>
    <w:rsid w:val="00FC7285"/>
    <w:rsid w:val="00FD00F7"/>
    <w:rsid w:val="00FD0257"/>
    <w:rsid w:val="00FD1864"/>
    <w:rsid w:val="00FD43C0"/>
    <w:rsid w:val="00FD6A03"/>
    <w:rsid w:val="00FD6BFB"/>
    <w:rsid w:val="00FD6EE9"/>
    <w:rsid w:val="00FE02ED"/>
    <w:rsid w:val="00FE1448"/>
    <w:rsid w:val="00FE1F9D"/>
    <w:rsid w:val="00FE2C59"/>
    <w:rsid w:val="00FE5582"/>
    <w:rsid w:val="00FE55E7"/>
    <w:rsid w:val="00FF176A"/>
    <w:rsid w:val="00FF3CF9"/>
    <w:rsid w:val="00FF5FE4"/>
    <w:rsid w:val="00FF60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9C"/>
    <w:rPr>
      <w:rFonts w:eastAsiaTheme="minorEastAsia"/>
      <w:lang w:eastAsia="el-GR"/>
    </w:rPr>
  </w:style>
  <w:style w:type="paragraph" w:styleId="1">
    <w:name w:val="heading 1"/>
    <w:basedOn w:val="a"/>
    <w:next w:val="a"/>
    <w:link w:val="1Char"/>
    <w:uiPriority w:val="9"/>
    <w:qFormat/>
    <w:rsid w:val="006546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13F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semiHidden/>
    <w:unhideWhenUsed/>
    <w:qFormat/>
    <w:rsid w:val="001E51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54672"/>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uiPriority w:val="9"/>
    <w:rsid w:val="00A13FA6"/>
    <w:rPr>
      <w:rFonts w:asciiTheme="majorHAnsi" w:eastAsiaTheme="majorEastAsia" w:hAnsiTheme="majorHAnsi" w:cstheme="majorBidi"/>
      <w:color w:val="365F91" w:themeColor="accent1" w:themeShade="BF"/>
      <w:sz w:val="26"/>
      <w:szCs w:val="26"/>
      <w:lang w:eastAsia="el-GR"/>
    </w:rPr>
  </w:style>
  <w:style w:type="character" w:customStyle="1" w:styleId="3Char">
    <w:name w:val="Επικεφαλίδα 3 Char"/>
    <w:basedOn w:val="a0"/>
    <w:link w:val="3"/>
    <w:uiPriority w:val="9"/>
    <w:semiHidden/>
    <w:rsid w:val="001E5166"/>
    <w:rPr>
      <w:rFonts w:asciiTheme="majorHAnsi" w:eastAsiaTheme="majorEastAsia" w:hAnsiTheme="majorHAnsi" w:cstheme="majorBidi"/>
      <w:b/>
      <w:bCs/>
      <w:color w:val="4F81BD" w:themeColor="accent1"/>
      <w:lang w:eastAsia="el-GR"/>
    </w:rPr>
  </w:style>
  <w:style w:type="paragraph" w:customStyle="1" w:styleId="Default">
    <w:name w:val="Default"/>
    <w:rsid w:val="00901E9C"/>
    <w:pPr>
      <w:autoSpaceDE w:val="0"/>
      <w:autoSpaceDN w:val="0"/>
      <w:adjustRightInd w:val="0"/>
      <w:spacing w:after="0" w:line="240" w:lineRule="auto"/>
    </w:pPr>
    <w:rPr>
      <w:rFonts w:ascii="Lato Black" w:hAnsi="Lato Black" w:cs="Lato Black"/>
      <w:color w:val="000000"/>
      <w:sz w:val="24"/>
      <w:szCs w:val="24"/>
    </w:rPr>
  </w:style>
  <w:style w:type="paragraph" w:styleId="a3">
    <w:name w:val="Balloon Text"/>
    <w:basedOn w:val="a"/>
    <w:link w:val="Char"/>
    <w:uiPriority w:val="99"/>
    <w:semiHidden/>
    <w:unhideWhenUsed/>
    <w:rsid w:val="00537EF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37EF0"/>
    <w:rPr>
      <w:rFonts w:ascii="Tahoma" w:eastAsiaTheme="minorEastAsia" w:hAnsi="Tahoma" w:cs="Tahoma"/>
      <w:sz w:val="16"/>
      <w:szCs w:val="16"/>
      <w:lang w:eastAsia="el-GR"/>
    </w:rPr>
  </w:style>
  <w:style w:type="paragraph" w:styleId="a4">
    <w:name w:val="List Paragraph"/>
    <w:aliases w:val="1st level - Bullet List Paragraph,Bullet EY,Bullet list,Lettre d'introduction,List L1,List Paragraph compact,List Paragraph1,List Paragraph11,Normal bullet 2,Normal bullet 21,Numbered List,Paragraph,Paragraphe de liste 2,Reference list"/>
    <w:basedOn w:val="a"/>
    <w:link w:val="Char0"/>
    <w:uiPriority w:val="34"/>
    <w:qFormat/>
    <w:rsid w:val="003B1F6E"/>
    <w:pPr>
      <w:ind w:left="720"/>
      <w:contextualSpacing/>
    </w:pPr>
    <w:rPr>
      <w:rFonts w:eastAsiaTheme="minorHAnsi"/>
      <w:lang w:eastAsia="en-US"/>
    </w:rPr>
  </w:style>
  <w:style w:type="character" w:customStyle="1" w:styleId="Char0">
    <w:name w:val="Παράγραφος λίστας Char"/>
    <w:aliases w:val="1st level - Bullet List Paragraph Char,Bullet EY Char,Bullet list Char,Lettre d'introduction Char,List L1 Char,List Paragraph compact Char,List Paragraph1 Char,List Paragraph11 Char,Normal bullet 2 Char,Normal bullet 21 Char"/>
    <w:link w:val="a4"/>
    <w:uiPriority w:val="34"/>
    <w:qFormat/>
    <w:locked/>
    <w:rsid w:val="00D06F6C"/>
  </w:style>
  <w:style w:type="paragraph" w:styleId="a5">
    <w:name w:val="header"/>
    <w:basedOn w:val="a"/>
    <w:link w:val="Char1"/>
    <w:uiPriority w:val="99"/>
    <w:unhideWhenUsed/>
    <w:rsid w:val="00404883"/>
    <w:pPr>
      <w:tabs>
        <w:tab w:val="center" w:pos="4153"/>
        <w:tab w:val="right" w:pos="8306"/>
      </w:tabs>
      <w:spacing w:after="0" w:line="240" w:lineRule="auto"/>
    </w:pPr>
  </w:style>
  <w:style w:type="character" w:customStyle="1" w:styleId="Char1">
    <w:name w:val="Κεφαλίδα Char"/>
    <w:basedOn w:val="a0"/>
    <w:link w:val="a5"/>
    <w:uiPriority w:val="99"/>
    <w:rsid w:val="00404883"/>
    <w:rPr>
      <w:rFonts w:eastAsiaTheme="minorEastAsia"/>
      <w:lang w:eastAsia="el-GR"/>
    </w:rPr>
  </w:style>
  <w:style w:type="paragraph" w:styleId="a6">
    <w:name w:val="footer"/>
    <w:basedOn w:val="a"/>
    <w:link w:val="Char2"/>
    <w:uiPriority w:val="99"/>
    <w:unhideWhenUsed/>
    <w:rsid w:val="00404883"/>
    <w:pPr>
      <w:tabs>
        <w:tab w:val="center" w:pos="4153"/>
        <w:tab w:val="right" w:pos="8306"/>
      </w:tabs>
      <w:spacing w:after="0" w:line="240" w:lineRule="auto"/>
    </w:pPr>
  </w:style>
  <w:style w:type="character" w:customStyle="1" w:styleId="Char2">
    <w:name w:val="Υποσέλιδο Char"/>
    <w:basedOn w:val="a0"/>
    <w:link w:val="a6"/>
    <w:uiPriority w:val="99"/>
    <w:rsid w:val="00404883"/>
    <w:rPr>
      <w:rFonts w:eastAsiaTheme="minorEastAsia"/>
      <w:lang w:eastAsia="el-GR"/>
    </w:rPr>
  </w:style>
  <w:style w:type="paragraph" w:customStyle="1" w:styleId="10">
    <w:name w:val="Παράγραφος λίστας1"/>
    <w:rsid w:val="005A31FF"/>
    <w:pPr>
      <w:suppressAutoHyphens/>
      <w:ind w:left="720"/>
    </w:pPr>
    <w:rPr>
      <w:rFonts w:ascii="Calibri" w:eastAsia="Arial" w:hAnsi="Calibri" w:cs="font266"/>
      <w:kern w:val="1"/>
      <w:lang w:val="en-GB" w:eastAsia="ar-SA"/>
    </w:rPr>
  </w:style>
  <w:style w:type="table" w:styleId="a7">
    <w:name w:val="Table Grid"/>
    <w:basedOn w:val="a1"/>
    <w:uiPriority w:val="59"/>
    <w:rsid w:val="005A3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OC Heading"/>
    <w:basedOn w:val="1"/>
    <w:next w:val="a"/>
    <w:uiPriority w:val="39"/>
    <w:semiHidden/>
    <w:unhideWhenUsed/>
    <w:qFormat/>
    <w:rsid w:val="00654672"/>
    <w:pPr>
      <w:outlineLvl w:val="9"/>
    </w:pPr>
    <w:rPr>
      <w:lang w:eastAsia="en-US"/>
    </w:rPr>
  </w:style>
  <w:style w:type="paragraph" w:styleId="a9">
    <w:name w:val="Subtitle"/>
    <w:basedOn w:val="a"/>
    <w:next w:val="a"/>
    <w:link w:val="Char3"/>
    <w:uiPriority w:val="11"/>
    <w:qFormat/>
    <w:rsid w:val="0065467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Υπότιτλος Char"/>
    <w:basedOn w:val="a0"/>
    <w:link w:val="a9"/>
    <w:uiPriority w:val="11"/>
    <w:rsid w:val="00654672"/>
    <w:rPr>
      <w:rFonts w:asciiTheme="majorHAnsi" w:eastAsiaTheme="majorEastAsia" w:hAnsiTheme="majorHAnsi" w:cstheme="majorBidi"/>
      <w:i/>
      <w:iCs/>
      <w:color w:val="4F81BD" w:themeColor="accent1"/>
      <w:spacing w:val="15"/>
      <w:sz w:val="24"/>
      <w:szCs w:val="24"/>
      <w:lang w:eastAsia="el-GR"/>
    </w:rPr>
  </w:style>
  <w:style w:type="paragraph" w:styleId="11">
    <w:name w:val="toc 1"/>
    <w:basedOn w:val="a"/>
    <w:next w:val="a"/>
    <w:autoRedefine/>
    <w:uiPriority w:val="39"/>
    <w:unhideWhenUsed/>
    <w:rsid w:val="00C3295B"/>
    <w:pPr>
      <w:tabs>
        <w:tab w:val="left" w:pos="284"/>
        <w:tab w:val="right" w:leader="dot" w:pos="10206"/>
      </w:tabs>
      <w:spacing w:after="100"/>
    </w:pPr>
  </w:style>
  <w:style w:type="character" w:styleId="-">
    <w:name w:val="Hyperlink"/>
    <w:basedOn w:val="a0"/>
    <w:uiPriority w:val="99"/>
    <w:unhideWhenUsed/>
    <w:rsid w:val="00654672"/>
    <w:rPr>
      <w:color w:val="0000FF" w:themeColor="hyperlink"/>
      <w:u w:val="single"/>
    </w:rPr>
  </w:style>
  <w:style w:type="character" w:styleId="aa">
    <w:name w:val="annotation reference"/>
    <w:basedOn w:val="a0"/>
    <w:uiPriority w:val="99"/>
    <w:semiHidden/>
    <w:unhideWhenUsed/>
    <w:rsid w:val="004631E6"/>
    <w:rPr>
      <w:sz w:val="16"/>
      <w:szCs w:val="16"/>
    </w:rPr>
  </w:style>
  <w:style w:type="paragraph" w:styleId="ab">
    <w:name w:val="annotation text"/>
    <w:basedOn w:val="a"/>
    <w:link w:val="Char4"/>
    <w:unhideWhenUsed/>
    <w:rsid w:val="004631E6"/>
    <w:pPr>
      <w:spacing w:line="240" w:lineRule="auto"/>
    </w:pPr>
    <w:rPr>
      <w:sz w:val="20"/>
      <w:szCs w:val="20"/>
    </w:rPr>
  </w:style>
  <w:style w:type="character" w:customStyle="1" w:styleId="Char4">
    <w:name w:val="Κείμενο σχολίου Char"/>
    <w:basedOn w:val="a0"/>
    <w:link w:val="ab"/>
    <w:rsid w:val="004631E6"/>
    <w:rPr>
      <w:rFonts w:eastAsiaTheme="minorEastAsia"/>
      <w:sz w:val="20"/>
      <w:szCs w:val="20"/>
      <w:lang w:eastAsia="el-GR"/>
    </w:rPr>
  </w:style>
  <w:style w:type="paragraph" w:styleId="ac">
    <w:name w:val="annotation subject"/>
    <w:basedOn w:val="ab"/>
    <w:next w:val="ab"/>
    <w:link w:val="Char5"/>
    <w:uiPriority w:val="99"/>
    <w:semiHidden/>
    <w:unhideWhenUsed/>
    <w:rsid w:val="004631E6"/>
    <w:rPr>
      <w:b/>
      <w:bCs/>
    </w:rPr>
  </w:style>
  <w:style w:type="character" w:customStyle="1" w:styleId="Char5">
    <w:name w:val="Θέμα σχολίου Char"/>
    <w:basedOn w:val="Char4"/>
    <w:link w:val="ac"/>
    <w:uiPriority w:val="99"/>
    <w:semiHidden/>
    <w:rsid w:val="004631E6"/>
    <w:rPr>
      <w:rFonts w:eastAsiaTheme="minorEastAsia"/>
      <w:b/>
      <w:bCs/>
      <w:sz w:val="20"/>
      <w:szCs w:val="20"/>
      <w:lang w:eastAsia="el-GR"/>
    </w:rPr>
  </w:style>
  <w:style w:type="paragraph" w:customStyle="1" w:styleId="ParagraphNumbering">
    <w:name w:val="Paragraph Numbering"/>
    <w:basedOn w:val="a"/>
    <w:uiPriority w:val="1"/>
    <w:qFormat/>
    <w:rsid w:val="004356B9"/>
    <w:pPr>
      <w:tabs>
        <w:tab w:val="num" w:pos="720"/>
      </w:tabs>
      <w:spacing w:after="240" w:line="264" w:lineRule="auto"/>
    </w:pPr>
    <w:rPr>
      <w:rFonts w:ascii="Times New Roman" w:eastAsia="Calibri" w:hAnsi="Times New Roman" w:cs="Times New Roman"/>
      <w:sz w:val="24"/>
      <w:szCs w:val="24"/>
      <w:lang w:val="en-US" w:eastAsia="en-US"/>
    </w:rPr>
  </w:style>
  <w:style w:type="paragraph" w:styleId="20">
    <w:name w:val="Body Text Indent 2"/>
    <w:basedOn w:val="a"/>
    <w:link w:val="2Char0"/>
    <w:semiHidden/>
    <w:rsid w:val="004356B9"/>
    <w:pPr>
      <w:spacing w:after="0" w:line="240" w:lineRule="auto"/>
      <w:ind w:left="1560" w:hanging="1560"/>
      <w:jc w:val="both"/>
    </w:pPr>
    <w:rPr>
      <w:rFonts w:ascii="Times New Roman" w:eastAsia="Times New Roman" w:hAnsi="Times New Roman" w:cs="Times New Roman"/>
      <w:b/>
      <w:sz w:val="28"/>
      <w:szCs w:val="20"/>
    </w:rPr>
  </w:style>
  <w:style w:type="character" w:customStyle="1" w:styleId="2Char0">
    <w:name w:val="Σώμα κείμενου με εσοχή 2 Char"/>
    <w:basedOn w:val="a0"/>
    <w:link w:val="20"/>
    <w:semiHidden/>
    <w:rsid w:val="004356B9"/>
    <w:rPr>
      <w:rFonts w:ascii="Times New Roman" w:eastAsia="Times New Roman" w:hAnsi="Times New Roman" w:cs="Times New Roman"/>
      <w:b/>
      <w:sz w:val="28"/>
      <w:szCs w:val="20"/>
      <w:lang w:eastAsia="el-GR"/>
    </w:rPr>
  </w:style>
  <w:style w:type="paragraph" w:styleId="30">
    <w:name w:val="Body Text 3"/>
    <w:basedOn w:val="a"/>
    <w:link w:val="3Char0"/>
    <w:uiPriority w:val="99"/>
    <w:unhideWhenUsed/>
    <w:rsid w:val="004356B9"/>
    <w:pPr>
      <w:spacing w:after="120"/>
    </w:pPr>
    <w:rPr>
      <w:rFonts w:eastAsiaTheme="minorHAnsi"/>
      <w:sz w:val="16"/>
      <w:szCs w:val="16"/>
      <w:lang w:val="en-US" w:eastAsia="en-US"/>
    </w:rPr>
  </w:style>
  <w:style w:type="character" w:customStyle="1" w:styleId="3Char0">
    <w:name w:val="Σώμα κείμενου 3 Char"/>
    <w:basedOn w:val="a0"/>
    <w:link w:val="30"/>
    <w:uiPriority w:val="99"/>
    <w:rsid w:val="004356B9"/>
    <w:rPr>
      <w:sz w:val="16"/>
      <w:szCs w:val="16"/>
      <w:lang w:val="en-US"/>
    </w:rPr>
  </w:style>
  <w:style w:type="paragraph" w:styleId="ad">
    <w:name w:val="Revision"/>
    <w:hidden/>
    <w:uiPriority w:val="99"/>
    <w:semiHidden/>
    <w:rsid w:val="00E708C3"/>
    <w:pPr>
      <w:spacing w:after="0" w:line="240" w:lineRule="auto"/>
    </w:pPr>
    <w:rPr>
      <w:rFonts w:eastAsiaTheme="minorEastAsia"/>
      <w:lang w:eastAsia="el-GR"/>
    </w:rPr>
  </w:style>
  <w:style w:type="paragraph" w:styleId="ae">
    <w:name w:val="caption"/>
    <w:basedOn w:val="a"/>
    <w:next w:val="a"/>
    <w:uiPriority w:val="35"/>
    <w:unhideWhenUsed/>
    <w:qFormat/>
    <w:rsid w:val="00080D3B"/>
    <w:pPr>
      <w:spacing w:line="240" w:lineRule="auto"/>
    </w:pPr>
    <w:rPr>
      <w:rFonts w:eastAsiaTheme="minorHAnsi"/>
      <w:i/>
      <w:iCs/>
      <w:color w:val="1F497D" w:themeColor="text2"/>
      <w:sz w:val="18"/>
      <w:szCs w:val="18"/>
      <w:lang w:val="en-US" w:eastAsia="en-US"/>
    </w:rPr>
  </w:style>
  <w:style w:type="paragraph" w:styleId="21">
    <w:name w:val="toc 2"/>
    <w:basedOn w:val="a"/>
    <w:next w:val="a"/>
    <w:autoRedefine/>
    <w:uiPriority w:val="39"/>
    <w:unhideWhenUsed/>
    <w:rsid w:val="00567999"/>
    <w:pPr>
      <w:tabs>
        <w:tab w:val="right" w:leader="dot" w:pos="10194"/>
      </w:tabs>
      <w:spacing w:after="100"/>
      <w:ind w:left="220"/>
    </w:pPr>
    <w:rPr>
      <w:b/>
      <w:bCs/>
      <w:noProof/>
    </w:rPr>
  </w:style>
  <w:style w:type="paragraph" w:styleId="af">
    <w:name w:val="table of figures"/>
    <w:basedOn w:val="a"/>
    <w:next w:val="a"/>
    <w:uiPriority w:val="99"/>
    <w:unhideWhenUsed/>
    <w:rsid w:val="007D5C51"/>
    <w:pPr>
      <w:spacing w:after="0"/>
    </w:pPr>
  </w:style>
  <w:style w:type="paragraph" w:styleId="af0">
    <w:name w:val="footnote text"/>
    <w:basedOn w:val="a"/>
    <w:link w:val="Char6"/>
    <w:uiPriority w:val="99"/>
    <w:unhideWhenUsed/>
    <w:rsid w:val="00DB556D"/>
    <w:pPr>
      <w:spacing w:after="0" w:line="240" w:lineRule="auto"/>
    </w:pPr>
    <w:rPr>
      <w:sz w:val="20"/>
      <w:szCs w:val="20"/>
    </w:rPr>
  </w:style>
  <w:style w:type="character" w:customStyle="1" w:styleId="Char6">
    <w:name w:val="Κείμενο υποσημείωσης Char"/>
    <w:basedOn w:val="a0"/>
    <w:link w:val="af0"/>
    <w:uiPriority w:val="99"/>
    <w:rsid w:val="00DB556D"/>
    <w:rPr>
      <w:rFonts w:eastAsiaTheme="minorEastAsia"/>
      <w:sz w:val="20"/>
      <w:szCs w:val="20"/>
      <w:lang w:eastAsia="el-GR"/>
    </w:rPr>
  </w:style>
  <w:style w:type="character" w:styleId="af1">
    <w:name w:val="footnote reference"/>
    <w:basedOn w:val="a0"/>
    <w:uiPriority w:val="99"/>
    <w:semiHidden/>
    <w:unhideWhenUsed/>
    <w:rsid w:val="00DB556D"/>
    <w:rPr>
      <w:vertAlign w:val="superscript"/>
    </w:rPr>
  </w:style>
  <w:style w:type="paragraph" w:styleId="af2">
    <w:name w:val="No Spacing"/>
    <w:link w:val="Char7"/>
    <w:uiPriority w:val="1"/>
    <w:qFormat/>
    <w:rsid w:val="00271936"/>
    <w:pPr>
      <w:spacing w:after="0" w:line="240" w:lineRule="auto"/>
    </w:pPr>
    <w:rPr>
      <w:rFonts w:eastAsiaTheme="minorEastAsia"/>
    </w:rPr>
  </w:style>
  <w:style w:type="character" w:customStyle="1" w:styleId="Char7">
    <w:name w:val="Χωρίς διάστιχο Char"/>
    <w:basedOn w:val="a0"/>
    <w:link w:val="af2"/>
    <w:uiPriority w:val="1"/>
    <w:rsid w:val="00271936"/>
    <w:rPr>
      <w:rFonts w:eastAsiaTheme="minorEastAsia"/>
    </w:rPr>
  </w:style>
  <w:style w:type="paragraph" w:styleId="31">
    <w:name w:val="toc 3"/>
    <w:basedOn w:val="a"/>
    <w:next w:val="a"/>
    <w:autoRedefine/>
    <w:uiPriority w:val="39"/>
    <w:unhideWhenUsed/>
    <w:rsid w:val="00A05687"/>
    <w:pPr>
      <w:spacing w:after="100"/>
      <w:ind w:left="440"/>
    </w:pPr>
  </w:style>
  <w:style w:type="character" w:styleId="af3">
    <w:name w:val="Strong"/>
    <w:qFormat/>
    <w:rsid w:val="00D06F6C"/>
    <w:rPr>
      <w:b/>
      <w:bCs/>
    </w:rPr>
  </w:style>
  <w:style w:type="paragraph" w:styleId="Web">
    <w:name w:val="Normal (Web)"/>
    <w:basedOn w:val="a"/>
    <w:unhideWhenUsed/>
    <w:rsid w:val="00CF38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chnZchn">
    <w:name w:val="Zchn Zchn"/>
    <w:basedOn w:val="a"/>
    <w:rsid w:val="00CF389F"/>
    <w:pPr>
      <w:widowControl w:val="0"/>
      <w:adjustRightInd w:val="0"/>
      <w:spacing w:after="160" w:line="240" w:lineRule="exact"/>
    </w:pPr>
    <w:rPr>
      <w:rFonts w:ascii="Tahoma" w:eastAsia="SimSun" w:hAnsi="Tahoma" w:cs="Times New Roman"/>
      <w:sz w:val="20"/>
      <w:szCs w:val="20"/>
      <w:lang w:val="en-US" w:eastAsia="en-US"/>
    </w:rPr>
  </w:style>
  <w:style w:type="character" w:customStyle="1" w:styleId="acopre">
    <w:name w:val="acopre"/>
    <w:basedOn w:val="a0"/>
    <w:rsid w:val="00CF389F"/>
  </w:style>
  <w:style w:type="character" w:styleId="af4">
    <w:name w:val="Emphasis"/>
    <w:basedOn w:val="a0"/>
    <w:uiPriority w:val="20"/>
    <w:qFormat/>
    <w:rsid w:val="00CF389F"/>
    <w:rPr>
      <w:i/>
      <w:iCs/>
    </w:rPr>
  </w:style>
  <w:style w:type="character" w:customStyle="1" w:styleId="viiyi">
    <w:name w:val="viiyi"/>
    <w:basedOn w:val="a0"/>
    <w:rsid w:val="00CF389F"/>
  </w:style>
  <w:style w:type="character" w:customStyle="1" w:styleId="jlqj4b">
    <w:name w:val="jlqj4b"/>
    <w:basedOn w:val="a0"/>
    <w:rsid w:val="00CF389F"/>
  </w:style>
  <w:style w:type="character" w:customStyle="1" w:styleId="leftside">
    <w:name w:val="left_side"/>
    <w:basedOn w:val="a0"/>
    <w:rsid w:val="00CF389F"/>
  </w:style>
</w:styles>
</file>

<file path=word/webSettings.xml><?xml version="1.0" encoding="utf-8"?>
<w:webSettings xmlns:r="http://schemas.openxmlformats.org/officeDocument/2006/relationships" xmlns:w="http://schemas.openxmlformats.org/wordprocessingml/2006/main">
  <w:divs>
    <w:div w:id="14618813">
      <w:bodyDiv w:val="1"/>
      <w:marLeft w:val="0"/>
      <w:marRight w:val="0"/>
      <w:marTop w:val="0"/>
      <w:marBottom w:val="0"/>
      <w:divBdr>
        <w:top w:val="none" w:sz="0" w:space="0" w:color="auto"/>
        <w:left w:val="none" w:sz="0" w:space="0" w:color="auto"/>
        <w:bottom w:val="none" w:sz="0" w:space="0" w:color="auto"/>
        <w:right w:val="none" w:sz="0" w:space="0" w:color="auto"/>
      </w:divBdr>
    </w:div>
    <w:div w:id="18550058">
      <w:bodyDiv w:val="1"/>
      <w:marLeft w:val="0"/>
      <w:marRight w:val="0"/>
      <w:marTop w:val="0"/>
      <w:marBottom w:val="0"/>
      <w:divBdr>
        <w:top w:val="none" w:sz="0" w:space="0" w:color="auto"/>
        <w:left w:val="none" w:sz="0" w:space="0" w:color="auto"/>
        <w:bottom w:val="none" w:sz="0" w:space="0" w:color="auto"/>
        <w:right w:val="none" w:sz="0" w:space="0" w:color="auto"/>
      </w:divBdr>
    </w:div>
    <w:div w:id="20015563">
      <w:bodyDiv w:val="1"/>
      <w:marLeft w:val="0"/>
      <w:marRight w:val="0"/>
      <w:marTop w:val="0"/>
      <w:marBottom w:val="0"/>
      <w:divBdr>
        <w:top w:val="none" w:sz="0" w:space="0" w:color="auto"/>
        <w:left w:val="none" w:sz="0" w:space="0" w:color="auto"/>
        <w:bottom w:val="none" w:sz="0" w:space="0" w:color="auto"/>
        <w:right w:val="none" w:sz="0" w:space="0" w:color="auto"/>
      </w:divBdr>
    </w:div>
    <w:div w:id="25721686">
      <w:bodyDiv w:val="1"/>
      <w:marLeft w:val="0"/>
      <w:marRight w:val="0"/>
      <w:marTop w:val="0"/>
      <w:marBottom w:val="0"/>
      <w:divBdr>
        <w:top w:val="none" w:sz="0" w:space="0" w:color="auto"/>
        <w:left w:val="none" w:sz="0" w:space="0" w:color="auto"/>
        <w:bottom w:val="none" w:sz="0" w:space="0" w:color="auto"/>
        <w:right w:val="none" w:sz="0" w:space="0" w:color="auto"/>
      </w:divBdr>
    </w:div>
    <w:div w:id="41909405">
      <w:bodyDiv w:val="1"/>
      <w:marLeft w:val="0"/>
      <w:marRight w:val="0"/>
      <w:marTop w:val="0"/>
      <w:marBottom w:val="0"/>
      <w:divBdr>
        <w:top w:val="none" w:sz="0" w:space="0" w:color="auto"/>
        <w:left w:val="none" w:sz="0" w:space="0" w:color="auto"/>
        <w:bottom w:val="none" w:sz="0" w:space="0" w:color="auto"/>
        <w:right w:val="none" w:sz="0" w:space="0" w:color="auto"/>
      </w:divBdr>
    </w:div>
    <w:div w:id="45226433">
      <w:bodyDiv w:val="1"/>
      <w:marLeft w:val="0"/>
      <w:marRight w:val="0"/>
      <w:marTop w:val="0"/>
      <w:marBottom w:val="0"/>
      <w:divBdr>
        <w:top w:val="none" w:sz="0" w:space="0" w:color="auto"/>
        <w:left w:val="none" w:sz="0" w:space="0" w:color="auto"/>
        <w:bottom w:val="none" w:sz="0" w:space="0" w:color="auto"/>
        <w:right w:val="none" w:sz="0" w:space="0" w:color="auto"/>
      </w:divBdr>
    </w:div>
    <w:div w:id="55016428">
      <w:bodyDiv w:val="1"/>
      <w:marLeft w:val="0"/>
      <w:marRight w:val="0"/>
      <w:marTop w:val="0"/>
      <w:marBottom w:val="0"/>
      <w:divBdr>
        <w:top w:val="none" w:sz="0" w:space="0" w:color="auto"/>
        <w:left w:val="none" w:sz="0" w:space="0" w:color="auto"/>
        <w:bottom w:val="none" w:sz="0" w:space="0" w:color="auto"/>
        <w:right w:val="none" w:sz="0" w:space="0" w:color="auto"/>
      </w:divBdr>
    </w:div>
    <w:div w:id="55518166">
      <w:bodyDiv w:val="1"/>
      <w:marLeft w:val="0"/>
      <w:marRight w:val="0"/>
      <w:marTop w:val="0"/>
      <w:marBottom w:val="0"/>
      <w:divBdr>
        <w:top w:val="none" w:sz="0" w:space="0" w:color="auto"/>
        <w:left w:val="none" w:sz="0" w:space="0" w:color="auto"/>
        <w:bottom w:val="none" w:sz="0" w:space="0" w:color="auto"/>
        <w:right w:val="none" w:sz="0" w:space="0" w:color="auto"/>
      </w:divBdr>
    </w:div>
    <w:div w:id="62070302">
      <w:bodyDiv w:val="1"/>
      <w:marLeft w:val="0"/>
      <w:marRight w:val="0"/>
      <w:marTop w:val="0"/>
      <w:marBottom w:val="0"/>
      <w:divBdr>
        <w:top w:val="none" w:sz="0" w:space="0" w:color="auto"/>
        <w:left w:val="none" w:sz="0" w:space="0" w:color="auto"/>
        <w:bottom w:val="none" w:sz="0" w:space="0" w:color="auto"/>
        <w:right w:val="none" w:sz="0" w:space="0" w:color="auto"/>
      </w:divBdr>
    </w:div>
    <w:div w:id="62797725">
      <w:bodyDiv w:val="1"/>
      <w:marLeft w:val="0"/>
      <w:marRight w:val="0"/>
      <w:marTop w:val="0"/>
      <w:marBottom w:val="0"/>
      <w:divBdr>
        <w:top w:val="none" w:sz="0" w:space="0" w:color="auto"/>
        <w:left w:val="none" w:sz="0" w:space="0" w:color="auto"/>
        <w:bottom w:val="none" w:sz="0" w:space="0" w:color="auto"/>
        <w:right w:val="none" w:sz="0" w:space="0" w:color="auto"/>
      </w:divBdr>
    </w:div>
    <w:div w:id="65498839">
      <w:bodyDiv w:val="1"/>
      <w:marLeft w:val="0"/>
      <w:marRight w:val="0"/>
      <w:marTop w:val="0"/>
      <w:marBottom w:val="0"/>
      <w:divBdr>
        <w:top w:val="none" w:sz="0" w:space="0" w:color="auto"/>
        <w:left w:val="none" w:sz="0" w:space="0" w:color="auto"/>
        <w:bottom w:val="none" w:sz="0" w:space="0" w:color="auto"/>
        <w:right w:val="none" w:sz="0" w:space="0" w:color="auto"/>
      </w:divBdr>
    </w:div>
    <w:div w:id="83381099">
      <w:bodyDiv w:val="1"/>
      <w:marLeft w:val="0"/>
      <w:marRight w:val="0"/>
      <w:marTop w:val="0"/>
      <w:marBottom w:val="0"/>
      <w:divBdr>
        <w:top w:val="none" w:sz="0" w:space="0" w:color="auto"/>
        <w:left w:val="none" w:sz="0" w:space="0" w:color="auto"/>
        <w:bottom w:val="none" w:sz="0" w:space="0" w:color="auto"/>
        <w:right w:val="none" w:sz="0" w:space="0" w:color="auto"/>
      </w:divBdr>
    </w:div>
    <w:div w:id="86966485">
      <w:bodyDiv w:val="1"/>
      <w:marLeft w:val="0"/>
      <w:marRight w:val="0"/>
      <w:marTop w:val="0"/>
      <w:marBottom w:val="0"/>
      <w:divBdr>
        <w:top w:val="none" w:sz="0" w:space="0" w:color="auto"/>
        <w:left w:val="none" w:sz="0" w:space="0" w:color="auto"/>
        <w:bottom w:val="none" w:sz="0" w:space="0" w:color="auto"/>
        <w:right w:val="none" w:sz="0" w:space="0" w:color="auto"/>
      </w:divBdr>
    </w:div>
    <w:div w:id="87310040">
      <w:bodyDiv w:val="1"/>
      <w:marLeft w:val="0"/>
      <w:marRight w:val="0"/>
      <w:marTop w:val="0"/>
      <w:marBottom w:val="0"/>
      <w:divBdr>
        <w:top w:val="none" w:sz="0" w:space="0" w:color="auto"/>
        <w:left w:val="none" w:sz="0" w:space="0" w:color="auto"/>
        <w:bottom w:val="none" w:sz="0" w:space="0" w:color="auto"/>
        <w:right w:val="none" w:sz="0" w:space="0" w:color="auto"/>
      </w:divBdr>
    </w:div>
    <w:div w:id="88820555">
      <w:bodyDiv w:val="1"/>
      <w:marLeft w:val="0"/>
      <w:marRight w:val="0"/>
      <w:marTop w:val="0"/>
      <w:marBottom w:val="0"/>
      <w:divBdr>
        <w:top w:val="none" w:sz="0" w:space="0" w:color="auto"/>
        <w:left w:val="none" w:sz="0" w:space="0" w:color="auto"/>
        <w:bottom w:val="none" w:sz="0" w:space="0" w:color="auto"/>
        <w:right w:val="none" w:sz="0" w:space="0" w:color="auto"/>
      </w:divBdr>
    </w:div>
    <w:div w:id="92668937">
      <w:bodyDiv w:val="1"/>
      <w:marLeft w:val="0"/>
      <w:marRight w:val="0"/>
      <w:marTop w:val="0"/>
      <w:marBottom w:val="0"/>
      <w:divBdr>
        <w:top w:val="none" w:sz="0" w:space="0" w:color="auto"/>
        <w:left w:val="none" w:sz="0" w:space="0" w:color="auto"/>
        <w:bottom w:val="none" w:sz="0" w:space="0" w:color="auto"/>
        <w:right w:val="none" w:sz="0" w:space="0" w:color="auto"/>
      </w:divBdr>
    </w:div>
    <w:div w:id="95449326">
      <w:bodyDiv w:val="1"/>
      <w:marLeft w:val="0"/>
      <w:marRight w:val="0"/>
      <w:marTop w:val="0"/>
      <w:marBottom w:val="0"/>
      <w:divBdr>
        <w:top w:val="none" w:sz="0" w:space="0" w:color="auto"/>
        <w:left w:val="none" w:sz="0" w:space="0" w:color="auto"/>
        <w:bottom w:val="none" w:sz="0" w:space="0" w:color="auto"/>
        <w:right w:val="none" w:sz="0" w:space="0" w:color="auto"/>
      </w:divBdr>
    </w:div>
    <w:div w:id="107894536">
      <w:bodyDiv w:val="1"/>
      <w:marLeft w:val="0"/>
      <w:marRight w:val="0"/>
      <w:marTop w:val="0"/>
      <w:marBottom w:val="0"/>
      <w:divBdr>
        <w:top w:val="none" w:sz="0" w:space="0" w:color="auto"/>
        <w:left w:val="none" w:sz="0" w:space="0" w:color="auto"/>
        <w:bottom w:val="none" w:sz="0" w:space="0" w:color="auto"/>
        <w:right w:val="none" w:sz="0" w:space="0" w:color="auto"/>
      </w:divBdr>
    </w:div>
    <w:div w:id="126511566">
      <w:bodyDiv w:val="1"/>
      <w:marLeft w:val="0"/>
      <w:marRight w:val="0"/>
      <w:marTop w:val="0"/>
      <w:marBottom w:val="0"/>
      <w:divBdr>
        <w:top w:val="none" w:sz="0" w:space="0" w:color="auto"/>
        <w:left w:val="none" w:sz="0" w:space="0" w:color="auto"/>
        <w:bottom w:val="none" w:sz="0" w:space="0" w:color="auto"/>
        <w:right w:val="none" w:sz="0" w:space="0" w:color="auto"/>
      </w:divBdr>
    </w:div>
    <w:div w:id="133446913">
      <w:bodyDiv w:val="1"/>
      <w:marLeft w:val="0"/>
      <w:marRight w:val="0"/>
      <w:marTop w:val="0"/>
      <w:marBottom w:val="0"/>
      <w:divBdr>
        <w:top w:val="none" w:sz="0" w:space="0" w:color="auto"/>
        <w:left w:val="none" w:sz="0" w:space="0" w:color="auto"/>
        <w:bottom w:val="none" w:sz="0" w:space="0" w:color="auto"/>
        <w:right w:val="none" w:sz="0" w:space="0" w:color="auto"/>
      </w:divBdr>
    </w:div>
    <w:div w:id="144788039">
      <w:bodyDiv w:val="1"/>
      <w:marLeft w:val="0"/>
      <w:marRight w:val="0"/>
      <w:marTop w:val="0"/>
      <w:marBottom w:val="0"/>
      <w:divBdr>
        <w:top w:val="none" w:sz="0" w:space="0" w:color="auto"/>
        <w:left w:val="none" w:sz="0" w:space="0" w:color="auto"/>
        <w:bottom w:val="none" w:sz="0" w:space="0" w:color="auto"/>
        <w:right w:val="none" w:sz="0" w:space="0" w:color="auto"/>
      </w:divBdr>
    </w:div>
    <w:div w:id="154731907">
      <w:bodyDiv w:val="1"/>
      <w:marLeft w:val="0"/>
      <w:marRight w:val="0"/>
      <w:marTop w:val="0"/>
      <w:marBottom w:val="0"/>
      <w:divBdr>
        <w:top w:val="none" w:sz="0" w:space="0" w:color="auto"/>
        <w:left w:val="none" w:sz="0" w:space="0" w:color="auto"/>
        <w:bottom w:val="none" w:sz="0" w:space="0" w:color="auto"/>
        <w:right w:val="none" w:sz="0" w:space="0" w:color="auto"/>
      </w:divBdr>
    </w:div>
    <w:div w:id="159078780">
      <w:bodyDiv w:val="1"/>
      <w:marLeft w:val="0"/>
      <w:marRight w:val="0"/>
      <w:marTop w:val="0"/>
      <w:marBottom w:val="0"/>
      <w:divBdr>
        <w:top w:val="none" w:sz="0" w:space="0" w:color="auto"/>
        <w:left w:val="none" w:sz="0" w:space="0" w:color="auto"/>
        <w:bottom w:val="none" w:sz="0" w:space="0" w:color="auto"/>
        <w:right w:val="none" w:sz="0" w:space="0" w:color="auto"/>
      </w:divBdr>
    </w:div>
    <w:div w:id="162015750">
      <w:bodyDiv w:val="1"/>
      <w:marLeft w:val="0"/>
      <w:marRight w:val="0"/>
      <w:marTop w:val="0"/>
      <w:marBottom w:val="0"/>
      <w:divBdr>
        <w:top w:val="none" w:sz="0" w:space="0" w:color="auto"/>
        <w:left w:val="none" w:sz="0" w:space="0" w:color="auto"/>
        <w:bottom w:val="none" w:sz="0" w:space="0" w:color="auto"/>
        <w:right w:val="none" w:sz="0" w:space="0" w:color="auto"/>
      </w:divBdr>
    </w:div>
    <w:div w:id="170604479">
      <w:bodyDiv w:val="1"/>
      <w:marLeft w:val="0"/>
      <w:marRight w:val="0"/>
      <w:marTop w:val="0"/>
      <w:marBottom w:val="0"/>
      <w:divBdr>
        <w:top w:val="none" w:sz="0" w:space="0" w:color="auto"/>
        <w:left w:val="none" w:sz="0" w:space="0" w:color="auto"/>
        <w:bottom w:val="none" w:sz="0" w:space="0" w:color="auto"/>
        <w:right w:val="none" w:sz="0" w:space="0" w:color="auto"/>
      </w:divBdr>
    </w:div>
    <w:div w:id="170991891">
      <w:bodyDiv w:val="1"/>
      <w:marLeft w:val="0"/>
      <w:marRight w:val="0"/>
      <w:marTop w:val="0"/>
      <w:marBottom w:val="0"/>
      <w:divBdr>
        <w:top w:val="none" w:sz="0" w:space="0" w:color="auto"/>
        <w:left w:val="none" w:sz="0" w:space="0" w:color="auto"/>
        <w:bottom w:val="none" w:sz="0" w:space="0" w:color="auto"/>
        <w:right w:val="none" w:sz="0" w:space="0" w:color="auto"/>
      </w:divBdr>
    </w:div>
    <w:div w:id="179510193">
      <w:bodyDiv w:val="1"/>
      <w:marLeft w:val="0"/>
      <w:marRight w:val="0"/>
      <w:marTop w:val="0"/>
      <w:marBottom w:val="0"/>
      <w:divBdr>
        <w:top w:val="none" w:sz="0" w:space="0" w:color="auto"/>
        <w:left w:val="none" w:sz="0" w:space="0" w:color="auto"/>
        <w:bottom w:val="none" w:sz="0" w:space="0" w:color="auto"/>
        <w:right w:val="none" w:sz="0" w:space="0" w:color="auto"/>
      </w:divBdr>
    </w:div>
    <w:div w:id="182935641">
      <w:bodyDiv w:val="1"/>
      <w:marLeft w:val="0"/>
      <w:marRight w:val="0"/>
      <w:marTop w:val="0"/>
      <w:marBottom w:val="0"/>
      <w:divBdr>
        <w:top w:val="none" w:sz="0" w:space="0" w:color="auto"/>
        <w:left w:val="none" w:sz="0" w:space="0" w:color="auto"/>
        <w:bottom w:val="none" w:sz="0" w:space="0" w:color="auto"/>
        <w:right w:val="none" w:sz="0" w:space="0" w:color="auto"/>
      </w:divBdr>
    </w:div>
    <w:div w:id="185405858">
      <w:bodyDiv w:val="1"/>
      <w:marLeft w:val="0"/>
      <w:marRight w:val="0"/>
      <w:marTop w:val="0"/>
      <w:marBottom w:val="0"/>
      <w:divBdr>
        <w:top w:val="none" w:sz="0" w:space="0" w:color="auto"/>
        <w:left w:val="none" w:sz="0" w:space="0" w:color="auto"/>
        <w:bottom w:val="none" w:sz="0" w:space="0" w:color="auto"/>
        <w:right w:val="none" w:sz="0" w:space="0" w:color="auto"/>
      </w:divBdr>
    </w:div>
    <w:div w:id="189342190">
      <w:bodyDiv w:val="1"/>
      <w:marLeft w:val="0"/>
      <w:marRight w:val="0"/>
      <w:marTop w:val="0"/>
      <w:marBottom w:val="0"/>
      <w:divBdr>
        <w:top w:val="none" w:sz="0" w:space="0" w:color="auto"/>
        <w:left w:val="none" w:sz="0" w:space="0" w:color="auto"/>
        <w:bottom w:val="none" w:sz="0" w:space="0" w:color="auto"/>
        <w:right w:val="none" w:sz="0" w:space="0" w:color="auto"/>
      </w:divBdr>
    </w:div>
    <w:div w:id="211504938">
      <w:bodyDiv w:val="1"/>
      <w:marLeft w:val="0"/>
      <w:marRight w:val="0"/>
      <w:marTop w:val="0"/>
      <w:marBottom w:val="0"/>
      <w:divBdr>
        <w:top w:val="none" w:sz="0" w:space="0" w:color="auto"/>
        <w:left w:val="none" w:sz="0" w:space="0" w:color="auto"/>
        <w:bottom w:val="none" w:sz="0" w:space="0" w:color="auto"/>
        <w:right w:val="none" w:sz="0" w:space="0" w:color="auto"/>
      </w:divBdr>
    </w:div>
    <w:div w:id="213272102">
      <w:bodyDiv w:val="1"/>
      <w:marLeft w:val="0"/>
      <w:marRight w:val="0"/>
      <w:marTop w:val="0"/>
      <w:marBottom w:val="0"/>
      <w:divBdr>
        <w:top w:val="none" w:sz="0" w:space="0" w:color="auto"/>
        <w:left w:val="none" w:sz="0" w:space="0" w:color="auto"/>
        <w:bottom w:val="none" w:sz="0" w:space="0" w:color="auto"/>
        <w:right w:val="none" w:sz="0" w:space="0" w:color="auto"/>
      </w:divBdr>
    </w:div>
    <w:div w:id="218134483">
      <w:bodyDiv w:val="1"/>
      <w:marLeft w:val="0"/>
      <w:marRight w:val="0"/>
      <w:marTop w:val="0"/>
      <w:marBottom w:val="0"/>
      <w:divBdr>
        <w:top w:val="none" w:sz="0" w:space="0" w:color="auto"/>
        <w:left w:val="none" w:sz="0" w:space="0" w:color="auto"/>
        <w:bottom w:val="none" w:sz="0" w:space="0" w:color="auto"/>
        <w:right w:val="none" w:sz="0" w:space="0" w:color="auto"/>
      </w:divBdr>
    </w:div>
    <w:div w:id="229275552">
      <w:bodyDiv w:val="1"/>
      <w:marLeft w:val="0"/>
      <w:marRight w:val="0"/>
      <w:marTop w:val="0"/>
      <w:marBottom w:val="0"/>
      <w:divBdr>
        <w:top w:val="none" w:sz="0" w:space="0" w:color="auto"/>
        <w:left w:val="none" w:sz="0" w:space="0" w:color="auto"/>
        <w:bottom w:val="none" w:sz="0" w:space="0" w:color="auto"/>
        <w:right w:val="none" w:sz="0" w:space="0" w:color="auto"/>
      </w:divBdr>
    </w:div>
    <w:div w:id="231161273">
      <w:bodyDiv w:val="1"/>
      <w:marLeft w:val="0"/>
      <w:marRight w:val="0"/>
      <w:marTop w:val="0"/>
      <w:marBottom w:val="0"/>
      <w:divBdr>
        <w:top w:val="none" w:sz="0" w:space="0" w:color="auto"/>
        <w:left w:val="none" w:sz="0" w:space="0" w:color="auto"/>
        <w:bottom w:val="none" w:sz="0" w:space="0" w:color="auto"/>
        <w:right w:val="none" w:sz="0" w:space="0" w:color="auto"/>
      </w:divBdr>
    </w:div>
    <w:div w:id="244925072">
      <w:bodyDiv w:val="1"/>
      <w:marLeft w:val="0"/>
      <w:marRight w:val="0"/>
      <w:marTop w:val="0"/>
      <w:marBottom w:val="0"/>
      <w:divBdr>
        <w:top w:val="none" w:sz="0" w:space="0" w:color="auto"/>
        <w:left w:val="none" w:sz="0" w:space="0" w:color="auto"/>
        <w:bottom w:val="none" w:sz="0" w:space="0" w:color="auto"/>
        <w:right w:val="none" w:sz="0" w:space="0" w:color="auto"/>
      </w:divBdr>
    </w:div>
    <w:div w:id="252125987">
      <w:bodyDiv w:val="1"/>
      <w:marLeft w:val="0"/>
      <w:marRight w:val="0"/>
      <w:marTop w:val="0"/>
      <w:marBottom w:val="0"/>
      <w:divBdr>
        <w:top w:val="none" w:sz="0" w:space="0" w:color="auto"/>
        <w:left w:val="none" w:sz="0" w:space="0" w:color="auto"/>
        <w:bottom w:val="none" w:sz="0" w:space="0" w:color="auto"/>
        <w:right w:val="none" w:sz="0" w:space="0" w:color="auto"/>
      </w:divBdr>
    </w:div>
    <w:div w:id="254828373">
      <w:bodyDiv w:val="1"/>
      <w:marLeft w:val="0"/>
      <w:marRight w:val="0"/>
      <w:marTop w:val="0"/>
      <w:marBottom w:val="0"/>
      <w:divBdr>
        <w:top w:val="none" w:sz="0" w:space="0" w:color="auto"/>
        <w:left w:val="none" w:sz="0" w:space="0" w:color="auto"/>
        <w:bottom w:val="none" w:sz="0" w:space="0" w:color="auto"/>
        <w:right w:val="none" w:sz="0" w:space="0" w:color="auto"/>
      </w:divBdr>
    </w:div>
    <w:div w:id="255216817">
      <w:bodyDiv w:val="1"/>
      <w:marLeft w:val="0"/>
      <w:marRight w:val="0"/>
      <w:marTop w:val="0"/>
      <w:marBottom w:val="0"/>
      <w:divBdr>
        <w:top w:val="none" w:sz="0" w:space="0" w:color="auto"/>
        <w:left w:val="none" w:sz="0" w:space="0" w:color="auto"/>
        <w:bottom w:val="none" w:sz="0" w:space="0" w:color="auto"/>
        <w:right w:val="none" w:sz="0" w:space="0" w:color="auto"/>
      </w:divBdr>
    </w:div>
    <w:div w:id="255329316">
      <w:bodyDiv w:val="1"/>
      <w:marLeft w:val="0"/>
      <w:marRight w:val="0"/>
      <w:marTop w:val="0"/>
      <w:marBottom w:val="0"/>
      <w:divBdr>
        <w:top w:val="none" w:sz="0" w:space="0" w:color="auto"/>
        <w:left w:val="none" w:sz="0" w:space="0" w:color="auto"/>
        <w:bottom w:val="none" w:sz="0" w:space="0" w:color="auto"/>
        <w:right w:val="none" w:sz="0" w:space="0" w:color="auto"/>
      </w:divBdr>
    </w:div>
    <w:div w:id="256912815">
      <w:bodyDiv w:val="1"/>
      <w:marLeft w:val="0"/>
      <w:marRight w:val="0"/>
      <w:marTop w:val="0"/>
      <w:marBottom w:val="0"/>
      <w:divBdr>
        <w:top w:val="none" w:sz="0" w:space="0" w:color="auto"/>
        <w:left w:val="none" w:sz="0" w:space="0" w:color="auto"/>
        <w:bottom w:val="none" w:sz="0" w:space="0" w:color="auto"/>
        <w:right w:val="none" w:sz="0" w:space="0" w:color="auto"/>
      </w:divBdr>
    </w:div>
    <w:div w:id="287245096">
      <w:bodyDiv w:val="1"/>
      <w:marLeft w:val="0"/>
      <w:marRight w:val="0"/>
      <w:marTop w:val="0"/>
      <w:marBottom w:val="0"/>
      <w:divBdr>
        <w:top w:val="none" w:sz="0" w:space="0" w:color="auto"/>
        <w:left w:val="none" w:sz="0" w:space="0" w:color="auto"/>
        <w:bottom w:val="none" w:sz="0" w:space="0" w:color="auto"/>
        <w:right w:val="none" w:sz="0" w:space="0" w:color="auto"/>
      </w:divBdr>
    </w:div>
    <w:div w:id="294264220">
      <w:bodyDiv w:val="1"/>
      <w:marLeft w:val="0"/>
      <w:marRight w:val="0"/>
      <w:marTop w:val="0"/>
      <w:marBottom w:val="0"/>
      <w:divBdr>
        <w:top w:val="none" w:sz="0" w:space="0" w:color="auto"/>
        <w:left w:val="none" w:sz="0" w:space="0" w:color="auto"/>
        <w:bottom w:val="none" w:sz="0" w:space="0" w:color="auto"/>
        <w:right w:val="none" w:sz="0" w:space="0" w:color="auto"/>
      </w:divBdr>
    </w:div>
    <w:div w:id="299385607">
      <w:bodyDiv w:val="1"/>
      <w:marLeft w:val="0"/>
      <w:marRight w:val="0"/>
      <w:marTop w:val="0"/>
      <w:marBottom w:val="0"/>
      <w:divBdr>
        <w:top w:val="none" w:sz="0" w:space="0" w:color="auto"/>
        <w:left w:val="none" w:sz="0" w:space="0" w:color="auto"/>
        <w:bottom w:val="none" w:sz="0" w:space="0" w:color="auto"/>
        <w:right w:val="none" w:sz="0" w:space="0" w:color="auto"/>
      </w:divBdr>
    </w:div>
    <w:div w:id="304048978">
      <w:bodyDiv w:val="1"/>
      <w:marLeft w:val="0"/>
      <w:marRight w:val="0"/>
      <w:marTop w:val="0"/>
      <w:marBottom w:val="0"/>
      <w:divBdr>
        <w:top w:val="none" w:sz="0" w:space="0" w:color="auto"/>
        <w:left w:val="none" w:sz="0" w:space="0" w:color="auto"/>
        <w:bottom w:val="none" w:sz="0" w:space="0" w:color="auto"/>
        <w:right w:val="none" w:sz="0" w:space="0" w:color="auto"/>
      </w:divBdr>
    </w:div>
    <w:div w:id="311444780">
      <w:bodyDiv w:val="1"/>
      <w:marLeft w:val="0"/>
      <w:marRight w:val="0"/>
      <w:marTop w:val="0"/>
      <w:marBottom w:val="0"/>
      <w:divBdr>
        <w:top w:val="none" w:sz="0" w:space="0" w:color="auto"/>
        <w:left w:val="none" w:sz="0" w:space="0" w:color="auto"/>
        <w:bottom w:val="none" w:sz="0" w:space="0" w:color="auto"/>
        <w:right w:val="none" w:sz="0" w:space="0" w:color="auto"/>
      </w:divBdr>
    </w:div>
    <w:div w:id="313876913">
      <w:bodyDiv w:val="1"/>
      <w:marLeft w:val="0"/>
      <w:marRight w:val="0"/>
      <w:marTop w:val="0"/>
      <w:marBottom w:val="0"/>
      <w:divBdr>
        <w:top w:val="none" w:sz="0" w:space="0" w:color="auto"/>
        <w:left w:val="none" w:sz="0" w:space="0" w:color="auto"/>
        <w:bottom w:val="none" w:sz="0" w:space="0" w:color="auto"/>
        <w:right w:val="none" w:sz="0" w:space="0" w:color="auto"/>
      </w:divBdr>
    </w:div>
    <w:div w:id="319846198">
      <w:bodyDiv w:val="1"/>
      <w:marLeft w:val="0"/>
      <w:marRight w:val="0"/>
      <w:marTop w:val="0"/>
      <w:marBottom w:val="0"/>
      <w:divBdr>
        <w:top w:val="none" w:sz="0" w:space="0" w:color="auto"/>
        <w:left w:val="none" w:sz="0" w:space="0" w:color="auto"/>
        <w:bottom w:val="none" w:sz="0" w:space="0" w:color="auto"/>
        <w:right w:val="none" w:sz="0" w:space="0" w:color="auto"/>
      </w:divBdr>
    </w:div>
    <w:div w:id="322634301">
      <w:bodyDiv w:val="1"/>
      <w:marLeft w:val="0"/>
      <w:marRight w:val="0"/>
      <w:marTop w:val="0"/>
      <w:marBottom w:val="0"/>
      <w:divBdr>
        <w:top w:val="none" w:sz="0" w:space="0" w:color="auto"/>
        <w:left w:val="none" w:sz="0" w:space="0" w:color="auto"/>
        <w:bottom w:val="none" w:sz="0" w:space="0" w:color="auto"/>
        <w:right w:val="none" w:sz="0" w:space="0" w:color="auto"/>
      </w:divBdr>
    </w:div>
    <w:div w:id="349138007">
      <w:bodyDiv w:val="1"/>
      <w:marLeft w:val="0"/>
      <w:marRight w:val="0"/>
      <w:marTop w:val="0"/>
      <w:marBottom w:val="0"/>
      <w:divBdr>
        <w:top w:val="none" w:sz="0" w:space="0" w:color="auto"/>
        <w:left w:val="none" w:sz="0" w:space="0" w:color="auto"/>
        <w:bottom w:val="none" w:sz="0" w:space="0" w:color="auto"/>
        <w:right w:val="none" w:sz="0" w:space="0" w:color="auto"/>
      </w:divBdr>
    </w:div>
    <w:div w:id="355352278">
      <w:bodyDiv w:val="1"/>
      <w:marLeft w:val="0"/>
      <w:marRight w:val="0"/>
      <w:marTop w:val="0"/>
      <w:marBottom w:val="0"/>
      <w:divBdr>
        <w:top w:val="none" w:sz="0" w:space="0" w:color="auto"/>
        <w:left w:val="none" w:sz="0" w:space="0" w:color="auto"/>
        <w:bottom w:val="none" w:sz="0" w:space="0" w:color="auto"/>
        <w:right w:val="none" w:sz="0" w:space="0" w:color="auto"/>
      </w:divBdr>
    </w:div>
    <w:div w:id="360127510">
      <w:bodyDiv w:val="1"/>
      <w:marLeft w:val="0"/>
      <w:marRight w:val="0"/>
      <w:marTop w:val="0"/>
      <w:marBottom w:val="0"/>
      <w:divBdr>
        <w:top w:val="none" w:sz="0" w:space="0" w:color="auto"/>
        <w:left w:val="none" w:sz="0" w:space="0" w:color="auto"/>
        <w:bottom w:val="none" w:sz="0" w:space="0" w:color="auto"/>
        <w:right w:val="none" w:sz="0" w:space="0" w:color="auto"/>
      </w:divBdr>
    </w:div>
    <w:div w:id="362287794">
      <w:bodyDiv w:val="1"/>
      <w:marLeft w:val="0"/>
      <w:marRight w:val="0"/>
      <w:marTop w:val="0"/>
      <w:marBottom w:val="0"/>
      <w:divBdr>
        <w:top w:val="none" w:sz="0" w:space="0" w:color="auto"/>
        <w:left w:val="none" w:sz="0" w:space="0" w:color="auto"/>
        <w:bottom w:val="none" w:sz="0" w:space="0" w:color="auto"/>
        <w:right w:val="none" w:sz="0" w:space="0" w:color="auto"/>
      </w:divBdr>
    </w:div>
    <w:div w:id="363141612">
      <w:bodyDiv w:val="1"/>
      <w:marLeft w:val="0"/>
      <w:marRight w:val="0"/>
      <w:marTop w:val="0"/>
      <w:marBottom w:val="0"/>
      <w:divBdr>
        <w:top w:val="none" w:sz="0" w:space="0" w:color="auto"/>
        <w:left w:val="none" w:sz="0" w:space="0" w:color="auto"/>
        <w:bottom w:val="none" w:sz="0" w:space="0" w:color="auto"/>
        <w:right w:val="none" w:sz="0" w:space="0" w:color="auto"/>
      </w:divBdr>
    </w:div>
    <w:div w:id="363748439">
      <w:bodyDiv w:val="1"/>
      <w:marLeft w:val="0"/>
      <w:marRight w:val="0"/>
      <w:marTop w:val="0"/>
      <w:marBottom w:val="0"/>
      <w:divBdr>
        <w:top w:val="none" w:sz="0" w:space="0" w:color="auto"/>
        <w:left w:val="none" w:sz="0" w:space="0" w:color="auto"/>
        <w:bottom w:val="none" w:sz="0" w:space="0" w:color="auto"/>
        <w:right w:val="none" w:sz="0" w:space="0" w:color="auto"/>
      </w:divBdr>
    </w:div>
    <w:div w:id="369646749">
      <w:bodyDiv w:val="1"/>
      <w:marLeft w:val="0"/>
      <w:marRight w:val="0"/>
      <w:marTop w:val="0"/>
      <w:marBottom w:val="0"/>
      <w:divBdr>
        <w:top w:val="none" w:sz="0" w:space="0" w:color="auto"/>
        <w:left w:val="none" w:sz="0" w:space="0" w:color="auto"/>
        <w:bottom w:val="none" w:sz="0" w:space="0" w:color="auto"/>
        <w:right w:val="none" w:sz="0" w:space="0" w:color="auto"/>
      </w:divBdr>
    </w:div>
    <w:div w:id="375931492">
      <w:bodyDiv w:val="1"/>
      <w:marLeft w:val="0"/>
      <w:marRight w:val="0"/>
      <w:marTop w:val="0"/>
      <w:marBottom w:val="0"/>
      <w:divBdr>
        <w:top w:val="none" w:sz="0" w:space="0" w:color="auto"/>
        <w:left w:val="none" w:sz="0" w:space="0" w:color="auto"/>
        <w:bottom w:val="none" w:sz="0" w:space="0" w:color="auto"/>
        <w:right w:val="none" w:sz="0" w:space="0" w:color="auto"/>
      </w:divBdr>
    </w:div>
    <w:div w:id="380324187">
      <w:bodyDiv w:val="1"/>
      <w:marLeft w:val="0"/>
      <w:marRight w:val="0"/>
      <w:marTop w:val="0"/>
      <w:marBottom w:val="0"/>
      <w:divBdr>
        <w:top w:val="none" w:sz="0" w:space="0" w:color="auto"/>
        <w:left w:val="none" w:sz="0" w:space="0" w:color="auto"/>
        <w:bottom w:val="none" w:sz="0" w:space="0" w:color="auto"/>
        <w:right w:val="none" w:sz="0" w:space="0" w:color="auto"/>
      </w:divBdr>
    </w:div>
    <w:div w:id="380859859">
      <w:bodyDiv w:val="1"/>
      <w:marLeft w:val="0"/>
      <w:marRight w:val="0"/>
      <w:marTop w:val="0"/>
      <w:marBottom w:val="0"/>
      <w:divBdr>
        <w:top w:val="none" w:sz="0" w:space="0" w:color="auto"/>
        <w:left w:val="none" w:sz="0" w:space="0" w:color="auto"/>
        <w:bottom w:val="none" w:sz="0" w:space="0" w:color="auto"/>
        <w:right w:val="none" w:sz="0" w:space="0" w:color="auto"/>
      </w:divBdr>
    </w:div>
    <w:div w:id="384568620">
      <w:bodyDiv w:val="1"/>
      <w:marLeft w:val="0"/>
      <w:marRight w:val="0"/>
      <w:marTop w:val="0"/>
      <w:marBottom w:val="0"/>
      <w:divBdr>
        <w:top w:val="none" w:sz="0" w:space="0" w:color="auto"/>
        <w:left w:val="none" w:sz="0" w:space="0" w:color="auto"/>
        <w:bottom w:val="none" w:sz="0" w:space="0" w:color="auto"/>
        <w:right w:val="none" w:sz="0" w:space="0" w:color="auto"/>
      </w:divBdr>
    </w:div>
    <w:div w:id="388965574">
      <w:bodyDiv w:val="1"/>
      <w:marLeft w:val="0"/>
      <w:marRight w:val="0"/>
      <w:marTop w:val="0"/>
      <w:marBottom w:val="0"/>
      <w:divBdr>
        <w:top w:val="none" w:sz="0" w:space="0" w:color="auto"/>
        <w:left w:val="none" w:sz="0" w:space="0" w:color="auto"/>
        <w:bottom w:val="none" w:sz="0" w:space="0" w:color="auto"/>
        <w:right w:val="none" w:sz="0" w:space="0" w:color="auto"/>
      </w:divBdr>
    </w:div>
    <w:div w:id="395980162">
      <w:bodyDiv w:val="1"/>
      <w:marLeft w:val="0"/>
      <w:marRight w:val="0"/>
      <w:marTop w:val="0"/>
      <w:marBottom w:val="0"/>
      <w:divBdr>
        <w:top w:val="none" w:sz="0" w:space="0" w:color="auto"/>
        <w:left w:val="none" w:sz="0" w:space="0" w:color="auto"/>
        <w:bottom w:val="none" w:sz="0" w:space="0" w:color="auto"/>
        <w:right w:val="none" w:sz="0" w:space="0" w:color="auto"/>
      </w:divBdr>
    </w:div>
    <w:div w:id="402988000">
      <w:bodyDiv w:val="1"/>
      <w:marLeft w:val="0"/>
      <w:marRight w:val="0"/>
      <w:marTop w:val="0"/>
      <w:marBottom w:val="0"/>
      <w:divBdr>
        <w:top w:val="none" w:sz="0" w:space="0" w:color="auto"/>
        <w:left w:val="none" w:sz="0" w:space="0" w:color="auto"/>
        <w:bottom w:val="none" w:sz="0" w:space="0" w:color="auto"/>
        <w:right w:val="none" w:sz="0" w:space="0" w:color="auto"/>
      </w:divBdr>
    </w:div>
    <w:div w:id="409160681">
      <w:bodyDiv w:val="1"/>
      <w:marLeft w:val="0"/>
      <w:marRight w:val="0"/>
      <w:marTop w:val="0"/>
      <w:marBottom w:val="0"/>
      <w:divBdr>
        <w:top w:val="none" w:sz="0" w:space="0" w:color="auto"/>
        <w:left w:val="none" w:sz="0" w:space="0" w:color="auto"/>
        <w:bottom w:val="none" w:sz="0" w:space="0" w:color="auto"/>
        <w:right w:val="none" w:sz="0" w:space="0" w:color="auto"/>
      </w:divBdr>
    </w:div>
    <w:div w:id="411973877">
      <w:bodyDiv w:val="1"/>
      <w:marLeft w:val="0"/>
      <w:marRight w:val="0"/>
      <w:marTop w:val="0"/>
      <w:marBottom w:val="0"/>
      <w:divBdr>
        <w:top w:val="none" w:sz="0" w:space="0" w:color="auto"/>
        <w:left w:val="none" w:sz="0" w:space="0" w:color="auto"/>
        <w:bottom w:val="none" w:sz="0" w:space="0" w:color="auto"/>
        <w:right w:val="none" w:sz="0" w:space="0" w:color="auto"/>
      </w:divBdr>
    </w:div>
    <w:div w:id="413012860">
      <w:bodyDiv w:val="1"/>
      <w:marLeft w:val="0"/>
      <w:marRight w:val="0"/>
      <w:marTop w:val="0"/>
      <w:marBottom w:val="0"/>
      <w:divBdr>
        <w:top w:val="none" w:sz="0" w:space="0" w:color="auto"/>
        <w:left w:val="none" w:sz="0" w:space="0" w:color="auto"/>
        <w:bottom w:val="none" w:sz="0" w:space="0" w:color="auto"/>
        <w:right w:val="none" w:sz="0" w:space="0" w:color="auto"/>
      </w:divBdr>
    </w:div>
    <w:div w:id="418019082">
      <w:bodyDiv w:val="1"/>
      <w:marLeft w:val="0"/>
      <w:marRight w:val="0"/>
      <w:marTop w:val="0"/>
      <w:marBottom w:val="0"/>
      <w:divBdr>
        <w:top w:val="none" w:sz="0" w:space="0" w:color="auto"/>
        <w:left w:val="none" w:sz="0" w:space="0" w:color="auto"/>
        <w:bottom w:val="none" w:sz="0" w:space="0" w:color="auto"/>
        <w:right w:val="none" w:sz="0" w:space="0" w:color="auto"/>
      </w:divBdr>
    </w:div>
    <w:div w:id="425154948">
      <w:bodyDiv w:val="1"/>
      <w:marLeft w:val="0"/>
      <w:marRight w:val="0"/>
      <w:marTop w:val="0"/>
      <w:marBottom w:val="0"/>
      <w:divBdr>
        <w:top w:val="none" w:sz="0" w:space="0" w:color="auto"/>
        <w:left w:val="none" w:sz="0" w:space="0" w:color="auto"/>
        <w:bottom w:val="none" w:sz="0" w:space="0" w:color="auto"/>
        <w:right w:val="none" w:sz="0" w:space="0" w:color="auto"/>
      </w:divBdr>
    </w:div>
    <w:div w:id="438263366">
      <w:bodyDiv w:val="1"/>
      <w:marLeft w:val="0"/>
      <w:marRight w:val="0"/>
      <w:marTop w:val="0"/>
      <w:marBottom w:val="0"/>
      <w:divBdr>
        <w:top w:val="none" w:sz="0" w:space="0" w:color="auto"/>
        <w:left w:val="none" w:sz="0" w:space="0" w:color="auto"/>
        <w:bottom w:val="none" w:sz="0" w:space="0" w:color="auto"/>
        <w:right w:val="none" w:sz="0" w:space="0" w:color="auto"/>
      </w:divBdr>
    </w:div>
    <w:div w:id="455948488">
      <w:bodyDiv w:val="1"/>
      <w:marLeft w:val="0"/>
      <w:marRight w:val="0"/>
      <w:marTop w:val="0"/>
      <w:marBottom w:val="0"/>
      <w:divBdr>
        <w:top w:val="none" w:sz="0" w:space="0" w:color="auto"/>
        <w:left w:val="none" w:sz="0" w:space="0" w:color="auto"/>
        <w:bottom w:val="none" w:sz="0" w:space="0" w:color="auto"/>
        <w:right w:val="none" w:sz="0" w:space="0" w:color="auto"/>
      </w:divBdr>
    </w:div>
    <w:div w:id="462308331">
      <w:bodyDiv w:val="1"/>
      <w:marLeft w:val="0"/>
      <w:marRight w:val="0"/>
      <w:marTop w:val="0"/>
      <w:marBottom w:val="0"/>
      <w:divBdr>
        <w:top w:val="none" w:sz="0" w:space="0" w:color="auto"/>
        <w:left w:val="none" w:sz="0" w:space="0" w:color="auto"/>
        <w:bottom w:val="none" w:sz="0" w:space="0" w:color="auto"/>
        <w:right w:val="none" w:sz="0" w:space="0" w:color="auto"/>
      </w:divBdr>
    </w:div>
    <w:div w:id="464205517">
      <w:bodyDiv w:val="1"/>
      <w:marLeft w:val="0"/>
      <w:marRight w:val="0"/>
      <w:marTop w:val="0"/>
      <w:marBottom w:val="0"/>
      <w:divBdr>
        <w:top w:val="none" w:sz="0" w:space="0" w:color="auto"/>
        <w:left w:val="none" w:sz="0" w:space="0" w:color="auto"/>
        <w:bottom w:val="none" w:sz="0" w:space="0" w:color="auto"/>
        <w:right w:val="none" w:sz="0" w:space="0" w:color="auto"/>
      </w:divBdr>
    </w:div>
    <w:div w:id="467282898">
      <w:bodyDiv w:val="1"/>
      <w:marLeft w:val="0"/>
      <w:marRight w:val="0"/>
      <w:marTop w:val="0"/>
      <w:marBottom w:val="0"/>
      <w:divBdr>
        <w:top w:val="none" w:sz="0" w:space="0" w:color="auto"/>
        <w:left w:val="none" w:sz="0" w:space="0" w:color="auto"/>
        <w:bottom w:val="none" w:sz="0" w:space="0" w:color="auto"/>
        <w:right w:val="none" w:sz="0" w:space="0" w:color="auto"/>
      </w:divBdr>
    </w:div>
    <w:div w:id="468977259">
      <w:bodyDiv w:val="1"/>
      <w:marLeft w:val="0"/>
      <w:marRight w:val="0"/>
      <w:marTop w:val="0"/>
      <w:marBottom w:val="0"/>
      <w:divBdr>
        <w:top w:val="none" w:sz="0" w:space="0" w:color="auto"/>
        <w:left w:val="none" w:sz="0" w:space="0" w:color="auto"/>
        <w:bottom w:val="none" w:sz="0" w:space="0" w:color="auto"/>
        <w:right w:val="none" w:sz="0" w:space="0" w:color="auto"/>
      </w:divBdr>
    </w:div>
    <w:div w:id="489173100">
      <w:bodyDiv w:val="1"/>
      <w:marLeft w:val="0"/>
      <w:marRight w:val="0"/>
      <w:marTop w:val="0"/>
      <w:marBottom w:val="0"/>
      <w:divBdr>
        <w:top w:val="none" w:sz="0" w:space="0" w:color="auto"/>
        <w:left w:val="none" w:sz="0" w:space="0" w:color="auto"/>
        <w:bottom w:val="none" w:sz="0" w:space="0" w:color="auto"/>
        <w:right w:val="none" w:sz="0" w:space="0" w:color="auto"/>
      </w:divBdr>
    </w:div>
    <w:div w:id="498888004">
      <w:bodyDiv w:val="1"/>
      <w:marLeft w:val="0"/>
      <w:marRight w:val="0"/>
      <w:marTop w:val="0"/>
      <w:marBottom w:val="0"/>
      <w:divBdr>
        <w:top w:val="none" w:sz="0" w:space="0" w:color="auto"/>
        <w:left w:val="none" w:sz="0" w:space="0" w:color="auto"/>
        <w:bottom w:val="none" w:sz="0" w:space="0" w:color="auto"/>
        <w:right w:val="none" w:sz="0" w:space="0" w:color="auto"/>
      </w:divBdr>
    </w:div>
    <w:div w:id="509100242">
      <w:bodyDiv w:val="1"/>
      <w:marLeft w:val="0"/>
      <w:marRight w:val="0"/>
      <w:marTop w:val="0"/>
      <w:marBottom w:val="0"/>
      <w:divBdr>
        <w:top w:val="none" w:sz="0" w:space="0" w:color="auto"/>
        <w:left w:val="none" w:sz="0" w:space="0" w:color="auto"/>
        <w:bottom w:val="none" w:sz="0" w:space="0" w:color="auto"/>
        <w:right w:val="none" w:sz="0" w:space="0" w:color="auto"/>
      </w:divBdr>
    </w:div>
    <w:div w:id="511382746">
      <w:bodyDiv w:val="1"/>
      <w:marLeft w:val="0"/>
      <w:marRight w:val="0"/>
      <w:marTop w:val="0"/>
      <w:marBottom w:val="0"/>
      <w:divBdr>
        <w:top w:val="none" w:sz="0" w:space="0" w:color="auto"/>
        <w:left w:val="none" w:sz="0" w:space="0" w:color="auto"/>
        <w:bottom w:val="none" w:sz="0" w:space="0" w:color="auto"/>
        <w:right w:val="none" w:sz="0" w:space="0" w:color="auto"/>
      </w:divBdr>
    </w:div>
    <w:div w:id="523595795">
      <w:bodyDiv w:val="1"/>
      <w:marLeft w:val="0"/>
      <w:marRight w:val="0"/>
      <w:marTop w:val="0"/>
      <w:marBottom w:val="0"/>
      <w:divBdr>
        <w:top w:val="none" w:sz="0" w:space="0" w:color="auto"/>
        <w:left w:val="none" w:sz="0" w:space="0" w:color="auto"/>
        <w:bottom w:val="none" w:sz="0" w:space="0" w:color="auto"/>
        <w:right w:val="none" w:sz="0" w:space="0" w:color="auto"/>
      </w:divBdr>
    </w:div>
    <w:div w:id="539516820">
      <w:bodyDiv w:val="1"/>
      <w:marLeft w:val="0"/>
      <w:marRight w:val="0"/>
      <w:marTop w:val="0"/>
      <w:marBottom w:val="0"/>
      <w:divBdr>
        <w:top w:val="none" w:sz="0" w:space="0" w:color="auto"/>
        <w:left w:val="none" w:sz="0" w:space="0" w:color="auto"/>
        <w:bottom w:val="none" w:sz="0" w:space="0" w:color="auto"/>
        <w:right w:val="none" w:sz="0" w:space="0" w:color="auto"/>
      </w:divBdr>
    </w:div>
    <w:div w:id="540216133">
      <w:bodyDiv w:val="1"/>
      <w:marLeft w:val="0"/>
      <w:marRight w:val="0"/>
      <w:marTop w:val="0"/>
      <w:marBottom w:val="0"/>
      <w:divBdr>
        <w:top w:val="none" w:sz="0" w:space="0" w:color="auto"/>
        <w:left w:val="none" w:sz="0" w:space="0" w:color="auto"/>
        <w:bottom w:val="none" w:sz="0" w:space="0" w:color="auto"/>
        <w:right w:val="none" w:sz="0" w:space="0" w:color="auto"/>
      </w:divBdr>
    </w:div>
    <w:div w:id="549725850">
      <w:bodyDiv w:val="1"/>
      <w:marLeft w:val="0"/>
      <w:marRight w:val="0"/>
      <w:marTop w:val="0"/>
      <w:marBottom w:val="0"/>
      <w:divBdr>
        <w:top w:val="none" w:sz="0" w:space="0" w:color="auto"/>
        <w:left w:val="none" w:sz="0" w:space="0" w:color="auto"/>
        <w:bottom w:val="none" w:sz="0" w:space="0" w:color="auto"/>
        <w:right w:val="none" w:sz="0" w:space="0" w:color="auto"/>
      </w:divBdr>
    </w:div>
    <w:div w:id="549802541">
      <w:bodyDiv w:val="1"/>
      <w:marLeft w:val="0"/>
      <w:marRight w:val="0"/>
      <w:marTop w:val="0"/>
      <w:marBottom w:val="0"/>
      <w:divBdr>
        <w:top w:val="none" w:sz="0" w:space="0" w:color="auto"/>
        <w:left w:val="none" w:sz="0" w:space="0" w:color="auto"/>
        <w:bottom w:val="none" w:sz="0" w:space="0" w:color="auto"/>
        <w:right w:val="none" w:sz="0" w:space="0" w:color="auto"/>
      </w:divBdr>
    </w:div>
    <w:div w:id="550843564">
      <w:bodyDiv w:val="1"/>
      <w:marLeft w:val="0"/>
      <w:marRight w:val="0"/>
      <w:marTop w:val="0"/>
      <w:marBottom w:val="0"/>
      <w:divBdr>
        <w:top w:val="none" w:sz="0" w:space="0" w:color="auto"/>
        <w:left w:val="none" w:sz="0" w:space="0" w:color="auto"/>
        <w:bottom w:val="none" w:sz="0" w:space="0" w:color="auto"/>
        <w:right w:val="none" w:sz="0" w:space="0" w:color="auto"/>
      </w:divBdr>
    </w:div>
    <w:div w:id="552543667">
      <w:bodyDiv w:val="1"/>
      <w:marLeft w:val="0"/>
      <w:marRight w:val="0"/>
      <w:marTop w:val="0"/>
      <w:marBottom w:val="0"/>
      <w:divBdr>
        <w:top w:val="none" w:sz="0" w:space="0" w:color="auto"/>
        <w:left w:val="none" w:sz="0" w:space="0" w:color="auto"/>
        <w:bottom w:val="none" w:sz="0" w:space="0" w:color="auto"/>
        <w:right w:val="none" w:sz="0" w:space="0" w:color="auto"/>
      </w:divBdr>
    </w:div>
    <w:div w:id="559905390">
      <w:bodyDiv w:val="1"/>
      <w:marLeft w:val="0"/>
      <w:marRight w:val="0"/>
      <w:marTop w:val="0"/>
      <w:marBottom w:val="0"/>
      <w:divBdr>
        <w:top w:val="none" w:sz="0" w:space="0" w:color="auto"/>
        <w:left w:val="none" w:sz="0" w:space="0" w:color="auto"/>
        <w:bottom w:val="none" w:sz="0" w:space="0" w:color="auto"/>
        <w:right w:val="none" w:sz="0" w:space="0" w:color="auto"/>
      </w:divBdr>
    </w:div>
    <w:div w:id="567888870">
      <w:bodyDiv w:val="1"/>
      <w:marLeft w:val="0"/>
      <w:marRight w:val="0"/>
      <w:marTop w:val="0"/>
      <w:marBottom w:val="0"/>
      <w:divBdr>
        <w:top w:val="none" w:sz="0" w:space="0" w:color="auto"/>
        <w:left w:val="none" w:sz="0" w:space="0" w:color="auto"/>
        <w:bottom w:val="none" w:sz="0" w:space="0" w:color="auto"/>
        <w:right w:val="none" w:sz="0" w:space="0" w:color="auto"/>
      </w:divBdr>
    </w:div>
    <w:div w:id="571768565">
      <w:bodyDiv w:val="1"/>
      <w:marLeft w:val="0"/>
      <w:marRight w:val="0"/>
      <w:marTop w:val="0"/>
      <w:marBottom w:val="0"/>
      <w:divBdr>
        <w:top w:val="none" w:sz="0" w:space="0" w:color="auto"/>
        <w:left w:val="none" w:sz="0" w:space="0" w:color="auto"/>
        <w:bottom w:val="none" w:sz="0" w:space="0" w:color="auto"/>
        <w:right w:val="none" w:sz="0" w:space="0" w:color="auto"/>
      </w:divBdr>
    </w:div>
    <w:div w:id="578053316">
      <w:bodyDiv w:val="1"/>
      <w:marLeft w:val="0"/>
      <w:marRight w:val="0"/>
      <w:marTop w:val="0"/>
      <w:marBottom w:val="0"/>
      <w:divBdr>
        <w:top w:val="none" w:sz="0" w:space="0" w:color="auto"/>
        <w:left w:val="none" w:sz="0" w:space="0" w:color="auto"/>
        <w:bottom w:val="none" w:sz="0" w:space="0" w:color="auto"/>
        <w:right w:val="none" w:sz="0" w:space="0" w:color="auto"/>
      </w:divBdr>
    </w:div>
    <w:div w:id="590896329">
      <w:bodyDiv w:val="1"/>
      <w:marLeft w:val="0"/>
      <w:marRight w:val="0"/>
      <w:marTop w:val="0"/>
      <w:marBottom w:val="0"/>
      <w:divBdr>
        <w:top w:val="none" w:sz="0" w:space="0" w:color="auto"/>
        <w:left w:val="none" w:sz="0" w:space="0" w:color="auto"/>
        <w:bottom w:val="none" w:sz="0" w:space="0" w:color="auto"/>
        <w:right w:val="none" w:sz="0" w:space="0" w:color="auto"/>
      </w:divBdr>
    </w:div>
    <w:div w:id="592587102">
      <w:bodyDiv w:val="1"/>
      <w:marLeft w:val="0"/>
      <w:marRight w:val="0"/>
      <w:marTop w:val="0"/>
      <w:marBottom w:val="0"/>
      <w:divBdr>
        <w:top w:val="none" w:sz="0" w:space="0" w:color="auto"/>
        <w:left w:val="none" w:sz="0" w:space="0" w:color="auto"/>
        <w:bottom w:val="none" w:sz="0" w:space="0" w:color="auto"/>
        <w:right w:val="none" w:sz="0" w:space="0" w:color="auto"/>
      </w:divBdr>
    </w:div>
    <w:div w:id="596208052">
      <w:bodyDiv w:val="1"/>
      <w:marLeft w:val="0"/>
      <w:marRight w:val="0"/>
      <w:marTop w:val="0"/>
      <w:marBottom w:val="0"/>
      <w:divBdr>
        <w:top w:val="none" w:sz="0" w:space="0" w:color="auto"/>
        <w:left w:val="none" w:sz="0" w:space="0" w:color="auto"/>
        <w:bottom w:val="none" w:sz="0" w:space="0" w:color="auto"/>
        <w:right w:val="none" w:sz="0" w:space="0" w:color="auto"/>
      </w:divBdr>
    </w:div>
    <w:div w:id="597757639">
      <w:bodyDiv w:val="1"/>
      <w:marLeft w:val="0"/>
      <w:marRight w:val="0"/>
      <w:marTop w:val="0"/>
      <w:marBottom w:val="0"/>
      <w:divBdr>
        <w:top w:val="none" w:sz="0" w:space="0" w:color="auto"/>
        <w:left w:val="none" w:sz="0" w:space="0" w:color="auto"/>
        <w:bottom w:val="none" w:sz="0" w:space="0" w:color="auto"/>
        <w:right w:val="none" w:sz="0" w:space="0" w:color="auto"/>
      </w:divBdr>
    </w:div>
    <w:div w:id="599870100">
      <w:bodyDiv w:val="1"/>
      <w:marLeft w:val="0"/>
      <w:marRight w:val="0"/>
      <w:marTop w:val="0"/>
      <w:marBottom w:val="0"/>
      <w:divBdr>
        <w:top w:val="none" w:sz="0" w:space="0" w:color="auto"/>
        <w:left w:val="none" w:sz="0" w:space="0" w:color="auto"/>
        <w:bottom w:val="none" w:sz="0" w:space="0" w:color="auto"/>
        <w:right w:val="none" w:sz="0" w:space="0" w:color="auto"/>
      </w:divBdr>
    </w:div>
    <w:div w:id="603540261">
      <w:bodyDiv w:val="1"/>
      <w:marLeft w:val="0"/>
      <w:marRight w:val="0"/>
      <w:marTop w:val="0"/>
      <w:marBottom w:val="0"/>
      <w:divBdr>
        <w:top w:val="none" w:sz="0" w:space="0" w:color="auto"/>
        <w:left w:val="none" w:sz="0" w:space="0" w:color="auto"/>
        <w:bottom w:val="none" w:sz="0" w:space="0" w:color="auto"/>
        <w:right w:val="none" w:sz="0" w:space="0" w:color="auto"/>
      </w:divBdr>
    </w:div>
    <w:div w:id="603879195">
      <w:bodyDiv w:val="1"/>
      <w:marLeft w:val="0"/>
      <w:marRight w:val="0"/>
      <w:marTop w:val="0"/>
      <w:marBottom w:val="0"/>
      <w:divBdr>
        <w:top w:val="none" w:sz="0" w:space="0" w:color="auto"/>
        <w:left w:val="none" w:sz="0" w:space="0" w:color="auto"/>
        <w:bottom w:val="none" w:sz="0" w:space="0" w:color="auto"/>
        <w:right w:val="none" w:sz="0" w:space="0" w:color="auto"/>
      </w:divBdr>
    </w:div>
    <w:div w:id="612250190">
      <w:bodyDiv w:val="1"/>
      <w:marLeft w:val="0"/>
      <w:marRight w:val="0"/>
      <w:marTop w:val="0"/>
      <w:marBottom w:val="0"/>
      <w:divBdr>
        <w:top w:val="none" w:sz="0" w:space="0" w:color="auto"/>
        <w:left w:val="none" w:sz="0" w:space="0" w:color="auto"/>
        <w:bottom w:val="none" w:sz="0" w:space="0" w:color="auto"/>
        <w:right w:val="none" w:sz="0" w:space="0" w:color="auto"/>
      </w:divBdr>
    </w:div>
    <w:div w:id="630137954">
      <w:bodyDiv w:val="1"/>
      <w:marLeft w:val="0"/>
      <w:marRight w:val="0"/>
      <w:marTop w:val="0"/>
      <w:marBottom w:val="0"/>
      <w:divBdr>
        <w:top w:val="none" w:sz="0" w:space="0" w:color="auto"/>
        <w:left w:val="none" w:sz="0" w:space="0" w:color="auto"/>
        <w:bottom w:val="none" w:sz="0" w:space="0" w:color="auto"/>
        <w:right w:val="none" w:sz="0" w:space="0" w:color="auto"/>
      </w:divBdr>
    </w:div>
    <w:div w:id="655648781">
      <w:bodyDiv w:val="1"/>
      <w:marLeft w:val="0"/>
      <w:marRight w:val="0"/>
      <w:marTop w:val="0"/>
      <w:marBottom w:val="0"/>
      <w:divBdr>
        <w:top w:val="none" w:sz="0" w:space="0" w:color="auto"/>
        <w:left w:val="none" w:sz="0" w:space="0" w:color="auto"/>
        <w:bottom w:val="none" w:sz="0" w:space="0" w:color="auto"/>
        <w:right w:val="none" w:sz="0" w:space="0" w:color="auto"/>
      </w:divBdr>
    </w:div>
    <w:div w:id="659428760">
      <w:bodyDiv w:val="1"/>
      <w:marLeft w:val="0"/>
      <w:marRight w:val="0"/>
      <w:marTop w:val="0"/>
      <w:marBottom w:val="0"/>
      <w:divBdr>
        <w:top w:val="none" w:sz="0" w:space="0" w:color="auto"/>
        <w:left w:val="none" w:sz="0" w:space="0" w:color="auto"/>
        <w:bottom w:val="none" w:sz="0" w:space="0" w:color="auto"/>
        <w:right w:val="none" w:sz="0" w:space="0" w:color="auto"/>
      </w:divBdr>
    </w:div>
    <w:div w:id="661587583">
      <w:bodyDiv w:val="1"/>
      <w:marLeft w:val="0"/>
      <w:marRight w:val="0"/>
      <w:marTop w:val="0"/>
      <w:marBottom w:val="0"/>
      <w:divBdr>
        <w:top w:val="none" w:sz="0" w:space="0" w:color="auto"/>
        <w:left w:val="none" w:sz="0" w:space="0" w:color="auto"/>
        <w:bottom w:val="none" w:sz="0" w:space="0" w:color="auto"/>
        <w:right w:val="none" w:sz="0" w:space="0" w:color="auto"/>
      </w:divBdr>
    </w:div>
    <w:div w:id="669596931">
      <w:bodyDiv w:val="1"/>
      <w:marLeft w:val="0"/>
      <w:marRight w:val="0"/>
      <w:marTop w:val="0"/>
      <w:marBottom w:val="0"/>
      <w:divBdr>
        <w:top w:val="none" w:sz="0" w:space="0" w:color="auto"/>
        <w:left w:val="none" w:sz="0" w:space="0" w:color="auto"/>
        <w:bottom w:val="none" w:sz="0" w:space="0" w:color="auto"/>
        <w:right w:val="none" w:sz="0" w:space="0" w:color="auto"/>
      </w:divBdr>
    </w:div>
    <w:div w:id="678119430">
      <w:bodyDiv w:val="1"/>
      <w:marLeft w:val="0"/>
      <w:marRight w:val="0"/>
      <w:marTop w:val="0"/>
      <w:marBottom w:val="0"/>
      <w:divBdr>
        <w:top w:val="none" w:sz="0" w:space="0" w:color="auto"/>
        <w:left w:val="none" w:sz="0" w:space="0" w:color="auto"/>
        <w:bottom w:val="none" w:sz="0" w:space="0" w:color="auto"/>
        <w:right w:val="none" w:sz="0" w:space="0" w:color="auto"/>
      </w:divBdr>
    </w:div>
    <w:div w:id="688334481">
      <w:bodyDiv w:val="1"/>
      <w:marLeft w:val="0"/>
      <w:marRight w:val="0"/>
      <w:marTop w:val="0"/>
      <w:marBottom w:val="0"/>
      <w:divBdr>
        <w:top w:val="none" w:sz="0" w:space="0" w:color="auto"/>
        <w:left w:val="none" w:sz="0" w:space="0" w:color="auto"/>
        <w:bottom w:val="none" w:sz="0" w:space="0" w:color="auto"/>
        <w:right w:val="none" w:sz="0" w:space="0" w:color="auto"/>
      </w:divBdr>
    </w:div>
    <w:div w:id="691952400">
      <w:bodyDiv w:val="1"/>
      <w:marLeft w:val="0"/>
      <w:marRight w:val="0"/>
      <w:marTop w:val="0"/>
      <w:marBottom w:val="0"/>
      <w:divBdr>
        <w:top w:val="none" w:sz="0" w:space="0" w:color="auto"/>
        <w:left w:val="none" w:sz="0" w:space="0" w:color="auto"/>
        <w:bottom w:val="none" w:sz="0" w:space="0" w:color="auto"/>
        <w:right w:val="none" w:sz="0" w:space="0" w:color="auto"/>
      </w:divBdr>
    </w:div>
    <w:div w:id="702754709">
      <w:bodyDiv w:val="1"/>
      <w:marLeft w:val="0"/>
      <w:marRight w:val="0"/>
      <w:marTop w:val="0"/>
      <w:marBottom w:val="0"/>
      <w:divBdr>
        <w:top w:val="none" w:sz="0" w:space="0" w:color="auto"/>
        <w:left w:val="none" w:sz="0" w:space="0" w:color="auto"/>
        <w:bottom w:val="none" w:sz="0" w:space="0" w:color="auto"/>
        <w:right w:val="none" w:sz="0" w:space="0" w:color="auto"/>
      </w:divBdr>
    </w:div>
    <w:div w:id="706760638">
      <w:bodyDiv w:val="1"/>
      <w:marLeft w:val="0"/>
      <w:marRight w:val="0"/>
      <w:marTop w:val="0"/>
      <w:marBottom w:val="0"/>
      <w:divBdr>
        <w:top w:val="none" w:sz="0" w:space="0" w:color="auto"/>
        <w:left w:val="none" w:sz="0" w:space="0" w:color="auto"/>
        <w:bottom w:val="none" w:sz="0" w:space="0" w:color="auto"/>
        <w:right w:val="none" w:sz="0" w:space="0" w:color="auto"/>
      </w:divBdr>
    </w:div>
    <w:div w:id="712922972">
      <w:bodyDiv w:val="1"/>
      <w:marLeft w:val="0"/>
      <w:marRight w:val="0"/>
      <w:marTop w:val="0"/>
      <w:marBottom w:val="0"/>
      <w:divBdr>
        <w:top w:val="none" w:sz="0" w:space="0" w:color="auto"/>
        <w:left w:val="none" w:sz="0" w:space="0" w:color="auto"/>
        <w:bottom w:val="none" w:sz="0" w:space="0" w:color="auto"/>
        <w:right w:val="none" w:sz="0" w:space="0" w:color="auto"/>
      </w:divBdr>
    </w:div>
    <w:div w:id="727460520">
      <w:bodyDiv w:val="1"/>
      <w:marLeft w:val="0"/>
      <w:marRight w:val="0"/>
      <w:marTop w:val="0"/>
      <w:marBottom w:val="0"/>
      <w:divBdr>
        <w:top w:val="none" w:sz="0" w:space="0" w:color="auto"/>
        <w:left w:val="none" w:sz="0" w:space="0" w:color="auto"/>
        <w:bottom w:val="none" w:sz="0" w:space="0" w:color="auto"/>
        <w:right w:val="none" w:sz="0" w:space="0" w:color="auto"/>
      </w:divBdr>
    </w:div>
    <w:div w:id="731275296">
      <w:bodyDiv w:val="1"/>
      <w:marLeft w:val="0"/>
      <w:marRight w:val="0"/>
      <w:marTop w:val="0"/>
      <w:marBottom w:val="0"/>
      <w:divBdr>
        <w:top w:val="none" w:sz="0" w:space="0" w:color="auto"/>
        <w:left w:val="none" w:sz="0" w:space="0" w:color="auto"/>
        <w:bottom w:val="none" w:sz="0" w:space="0" w:color="auto"/>
        <w:right w:val="none" w:sz="0" w:space="0" w:color="auto"/>
      </w:divBdr>
    </w:div>
    <w:div w:id="745346073">
      <w:bodyDiv w:val="1"/>
      <w:marLeft w:val="0"/>
      <w:marRight w:val="0"/>
      <w:marTop w:val="0"/>
      <w:marBottom w:val="0"/>
      <w:divBdr>
        <w:top w:val="none" w:sz="0" w:space="0" w:color="auto"/>
        <w:left w:val="none" w:sz="0" w:space="0" w:color="auto"/>
        <w:bottom w:val="none" w:sz="0" w:space="0" w:color="auto"/>
        <w:right w:val="none" w:sz="0" w:space="0" w:color="auto"/>
      </w:divBdr>
    </w:div>
    <w:div w:id="751581750">
      <w:bodyDiv w:val="1"/>
      <w:marLeft w:val="0"/>
      <w:marRight w:val="0"/>
      <w:marTop w:val="0"/>
      <w:marBottom w:val="0"/>
      <w:divBdr>
        <w:top w:val="none" w:sz="0" w:space="0" w:color="auto"/>
        <w:left w:val="none" w:sz="0" w:space="0" w:color="auto"/>
        <w:bottom w:val="none" w:sz="0" w:space="0" w:color="auto"/>
        <w:right w:val="none" w:sz="0" w:space="0" w:color="auto"/>
      </w:divBdr>
    </w:div>
    <w:div w:id="754592476">
      <w:bodyDiv w:val="1"/>
      <w:marLeft w:val="0"/>
      <w:marRight w:val="0"/>
      <w:marTop w:val="0"/>
      <w:marBottom w:val="0"/>
      <w:divBdr>
        <w:top w:val="none" w:sz="0" w:space="0" w:color="auto"/>
        <w:left w:val="none" w:sz="0" w:space="0" w:color="auto"/>
        <w:bottom w:val="none" w:sz="0" w:space="0" w:color="auto"/>
        <w:right w:val="none" w:sz="0" w:space="0" w:color="auto"/>
      </w:divBdr>
    </w:div>
    <w:div w:id="761074882">
      <w:bodyDiv w:val="1"/>
      <w:marLeft w:val="0"/>
      <w:marRight w:val="0"/>
      <w:marTop w:val="0"/>
      <w:marBottom w:val="0"/>
      <w:divBdr>
        <w:top w:val="none" w:sz="0" w:space="0" w:color="auto"/>
        <w:left w:val="none" w:sz="0" w:space="0" w:color="auto"/>
        <w:bottom w:val="none" w:sz="0" w:space="0" w:color="auto"/>
        <w:right w:val="none" w:sz="0" w:space="0" w:color="auto"/>
      </w:divBdr>
    </w:div>
    <w:div w:id="768550117">
      <w:bodyDiv w:val="1"/>
      <w:marLeft w:val="0"/>
      <w:marRight w:val="0"/>
      <w:marTop w:val="0"/>
      <w:marBottom w:val="0"/>
      <w:divBdr>
        <w:top w:val="none" w:sz="0" w:space="0" w:color="auto"/>
        <w:left w:val="none" w:sz="0" w:space="0" w:color="auto"/>
        <w:bottom w:val="none" w:sz="0" w:space="0" w:color="auto"/>
        <w:right w:val="none" w:sz="0" w:space="0" w:color="auto"/>
      </w:divBdr>
    </w:div>
    <w:div w:id="770395752">
      <w:bodyDiv w:val="1"/>
      <w:marLeft w:val="0"/>
      <w:marRight w:val="0"/>
      <w:marTop w:val="0"/>
      <w:marBottom w:val="0"/>
      <w:divBdr>
        <w:top w:val="none" w:sz="0" w:space="0" w:color="auto"/>
        <w:left w:val="none" w:sz="0" w:space="0" w:color="auto"/>
        <w:bottom w:val="none" w:sz="0" w:space="0" w:color="auto"/>
        <w:right w:val="none" w:sz="0" w:space="0" w:color="auto"/>
      </w:divBdr>
    </w:div>
    <w:div w:id="775059052">
      <w:bodyDiv w:val="1"/>
      <w:marLeft w:val="0"/>
      <w:marRight w:val="0"/>
      <w:marTop w:val="0"/>
      <w:marBottom w:val="0"/>
      <w:divBdr>
        <w:top w:val="none" w:sz="0" w:space="0" w:color="auto"/>
        <w:left w:val="none" w:sz="0" w:space="0" w:color="auto"/>
        <w:bottom w:val="none" w:sz="0" w:space="0" w:color="auto"/>
        <w:right w:val="none" w:sz="0" w:space="0" w:color="auto"/>
      </w:divBdr>
    </w:div>
    <w:div w:id="783964081">
      <w:bodyDiv w:val="1"/>
      <w:marLeft w:val="0"/>
      <w:marRight w:val="0"/>
      <w:marTop w:val="0"/>
      <w:marBottom w:val="0"/>
      <w:divBdr>
        <w:top w:val="none" w:sz="0" w:space="0" w:color="auto"/>
        <w:left w:val="none" w:sz="0" w:space="0" w:color="auto"/>
        <w:bottom w:val="none" w:sz="0" w:space="0" w:color="auto"/>
        <w:right w:val="none" w:sz="0" w:space="0" w:color="auto"/>
      </w:divBdr>
    </w:div>
    <w:div w:id="794828984">
      <w:bodyDiv w:val="1"/>
      <w:marLeft w:val="0"/>
      <w:marRight w:val="0"/>
      <w:marTop w:val="0"/>
      <w:marBottom w:val="0"/>
      <w:divBdr>
        <w:top w:val="none" w:sz="0" w:space="0" w:color="auto"/>
        <w:left w:val="none" w:sz="0" w:space="0" w:color="auto"/>
        <w:bottom w:val="none" w:sz="0" w:space="0" w:color="auto"/>
        <w:right w:val="none" w:sz="0" w:space="0" w:color="auto"/>
      </w:divBdr>
    </w:div>
    <w:div w:id="796727130">
      <w:bodyDiv w:val="1"/>
      <w:marLeft w:val="0"/>
      <w:marRight w:val="0"/>
      <w:marTop w:val="0"/>
      <w:marBottom w:val="0"/>
      <w:divBdr>
        <w:top w:val="none" w:sz="0" w:space="0" w:color="auto"/>
        <w:left w:val="none" w:sz="0" w:space="0" w:color="auto"/>
        <w:bottom w:val="none" w:sz="0" w:space="0" w:color="auto"/>
        <w:right w:val="none" w:sz="0" w:space="0" w:color="auto"/>
      </w:divBdr>
    </w:div>
    <w:div w:id="807090655">
      <w:bodyDiv w:val="1"/>
      <w:marLeft w:val="0"/>
      <w:marRight w:val="0"/>
      <w:marTop w:val="0"/>
      <w:marBottom w:val="0"/>
      <w:divBdr>
        <w:top w:val="none" w:sz="0" w:space="0" w:color="auto"/>
        <w:left w:val="none" w:sz="0" w:space="0" w:color="auto"/>
        <w:bottom w:val="none" w:sz="0" w:space="0" w:color="auto"/>
        <w:right w:val="none" w:sz="0" w:space="0" w:color="auto"/>
      </w:divBdr>
    </w:div>
    <w:div w:id="811991224">
      <w:bodyDiv w:val="1"/>
      <w:marLeft w:val="0"/>
      <w:marRight w:val="0"/>
      <w:marTop w:val="0"/>
      <w:marBottom w:val="0"/>
      <w:divBdr>
        <w:top w:val="none" w:sz="0" w:space="0" w:color="auto"/>
        <w:left w:val="none" w:sz="0" w:space="0" w:color="auto"/>
        <w:bottom w:val="none" w:sz="0" w:space="0" w:color="auto"/>
        <w:right w:val="none" w:sz="0" w:space="0" w:color="auto"/>
      </w:divBdr>
    </w:div>
    <w:div w:id="825631900">
      <w:bodyDiv w:val="1"/>
      <w:marLeft w:val="0"/>
      <w:marRight w:val="0"/>
      <w:marTop w:val="0"/>
      <w:marBottom w:val="0"/>
      <w:divBdr>
        <w:top w:val="none" w:sz="0" w:space="0" w:color="auto"/>
        <w:left w:val="none" w:sz="0" w:space="0" w:color="auto"/>
        <w:bottom w:val="none" w:sz="0" w:space="0" w:color="auto"/>
        <w:right w:val="none" w:sz="0" w:space="0" w:color="auto"/>
      </w:divBdr>
    </w:div>
    <w:div w:id="835463623">
      <w:bodyDiv w:val="1"/>
      <w:marLeft w:val="0"/>
      <w:marRight w:val="0"/>
      <w:marTop w:val="0"/>
      <w:marBottom w:val="0"/>
      <w:divBdr>
        <w:top w:val="none" w:sz="0" w:space="0" w:color="auto"/>
        <w:left w:val="none" w:sz="0" w:space="0" w:color="auto"/>
        <w:bottom w:val="none" w:sz="0" w:space="0" w:color="auto"/>
        <w:right w:val="none" w:sz="0" w:space="0" w:color="auto"/>
      </w:divBdr>
    </w:div>
    <w:div w:id="846941404">
      <w:bodyDiv w:val="1"/>
      <w:marLeft w:val="0"/>
      <w:marRight w:val="0"/>
      <w:marTop w:val="0"/>
      <w:marBottom w:val="0"/>
      <w:divBdr>
        <w:top w:val="none" w:sz="0" w:space="0" w:color="auto"/>
        <w:left w:val="none" w:sz="0" w:space="0" w:color="auto"/>
        <w:bottom w:val="none" w:sz="0" w:space="0" w:color="auto"/>
        <w:right w:val="none" w:sz="0" w:space="0" w:color="auto"/>
      </w:divBdr>
    </w:div>
    <w:div w:id="855315536">
      <w:bodyDiv w:val="1"/>
      <w:marLeft w:val="0"/>
      <w:marRight w:val="0"/>
      <w:marTop w:val="0"/>
      <w:marBottom w:val="0"/>
      <w:divBdr>
        <w:top w:val="none" w:sz="0" w:space="0" w:color="auto"/>
        <w:left w:val="none" w:sz="0" w:space="0" w:color="auto"/>
        <w:bottom w:val="none" w:sz="0" w:space="0" w:color="auto"/>
        <w:right w:val="none" w:sz="0" w:space="0" w:color="auto"/>
      </w:divBdr>
    </w:div>
    <w:div w:id="897126557">
      <w:bodyDiv w:val="1"/>
      <w:marLeft w:val="0"/>
      <w:marRight w:val="0"/>
      <w:marTop w:val="0"/>
      <w:marBottom w:val="0"/>
      <w:divBdr>
        <w:top w:val="none" w:sz="0" w:space="0" w:color="auto"/>
        <w:left w:val="none" w:sz="0" w:space="0" w:color="auto"/>
        <w:bottom w:val="none" w:sz="0" w:space="0" w:color="auto"/>
        <w:right w:val="none" w:sz="0" w:space="0" w:color="auto"/>
      </w:divBdr>
    </w:div>
    <w:div w:id="897284351">
      <w:bodyDiv w:val="1"/>
      <w:marLeft w:val="0"/>
      <w:marRight w:val="0"/>
      <w:marTop w:val="0"/>
      <w:marBottom w:val="0"/>
      <w:divBdr>
        <w:top w:val="none" w:sz="0" w:space="0" w:color="auto"/>
        <w:left w:val="none" w:sz="0" w:space="0" w:color="auto"/>
        <w:bottom w:val="none" w:sz="0" w:space="0" w:color="auto"/>
        <w:right w:val="none" w:sz="0" w:space="0" w:color="auto"/>
      </w:divBdr>
    </w:div>
    <w:div w:id="909196866">
      <w:bodyDiv w:val="1"/>
      <w:marLeft w:val="0"/>
      <w:marRight w:val="0"/>
      <w:marTop w:val="0"/>
      <w:marBottom w:val="0"/>
      <w:divBdr>
        <w:top w:val="none" w:sz="0" w:space="0" w:color="auto"/>
        <w:left w:val="none" w:sz="0" w:space="0" w:color="auto"/>
        <w:bottom w:val="none" w:sz="0" w:space="0" w:color="auto"/>
        <w:right w:val="none" w:sz="0" w:space="0" w:color="auto"/>
      </w:divBdr>
    </w:div>
    <w:div w:id="913006118">
      <w:bodyDiv w:val="1"/>
      <w:marLeft w:val="0"/>
      <w:marRight w:val="0"/>
      <w:marTop w:val="0"/>
      <w:marBottom w:val="0"/>
      <w:divBdr>
        <w:top w:val="none" w:sz="0" w:space="0" w:color="auto"/>
        <w:left w:val="none" w:sz="0" w:space="0" w:color="auto"/>
        <w:bottom w:val="none" w:sz="0" w:space="0" w:color="auto"/>
        <w:right w:val="none" w:sz="0" w:space="0" w:color="auto"/>
      </w:divBdr>
    </w:div>
    <w:div w:id="935551233">
      <w:bodyDiv w:val="1"/>
      <w:marLeft w:val="0"/>
      <w:marRight w:val="0"/>
      <w:marTop w:val="0"/>
      <w:marBottom w:val="0"/>
      <w:divBdr>
        <w:top w:val="none" w:sz="0" w:space="0" w:color="auto"/>
        <w:left w:val="none" w:sz="0" w:space="0" w:color="auto"/>
        <w:bottom w:val="none" w:sz="0" w:space="0" w:color="auto"/>
        <w:right w:val="none" w:sz="0" w:space="0" w:color="auto"/>
      </w:divBdr>
    </w:div>
    <w:div w:id="936212474">
      <w:bodyDiv w:val="1"/>
      <w:marLeft w:val="0"/>
      <w:marRight w:val="0"/>
      <w:marTop w:val="0"/>
      <w:marBottom w:val="0"/>
      <w:divBdr>
        <w:top w:val="none" w:sz="0" w:space="0" w:color="auto"/>
        <w:left w:val="none" w:sz="0" w:space="0" w:color="auto"/>
        <w:bottom w:val="none" w:sz="0" w:space="0" w:color="auto"/>
        <w:right w:val="none" w:sz="0" w:space="0" w:color="auto"/>
      </w:divBdr>
    </w:div>
    <w:div w:id="942154895">
      <w:bodyDiv w:val="1"/>
      <w:marLeft w:val="0"/>
      <w:marRight w:val="0"/>
      <w:marTop w:val="0"/>
      <w:marBottom w:val="0"/>
      <w:divBdr>
        <w:top w:val="none" w:sz="0" w:space="0" w:color="auto"/>
        <w:left w:val="none" w:sz="0" w:space="0" w:color="auto"/>
        <w:bottom w:val="none" w:sz="0" w:space="0" w:color="auto"/>
        <w:right w:val="none" w:sz="0" w:space="0" w:color="auto"/>
      </w:divBdr>
    </w:div>
    <w:div w:id="958143972">
      <w:bodyDiv w:val="1"/>
      <w:marLeft w:val="0"/>
      <w:marRight w:val="0"/>
      <w:marTop w:val="0"/>
      <w:marBottom w:val="0"/>
      <w:divBdr>
        <w:top w:val="none" w:sz="0" w:space="0" w:color="auto"/>
        <w:left w:val="none" w:sz="0" w:space="0" w:color="auto"/>
        <w:bottom w:val="none" w:sz="0" w:space="0" w:color="auto"/>
        <w:right w:val="none" w:sz="0" w:space="0" w:color="auto"/>
      </w:divBdr>
    </w:div>
    <w:div w:id="972448615">
      <w:bodyDiv w:val="1"/>
      <w:marLeft w:val="0"/>
      <w:marRight w:val="0"/>
      <w:marTop w:val="0"/>
      <w:marBottom w:val="0"/>
      <w:divBdr>
        <w:top w:val="none" w:sz="0" w:space="0" w:color="auto"/>
        <w:left w:val="none" w:sz="0" w:space="0" w:color="auto"/>
        <w:bottom w:val="none" w:sz="0" w:space="0" w:color="auto"/>
        <w:right w:val="none" w:sz="0" w:space="0" w:color="auto"/>
      </w:divBdr>
    </w:div>
    <w:div w:id="977535278">
      <w:bodyDiv w:val="1"/>
      <w:marLeft w:val="0"/>
      <w:marRight w:val="0"/>
      <w:marTop w:val="0"/>
      <w:marBottom w:val="0"/>
      <w:divBdr>
        <w:top w:val="none" w:sz="0" w:space="0" w:color="auto"/>
        <w:left w:val="none" w:sz="0" w:space="0" w:color="auto"/>
        <w:bottom w:val="none" w:sz="0" w:space="0" w:color="auto"/>
        <w:right w:val="none" w:sz="0" w:space="0" w:color="auto"/>
      </w:divBdr>
    </w:div>
    <w:div w:id="979193416">
      <w:bodyDiv w:val="1"/>
      <w:marLeft w:val="0"/>
      <w:marRight w:val="0"/>
      <w:marTop w:val="0"/>
      <w:marBottom w:val="0"/>
      <w:divBdr>
        <w:top w:val="none" w:sz="0" w:space="0" w:color="auto"/>
        <w:left w:val="none" w:sz="0" w:space="0" w:color="auto"/>
        <w:bottom w:val="none" w:sz="0" w:space="0" w:color="auto"/>
        <w:right w:val="none" w:sz="0" w:space="0" w:color="auto"/>
      </w:divBdr>
    </w:div>
    <w:div w:id="987201212">
      <w:bodyDiv w:val="1"/>
      <w:marLeft w:val="0"/>
      <w:marRight w:val="0"/>
      <w:marTop w:val="0"/>
      <w:marBottom w:val="0"/>
      <w:divBdr>
        <w:top w:val="none" w:sz="0" w:space="0" w:color="auto"/>
        <w:left w:val="none" w:sz="0" w:space="0" w:color="auto"/>
        <w:bottom w:val="none" w:sz="0" w:space="0" w:color="auto"/>
        <w:right w:val="none" w:sz="0" w:space="0" w:color="auto"/>
      </w:divBdr>
    </w:div>
    <w:div w:id="1001278741">
      <w:bodyDiv w:val="1"/>
      <w:marLeft w:val="0"/>
      <w:marRight w:val="0"/>
      <w:marTop w:val="0"/>
      <w:marBottom w:val="0"/>
      <w:divBdr>
        <w:top w:val="none" w:sz="0" w:space="0" w:color="auto"/>
        <w:left w:val="none" w:sz="0" w:space="0" w:color="auto"/>
        <w:bottom w:val="none" w:sz="0" w:space="0" w:color="auto"/>
        <w:right w:val="none" w:sz="0" w:space="0" w:color="auto"/>
      </w:divBdr>
    </w:div>
    <w:div w:id="1004742566">
      <w:bodyDiv w:val="1"/>
      <w:marLeft w:val="0"/>
      <w:marRight w:val="0"/>
      <w:marTop w:val="0"/>
      <w:marBottom w:val="0"/>
      <w:divBdr>
        <w:top w:val="none" w:sz="0" w:space="0" w:color="auto"/>
        <w:left w:val="none" w:sz="0" w:space="0" w:color="auto"/>
        <w:bottom w:val="none" w:sz="0" w:space="0" w:color="auto"/>
        <w:right w:val="none" w:sz="0" w:space="0" w:color="auto"/>
      </w:divBdr>
    </w:div>
    <w:div w:id="1015693214">
      <w:bodyDiv w:val="1"/>
      <w:marLeft w:val="0"/>
      <w:marRight w:val="0"/>
      <w:marTop w:val="0"/>
      <w:marBottom w:val="0"/>
      <w:divBdr>
        <w:top w:val="none" w:sz="0" w:space="0" w:color="auto"/>
        <w:left w:val="none" w:sz="0" w:space="0" w:color="auto"/>
        <w:bottom w:val="none" w:sz="0" w:space="0" w:color="auto"/>
        <w:right w:val="none" w:sz="0" w:space="0" w:color="auto"/>
      </w:divBdr>
    </w:div>
    <w:div w:id="1025714622">
      <w:bodyDiv w:val="1"/>
      <w:marLeft w:val="0"/>
      <w:marRight w:val="0"/>
      <w:marTop w:val="0"/>
      <w:marBottom w:val="0"/>
      <w:divBdr>
        <w:top w:val="none" w:sz="0" w:space="0" w:color="auto"/>
        <w:left w:val="none" w:sz="0" w:space="0" w:color="auto"/>
        <w:bottom w:val="none" w:sz="0" w:space="0" w:color="auto"/>
        <w:right w:val="none" w:sz="0" w:space="0" w:color="auto"/>
      </w:divBdr>
    </w:div>
    <w:div w:id="1026558858">
      <w:bodyDiv w:val="1"/>
      <w:marLeft w:val="0"/>
      <w:marRight w:val="0"/>
      <w:marTop w:val="0"/>
      <w:marBottom w:val="0"/>
      <w:divBdr>
        <w:top w:val="none" w:sz="0" w:space="0" w:color="auto"/>
        <w:left w:val="none" w:sz="0" w:space="0" w:color="auto"/>
        <w:bottom w:val="none" w:sz="0" w:space="0" w:color="auto"/>
        <w:right w:val="none" w:sz="0" w:space="0" w:color="auto"/>
      </w:divBdr>
    </w:div>
    <w:div w:id="1030379280">
      <w:bodyDiv w:val="1"/>
      <w:marLeft w:val="0"/>
      <w:marRight w:val="0"/>
      <w:marTop w:val="0"/>
      <w:marBottom w:val="0"/>
      <w:divBdr>
        <w:top w:val="none" w:sz="0" w:space="0" w:color="auto"/>
        <w:left w:val="none" w:sz="0" w:space="0" w:color="auto"/>
        <w:bottom w:val="none" w:sz="0" w:space="0" w:color="auto"/>
        <w:right w:val="none" w:sz="0" w:space="0" w:color="auto"/>
      </w:divBdr>
    </w:div>
    <w:div w:id="1030492190">
      <w:bodyDiv w:val="1"/>
      <w:marLeft w:val="0"/>
      <w:marRight w:val="0"/>
      <w:marTop w:val="0"/>
      <w:marBottom w:val="0"/>
      <w:divBdr>
        <w:top w:val="none" w:sz="0" w:space="0" w:color="auto"/>
        <w:left w:val="none" w:sz="0" w:space="0" w:color="auto"/>
        <w:bottom w:val="none" w:sz="0" w:space="0" w:color="auto"/>
        <w:right w:val="none" w:sz="0" w:space="0" w:color="auto"/>
      </w:divBdr>
    </w:div>
    <w:div w:id="1030573310">
      <w:bodyDiv w:val="1"/>
      <w:marLeft w:val="0"/>
      <w:marRight w:val="0"/>
      <w:marTop w:val="0"/>
      <w:marBottom w:val="0"/>
      <w:divBdr>
        <w:top w:val="none" w:sz="0" w:space="0" w:color="auto"/>
        <w:left w:val="none" w:sz="0" w:space="0" w:color="auto"/>
        <w:bottom w:val="none" w:sz="0" w:space="0" w:color="auto"/>
        <w:right w:val="none" w:sz="0" w:space="0" w:color="auto"/>
      </w:divBdr>
    </w:div>
    <w:div w:id="1037782582">
      <w:bodyDiv w:val="1"/>
      <w:marLeft w:val="0"/>
      <w:marRight w:val="0"/>
      <w:marTop w:val="0"/>
      <w:marBottom w:val="0"/>
      <w:divBdr>
        <w:top w:val="none" w:sz="0" w:space="0" w:color="auto"/>
        <w:left w:val="none" w:sz="0" w:space="0" w:color="auto"/>
        <w:bottom w:val="none" w:sz="0" w:space="0" w:color="auto"/>
        <w:right w:val="none" w:sz="0" w:space="0" w:color="auto"/>
      </w:divBdr>
    </w:div>
    <w:div w:id="1046836042">
      <w:bodyDiv w:val="1"/>
      <w:marLeft w:val="0"/>
      <w:marRight w:val="0"/>
      <w:marTop w:val="0"/>
      <w:marBottom w:val="0"/>
      <w:divBdr>
        <w:top w:val="none" w:sz="0" w:space="0" w:color="auto"/>
        <w:left w:val="none" w:sz="0" w:space="0" w:color="auto"/>
        <w:bottom w:val="none" w:sz="0" w:space="0" w:color="auto"/>
        <w:right w:val="none" w:sz="0" w:space="0" w:color="auto"/>
      </w:divBdr>
    </w:div>
    <w:div w:id="1058209956">
      <w:bodyDiv w:val="1"/>
      <w:marLeft w:val="0"/>
      <w:marRight w:val="0"/>
      <w:marTop w:val="0"/>
      <w:marBottom w:val="0"/>
      <w:divBdr>
        <w:top w:val="none" w:sz="0" w:space="0" w:color="auto"/>
        <w:left w:val="none" w:sz="0" w:space="0" w:color="auto"/>
        <w:bottom w:val="none" w:sz="0" w:space="0" w:color="auto"/>
        <w:right w:val="none" w:sz="0" w:space="0" w:color="auto"/>
      </w:divBdr>
    </w:div>
    <w:div w:id="1068577409">
      <w:bodyDiv w:val="1"/>
      <w:marLeft w:val="0"/>
      <w:marRight w:val="0"/>
      <w:marTop w:val="0"/>
      <w:marBottom w:val="0"/>
      <w:divBdr>
        <w:top w:val="none" w:sz="0" w:space="0" w:color="auto"/>
        <w:left w:val="none" w:sz="0" w:space="0" w:color="auto"/>
        <w:bottom w:val="none" w:sz="0" w:space="0" w:color="auto"/>
        <w:right w:val="none" w:sz="0" w:space="0" w:color="auto"/>
      </w:divBdr>
    </w:div>
    <w:div w:id="1084648478">
      <w:bodyDiv w:val="1"/>
      <w:marLeft w:val="0"/>
      <w:marRight w:val="0"/>
      <w:marTop w:val="0"/>
      <w:marBottom w:val="0"/>
      <w:divBdr>
        <w:top w:val="none" w:sz="0" w:space="0" w:color="auto"/>
        <w:left w:val="none" w:sz="0" w:space="0" w:color="auto"/>
        <w:bottom w:val="none" w:sz="0" w:space="0" w:color="auto"/>
        <w:right w:val="none" w:sz="0" w:space="0" w:color="auto"/>
      </w:divBdr>
    </w:div>
    <w:div w:id="1092119177">
      <w:bodyDiv w:val="1"/>
      <w:marLeft w:val="0"/>
      <w:marRight w:val="0"/>
      <w:marTop w:val="0"/>
      <w:marBottom w:val="0"/>
      <w:divBdr>
        <w:top w:val="none" w:sz="0" w:space="0" w:color="auto"/>
        <w:left w:val="none" w:sz="0" w:space="0" w:color="auto"/>
        <w:bottom w:val="none" w:sz="0" w:space="0" w:color="auto"/>
        <w:right w:val="none" w:sz="0" w:space="0" w:color="auto"/>
      </w:divBdr>
    </w:div>
    <w:div w:id="1097409395">
      <w:bodyDiv w:val="1"/>
      <w:marLeft w:val="0"/>
      <w:marRight w:val="0"/>
      <w:marTop w:val="0"/>
      <w:marBottom w:val="0"/>
      <w:divBdr>
        <w:top w:val="none" w:sz="0" w:space="0" w:color="auto"/>
        <w:left w:val="none" w:sz="0" w:space="0" w:color="auto"/>
        <w:bottom w:val="none" w:sz="0" w:space="0" w:color="auto"/>
        <w:right w:val="none" w:sz="0" w:space="0" w:color="auto"/>
      </w:divBdr>
    </w:div>
    <w:div w:id="1110777653">
      <w:bodyDiv w:val="1"/>
      <w:marLeft w:val="0"/>
      <w:marRight w:val="0"/>
      <w:marTop w:val="0"/>
      <w:marBottom w:val="0"/>
      <w:divBdr>
        <w:top w:val="none" w:sz="0" w:space="0" w:color="auto"/>
        <w:left w:val="none" w:sz="0" w:space="0" w:color="auto"/>
        <w:bottom w:val="none" w:sz="0" w:space="0" w:color="auto"/>
        <w:right w:val="none" w:sz="0" w:space="0" w:color="auto"/>
      </w:divBdr>
    </w:div>
    <w:div w:id="1123572689">
      <w:bodyDiv w:val="1"/>
      <w:marLeft w:val="0"/>
      <w:marRight w:val="0"/>
      <w:marTop w:val="0"/>
      <w:marBottom w:val="0"/>
      <w:divBdr>
        <w:top w:val="none" w:sz="0" w:space="0" w:color="auto"/>
        <w:left w:val="none" w:sz="0" w:space="0" w:color="auto"/>
        <w:bottom w:val="none" w:sz="0" w:space="0" w:color="auto"/>
        <w:right w:val="none" w:sz="0" w:space="0" w:color="auto"/>
      </w:divBdr>
    </w:div>
    <w:div w:id="1179349979">
      <w:bodyDiv w:val="1"/>
      <w:marLeft w:val="0"/>
      <w:marRight w:val="0"/>
      <w:marTop w:val="0"/>
      <w:marBottom w:val="0"/>
      <w:divBdr>
        <w:top w:val="none" w:sz="0" w:space="0" w:color="auto"/>
        <w:left w:val="none" w:sz="0" w:space="0" w:color="auto"/>
        <w:bottom w:val="none" w:sz="0" w:space="0" w:color="auto"/>
        <w:right w:val="none" w:sz="0" w:space="0" w:color="auto"/>
      </w:divBdr>
    </w:div>
    <w:div w:id="1179469305">
      <w:bodyDiv w:val="1"/>
      <w:marLeft w:val="0"/>
      <w:marRight w:val="0"/>
      <w:marTop w:val="0"/>
      <w:marBottom w:val="0"/>
      <w:divBdr>
        <w:top w:val="none" w:sz="0" w:space="0" w:color="auto"/>
        <w:left w:val="none" w:sz="0" w:space="0" w:color="auto"/>
        <w:bottom w:val="none" w:sz="0" w:space="0" w:color="auto"/>
        <w:right w:val="none" w:sz="0" w:space="0" w:color="auto"/>
      </w:divBdr>
    </w:div>
    <w:div w:id="1187672943">
      <w:bodyDiv w:val="1"/>
      <w:marLeft w:val="0"/>
      <w:marRight w:val="0"/>
      <w:marTop w:val="0"/>
      <w:marBottom w:val="0"/>
      <w:divBdr>
        <w:top w:val="none" w:sz="0" w:space="0" w:color="auto"/>
        <w:left w:val="none" w:sz="0" w:space="0" w:color="auto"/>
        <w:bottom w:val="none" w:sz="0" w:space="0" w:color="auto"/>
        <w:right w:val="none" w:sz="0" w:space="0" w:color="auto"/>
      </w:divBdr>
    </w:div>
    <w:div w:id="1214731687">
      <w:bodyDiv w:val="1"/>
      <w:marLeft w:val="0"/>
      <w:marRight w:val="0"/>
      <w:marTop w:val="0"/>
      <w:marBottom w:val="0"/>
      <w:divBdr>
        <w:top w:val="none" w:sz="0" w:space="0" w:color="auto"/>
        <w:left w:val="none" w:sz="0" w:space="0" w:color="auto"/>
        <w:bottom w:val="none" w:sz="0" w:space="0" w:color="auto"/>
        <w:right w:val="none" w:sz="0" w:space="0" w:color="auto"/>
      </w:divBdr>
    </w:div>
    <w:div w:id="1216699988">
      <w:bodyDiv w:val="1"/>
      <w:marLeft w:val="0"/>
      <w:marRight w:val="0"/>
      <w:marTop w:val="0"/>
      <w:marBottom w:val="0"/>
      <w:divBdr>
        <w:top w:val="none" w:sz="0" w:space="0" w:color="auto"/>
        <w:left w:val="none" w:sz="0" w:space="0" w:color="auto"/>
        <w:bottom w:val="none" w:sz="0" w:space="0" w:color="auto"/>
        <w:right w:val="none" w:sz="0" w:space="0" w:color="auto"/>
      </w:divBdr>
    </w:div>
    <w:div w:id="1224945783">
      <w:bodyDiv w:val="1"/>
      <w:marLeft w:val="0"/>
      <w:marRight w:val="0"/>
      <w:marTop w:val="0"/>
      <w:marBottom w:val="0"/>
      <w:divBdr>
        <w:top w:val="none" w:sz="0" w:space="0" w:color="auto"/>
        <w:left w:val="none" w:sz="0" w:space="0" w:color="auto"/>
        <w:bottom w:val="none" w:sz="0" w:space="0" w:color="auto"/>
        <w:right w:val="none" w:sz="0" w:space="0" w:color="auto"/>
      </w:divBdr>
    </w:div>
    <w:div w:id="1239830323">
      <w:bodyDiv w:val="1"/>
      <w:marLeft w:val="0"/>
      <w:marRight w:val="0"/>
      <w:marTop w:val="0"/>
      <w:marBottom w:val="0"/>
      <w:divBdr>
        <w:top w:val="none" w:sz="0" w:space="0" w:color="auto"/>
        <w:left w:val="none" w:sz="0" w:space="0" w:color="auto"/>
        <w:bottom w:val="none" w:sz="0" w:space="0" w:color="auto"/>
        <w:right w:val="none" w:sz="0" w:space="0" w:color="auto"/>
      </w:divBdr>
    </w:div>
    <w:div w:id="1261140949">
      <w:bodyDiv w:val="1"/>
      <w:marLeft w:val="0"/>
      <w:marRight w:val="0"/>
      <w:marTop w:val="0"/>
      <w:marBottom w:val="0"/>
      <w:divBdr>
        <w:top w:val="none" w:sz="0" w:space="0" w:color="auto"/>
        <w:left w:val="none" w:sz="0" w:space="0" w:color="auto"/>
        <w:bottom w:val="none" w:sz="0" w:space="0" w:color="auto"/>
        <w:right w:val="none" w:sz="0" w:space="0" w:color="auto"/>
      </w:divBdr>
    </w:div>
    <w:div w:id="1262451263">
      <w:bodyDiv w:val="1"/>
      <w:marLeft w:val="0"/>
      <w:marRight w:val="0"/>
      <w:marTop w:val="0"/>
      <w:marBottom w:val="0"/>
      <w:divBdr>
        <w:top w:val="none" w:sz="0" w:space="0" w:color="auto"/>
        <w:left w:val="none" w:sz="0" w:space="0" w:color="auto"/>
        <w:bottom w:val="none" w:sz="0" w:space="0" w:color="auto"/>
        <w:right w:val="none" w:sz="0" w:space="0" w:color="auto"/>
      </w:divBdr>
    </w:div>
    <w:div w:id="1265261871">
      <w:bodyDiv w:val="1"/>
      <w:marLeft w:val="0"/>
      <w:marRight w:val="0"/>
      <w:marTop w:val="0"/>
      <w:marBottom w:val="0"/>
      <w:divBdr>
        <w:top w:val="none" w:sz="0" w:space="0" w:color="auto"/>
        <w:left w:val="none" w:sz="0" w:space="0" w:color="auto"/>
        <w:bottom w:val="none" w:sz="0" w:space="0" w:color="auto"/>
        <w:right w:val="none" w:sz="0" w:space="0" w:color="auto"/>
      </w:divBdr>
    </w:div>
    <w:div w:id="1265698044">
      <w:bodyDiv w:val="1"/>
      <w:marLeft w:val="0"/>
      <w:marRight w:val="0"/>
      <w:marTop w:val="0"/>
      <w:marBottom w:val="0"/>
      <w:divBdr>
        <w:top w:val="none" w:sz="0" w:space="0" w:color="auto"/>
        <w:left w:val="none" w:sz="0" w:space="0" w:color="auto"/>
        <w:bottom w:val="none" w:sz="0" w:space="0" w:color="auto"/>
        <w:right w:val="none" w:sz="0" w:space="0" w:color="auto"/>
      </w:divBdr>
    </w:div>
    <w:div w:id="1266494537">
      <w:bodyDiv w:val="1"/>
      <w:marLeft w:val="0"/>
      <w:marRight w:val="0"/>
      <w:marTop w:val="0"/>
      <w:marBottom w:val="0"/>
      <w:divBdr>
        <w:top w:val="none" w:sz="0" w:space="0" w:color="auto"/>
        <w:left w:val="none" w:sz="0" w:space="0" w:color="auto"/>
        <w:bottom w:val="none" w:sz="0" w:space="0" w:color="auto"/>
        <w:right w:val="none" w:sz="0" w:space="0" w:color="auto"/>
      </w:divBdr>
    </w:div>
    <w:div w:id="1267806025">
      <w:bodyDiv w:val="1"/>
      <w:marLeft w:val="0"/>
      <w:marRight w:val="0"/>
      <w:marTop w:val="0"/>
      <w:marBottom w:val="0"/>
      <w:divBdr>
        <w:top w:val="none" w:sz="0" w:space="0" w:color="auto"/>
        <w:left w:val="none" w:sz="0" w:space="0" w:color="auto"/>
        <w:bottom w:val="none" w:sz="0" w:space="0" w:color="auto"/>
        <w:right w:val="none" w:sz="0" w:space="0" w:color="auto"/>
      </w:divBdr>
    </w:div>
    <w:div w:id="1274439531">
      <w:bodyDiv w:val="1"/>
      <w:marLeft w:val="0"/>
      <w:marRight w:val="0"/>
      <w:marTop w:val="0"/>
      <w:marBottom w:val="0"/>
      <w:divBdr>
        <w:top w:val="none" w:sz="0" w:space="0" w:color="auto"/>
        <w:left w:val="none" w:sz="0" w:space="0" w:color="auto"/>
        <w:bottom w:val="none" w:sz="0" w:space="0" w:color="auto"/>
        <w:right w:val="none" w:sz="0" w:space="0" w:color="auto"/>
      </w:divBdr>
    </w:div>
    <w:div w:id="1278368322">
      <w:bodyDiv w:val="1"/>
      <w:marLeft w:val="0"/>
      <w:marRight w:val="0"/>
      <w:marTop w:val="0"/>
      <w:marBottom w:val="0"/>
      <w:divBdr>
        <w:top w:val="none" w:sz="0" w:space="0" w:color="auto"/>
        <w:left w:val="none" w:sz="0" w:space="0" w:color="auto"/>
        <w:bottom w:val="none" w:sz="0" w:space="0" w:color="auto"/>
        <w:right w:val="none" w:sz="0" w:space="0" w:color="auto"/>
      </w:divBdr>
    </w:div>
    <w:div w:id="1283267839">
      <w:bodyDiv w:val="1"/>
      <w:marLeft w:val="0"/>
      <w:marRight w:val="0"/>
      <w:marTop w:val="0"/>
      <w:marBottom w:val="0"/>
      <w:divBdr>
        <w:top w:val="none" w:sz="0" w:space="0" w:color="auto"/>
        <w:left w:val="none" w:sz="0" w:space="0" w:color="auto"/>
        <w:bottom w:val="none" w:sz="0" w:space="0" w:color="auto"/>
        <w:right w:val="none" w:sz="0" w:space="0" w:color="auto"/>
      </w:divBdr>
    </w:div>
    <w:div w:id="1295910295">
      <w:bodyDiv w:val="1"/>
      <w:marLeft w:val="0"/>
      <w:marRight w:val="0"/>
      <w:marTop w:val="0"/>
      <w:marBottom w:val="0"/>
      <w:divBdr>
        <w:top w:val="none" w:sz="0" w:space="0" w:color="auto"/>
        <w:left w:val="none" w:sz="0" w:space="0" w:color="auto"/>
        <w:bottom w:val="none" w:sz="0" w:space="0" w:color="auto"/>
        <w:right w:val="none" w:sz="0" w:space="0" w:color="auto"/>
      </w:divBdr>
    </w:div>
    <w:div w:id="1307079252">
      <w:bodyDiv w:val="1"/>
      <w:marLeft w:val="0"/>
      <w:marRight w:val="0"/>
      <w:marTop w:val="0"/>
      <w:marBottom w:val="0"/>
      <w:divBdr>
        <w:top w:val="none" w:sz="0" w:space="0" w:color="auto"/>
        <w:left w:val="none" w:sz="0" w:space="0" w:color="auto"/>
        <w:bottom w:val="none" w:sz="0" w:space="0" w:color="auto"/>
        <w:right w:val="none" w:sz="0" w:space="0" w:color="auto"/>
      </w:divBdr>
    </w:div>
    <w:div w:id="1324896905">
      <w:bodyDiv w:val="1"/>
      <w:marLeft w:val="0"/>
      <w:marRight w:val="0"/>
      <w:marTop w:val="0"/>
      <w:marBottom w:val="0"/>
      <w:divBdr>
        <w:top w:val="none" w:sz="0" w:space="0" w:color="auto"/>
        <w:left w:val="none" w:sz="0" w:space="0" w:color="auto"/>
        <w:bottom w:val="none" w:sz="0" w:space="0" w:color="auto"/>
        <w:right w:val="none" w:sz="0" w:space="0" w:color="auto"/>
      </w:divBdr>
    </w:div>
    <w:div w:id="1326083084">
      <w:bodyDiv w:val="1"/>
      <w:marLeft w:val="0"/>
      <w:marRight w:val="0"/>
      <w:marTop w:val="0"/>
      <w:marBottom w:val="0"/>
      <w:divBdr>
        <w:top w:val="none" w:sz="0" w:space="0" w:color="auto"/>
        <w:left w:val="none" w:sz="0" w:space="0" w:color="auto"/>
        <w:bottom w:val="none" w:sz="0" w:space="0" w:color="auto"/>
        <w:right w:val="none" w:sz="0" w:space="0" w:color="auto"/>
      </w:divBdr>
    </w:div>
    <w:div w:id="1327709477">
      <w:bodyDiv w:val="1"/>
      <w:marLeft w:val="0"/>
      <w:marRight w:val="0"/>
      <w:marTop w:val="0"/>
      <w:marBottom w:val="0"/>
      <w:divBdr>
        <w:top w:val="none" w:sz="0" w:space="0" w:color="auto"/>
        <w:left w:val="none" w:sz="0" w:space="0" w:color="auto"/>
        <w:bottom w:val="none" w:sz="0" w:space="0" w:color="auto"/>
        <w:right w:val="none" w:sz="0" w:space="0" w:color="auto"/>
      </w:divBdr>
    </w:div>
    <w:div w:id="1329023320">
      <w:bodyDiv w:val="1"/>
      <w:marLeft w:val="0"/>
      <w:marRight w:val="0"/>
      <w:marTop w:val="0"/>
      <w:marBottom w:val="0"/>
      <w:divBdr>
        <w:top w:val="none" w:sz="0" w:space="0" w:color="auto"/>
        <w:left w:val="none" w:sz="0" w:space="0" w:color="auto"/>
        <w:bottom w:val="none" w:sz="0" w:space="0" w:color="auto"/>
        <w:right w:val="none" w:sz="0" w:space="0" w:color="auto"/>
      </w:divBdr>
    </w:div>
    <w:div w:id="1348826499">
      <w:bodyDiv w:val="1"/>
      <w:marLeft w:val="0"/>
      <w:marRight w:val="0"/>
      <w:marTop w:val="0"/>
      <w:marBottom w:val="0"/>
      <w:divBdr>
        <w:top w:val="none" w:sz="0" w:space="0" w:color="auto"/>
        <w:left w:val="none" w:sz="0" w:space="0" w:color="auto"/>
        <w:bottom w:val="none" w:sz="0" w:space="0" w:color="auto"/>
        <w:right w:val="none" w:sz="0" w:space="0" w:color="auto"/>
      </w:divBdr>
    </w:div>
    <w:div w:id="1351177276">
      <w:bodyDiv w:val="1"/>
      <w:marLeft w:val="0"/>
      <w:marRight w:val="0"/>
      <w:marTop w:val="0"/>
      <w:marBottom w:val="0"/>
      <w:divBdr>
        <w:top w:val="none" w:sz="0" w:space="0" w:color="auto"/>
        <w:left w:val="none" w:sz="0" w:space="0" w:color="auto"/>
        <w:bottom w:val="none" w:sz="0" w:space="0" w:color="auto"/>
        <w:right w:val="none" w:sz="0" w:space="0" w:color="auto"/>
      </w:divBdr>
    </w:div>
    <w:div w:id="1353187973">
      <w:bodyDiv w:val="1"/>
      <w:marLeft w:val="0"/>
      <w:marRight w:val="0"/>
      <w:marTop w:val="0"/>
      <w:marBottom w:val="0"/>
      <w:divBdr>
        <w:top w:val="none" w:sz="0" w:space="0" w:color="auto"/>
        <w:left w:val="none" w:sz="0" w:space="0" w:color="auto"/>
        <w:bottom w:val="none" w:sz="0" w:space="0" w:color="auto"/>
        <w:right w:val="none" w:sz="0" w:space="0" w:color="auto"/>
      </w:divBdr>
    </w:div>
    <w:div w:id="1357654178">
      <w:bodyDiv w:val="1"/>
      <w:marLeft w:val="0"/>
      <w:marRight w:val="0"/>
      <w:marTop w:val="0"/>
      <w:marBottom w:val="0"/>
      <w:divBdr>
        <w:top w:val="none" w:sz="0" w:space="0" w:color="auto"/>
        <w:left w:val="none" w:sz="0" w:space="0" w:color="auto"/>
        <w:bottom w:val="none" w:sz="0" w:space="0" w:color="auto"/>
        <w:right w:val="none" w:sz="0" w:space="0" w:color="auto"/>
      </w:divBdr>
    </w:div>
    <w:div w:id="1358388687">
      <w:bodyDiv w:val="1"/>
      <w:marLeft w:val="0"/>
      <w:marRight w:val="0"/>
      <w:marTop w:val="0"/>
      <w:marBottom w:val="0"/>
      <w:divBdr>
        <w:top w:val="none" w:sz="0" w:space="0" w:color="auto"/>
        <w:left w:val="none" w:sz="0" w:space="0" w:color="auto"/>
        <w:bottom w:val="none" w:sz="0" w:space="0" w:color="auto"/>
        <w:right w:val="none" w:sz="0" w:space="0" w:color="auto"/>
      </w:divBdr>
    </w:div>
    <w:div w:id="1360817056">
      <w:bodyDiv w:val="1"/>
      <w:marLeft w:val="0"/>
      <w:marRight w:val="0"/>
      <w:marTop w:val="0"/>
      <w:marBottom w:val="0"/>
      <w:divBdr>
        <w:top w:val="none" w:sz="0" w:space="0" w:color="auto"/>
        <w:left w:val="none" w:sz="0" w:space="0" w:color="auto"/>
        <w:bottom w:val="none" w:sz="0" w:space="0" w:color="auto"/>
        <w:right w:val="none" w:sz="0" w:space="0" w:color="auto"/>
      </w:divBdr>
    </w:div>
    <w:div w:id="1364136482">
      <w:bodyDiv w:val="1"/>
      <w:marLeft w:val="0"/>
      <w:marRight w:val="0"/>
      <w:marTop w:val="0"/>
      <w:marBottom w:val="0"/>
      <w:divBdr>
        <w:top w:val="none" w:sz="0" w:space="0" w:color="auto"/>
        <w:left w:val="none" w:sz="0" w:space="0" w:color="auto"/>
        <w:bottom w:val="none" w:sz="0" w:space="0" w:color="auto"/>
        <w:right w:val="none" w:sz="0" w:space="0" w:color="auto"/>
      </w:divBdr>
    </w:div>
    <w:div w:id="1389840356">
      <w:bodyDiv w:val="1"/>
      <w:marLeft w:val="0"/>
      <w:marRight w:val="0"/>
      <w:marTop w:val="0"/>
      <w:marBottom w:val="0"/>
      <w:divBdr>
        <w:top w:val="none" w:sz="0" w:space="0" w:color="auto"/>
        <w:left w:val="none" w:sz="0" w:space="0" w:color="auto"/>
        <w:bottom w:val="none" w:sz="0" w:space="0" w:color="auto"/>
        <w:right w:val="none" w:sz="0" w:space="0" w:color="auto"/>
      </w:divBdr>
    </w:div>
    <w:div w:id="1391881434">
      <w:bodyDiv w:val="1"/>
      <w:marLeft w:val="0"/>
      <w:marRight w:val="0"/>
      <w:marTop w:val="0"/>
      <w:marBottom w:val="0"/>
      <w:divBdr>
        <w:top w:val="none" w:sz="0" w:space="0" w:color="auto"/>
        <w:left w:val="none" w:sz="0" w:space="0" w:color="auto"/>
        <w:bottom w:val="none" w:sz="0" w:space="0" w:color="auto"/>
        <w:right w:val="none" w:sz="0" w:space="0" w:color="auto"/>
      </w:divBdr>
    </w:div>
    <w:div w:id="1407263821">
      <w:bodyDiv w:val="1"/>
      <w:marLeft w:val="0"/>
      <w:marRight w:val="0"/>
      <w:marTop w:val="0"/>
      <w:marBottom w:val="0"/>
      <w:divBdr>
        <w:top w:val="none" w:sz="0" w:space="0" w:color="auto"/>
        <w:left w:val="none" w:sz="0" w:space="0" w:color="auto"/>
        <w:bottom w:val="none" w:sz="0" w:space="0" w:color="auto"/>
        <w:right w:val="none" w:sz="0" w:space="0" w:color="auto"/>
      </w:divBdr>
    </w:div>
    <w:div w:id="1416434397">
      <w:bodyDiv w:val="1"/>
      <w:marLeft w:val="0"/>
      <w:marRight w:val="0"/>
      <w:marTop w:val="0"/>
      <w:marBottom w:val="0"/>
      <w:divBdr>
        <w:top w:val="none" w:sz="0" w:space="0" w:color="auto"/>
        <w:left w:val="none" w:sz="0" w:space="0" w:color="auto"/>
        <w:bottom w:val="none" w:sz="0" w:space="0" w:color="auto"/>
        <w:right w:val="none" w:sz="0" w:space="0" w:color="auto"/>
      </w:divBdr>
    </w:div>
    <w:div w:id="1417746496">
      <w:bodyDiv w:val="1"/>
      <w:marLeft w:val="0"/>
      <w:marRight w:val="0"/>
      <w:marTop w:val="0"/>
      <w:marBottom w:val="0"/>
      <w:divBdr>
        <w:top w:val="none" w:sz="0" w:space="0" w:color="auto"/>
        <w:left w:val="none" w:sz="0" w:space="0" w:color="auto"/>
        <w:bottom w:val="none" w:sz="0" w:space="0" w:color="auto"/>
        <w:right w:val="none" w:sz="0" w:space="0" w:color="auto"/>
      </w:divBdr>
    </w:div>
    <w:div w:id="1428967753">
      <w:bodyDiv w:val="1"/>
      <w:marLeft w:val="0"/>
      <w:marRight w:val="0"/>
      <w:marTop w:val="0"/>
      <w:marBottom w:val="0"/>
      <w:divBdr>
        <w:top w:val="none" w:sz="0" w:space="0" w:color="auto"/>
        <w:left w:val="none" w:sz="0" w:space="0" w:color="auto"/>
        <w:bottom w:val="none" w:sz="0" w:space="0" w:color="auto"/>
        <w:right w:val="none" w:sz="0" w:space="0" w:color="auto"/>
      </w:divBdr>
    </w:div>
    <w:div w:id="1432048246">
      <w:bodyDiv w:val="1"/>
      <w:marLeft w:val="0"/>
      <w:marRight w:val="0"/>
      <w:marTop w:val="0"/>
      <w:marBottom w:val="0"/>
      <w:divBdr>
        <w:top w:val="none" w:sz="0" w:space="0" w:color="auto"/>
        <w:left w:val="none" w:sz="0" w:space="0" w:color="auto"/>
        <w:bottom w:val="none" w:sz="0" w:space="0" w:color="auto"/>
        <w:right w:val="none" w:sz="0" w:space="0" w:color="auto"/>
      </w:divBdr>
    </w:div>
    <w:div w:id="1448811239">
      <w:bodyDiv w:val="1"/>
      <w:marLeft w:val="0"/>
      <w:marRight w:val="0"/>
      <w:marTop w:val="0"/>
      <w:marBottom w:val="0"/>
      <w:divBdr>
        <w:top w:val="none" w:sz="0" w:space="0" w:color="auto"/>
        <w:left w:val="none" w:sz="0" w:space="0" w:color="auto"/>
        <w:bottom w:val="none" w:sz="0" w:space="0" w:color="auto"/>
        <w:right w:val="none" w:sz="0" w:space="0" w:color="auto"/>
      </w:divBdr>
    </w:div>
    <w:div w:id="1449467069">
      <w:bodyDiv w:val="1"/>
      <w:marLeft w:val="0"/>
      <w:marRight w:val="0"/>
      <w:marTop w:val="0"/>
      <w:marBottom w:val="0"/>
      <w:divBdr>
        <w:top w:val="none" w:sz="0" w:space="0" w:color="auto"/>
        <w:left w:val="none" w:sz="0" w:space="0" w:color="auto"/>
        <w:bottom w:val="none" w:sz="0" w:space="0" w:color="auto"/>
        <w:right w:val="none" w:sz="0" w:space="0" w:color="auto"/>
      </w:divBdr>
    </w:div>
    <w:div w:id="1464080712">
      <w:bodyDiv w:val="1"/>
      <w:marLeft w:val="0"/>
      <w:marRight w:val="0"/>
      <w:marTop w:val="0"/>
      <w:marBottom w:val="0"/>
      <w:divBdr>
        <w:top w:val="none" w:sz="0" w:space="0" w:color="auto"/>
        <w:left w:val="none" w:sz="0" w:space="0" w:color="auto"/>
        <w:bottom w:val="none" w:sz="0" w:space="0" w:color="auto"/>
        <w:right w:val="none" w:sz="0" w:space="0" w:color="auto"/>
      </w:divBdr>
    </w:div>
    <w:div w:id="1466847189">
      <w:bodyDiv w:val="1"/>
      <w:marLeft w:val="0"/>
      <w:marRight w:val="0"/>
      <w:marTop w:val="0"/>
      <w:marBottom w:val="0"/>
      <w:divBdr>
        <w:top w:val="none" w:sz="0" w:space="0" w:color="auto"/>
        <w:left w:val="none" w:sz="0" w:space="0" w:color="auto"/>
        <w:bottom w:val="none" w:sz="0" w:space="0" w:color="auto"/>
        <w:right w:val="none" w:sz="0" w:space="0" w:color="auto"/>
      </w:divBdr>
    </w:div>
    <w:div w:id="1467889210">
      <w:bodyDiv w:val="1"/>
      <w:marLeft w:val="0"/>
      <w:marRight w:val="0"/>
      <w:marTop w:val="0"/>
      <w:marBottom w:val="0"/>
      <w:divBdr>
        <w:top w:val="none" w:sz="0" w:space="0" w:color="auto"/>
        <w:left w:val="none" w:sz="0" w:space="0" w:color="auto"/>
        <w:bottom w:val="none" w:sz="0" w:space="0" w:color="auto"/>
        <w:right w:val="none" w:sz="0" w:space="0" w:color="auto"/>
      </w:divBdr>
    </w:div>
    <w:div w:id="1480920492">
      <w:bodyDiv w:val="1"/>
      <w:marLeft w:val="0"/>
      <w:marRight w:val="0"/>
      <w:marTop w:val="0"/>
      <w:marBottom w:val="0"/>
      <w:divBdr>
        <w:top w:val="none" w:sz="0" w:space="0" w:color="auto"/>
        <w:left w:val="none" w:sz="0" w:space="0" w:color="auto"/>
        <w:bottom w:val="none" w:sz="0" w:space="0" w:color="auto"/>
        <w:right w:val="none" w:sz="0" w:space="0" w:color="auto"/>
      </w:divBdr>
    </w:div>
    <w:div w:id="1489397887">
      <w:bodyDiv w:val="1"/>
      <w:marLeft w:val="0"/>
      <w:marRight w:val="0"/>
      <w:marTop w:val="0"/>
      <w:marBottom w:val="0"/>
      <w:divBdr>
        <w:top w:val="none" w:sz="0" w:space="0" w:color="auto"/>
        <w:left w:val="none" w:sz="0" w:space="0" w:color="auto"/>
        <w:bottom w:val="none" w:sz="0" w:space="0" w:color="auto"/>
        <w:right w:val="none" w:sz="0" w:space="0" w:color="auto"/>
      </w:divBdr>
    </w:div>
    <w:div w:id="1490831966">
      <w:bodyDiv w:val="1"/>
      <w:marLeft w:val="0"/>
      <w:marRight w:val="0"/>
      <w:marTop w:val="0"/>
      <w:marBottom w:val="0"/>
      <w:divBdr>
        <w:top w:val="none" w:sz="0" w:space="0" w:color="auto"/>
        <w:left w:val="none" w:sz="0" w:space="0" w:color="auto"/>
        <w:bottom w:val="none" w:sz="0" w:space="0" w:color="auto"/>
        <w:right w:val="none" w:sz="0" w:space="0" w:color="auto"/>
      </w:divBdr>
    </w:div>
    <w:div w:id="1491213872">
      <w:bodyDiv w:val="1"/>
      <w:marLeft w:val="0"/>
      <w:marRight w:val="0"/>
      <w:marTop w:val="0"/>
      <w:marBottom w:val="0"/>
      <w:divBdr>
        <w:top w:val="none" w:sz="0" w:space="0" w:color="auto"/>
        <w:left w:val="none" w:sz="0" w:space="0" w:color="auto"/>
        <w:bottom w:val="none" w:sz="0" w:space="0" w:color="auto"/>
        <w:right w:val="none" w:sz="0" w:space="0" w:color="auto"/>
      </w:divBdr>
    </w:div>
    <w:div w:id="1510172052">
      <w:bodyDiv w:val="1"/>
      <w:marLeft w:val="0"/>
      <w:marRight w:val="0"/>
      <w:marTop w:val="0"/>
      <w:marBottom w:val="0"/>
      <w:divBdr>
        <w:top w:val="none" w:sz="0" w:space="0" w:color="auto"/>
        <w:left w:val="none" w:sz="0" w:space="0" w:color="auto"/>
        <w:bottom w:val="none" w:sz="0" w:space="0" w:color="auto"/>
        <w:right w:val="none" w:sz="0" w:space="0" w:color="auto"/>
      </w:divBdr>
    </w:div>
    <w:div w:id="1512526950">
      <w:bodyDiv w:val="1"/>
      <w:marLeft w:val="0"/>
      <w:marRight w:val="0"/>
      <w:marTop w:val="0"/>
      <w:marBottom w:val="0"/>
      <w:divBdr>
        <w:top w:val="none" w:sz="0" w:space="0" w:color="auto"/>
        <w:left w:val="none" w:sz="0" w:space="0" w:color="auto"/>
        <w:bottom w:val="none" w:sz="0" w:space="0" w:color="auto"/>
        <w:right w:val="none" w:sz="0" w:space="0" w:color="auto"/>
      </w:divBdr>
    </w:div>
    <w:div w:id="1537498256">
      <w:bodyDiv w:val="1"/>
      <w:marLeft w:val="0"/>
      <w:marRight w:val="0"/>
      <w:marTop w:val="0"/>
      <w:marBottom w:val="0"/>
      <w:divBdr>
        <w:top w:val="none" w:sz="0" w:space="0" w:color="auto"/>
        <w:left w:val="none" w:sz="0" w:space="0" w:color="auto"/>
        <w:bottom w:val="none" w:sz="0" w:space="0" w:color="auto"/>
        <w:right w:val="none" w:sz="0" w:space="0" w:color="auto"/>
      </w:divBdr>
    </w:div>
    <w:div w:id="1537543596">
      <w:bodyDiv w:val="1"/>
      <w:marLeft w:val="0"/>
      <w:marRight w:val="0"/>
      <w:marTop w:val="0"/>
      <w:marBottom w:val="0"/>
      <w:divBdr>
        <w:top w:val="none" w:sz="0" w:space="0" w:color="auto"/>
        <w:left w:val="none" w:sz="0" w:space="0" w:color="auto"/>
        <w:bottom w:val="none" w:sz="0" w:space="0" w:color="auto"/>
        <w:right w:val="none" w:sz="0" w:space="0" w:color="auto"/>
      </w:divBdr>
    </w:div>
    <w:div w:id="1537691318">
      <w:bodyDiv w:val="1"/>
      <w:marLeft w:val="0"/>
      <w:marRight w:val="0"/>
      <w:marTop w:val="0"/>
      <w:marBottom w:val="0"/>
      <w:divBdr>
        <w:top w:val="none" w:sz="0" w:space="0" w:color="auto"/>
        <w:left w:val="none" w:sz="0" w:space="0" w:color="auto"/>
        <w:bottom w:val="none" w:sz="0" w:space="0" w:color="auto"/>
        <w:right w:val="none" w:sz="0" w:space="0" w:color="auto"/>
      </w:divBdr>
    </w:div>
    <w:div w:id="1592006776">
      <w:bodyDiv w:val="1"/>
      <w:marLeft w:val="0"/>
      <w:marRight w:val="0"/>
      <w:marTop w:val="0"/>
      <w:marBottom w:val="0"/>
      <w:divBdr>
        <w:top w:val="none" w:sz="0" w:space="0" w:color="auto"/>
        <w:left w:val="none" w:sz="0" w:space="0" w:color="auto"/>
        <w:bottom w:val="none" w:sz="0" w:space="0" w:color="auto"/>
        <w:right w:val="none" w:sz="0" w:space="0" w:color="auto"/>
      </w:divBdr>
    </w:div>
    <w:div w:id="1602685407">
      <w:bodyDiv w:val="1"/>
      <w:marLeft w:val="0"/>
      <w:marRight w:val="0"/>
      <w:marTop w:val="0"/>
      <w:marBottom w:val="0"/>
      <w:divBdr>
        <w:top w:val="none" w:sz="0" w:space="0" w:color="auto"/>
        <w:left w:val="none" w:sz="0" w:space="0" w:color="auto"/>
        <w:bottom w:val="none" w:sz="0" w:space="0" w:color="auto"/>
        <w:right w:val="none" w:sz="0" w:space="0" w:color="auto"/>
      </w:divBdr>
    </w:div>
    <w:div w:id="1603341136">
      <w:bodyDiv w:val="1"/>
      <w:marLeft w:val="0"/>
      <w:marRight w:val="0"/>
      <w:marTop w:val="0"/>
      <w:marBottom w:val="0"/>
      <w:divBdr>
        <w:top w:val="none" w:sz="0" w:space="0" w:color="auto"/>
        <w:left w:val="none" w:sz="0" w:space="0" w:color="auto"/>
        <w:bottom w:val="none" w:sz="0" w:space="0" w:color="auto"/>
        <w:right w:val="none" w:sz="0" w:space="0" w:color="auto"/>
      </w:divBdr>
    </w:div>
    <w:div w:id="1612862836">
      <w:bodyDiv w:val="1"/>
      <w:marLeft w:val="0"/>
      <w:marRight w:val="0"/>
      <w:marTop w:val="0"/>
      <w:marBottom w:val="0"/>
      <w:divBdr>
        <w:top w:val="none" w:sz="0" w:space="0" w:color="auto"/>
        <w:left w:val="none" w:sz="0" w:space="0" w:color="auto"/>
        <w:bottom w:val="none" w:sz="0" w:space="0" w:color="auto"/>
        <w:right w:val="none" w:sz="0" w:space="0" w:color="auto"/>
      </w:divBdr>
    </w:div>
    <w:div w:id="1626277163">
      <w:bodyDiv w:val="1"/>
      <w:marLeft w:val="0"/>
      <w:marRight w:val="0"/>
      <w:marTop w:val="0"/>
      <w:marBottom w:val="0"/>
      <w:divBdr>
        <w:top w:val="none" w:sz="0" w:space="0" w:color="auto"/>
        <w:left w:val="none" w:sz="0" w:space="0" w:color="auto"/>
        <w:bottom w:val="none" w:sz="0" w:space="0" w:color="auto"/>
        <w:right w:val="none" w:sz="0" w:space="0" w:color="auto"/>
      </w:divBdr>
    </w:div>
    <w:div w:id="1638100309">
      <w:bodyDiv w:val="1"/>
      <w:marLeft w:val="0"/>
      <w:marRight w:val="0"/>
      <w:marTop w:val="0"/>
      <w:marBottom w:val="0"/>
      <w:divBdr>
        <w:top w:val="none" w:sz="0" w:space="0" w:color="auto"/>
        <w:left w:val="none" w:sz="0" w:space="0" w:color="auto"/>
        <w:bottom w:val="none" w:sz="0" w:space="0" w:color="auto"/>
        <w:right w:val="none" w:sz="0" w:space="0" w:color="auto"/>
      </w:divBdr>
    </w:div>
    <w:div w:id="1641420097">
      <w:bodyDiv w:val="1"/>
      <w:marLeft w:val="0"/>
      <w:marRight w:val="0"/>
      <w:marTop w:val="0"/>
      <w:marBottom w:val="0"/>
      <w:divBdr>
        <w:top w:val="none" w:sz="0" w:space="0" w:color="auto"/>
        <w:left w:val="none" w:sz="0" w:space="0" w:color="auto"/>
        <w:bottom w:val="none" w:sz="0" w:space="0" w:color="auto"/>
        <w:right w:val="none" w:sz="0" w:space="0" w:color="auto"/>
      </w:divBdr>
    </w:div>
    <w:div w:id="1654290862">
      <w:bodyDiv w:val="1"/>
      <w:marLeft w:val="0"/>
      <w:marRight w:val="0"/>
      <w:marTop w:val="0"/>
      <w:marBottom w:val="0"/>
      <w:divBdr>
        <w:top w:val="none" w:sz="0" w:space="0" w:color="auto"/>
        <w:left w:val="none" w:sz="0" w:space="0" w:color="auto"/>
        <w:bottom w:val="none" w:sz="0" w:space="0" w:color="auto"/>
        <w:right w:val="none" w:sz="0" w:space="0" w:color="auto"/>
      </w:divBdr>
    </w:div>
    <w:div w:id="1656689464">
      <w:bodyDiv w:val="1"/>
      <w:marLeft w:val="0"/>
      <w:marRight w:val="0"/>
      <w:marTop w:val="0"/>
      <w:marBottom w:val="0"/>
      <w:divBdr>
        <w:top w:val="none" w:sz="0" w:space="0" w:color="auto"/>
        <w:left w:val="none" w:sz="0" w:space="0" w:color="auto"/>
        <w:bottom w:val="none" w:sz="0" w:space="0" w:color="auto"/>
        <w:right w:val="none" w:sz="0" w:space="0" w:color="auto"/>
      </w:divBdr>
    </w:div>
    <w:div w:id="1665862727">
      <w:bodyDiv w:val="1"/>
      <w:marLeft w:val="0"/>
      <w:marRight w:val="0"/>
      <w:marTop w:val="0"/>
      <w:marBottom w:val="0"/>
      <w:divBdr>
        <w:top w:val="none" w:sz="0" w:space="0" w:color="auto"/>
        <w:left w:val="none" w:sz="0" w:space="0" w:color="auto"/>
        <w:bottom w:val="none" w:sz="0" w:space="0" w:color="auto"/>
        <w:right w:val="none" w:sz="0" w:space="0" w:color="auto"/>
      </w:divBdr>
    </w:div>
    <w:div w:id="1690447192">
      <w:bodyDiv w:val="1"/>
      <w:marLeft w:val="0"/>
      <w:marRight w:val="0"/>
      <w:marTop w:val="0"/>
      <w:marBottom w:val="0"/>
      <w:divBdr>
        <w:top w:val="none" w:sz="0" w:space="0" w:color="auto"/>
        <w:left w:val="none" w:sz="0" w:space="0" w:color="auto"/>
        <w:bottom w:val="none" w:sz="0" w:space="0" w:color="auto"/>
        <w:right w:val="none" w:sz="0" w:space="0" w:color="auto"/>
      </w:divBdr>
    </w:div>
    <w:div w:id="1693992456">
      <w:bodyDiv w:val="1"/>
      <w:marLeft w:val="0"/>
      <w:marRight w:val="0"/>
      <w:marTop w:val="0"/>
      <w:marBottom w:val="0"/>
      <w:divBdr>
        <w:top w:val="none" w:sz="0" w:space="0" w:color="auto"/>
        <w:left w:val="none" w:sz="0" w:space="0" w:color="auto"/>
        <w:bottom w:val="none" w:sz="0" w:space="0" w:color="auto"/>
        <w:right w:val="none" w:sz="0" w:space="0" w:color="auto"/>
      </w:divBdr>
    </w:div>
    <w:div w:id="1695496663">
      <w:bodyDiv w:val="1"/>
      <w:marLeft w:val="0"/>
      <w:marRight w:val="0"/>
      <w:marTop w:val="0"/>
      <w:marBottom w:val="0"/>
      <w:divBdr>
        <w:top w:val="none" w:sz="0" w:space="0" w:color="auto"/>
        <w:left w:val="none" w:sz="0" w:space="0" w:color="auto"/>
        <w:bottom w:val="none" w:sz="0" w:space="0" w:color="auto"/>
        <w:right w:val="none" w:sz="0" w:space="0" w:color="auto"/>
      </w:divBdr>
    </w:div>
    <w:div w:id="1695879777">
      <w:bodyDiv w:val="1"/>
      <w:marLeft w:val="0"/>
      <w:marRight w:val="0"/>
      <w:marTop w:val="0"/>
      <w:marBottom w:val="0"/>
      <w:divBdr>
        <w:top w:val="none" w:sz="0" w:space="0" w:color="auto"/>
        <w:left w:val="none" w:sz="0" w:space="0" w:color="auto"/>
        <w:bottom w:val="none" w:sz="0" w:space="0" w:color="auto"/>
        <w:right w:val="none" w:sz="0" w:space="0" w:color="auto"/>
      </w:divBdr>
    </w:div>
    <w:div w:id="1700205172">
      <w:bodyDiv w:val="1"/>
      <w:marLeft w:val="0"/>
      <w:marRight w:val="0"/>
      <w:marTop w:val="0"/>
      <w:marBottom w:val="0"/>
      <w:divBdr>
        <w:top w:val="none" w:sz="0" w:space="0" w:color="auto"/>
        <w:left w:val="none" w:sz="0" w:space="0" w:color="auto"/>
        <w:bottom w:val="none" w:sz="0" w:space="0" w:color="auto"/>
        <w:right w:val="none" w:sz="0" w:space="0" w:color="auto"/>
      </w:divBdr>
    </w:div>
    <w:div w:id="1713187106">
      <w:bodyDiv w:val="1"/>
      <w:marLeft w:val="0"/>
      <w:marRight w:val="0"/>
      <w:marTop w:val="0"/>
      <w:marBottom w:val="0"/>
      <w:divBdr>
        <w:top w:val="none" w:sz="0" w:space="0" w:color="auto"/>
        <w:left w:val="none" w:sz="0" w:space="0" w:color="auto"/>
        <w:bottom w:val="none" w:sz="0" w:space="0" w:color="auto"/>
        <w:right w:val="none" w:sz="0" w:space="0" w:color="auto"/>
      </w:divBdr>
    </w:div>
    <w:div w:id="1716923225">
      <w:bodyDiv w:val="1"/>
      <w:marLeft w:val="0"/>
      <w:marRight w:val="0"/>
      <w:marTop w:val="0"/>
      <w:marBottom w:val="0"/>
      <w:divBdr>
        <w:top w:val="none" w:sz="0" w:space="0" w:color="auto"/>
        <w:left w:val="none" w:sz="0" w:space="0" w:color="auto"/>
        <w:bottom w:val="none" w:sz="0" w:space="0" w:color="auto"/>
        <w:right w:val="none" w:sz="0" w:space="0" w:color="auto"/>
      </w:divBdr>
    </w:div>
    <w:div w:id="1722439501">
      <w:bodyDiv w:val="1"/>
      <w:marLeft w:val="0"/>
      <w:marRight w:val="0"/>
      <w:marTop w:val="0"/>
      <w:marBottom w:val="0"/>
      <w:divBdr>
        <w:top w:val="none" w:sz="0" w:space="0" w:color="auto"/>
        <w:left w:val="none" w:sz="0" w:space="0" w:color="auto"/>
        <w:bottom w:val="none" w:sz="0" w:space="0" w:color="auto"/>
        <w:right w:val="none" w:sz="0" w:space="0" w:color="auto"/>
      </w:divBdr>
    </w:div>
    <w:div w:id="1725106342">
      <w:bodyDiv w:val="1"/>
      <w:marLeft w:val="0"/>
      <w:marRight w:val="0"/>
      <w:marTop w:val="0"/>
      <w:marBottom w:val="0"/>
      <w:divBdr>
        <w:top w:val="none" w:sz="0" w:space="0" w:color="auto"/>
        <w:left w:val="none" w:sz="0" w:space="0" w:color="auto"/>
        <w:bottom w:val="none" w:sz="0" w:space="0" w:color="auto"/>
        <w:right w:val="none" w:sz="0" w:space="0" w:color="auto"/>
      </w:divBdr>
    </w:div>
    <w:div w:id="1743794072">
      <w:bodyDiv w:val="1"/>
      <w:marLeft w:val="0"/>
      <w:marRight w:val="0"/>
      <w:marTop w:val="0"/>
      <w:marBottom w:val="0"/>
      <w:divBdr>
        <w:top w:val="none" w:sz="0" w:space="0" w:color="auto"/>
        <w:left w:val="none" w:sz="0" w:space="0" w:color="auto"/>
        <w:bottom w:val="none" w:sz="0" w:space="0" w:color="auto"/>
        <w:right w:val="none" w:sz="0" w:space="0" w:color="auto"/>
      </w:divBdr>
    </w:div>
    <w:div w:id="1752462491">
      <w:bodyDiv w:val="1"/>
      <w:marLeft w:val="0"/>
      <w:marRight w:val="0"/>
      <w:marTop w:val="0"/>
      <w:marBottom w:val="0"/>
      <w:divBdr>
        <w:top w:val="none" w:sz="0" w:space="0" w:color="auto"/>
        <w:left w:val="none" w:sz="0" w:space="0" w:color="auto"/>
        <w:bottom w:val="none" w:sz="0" w:space="0" w:color="auto"/>
        <w:right w:val="none" w:sz="0" w:space="0" w:color="auto"/>
      </w:divBdr>
    </w:div>
    <w:div w:id="1757745262">
      <w:bodyDiv w:val="1"/>
      <w:marLeft w:val="0"/>
      <w:marRight w:val="0"/>
      <w:marTop w:val="0"/>
      <w:marBottom w:val="0"/>
      <w:divBdr>
        <w:top w:val="none" w:sz="0" w:space="0" w:color="auto"/>
        <w:left w:val="none" w:sz="0" w:space="0" w:color="auto"/>
        <w:bottom w:val="none" w:sz="0" w:space="0" w:color="auto"/>
        <w:right w:val="none" w:sz="0" w:space="0" w:color="auto"/>
      </w:divBdr>
    </w:div>
    <w:div w:id="1766457972">
      <w:bodyDiv w:val="1"/>
      <w:marLeft w:val="0"/>
      <w:marRight w:val="0"/>
      <w:marTop w:val="0"/>
      <w:marBottom w:val="0"/>
      <w:divBdr>
        <w:top w:val="none" w:sz="0" w:space="0" w:color="auto"/>
        <w:left w:val="none" w:sz="0" w:space="0" w:color="auto"/>
        <w:bottom w:val="none" w:sz="0" w:space="0" w:color="auto"/>
        <w:right w:val="none" w:sz="0" w:space="0" w:color="auto"/>
      </w:divBdr>
    </w:div>
    <w:div w:id="1799252103">
      <w:bodyDiv w:val="1"/>
      <w:marLeft w:val="0"/>
      <w:marRight w:val="0"/>
      <w:marTop w:val="0"/>
      <w:marBottom w:val="0"/>
      <w:divBdr>
        <w:top w:val="none" w:sz="0" w:space="0" w:color="auto"/>
        <w:left w:val="none" w:sz="0" w:space="0" w:color="auto"/>
        <w:bottom w:val="none" w:sz="0" w:space="0" w:color="auto"/>
        <w:right w:val="none" w:sz="0" w:space="0" w:color="auto"/>
      </w:divBdr>
    </w:div>
    <w:div w:id="1800684568">
      <w:bodyDiv w:val="1"/>
      <w:marLeft w:val="0"/>
      <w:marRight w:val="0"/>
      <w:marTop w:val="0"/>
      <w:marBottom w:val="0"/>
      <w:divBdr>
        <w:top w:val="none" w:sz="0" w:space="0" w:color="auto"/>
        <w:left w:val="none" w:sz="0" w:space="0" w:color="auto"/>
        <w:bottom w:val="none" w:sz="0" w:space="0" w:color="auto"/>
        <w:right w:val="none" w:sz="0" w:space="0" w:color="auto"/>
      </w:divBdr>
    </w:div>
    <w:div w:id="1801068359">
      <w:bodyDiv w:val="1"/>
      <w:marLeft w:val="0"/>
      <w:marRight w:val="0"/>
      <w:marTop w:val="0"/>
      <w:marBottom w:val="0"/>
      <w:divBdr>
        <w:top w:val="none" w:sz="0" w:space="0" w:color="auto"/>
        <w:left w:val="none" w:sz="0" w:space="0" w:color="auto"/>
        <w:bottom w:val="none" w:sz="0" w:space="0" w:color="auto"/>
        <w:right w:val="none" w:sz="0" w:space="0" w:color="auto"/>
      </w:divBdr>
    </w:div>
    <w:div w:id="1818256632">
      <w:bodyDiv w:val="1"/>
      <w:marLeft w:val="0"/>
      <w:marRight w:val="0"/>
      <w:marTop w:val="0"/>
      <w:marBottom w:val="0"/>
      <w:divBdr>
        <w:top w:val="none" w:sz="0" w:space="0" w:color="auto"/>
        <w:left w:val="none" w:sz="0" w:space="0" w:color="auto"/>
        <w:bottom w:val="none" w:sz="0" w:space="0" w:color="auto"/>
        <w:right w:val="none" w:sz="0" w:space="0" w:color="auto"/>
      </w:divBdr>
    </w:div>
    <w:div w:id="1828469590">
      <w:bodyDiv w:val="1"/>
      <w:marLeft w:val="0"/>
      <w:marRight w:val="0"/>
      <w:marTop w:val="0"/>
      <w:marBottom w:val="0"/>
      <w:divBdr>
        <w:top w:val="none" w:sz="0" w:space="0" w:color="auto"/>
        <w:left w:val="none" w:sz="0" w:space="0" w:color="auto"/>
        <w:bottom w:val="none" w:sz="0" w:space="0" w:color="auto"/>
        <w:right w:val="none" w:sz="0" w:space="0" w:color="auto"/>
      </w:divBdr>
    </w:div>
    <w:div w:id="1847941726">
      <w:bodyDiv w:val="1"/>
      <w:marLeft w:val="0"/>
      <w:marRight w:val="0"/>
      <w:marTop w:val="0"/>
      <w:marBottom w:val="0"/>
      <w:divBdr>
        <w:top w:val="none" w:sz="0" w:space="0" w:color="auto"/>
        <w:left w:val="none" w:sz="0" w:space="0" w:color="auto"/>
        <w:bottom w:val="none" w:sz="0" w:space="0" w:color="auto"/>
        <w:right w:val="none" w:sz="0" w:space="0" w:color="auto"/>
      </w:divBdr>
    </w:div>
    <w:div w:id="1849174047">
      <w:bodyDiv w:val="1"/>
      <w:marLeft w:val="0"/>
      <w:marRight w:val="0"/>
      <w:marTop w:val="0"/>
      <w:marBottom w:val="0"/>
      <w:divBdr>
        <w:top w:val="none" w:sz="0" w:space="0" w:color="auto"/>
        <w:left w:val="none" w:sz="0" w:space="0" w:color="auto"/>
        <w:bottom w:val="none" w:sz="0" w:space="0" w:color="auto"/>
        <w:right w:val="none" w:sz="0" w:space="0" w:color="auto"/>
      </w:divBdr>
    </w:div>
    <w:div w:id="1872302435">
      <w:bodyDiv w:val="1"/>
      <w:marLeft w:val="0"/>
      <w:marRight w:val="0"/>
      <w:marTop w:val="0"/>
      <w:marBottom w:val="0"/>
      <w:divBdr>
        <w:top w:val="none" w:sz="0" w:space="0" w:color="auto"/>
        <w:left w:val="none" w:sz="0" w:space="0" w:color="auto"/>
        <w:bottom w:val="none" w:sz="0" w:space="0" w:color="auto"/>
        <w:right w:val="none" w:sz="0" w:space="0" w:color="auto"/>
      </w:divBdr>
    </w:div>
    <w:div w:id="1876458416">
      <w:bodyDiv w:val="1"/>
      <w:marLeft w:val="0"/>
      <w:marRight w:val="0"/>
      <w:marTop w:val="0"/>
      <w:marBottom w:val="0"/>
      <w:divBdr>
        <w:top w:val="none" w:sz="0" w:space="0" w:color="auto"/>
        <w:left w:val="none" w:sz="0" w:space="0" w:color="auto"/>
        <w:bottom w:val="none" w:sz="0" w:space="0" w:color="auto"/>
        <w:right w:val="none" w:sz="0" w:space="0" w:color="auto"/>
      </w:divBdr>
    </w:div>
    <w:div w:id="1884710532">
      <w:bodyDiv w:val="1"/>
      <w:marLeft w:val="0"/>
      <w:marRight w:val="0"/>
      <w:marTop w:val="0"/>
      <w:marBottom w:val="0"/>
      <w:divBdr>
        <w:top w:val="none" w:sz="0" w:space="0" w:color="auto"/>
        <w:left w:val="none" w:sz="0" w:space="0" w:color="auto"/>
        <w:bottom w:val="none" w:sz="0" w:space="0" w:color="auto"/>
        <w:right w:val="none" w:sz="0" w:space="0" w:color="auto"/>
      </w:divBdr>
    </w:div>
    <w:div w:id="1889491102">
      <w:bodyDiv w:val="1"/>
      <w:marLeft w:val="0"/>
      <w:marRight w:val="0"/>
      <w:marTop w:val="0"/>
      <w:marBottom w:val="0"/>
      <w:divBdr>
        <w:top w:val="none" w:sz="0" w:space="0" w:color="auto"/>
        <w:left w:val="none" w:sz="0" w:space="0" w:color="auto"/>
        <w:bottom w:val="none" w:sz="0" w:space="0" w:color="auto"/>
        <w:right w:val="none" w:sz="0" w:space="0" w:color="auto"/>
      </w:divBdr>
    </w:div>
    <w:div w:id="1907297072">
      <w:bodyDiv w:val="1"/>
      <w:marLeft w:val="0"/>
      <w:marRight w:val="0"/>
      <w:marTop w:val="0"/>
      <w:marBottom w:val="0"/>
      <w:divBdr>
        <w:top w:val="none" w:sz="0" w:space="0" w:color="auto"/>
        <w:left w:val="none" w:sz="0" w:space="0" w:color="auto"/>
        <w:bottom w:val="none" w:sz="0" w:space="0" w:color="auto"/>
        <w:right w:val="none" w:sz="0" w:space="0" w:color="auto"/>
      </w:divBdr>
    </w:div>
    <w:div w:id="1911037090">
      <w:bodyDiv w:val="1"/>
      <w:marLeft w:val="0"/>
      <w:marRight w:val="0"/>
      <w:marTop w:val="0"/>
      <w:marBottom w:val="0"/>
      <w:divBdr>
        <w:top w:val="none" w:sz="0" w:space="0" w:color="auto"/>
        <w:left w:val="none" w:sz="0" w:space="0" w:color="auto"/>
        <w:bottom w:val="none" w:sz="0" w:space="0" w:color="auto"/>
        <w:right w:val="none" w:sz="0" w:space="0" w:color="auto"/>
      </w:divBdr>
    </w:div>
    <w:div w:id="1911884112">
      <w:bodyDiv w:val="1"/>
      <w:marLeft w:val="0"/>
      <w:marRight w:val="0"/>
      <w:marTop w:val="0"/>
      <w:marBottom w:val="0"/>
      <w:divBdr>
        <w:top w:val="none" w:sz="0" w:space="0" w:color="auto"/>
        <w:left w:val="none" w:sz="0" w:space="0" w:color="auto"/>
        <w:bottom w:val="none" w:sz="0" w:space="0" w:color="auto"/>
        <w:right w:val="none" w:sz="0" w:space="0" w:color="auto"/>
      </w:divBdr>
    </w:div>
    <w:div w:id="1922828410">
      <w:bodyDiv w:val="1"/>
      <w:marLeft w:val="0"/>
      <w:marRight w:val="0"/>
      <w:marTop w:val="0"/>
      <w:marBottom w:val="0"/>
      <w:divBdr>
        <w:top w:val="none" w:sz="0" w:space="0" w:color="auto"/>
        <w:left w:val="none" w:sz="0" w:space="0" w:color="auto"/>
        <w:bottom w:val="none" w:sz="0" w:space="0" w:color="auto"/>
        <w:right w:val="none" w:sz="0" w:space="0" w:color="auto"/>
      </w:divBdr>
    </w:div>
    <w:div w:id="1923683736">
      <w:bodyDiv w:val="1"/>
      <w:marLeft w:val="0"/>
      <w:marRight w:val="0"/>
      <w:marTop w:val="0"/>
      <w:marBottom w:val="0"/>
      <w:divBdr>
        <w:top w:val="none" w:sz="0" w:space="0" w:color="auto"/>
        <w:left w:val="none" w:sz="0" w:space="0" w:color="auto"/>
        <w:bottom w:val="none" w:sz="0" w:space="0" w:color="auto"/>
        <w:right w:val="none" w:sz="0" w:space="0" w:color="auto"/>
      </w:divBdr>
    </w:div>
    <w:div w:id="1929729673">
      <w:bodyDiv w:val="1"/>
      <w:marLeft w:val="0"/>
      <w:marRight w:val="0"/>
      <w:marTop w:val="0"/>
      <w:marBottom w:val="0"/>
      <w:divBdr>
        <w:top w:val="none" w:sz="0" w:space="0" w:color="auto"/>
        <w:left w:val="none" w:sz="0" w:space="0" w:color="auto"/>
        <w:bottom w:val="none" w:sz="0" w:space="0" w:color="auto"/>
        <w:right w:val="none" w:sz="0" w:space="0" w:color="auto"/>
      </w:divBdr>
    </w:div>
    <w:div w:id="1933583828">
      <w:bodyDiv w:val="1"/>
      <w:marLeft w:val="0"/>
      <w:marRight w:val="0"/>
      <w:marTop w:val="0"/>
      <w:marBottom w:val="0"/>
      <w:divBdr>
        <w:top w:val="none" w:sz="0" w:space="0" w:color="auto"/>
        <w:left w:val="none" w:sz="0" w:space="0" w:color="auto"/>
        <w:bottom w:val="none" w:sz="0" w:space="0" w:color="auto"/>
        <w:right w:val="none" w:sz="0" w:space="0" w:color="auto"/>
      </w:divBdr>
    </w:div>
    <w:div w:id="1939407952">
      <w:bodyDiv w:val="1"/>
      <w:marLeft w:val="0"/>
      <w:marRight w:val="0"/>
      <w:marTop w:val="0"/>
      <w:marBottom w:val="0"/>
      <w:divBdr>
        <w:top w:val="none" w:sz="0" w:space="0" w:color="auto"/>
        <w:left w:val="none" w:sz="0" w:space="0" w:color="auto"/>
        <w:bottom w:val="none" w:sz="0" w:space="0" w:color="auto"/>
        <w:right w:val="none" w:sz="0" w:space="0" w:color="auto"/>
      </w:divBdr>
    </w:div>
    <w:div w:id="1941405667">
      <w:bodyDiv w:val="1"/>
      <w:marLeft w:val="0"/>
      <w:marRight w:val="0"/>
      <w:marTop w:val="0"/>
      <w:marBottom w:val="0"/>
      <w:divBdr>
        <w:top w:val="none" w:sz="0" w:space="0" w:color="auto"/>
        <w:left w:val="none" w:sz="0" w:space="0" w:color="auto"/>
        <w:bottom w:val="none" w:sz="0" w:space="0" w:color="auto"/>
        <w:right w:val="none" w:sz="0" w:space="0" w:color="auto"/>
      </w:divBdr>
    </w:div>
    <w:div w:id="1947540178">
      <w:bodyDiv w:val="1"/>
      <w:marLeft w:val="0"/>
      <w:marRight w:val="0"/>
      <w:marTop w:val="0"/>
      <w:marBottom w:val="0"/>
      <w:divBdr>
        <w:top w:val="none" w:sz="0" w:space="0" w:color="auto"/>
        <w:left w:val="none" w:sz="0" w:space="0" w:color="auto"/>
        <w:bottom w:val="none" w:sz="0" w:space="0" w:color="auto"/>
        <w:right w:val="none" w:sz="0" w:space="0" w:color="auto"/>
      </w:divBdr>
    </w:div>
    <w:div w:id="1955473909">
      <w:bodyDiv w:val="1"/>
      <w:marLeft w:val="0"/>
      <w:marRight w:val="0"/>
      <w:marTop w:val="0"/>
      <w:marBottom w:val="0"/>
      <w:divBdr>
        <w:top w:val="none" w:sz="0" w:space="0" w:color="auto"/>
        <w:left w:val="none" w:sz="0" w:space="0" w:color="auto"/>
        <w:bottom w:val="none" w:sz="0" w:space="0" w:color="auto"/>
        <w:right w:val="none" w:sz="0" w:space="0" w:color="auto"/>
      </w:divBdr>
    </w:div>
    <w:div w:id="1969043376">
      <w:bodyDiv w:val="1"/>
      <w:marLeft w:val="0"/>
      <w:marRight w:val="0"/>
      <w:marTop w:val="0"/>
      <w:marBottom w:val="0"/>
      <w:divBdr>
        <w:top w:val="none" w:sz="0" w:space="0" w:color="auto"/>
        <w:left w:val="none" w:sz="0" w:space="0" w:color="auto"/>
        <w:bottom w:val="none" w:sz="0" w:space="0" w:color="auto"/>
        <w:right w:val="none" w:sz="0" w:space="0" w:color="auto"/>
      </w:divBdr>
    </w:div>
    <w:div w:id="1989047308">
      <w:bodyDiv w:val="1"/>
      <w:marLeft w:val="0"/>
      <w:marRight w:val="0"/>
      <w:marTop w:val="0"/>
      <w:marBottom w:val="0"/>
      <w:divBdr>
        <w:top w:val="none" w:sz="0" w:space="0" w:color="auto"/>
        <w:left w:val="none" w:sz="0" w:space="0" w:color="auto"/>
        <w:bottom w:val="none" w:sz="0" w:space="0" w:color="auto"/>
        <w:right w:val="none" w:sz="0" w:space="0" w:color="auto"/>
      </w:divBdr>
    </w:div>
    <w:div w:id="1989048996">
      <w:bodyDiv w:val="1"/>
      <w:marLeft w:val="0"/>
      <w:marRight w:val="0"/>
      <w:marTop w:val="0"/>
      <w:marBottom w:val="0"/>
      <w:divBdr>
        <w:top w:val="none" w:sz="0" w:space="0" w:color="auto"/>
        <w:left w:val="none" w:sz="0" w:space="0" w:color="auto"/>
        <w:bottom w:val="none" w:sz="0" w:space="0" w:color="auto"/>
        <w:right w:val="none" w:sz="0" w:space="0" w:color="auto"/>
      </w:divBdr>
    </w:div>
    <w:div w:id="2004812922">
      <w:bodyDiv w:val="1"/>
      <w:marLeft w:val="0"/>
      <w:marRight w:val="0"/>
      <w:marTop w:val="0"/>
      <w:marBottom w:val="0"/>
      <w:divBdr>
        <w:top w:val="none" w:sz="0" w:space="0" w:color="auto"/>
        <w:left w:val="none" w:sz="0" w:space="0" w:color="auto"/>
        <w:bottom w:val="none" w:sz="0" w:space="0" w:color="auto"/>
        <w:right w:val="none" w:sz="0" w:space="0" w:color="auto"/>
      </w:divBdr>
    </w:div>
    <w:div w:id="2031947508">
      <w:bodyDiv w:val="1"/>
      <w:marLeft w:val="0"/>
      <w:marRight w:val="0"/>
      <w:marTop w:val="0"/>
      <w:marBottom w:val="0"/>
      <w:divBdr>
        <w:top w:val="none" w:sz="0" w:space="0" w:color="auto"/>
        <w:left w:val="none" w:sz="0" w:space="0" w:color="auto"/>
        <w:bottom w:val="none" w:sz="0" w:space="0" w:color="auto"/>
        <w:right w:val="none" w:sz="0" w:space="0" w:color="auto"/>
      </w:divBdr>
    </w:div>
    <w:div w:id="2036616574">
      <w:bodyDiv w:val="1"/>
      <w:marLeft w:val="0"/>
      <w:marRight w:val="0"/>
      <w:marTop w:val="0"/>
      <w:marBottom w:val="0"/>
      <w:divBdr>
        <w:top w:val="none" w:sz="0" w:space="0" w:color="auto"/>
        <w:left w:val="none" w:sz="0" w:space="0" w:color="auto"/>
        <w:bottom w:val="none" w:sz="0" w:space="0" w:color="auto"/>
        <w:right w:val="none" w:sz="0" w:space="0" w:color="auto"/>
      </w:divBdr>
    </w:div>
    <w:div w:id="2038775558">
      <w:bodyDiv w:val="1"/>
      <w:marLeft w:val="0"/>
      <w:marRight w:val="0"/>
      <w:marTop w:val="0"/>
      <w:marBottom w:val="0"/>
      <w:divBdr>
        <w:top w:val="none" w:sz="0" w:space="0" w:color="auto"/>
        <w:left w:val="none" w:sz="0" w:space="0" w:color="auto"/>
        <w:bottom w:val="none" w:sz="0" w:space="0" w:color="auto"/>
        <w:right w:val="none" w:sz="0" w:space="0" w:color="auto"/>
      </w:divBdr>
    </w:div>
    <w:div w:id="2042627087">
      <w:bodyDiv w:val="1"/>
      <w:marLeft w:val="0"/>
      <w:marRight w:val="0"/>
      <w:marTop w:val="0"/>
      <w:marBottom w:val="0"/>
      <w:divBdr>
        <w:top w:val="none" w:sz="0" w:space="0" w:color="auto"/>
        <w:left w:val="none" w:sz="0" w:space="0" w:color="auto"/>
        <w:bottom w:val="none" w:sz="0" w:space="0" w:color="auto"/>
        <w:right w:val="none" w:sz="0" w:space="0" w:color="auto"/>
      </w:divBdr>
    </w:div>
    <w:div w:id="2043897009">
      <w:bodyDiv w:val="1"/>
      <w:marLeft w:val="0"/>
      <w:marRight w:val="0"/>
      <w:marTop w:val="0"/>
      <w:marBottom w:val="0"/>
      <w:divBdr>
        <w:top w:val="none" w:sz="0" w:space="0" w:color="auto"/>
        <w:left w:val="none" w:sz="0" w:space="0" w:color="auto"/>
        <w:bottom w:val="none" w:sz="0" w:space="0" w:color="auto"/>
        <w:right w:val="none" w:sz="0" w:space="0" w:color="auto"/>
      </w:divBdr>
    </w:div>
    <w:div w:id="2045472240">
      <w:bodyDiv w:val="1"/>
      <w:marLeft w:val="0"/>
      <w:marRight w:val="0"/>
      <w:marTop w:val="0"/>
      <w:marBottom w:val="0"/>
      <w:divBdr>
        <w:top w:val="none" w:sz="0" w:space="0" w:color="auto"/>
        <w:left w:val="none" w:sz="0" w:space="0" w:color="auto"/>
        <w:bottom w:val="none" w:sz="0" w:space="0" w:color="auto"/>
        <w:right w:val="none" w:sz="0" w:space="0" w:color="auto"/>
      </w:divBdr>
    </w:div>
    <w:div w:id="2062629988">
      <w:bodyDiv w:val="1"/>
      <w:marLeft w:val="0"/>
      <w:marRight w:val="0"/>
      <w:marTop w:val="0"/>
      <w:marBottom w:val="0"/>
      <w:divBdr>
        <w:top w:val="none" w:sz="0" w:space="0" w:color="auto"/>
        <w:left w:val="none" w:sz="0" w:space="0" w:color="auto"/>
        <w:bottom w:val="none" w:sz="0" w:space="0" w:color="auto"/>
        <w:right w:val="none" w:sz="0" w:space="0" w:color="auto"/>
      </w:divBdr>
    </w:div>
    <w:div w:id="2071880766">
      <w:bodyDiv w:val="1"/>
      <w:marLeft w:val="0"/>
      <w:marRight w:val="0"/>
      <w:marTop w:val="0"/>
      <w:marBottom w:val="0"/>
      <w:divBdr>
        <w:top w:val="none" w:sz="0" w:space="0" w:color="auto"/>
        <w:left w:val="none" w:sz="0" w:space="0" w:color="auto"/>
        <w:bottom w:val="none" w:sz="0" w:space="0" w:color="auto"/>
        <w:right w:val="none" w:sz="0" w:space="0" w:color="auto"/>
      </w:divBdr>
    </w:div>
    <w:div w:id="2078630584">
      <w:bodyDiv w:val="1"/>
      <w:marLeft w:val="0"/>
      <w:marRight w:val="0"/>
      <w:marTop w:val="0"/>
      <w:marBottom w:val="0"/>
      <w:divBdr>
        <w:top w:val="none" w:sz="0" w:space="0" w:color="auto"/>
        <w:left w:val="none" w:sz="0" w:space="0" w:color="auto"/>
        <w:bottom w:val="none" w:sz="0" w:space="0" w:color="auto"/>
        <w:right w:val="none" w:sz="0" w:space="0" w:color="auto"/>
      </w:divBdr>
    </w:div>
    <w:div w:id="2087534138">
      <w:bodyDiv w:val="1"/>
      <w:marLeft w:val="0"/>
      <w:marRight w:val="0"/>
      <w:marTop w:val="0"/>
      <w:marBottom w:val="0"/>
      <w:divBdr>
        <w:top w:val="none" w:sz="0" w:space="0" w:color="auto"/>
        <w:left w:val="none" w:sz="0" w:space="0" w:color="auto"/>
        <w:bottom w:val="none" w:sz="0" w:space="0" w:color="auto"/>
        <w:right w:val="none" w:sz="0" w:space="0" w:color="auto"/>
      </w:divBdr>
    </w:div>
    <w:div w:id="2090425483">
      <w:bodyDiv w:val="1"/>
      <w:marLeft w:val="0"/>
      <w:marRight w:val="0"/>
      <w:marTop w:val="0"/>
      <w:marBottom w:val="0"/>
      <w:divBdr>
        <w:top w:val="none" w:sz="0" w:space="0" w:color="auto"/>
        <w:left w:val="none" w:sz="0" w:space="0" w:color="auto"/>
        <w:bottom w:val="none" w:sz="0" w:space="0" w:color="auto"/>
        <w:right w:val="none" w:sz="0" w:space="0" w:color="auto"/>
      </w:divBdr>
    </w:div>
    <w:div w:id="2099131560">
      <w:bodyDiv w:val="1"/>
      <w:marLeft w:val="0"/>
      <w:marRight w:val="0"/>
      <w:marTop w:val="0"/>
      <w:marBottom w:val="0"/>
      <w:divBdr>
        <w:top w:val="none" w:sz="0" w:space="0" w:color="auto"/>
        <w:left w:val="none" w:sz="0" w:space="0" w:color="auto"/>
        <w:bottom w:val="none" w:sz="0" w:space="0" w:color="auto"/>
        <w:right w:val="none" w:sz="0" w:space="0" w:color="auto"/>
      </w:divBdr>
    </w:div>
    <w:div w:id="2103992507">
      <w:bodyDiv w:val="1"/>
      <w:marLeft w:val="0"/>
      <w:marRight w:val="0"/>
      <w:marTop w:val="0"/>
      <w:marBottom w:val="0"/>
      <w:divBdr>
        <w:top w:val="none" w:sz="0" w:space="0" w:color="auto"/>
        <w:left w:val="none" w:sz="0" w:space="0" w:color="auto"/>
        <w:bottom w:val="none" w:sz="0" w:space="0" w:color="auto"/>
        <w:right w:val="none" w:sz="0" w:space="0" w:color="auto"/>
      </w:divBdr>
    </w:div>
    <w:div w:id="2116945992">
      <w:bodyDiv w:val="1"/>
      <w:marLeft w:val="0"/>
      <w:marRight w:val="0"/>
      <w:marTop w:val="0"/>
      <w:marBottom w:val="0"/>
      <w:divBdr>
        <w:top w:val="none" w:sz="0" w:space="0" w:color="auto"/>
        <w:left w:val="none" w:sz="0" w:space="0" w:color="auto"/>
        <w:bottom w:val="none" w:sz="0" w:space="0" w:color="auto"/>
        <w:right w:val="none" w:sz="0" w:space="0" w:color="auto"/>
      </w:divBdr>
    </w:div>
    <w:div w:id="2119136715">
      <w:bodyDiv w:val="1"/>
      <w:marLeft w:val="0"/>
      <w:marRight w:val="0"/>
      <w:marTop w:val="0"/>
      <w:marBottom w:val="0"/>
      <w:divBdr>
        <w:top w:val="none" w:sz="0" w:space="0" w:color="auto"/>
        <w:left w:val="none" w:sz="0" w:space="0" w:color="auto"/>
        <w:bottom w:val="none" w:sz="0" w:space="0" w:color="auto"/>
        <w:right w:val="none" w:sz="0" w:space="0" w:color="auto"/>
      </w:divBdr>
    </w:div>
    <w:div w:id="2121601399">
      <w:bodyDiv w:val="1"/>
      <w:marLeft w:val="0"/>
      <w:marRight w:val="0"/>
      <w:marTop w:val="0"/>
      <w:marBottom w:val="0"/>
      <w:divBdr>
        <w:top w:val="none" w:sz="0" w:space="0" w:color="auto"/>
        <w:left w:val="none" w:sz="0" w:space="0" w:color="auto"/>
        <w:bottom w:val="none" w:sz="0" w:space="0" w:color="auto"/>
        <w:right w:val="none" w:sz="0" w:space="0" w:color="auto"/>
      </w:divBdr>
    </w:div>
    <w:div w:id="2123722228">
      <w:bodyDiv w:val="1"/>
      <w:marLeft w:val="0"/>
      <w:marRight w:val="0"/>
      <w:marTop w:val="0"/>
      <w:marBottom w:val="0"/>
      <w:divBdr>
        <w:top w:val="none" w:sz="0" w:space="0" w:color="auto"/>
        <w:left w:val="none" w:sz="0" w:space="0" w:color="auto"/>
        <w:bottom w:val="none" w:sz="0" w:space="0" w:color="auto"/>
        <w:right w:val="none" w:sz="0" w:space="0" w:color="auto"/>
      </w:divBdr>
    </w:div>
    <w:div w:id="2129620855">
      <w:bodyDiv w:val="1"/>
      <w:marLeft w:val="0"/>
      <w:marRight w:val="0"/>
      <w:marTop w:val="0"/>
      <w:marBottom w:val="0"/>
      <w:divBdr>
        <w:top w:val="none" w:sz="0" w:space="0" w:color="auto"/>
        <w:left w:val="none" w:sz="0" w:space="0" w:color="auto"/>
        <w:bottom w:val="none" w:sz="0" w:space="0" w:color="auto"/>
        <w:right w:val="none" w:sz="0" w:space="0" w:color="auto"/>
      </w:divBdr>
    </w:div>
    <w:div w:id="2132556428">
      <w:bodyDiv w:val="1"/>
      <w:marLeft w:val="0"/>
      <w:marRight w:val="0"/>
      <w:marTop w:val="0"/>
      <w:marBottom w:val="0"/>
      <w:divBdr>
        <w:top w:val="none" w:sz="0" w:space="0" w:color="auto"/>
        <w:left w:val="none" w:sz="0" w:space="0" w:color="auto"/>
        <w:bottom w:val="none" w:sz="0" w:space="0" w:color="auto"/>
        <w:right w:val="none" w:sz="0" w:space="0" w:color="auto"/>
      </w:divBdr>
    </w:div>
    <w:div w:id="2134203984">
      <w:bodyDiv w:val="1"/>
      <w:marLeft w:val="0"/>
      <w:marRight w:val="0"/>
      <w:marTop w:val="0"/>
      <w:marBottom w:val="0"/>
      <w:divBdr>
        <w:top w:val="none" w:sz="0" w:space="0" w:color="auto"/>
        <w:left w:val="none" w:sz="0" w:space="0" w:color="auto"/>
        <w:bottom w:val="none" w:sz="0" w:space="0" w:color="auto"/>
        <w:right w:val="none" w:sz="0" w:space="0" w:color="auto"/>
      </w:divBdr>
    </w:div>
    <w:div w:id="214121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1.xml"/><Relationship Id="rId39" Type="http://schemas.openxmlformats.org/officeDocument/2006/relationships/image" Target="media/image27.emf"/><Relationship Id="rId21" Type="http://schemas.openxmlformats.org/officeDocument/2006/relationships/image" Target="media/image12.emf"/><Relationship Id="rId34" Type="http://schemas.openxmlformats.org/officeDocument/2006/relationships/image" Target="media/image23.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2.emf"/><Relationship Id="rId38" Type="http://schemas.openxmlformats.org/officeDocument/2006/relationships/image" Target="media/image26.emf"/><Relationship Id="rId46"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18.emf"/><Relationship Id="rId41" Type="http://schemas.openxmlformats.org/officeDocument/2006/relationships/image" Target="media/image29.emf"/><Relationship Id="rId54"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1.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png"/><Relationship Id="rId53" Type="http://schemas.openxmlformats.org/officeDocument/2006/relationships/image" Target="media/image41.e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7.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emf"/><Relationship Id="rId31" Type="http://schemas.openxmlformats.org/officeDocument/2006/relationships/image" Target="media/image20.emf"/><Relationship Id="rId44" Type="http://schemas.openxmlformats.org/officeDocument/2006/relationships/image" Target="media/image32.emf"/><Relationship Id="rId52"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chart" Target="charts/chart2.xml"/><Relationship Id="rId30" Type="http://schemas.openxmlformats.org/officeDocument/2006/relationships/image" Target="media/image19.emf"/><Relationship Id="rId35" Type="http://schemas.openxmlformats.org/officeDocument/2006/relationships/hyperlink" Target="https://tetragonika.govapp.gr/" TargetMode="External"/><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9.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unwto.org/covid-19-and-tourism-202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triantafyllopoulou\Documents\&#916;&#953;&#945;&#947;&#961;&#940;&#956;&#956;&#945;&#964;&#945;%20&#924;&#928;&#916;&#93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triantafyllopoulou\Documents\&#916;&#953;&#945;&#961;&#952;&#961;&#969;&#964;&#953;&#954;&#940;%20&#956;&#949;&#947;&#941;&#952;&#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plotArea>
      <c:layout>
        <c:manualLayout>
          <c:layoutTarget val="inner"/>
          <c:xMode val="edge"/>
          <c:yMode val="edge"/>
          <c:x val="6.9674059405724409E-2"/>
          <c:y val="1.8420821177385631E-2"/>
          <c:w val="0.70278444004997864"/>
          <c:h val="0.91674283278899515"/>
        </c:manualLayout>
      </c:layout>
      <c:barChart>
        <c:barDir val="col"/>
        <c:grouping val="clustered"/>
        <c:ser>
          <c:idx val="0"/>
          <c:order val="0"/>
          <c:tx>
            <c:strRef>
              <c:f>Φύλλο2!$A$32</c:f>
              <c:strCache>
                <c:ptCount val="1"/>
                <c:pt idx="0">
                  <c:v>Ενοποιημένοι τόκοι Γενικής Κυβέρνησης</c:v>
                </c:pt>
              </c:strCache>
            </c:strRef>
          </c:tx>
          <c:spPr>
            <a:solidFill>
              <a:schemeClr val="accent6">
                <a:lumMod val="20000"/>
                <a:lumOff val="80000"/>
              </a:schemeClr>
            </a:solidFill>
            <a:ln w="19050">
              <a:solidFill>
                <a:schemeClr val="bg1">
                  <a:lumMod val="65000"/>
                </a:schemeClr>
              </a:solidFill>
            </a:ln>
          </c:spPr>
          <c:cat>
            <c:strRef>
              <c:f>Φύλλο2!$K$2:$Q$3</c:f>
              <c:strCache>
                <c:ptCount val="7"/>
                <c:pt idx="0">
                  <c:v>2019</c:v>
                </c:pt>
                <c:pt idx="1">
                  <c:v>2020</c:v>
                </c:pt>
                <c:pt idx="2">
                  <c:v>2021*</c:v>
                </c:pt>
                <c:pt idx="3">
                  <c:v>2022*</c:v>
                </c:pt>
                <c:pt idx="4">
                  <c:v>2023*</c:v>
                </c:pt>
                <c:pt idx="5">
                  <c:v>2024*</c:v>
                </c:pt>
                <c:pt idx="6">
                  <c:v>2025*</c:v>
                </c:pt>
              </c:strCache>
            </c:strRef>
          </c:cat>
          <c:val>
            <c:numRef>
              <c:f>Φύλλο2!$K$32:$Q$32</c:f>
              <c:numCache>
                <c:formatCode>0.0</c:formatCode>
                <c:ptCount val="7"/>
                <c:pt idx="0">
                  <c:v>3.0008696197389977</c:v>
                </c:pt>
                <c:pt idx="1">
                  <c:v>2.9819694868238527</c:v>
                </c:pt>
                <c:pt idx="2">
                  <c:v>2.7561356286657448</c:v>
                </c:pt>
                <c:pt idx="3">
                  <c:v>2.5991347211154738</c:v>
                </c:pt>
                <c:pt idx="4">
                  <c:v>2.444438664412389</c:v>
                </c:pt>
                <c:pt idx="5">
                  <c:v>2.2980637182023318</c:v>
                </c:pt>
                <c:pt idx="6">
                  <c:v>2.2311856931385377</c:v>
                </c:pt>
              </c:numCache>
            </c:numRef>
          </c:val>
        </c:ser>
        <c:axId val="58836480"/>
        <c:axId val="58838016"/>
      </c:barChart>
      <c:barChart>
        <c:barDir val="col"/>
        <c:grouping val="clustered"/>
        <c:ser>
          <c:idx val="1"/>
          <c:order val="1"/>
          <c:tx>
            <c:strRef>
              <c:f>Φύλλο2!$A$33</c:f>
              <c:strCache>
                <c:ptCount val="1"/>
                <c:pt idx="0">
                  <c:v>Αποτέλεσμα Γενικής Κυβέρνησης </c:v>
                </c:pt>
              </c:strCache>
            </c:strRef>
          </c:tx>
          <c:spPr>
            <a:solidFill>
              <a:schemeClr val="accent1">
                <a:lumMod val="75000"/>
              </a:schemeClr>
            </a:solidFill>
            <a:ln>
              <a:noFill/>
            </a:ln>
          </c:spPr>
          <c:cat>
            <c:strRef>
              <c:f>Φύλλο2!$K$2:$Q$3</c:f>
              <c:strCache>
                <c:ptCount val="7"/>
                <c:pt idx="0">
                  <c:v>2019</c:v>
                </c:pt>
                <c:pt idx="1">
                  <c:v>2020</c:v>
                </c:pt>
                <c:pt idx="2">
                  <c:v>2021*</c:v>
                </c:pt>
                <c:pt idx="3">
                  <c:v>2022*</c:v>
                </c:pt>
                <c:pt idx="4">
                  <c:v>2023*</c:v>
                </c:pt>
                <c:pt idx="5">
                  <c:v>2024*</c:v>
                </c:pt>
                <c:pt idx="6">
                  <c:v>2025*</c:v>
                </c:pt>
              </c:strCache>
            </c:strRef>
          </c:cat>
          <c:val>
            <c:numRef>
              <c:f>Φύλλο2!$K$33:$Q$33</c:f>
              <c:numCache>
                <c:formatCode>0.0</c:formatCode>
                <c:ptCount val="7"/>
                <c:pt idx="0">
                  <c:v>1.1444086722078799</c:v>
                </c:pt>
                <c:pt idx="1">
                  <c:v>-9.7268286799734103</c:v>
                </c:pt>
                <c:pt idx="2">
                  <c:v>-9.8726268272543312</c:v>
                </c:pt>
                <c:pt idx="3">
                  <c:v>-3.0931484063769541</c:v>
                </c:pt>
                <c:pt idx="4">
                  <c:v>-0.43495375555169691</c:v>
                </c:pt>
                <c:pt idx="5">
                  <c:v>0.47961280700049863</c:v>
                </c:pt>
                <c:pt idx="6">
                  <c:v>1.4317224105781223</c:v>
                </c:pt>
              </c:numCache>
            </c:numRef>
          </c:val>
        </c:ser>
        <c:axId val="58836480"/>
        <c:axId val="58838016"/>
      </c:barChart>
      <c:lineChart>
        <c:grouping val="standard"/>
        <c:ser>
          <c:idx val="6"/>
          <c:order val="2"/>
          <c:tx>
            <c:strRef>
              <c:f>Φύλλο2!$A$38</c:f>
              <c:strCache>
                <c:ptCount val="1"/>
                <c:pt idx="0">
                  <c:v>Πρωτογενές αποτέλεσμα Γενικής Κυβέρνησης</c:v>
                </c:pt>
              </c:strCache>
            </c:strRef>
          </c:tx>
          <c:spPr>
            <a:ln>
              <a:solidFill>
                <a:srgbClr val="FFC000"/>
              </a:solidFill>
            </a:ln>
          </c:spPr>
          <c:marker>
            <c:symbol val="circle"/>
            <c:size val="7"/>
            <c:spPr>
              <a:solidFill>
                <a:srgbClr val="FFC000"/>
              </a:solidFill>
              <a:ln>
                <a:noFill/>
              </a:ln>
            </c:spPr>
          </c:marker>
          <c:dLbls>
            <c:numFmt formatCode="#,##0.0" sourceLinked="0"/>
            <c:spPr>
              <a:solidFill>
                <a:schemeClr val="bg1">
                  <a:lumMod val="85000"/>
                </a:schemeClr>
              </a:solidFill>
            </c:spPr>
            <c:txPr>
              <a:bodyPr/>
              <a:lstStyle/>
              <a:p>
                <a:pPr>
                  <a:defRPr b="1"/>
                </a:pPr>
                <a:endParaRPr lang="el-GR"/>
              </a:p>
            </c:txPr>
            <c:showVal val="1"/>
          </c:dLbls>
          <c:cat>
            <c:strRef>
              <c:f>Φύλλο2!$K$2:$Q$3</c:f>
              <c:strCache>
                <c:ptCount val="7"/>
                <c:pt idx="0">
                  <c:v>2019</c:v>
                </c:pt>
                <c:pt idx="1">
                  <c:v>2020</c:v>
                </c:pt>
                <c:pt idx="2">
                  <c:v>2021*</c:v>
                </c:pt>
                <c:pt idx="3">
                  <c:v>2022*</c:v>
                </c:pt>
                <c:pt idx="4">
                  <c:v>2023*</c:v>
                </c:pt>
                <c:pt idx="5">
                  <c:v>2024*</c:v>
                </c:pt>
                <c:pt idx="6">
                  <c:v>2025*</c:v>
                </c:pt>
              </c:strCache>
            </c:strRef>
          </c:cat>
          <c:val>
            <c:numRef>
              <c:f>Φύλλο2!$K$38:$Q$38</c:f>
              <c:numCache>
                <c:formatCode>0.0</c:formatCode>
                <c:ptCount val="7"/>
                <c:pt idx="0">
                  <c:v>4.1452782919468874</c:v>
                </c:pt>
                <c:pt idx="1">
                  <c:v>-6.7448591931496447</c:v>
                </c:pt>
                <c:pt idx="2">
                  <c:v>-7.1164911985885082</c:v>
                </c:pt>
                <c:pt idx="3">
                  <c:v>-0.49401368526149703</c:v>
                </c:pt>
                <c:pt idx="4">
                  <c:v>2.0094849088606952</c:v>
                </c:pt>
                <c:pt idx="5">
                  <c:v>2.7776765252028053</c:v>
                </c:pt>
                <c:pt idx="6">
                  <c:v>3.6629081037166582</c:v>
                </c:pt>
              </c:numCache>
            </c:numRef>
          </c:val>
        </c:ser>
        <c:marker val="1"/>
        <c:axId val="58836480"/>
        <c:axId val="58838016"/>
      </c:lineChart>
      <c:catAx>
        <c:axId val="58836480"/>
        <c:scaling>
          <c:orientation val="minMax"/>
        </c:scaling>
        <c:axPos val="b"/>
        <c:numFmt formatCode="General" sourceLinked="1"/>
        <c:tickLblPos val="low"/>
        <c:txPr>
          <a:bodyPr/>
          <a:lstStyle/>
          <a:p>
            <a:pPr>
              <a:defRPr sz="900">
                <a:latin typeface="Trebuchet MS" pitchFamily="34" charset="0"/>
              </a:defRPr>
            </a:pPr>
            <a:endParaRPr lang="el-GR"/>
          </a:p>
        </c:txPr>
        <c:crossAx val="58838016"/>
        <c:crosses val="autoZero"/>
        <c:auto val="1"/>
        <c:lblAlgn val="ctr"/>
        <c:lblOffset val="100"/>
      </c:catAx>
      <c:valAx>
        <c:axId val="58838016"/>
        <c:scaling>
          <c:orientation val="minMax"/>
          <c:max val="6"/>
          <c:min val="-10"/>
        </c:scaling>
        <c:axPos val="l"/>
        <c:majorGridlines>
          <c:spPr>
            <a:ln>
              <a:prstDash val="solid"/>
            </a:ln>
          </c:spPr>
        </c:majorGridlines>
        <c:numFmt formatCode="0.0" sourceLinked="1"/>
        <c:tickLblPos val="nextTo"/>
        <c:txPr>
          <a:bodyPr/>
          <a:lstStyle/>
          <a:p>
            <a:pPr>
              <a:defRPr>
                <a:latin typeface="Trebuchet MS" pitchFamily="34" charset="0"/>
              </a:defRPr>
            </a:pPr>
            <a:endParaRPr lang="el-GR"/>
          </a:p>
        </c:txPr>
        <c:crossAx val="58836480"/>
        <c:crosses val="autoZero"/>
        <c:crossBetween val="between"/>
        <c:majorUnit val="2"/>
        <c:minorUnit val="0.5"/>
      </c:valAx>
    </c:plotArea>
    <c:legend>
      <c:legendPos val="r"/>
      <c:legendEntry>
        <c:idx val="0"/>
        <c:txPr>
          <a:bodyPr/>
          <a:lstStyle/>
          <a:p>
            <a:pPr>
              <a:defRPr sz="900">
                <a:latin typeface="Trebuchet MS" pitchFamily="34" charset="0"/>
              </a:defRPr>
            </a:pPr>
            <a:endParaRPr lang="el-GR"/>
          </a:p>
        </c:txPr>
      </c:legendEntry>
      <c:legendEntry>
        <c:idx val="1"/>
        <c:txPr>
          <a:bodyPr/>
          <a:lstStyle/>
          <a:p>
            <a:pPr>
              <a:defRPr sz="900">
                <a:latin typeface="Trebuchet MS" pitchFamily="34" charset="0"/>
              </a:defRPr>
            </a:pPr>
            <a:endParaRPr lang="el-GR"/>
          </a:p>
        </c:txPr>
      </c:legendEntry>
      <c:legendEntry>
        <c:idx val="2"/>
        <c:txPr>
          <a:bodyPr/>
          <a:lstStyle/>
          <a:p>
            <a:pPr>
              <a:defRPr sz="900">
                <a:latin typeface="Trebuchet MS" pitchFamily="34" charset="0"/>
              </a:defRPr>
            </a:pPr>
            <a:endParaRPr lang="el-GR"/>
          </a:p>
        </c:txPr>
      </c:legendEntry>
      <c:layout>
        <c:manualLayout>
          <c:xMode val="edge"/>
          <c:yMode val="edge"/>
          <c:x val="0.78735701921199153"/>
          <c:y val="0.11944073961085766"/>
          <c:w val="0.2040247918685098"/>
          <c:h val="0.84515297924107968"/>
        </c:manualLayout>
      </c:layout>
      <c:txPr>
        <a:bodyPr/>
        <a:lstStyle/>
        <a:p>
          <a:pPr>
            <a:defRPr sz="900">
              <a:latin typeface="Trebuchet MS" pitchFamily="34" charset="0"/>
            </a:defRPr>
          </a:pPr>
          <a:endParaRPr lang="el-G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l-GR"/>
  <c:chart>
    <c:autoTitleDeleted val="1"/>
    <c:plotArea>
      <c:layout>
        <c:manualLayout>
          <c:layoutTarget val="inner"/>
          <c:xMode val="edge"/>
          <c:yMode val="edge"/>
          <c:x val="4.9225611090432594E-2"/>
          <c:y val="2.7413628851949211E-2"/>
          <c:w val="0.75481710251733269"/>
          <c:h val="0.89548608869275859"/>
        </c:manualLayout>
      </c:layout>
      <c:barChart>
        <c:barDir val="col"/>
        <c:grouping val="stacked"/>
        <c:ser>
          <c:idx val="0"/>
          <c:order val="0"/>
          <c:tx>
            <c:strRef>
              <c:f>Φύλλο1!$A$4</c:f>
              <c:strCache>
                <c:ptCount val="1"/>
                <c:pt idx="0">
                  <c:v>Κυκλική συνιστώσα </c:v>
                </c:pt>
              </c:strCache>
            </c:strRef>
          </c:tx>
          <c:spPr>
            <a:solidFill>
              <a:schemeClr val="accent4">
                <a:lumMod val="75000"/>
              </a:schemeClr>
            </a:solidFill>
          </c:spPr>
          <c:cat>
            <c:numRef>
              <c:f>Φύλλο1!$C$2:$H$2</c:f>
              <c:numCache>
                <c:formatCode>General</c:formatCode>
                <c:ptCount val="6"/>
                <c:pt idx="0">
                  <c:v>2020</c:v>
                </c:pt>
                <c:pt idx="1">
                  <c:v>2021</c:v>
                </c:pt>
                <c:pt idx="2">
                  <c:v>2022</c:v>
                </c:pt>
                <c:pt idx="3">
                  <c:v>2023</c:v>
                </c:pt>
                <c:pt idx="4">
                  <c:v>2024</c:v>
                </c:pt>
                <c:pt idx="5">
                  <c:v>2025</c:v>
                </c:pt>
              </c:numCache>
            </c:numRef>
          </c:cat>
          <c:val>
            <c:numRef>
              <c:f>Φύλλο1!$C$4:$H$4</c:f>
              <c:numCache>
                <c:formatCode>0.0</c:formatCode>
                <c:ptCount val="6"/>
                <c:pt idx="0">
                  <c:v>-6.4452000000000034</c:v>
                </c:pt>
                <c:pt idx="1">
                  <c:v>-3.9299999999999997</c:v>
                </c:pt>
                <c:pt idx="2">
                  <c:v>-2.3055999999999988</c:v>
                </c:pt>
                <c:pt idx="3">
                  <c:v>-1.5195999999999947</c:v>
                </c:pt>
                <c:pt idx="4">
                  <c:v>-0.78600000000000003</c:v>
                </c:pt>
                <c:pt idx="5">
                  <c:v>0</c:v>
                </c:pt>
              </c:numCache>
            </c:numRef>
          </c:val>
        </c:ser>
        <c:ser>
          <c:idx val="1"/>
          <c:order val="1"/>
          <c:tx>
            <c:strRef>
              <c:f>Φύλλο1!$A$6</c:f>
              <c:strCache>
                <c:ptCount val="1"/>
                <c:pt idx="0">
                  <c:v>Μέτρα εφάπαξ χαρακτήρα</c:v>
                </c:pt>
              </c:strCache>
            </c:strRef>
          </c:tx>
          <c:spPr>
            <a:solidFill>
              <a:schemeClr val="accent6">
                <a:lumMod val="75000"/>
              </a:schemeClr>
            </a:solidFill>
          </c:spPr>
          <c:cat>
            <c:numRef>
              <c:f>Φύλλο1!$C$2:$H$2</c:f>
              <c:numCache>
                <c:formatCode>General</c:formatCode>
                <c:ptCount val="6"/>
                <c:pt idx="0">
                  <c:v>2020</c:v>
                </c:pt>
                <c:pt idx="1">
                  <c:v>2021</c:v>
                </c:pt>
                <c:pt idx="2">
                  <c:v>2022</c:v>
                </c:pt>
                <c:pt idx="3">
                  <c:v>2023</c:v>
                </c:pt>
                <c:pt idx="4">
                  <c:v>2024</c:v>
                </c:pt>
                <c:pt idx="5">
                  <c:v>2025</c:v>
                </c:pt>
              </c:numCache>
            </c:numRef>
          </c:cat>
          <c:val>
            <c:numRef>
              <c:f>Φύλλο1!$C$6:$H$6</c:f>
              <c:numCache>
                <c:formatCode>0.0</c:formatCode>
                <c:ptCount val="6"/>
                <c:pt idx="0">
                  <c:v>0.25025628655852272</c:v>
                </c:pt>
                <c:pt idx="1">
                  <c:v>0.28996662000949042</c:v>
                </c:pt>
                <c:pt idx="2">
                  <c:v>-0.35633516959993738</c:v>
                </c:pt>
                <c:pt idx="3">
                  <c:v>9.4056407819112245E-2</c:v>
                </c:pt>
                <c:pt idx="4">
                  <c:v>2.8116801108701184E-2</c:v>
                </c:pt>
                <c:pt idx="5">
                  <c:v>2.3039918351296602E-2</c:v>
                </c:pt>
              </c:numCache>
            </c:numRef>
          </c:val>
        </c:ser>
        <c:ser>
          <c:idx val="2"/>
          <c:order val="2"/>
          <c:tx>
            <c:strRef>
              <c:f>Φύλλο1!$A$7</c:f>
              <c:strCache>
                <c:ptCount val="1"/>
                <c:pt idx="0">
                  <c:v>Διαρθρωτικό αποτέλεσμα</c:v>
                </c:pt>
              </c:strCache>
            </c:strRef>
          </c:tx>
          <c:spPr>
            <a:solidFill>
              <a:schemeClr val="tx1">
                <a:lumMod val="50000"/>
                <a:lumOff val="50000"/>
              </a:schemeClr>
            </a:solidFill>
          </c:spPr>
          <c:cat>
            <c:numRef>
              <c:f>Φύλλο1!$C$2:$H$2</c:f>
              <c:numCache>
                <c:formatCode>General</c:formatCode>
                <c:ptCount val="6"/>
                <c:pt idx="0">
                  <c:v>2020</c:v>
                </c:pt>
                <c:pt idx="1">
                  <c:v>2021</c:v>
                </c:pt>
                <c:pt idx="2">
                  <c:v>2022</c:v>
                </c:pt>
                <c:pt idx="3">
                  <c:v>2023</c:v>
                </c:pt>
                <c:pt idx="4">
                  <c:v>2024</c:v>
                </c:pt>
                <c:pt idx="5">
                  <c:v>2025</c:v>
                </c:pt>
              </c:numCache>
            </c:numRef>
          </c:cat>
          <c:val>
            <c:numRef>
              <c:f>Φύλλο1!$C$7:$H$7</c:f>
              <c:numCache>
                <c:formatCode>0.0</c:formatCode>
                <c:ptCount val="6"/>
                <c:pt idx="0">
                  <c:v>-3.5050562865585224</c:v>
                </c:pt>
                <c:pt idx="1">
                  <c:v>-6.2599666200094886</c:v>
                </c:pt>
                <c:pt idx="2">
                  <c:v>-0.43806483040006405</c:v>
                </c:pt>
                <c:pt idx="3">
                  <c:v>1.0255435921808878</c:v>
                </c:pt>
                <c:pt idx="4">
                  <c:v>1.2578831988912988</c:v>
                </c:pt>
                <c:pt idx="5">
                  <c:v>1.3769600816487084</c:v>
                </c:pt>
              </c:numCache>
            </c:numRef>
          </c:val>
        </c:ser>
        <c:overlap val="100"/>
        <c:axId val="58886784"/>
        <c:axId val="58896768"/>
      </c:barChart>
      <c:lineChart>
        <c:grouping val="standard"/>
        <c:ser>
          <c:idx val="11"/>
          <c:order val="3"/>
          <c:tx>
            <c:strRef>
              <c:f>Φύλλο1!$A$3</c:f>
              <c:strCache>
                <c:ptCount val="1"/>
                <c:pt idx="0">
                  <c:v>Αποτέλεσμα Γενικής Κυβέρνησης </c:v>
                </c:pt>
              </c:strCache>
            </c:strRef>
          </c:tx>
          <c:spPr>
            <a:ln>
              <a:noFill/>
            </a:ln>
          </c:spPr>
          <c:marker>
            <c:symbol val="circle"/>
            <c:size val="7"/>
            <c:spPr>
              <a:solidFill>
                <a:schemeClr val="bg2"/>
              </a:solidFill>
            </c:spPr>
          </c:marker>
          <c:dLbls>
            <c:dLbl>
              <c:idx val="4"/>
              <c:layout>
                <c:manualLayout>
                  <c:x val="-3.7636807701085871E-2"/>
                  <c:y val="8.5968308275613609E-2"/>
                </c:manualLayout>
              </c:layout>
              <c:dLblPos val="r"/>
              <c:showVal val="1"/>
            </c:dLbl>
            <c:spPr>
              <a:solidFill>
                <a:srgbClr val="EEECE1"/>
              </a:solidFill>
              <a:ln w="12700" cmpd="sng">
                <a:solidFill>
                  <a:schemeClr val="tx1"/>
                </a:solidFill>
                <a:prstDash val="solid"/>
              </a:ln>
            </c:spPr>
            <c:txPr>
              <a:bodyPr/>
              <a:lstStyle/>
              <a:p>
                <a:pPr>
                  <a:defRPr sz="800" b="1">
                    <a:solidFill>
                      <a:schemeClr val="tx1"/>
                    </a:solidFill>
                    <a:latin typeface="Trebuchet MS" pitchFamily="34" charset="0"/>
                  </a:defRPr>
                </a:pPr>
                <a:endParaRPr lang="el-GR"/>
              </a:p>
            </c:txPr>
            <c:dLblPos val="b"/>
            <c:showVal val="1"/>
          </c:dLbls>
          <c:cat>
            <c:numRef>
              <c:f>Φύλλο1!$C$2:$H$2</c:f>
              <c:numCache>
                <c:formatCode>General</c:formatCode>
                <c:ptCount val="6"/>
                <c:pt idx="0">
                  <c:v>2020</c:v>
                </c:pt>
                <c:pt idx="1">
                  <c:v>2021</c:v>
                </c:pt>
                <c:pt idx="2">
                  <c:v>2022</c:v>
                </c:pt>
                <c:pt idx="3">
                  <c:v>2023</c:v>
                </c:pt>
                <c:pt idx="4">
                  <c:v>2024</c:v>
                </c:pt>
                <c:pt idx="5">
                  <c:v>2025</c:v>
                </c:pt>
              </c:numCache>
            </c:numRef>
          </c:cat>
          <c:val>
            <c:numRef>
              <c:f>Φύλλο1!$C$3:$H$3</c:f>
              <c:numCache>
                <c:formatCode>0.0</c:formatCode>
                <c:ptCount val="6"/>
                <c:pt idx="0">
                  <c:v>-9.7268286799734298</c:v>
                </c:pt>
                <c:pt idx="1">
                  <c:v>-9.9</c:v>
                </c:pt>
                <c:pt idx="2">
                  <c:v>-3.1</c:v>
                </c:pt>
                <c:pt idx="3">
                  <c:v>-0.4</c:v>
                </c:pt>
                <c:pt idx="4">
                  <c:v>0.5</c:v>
                </c:pt>
                <c:pt idx="5">
                  <c:v>1.4</c:v>
                </c:pt>
              </c:numCache>
            </c:numRef>
          </c:val>
        </c:ser>
        <c:marker val="1"/>
        <c:axId val="58886784"/>
        <c:axId val="58896768"/>
      </c:lineChart>
      <c:catAx>
        <c:axId val="58886784"/>
        <c:scaling>
          <c:orientation val="minMax"/>
        </c:scaling>
        <c:axPos val="b"/>
        <c:numFmt formatCode="General" sourceLinked="1"/>
        <c:tickLblPos val="low"/>
        <c:txPr>
          <a:bodyPr rot="0" vert="horz"/>
          <a:lstStyle/>
          <a:p>
            <a:pPr>
              <a:defRPr sz="900">
                <a:latin typeface="Trebuchet MS" pitchFamily="34" charset="0"/>
              </a:defRPr>
            </a:pPr>
            <a:endParaRPr lang="el-GR"/>
          </a:p>
        </c:txPr>
        <c:crossAx val="58896768"/>
        <c:crosses val="autoZero"/>
        <c:auto val="1"/>
        <c:lblAlgn val="ctr"/>
        <c:lblOffset val="100"/>
      </c:catAx>
      <c:valAx>
        <c:axId val="58896768"/>
        <c:scaling>
          <c:orientation val="minMax"/>
        </c:scaling>
        <c:axPos val="l"/>
        <c:majorGridlines/>
        <c:numFmt formatCode="0.0" sourceLinked="1"/>
        <c:tickLblPos val="nextTo"/>
        <c:txPr>
          <a:bodyPr/>
          <a:lstStyle/>
          <a:p>
            <a:pPr>
              <a:defRPr sz="900">
                <a:latin typeface="Trebuchet MS" pitchFamily="34" charset="0"/>
              </a:defRPr>
            </a:pPr>
            <a:endParaRPr lang="el-GR"/>
          </a:p>
        </c:txPr>
        <c:crossAx val="58886784"/>
        <c:crosses val="autoZero"/>
        <c:crossBetween val="between"/>
        <c:majorUnit val="2"/>
      </c:valAx>
      <c:spPr>
        <a:noFill/>
      </c:spPr>
    </c:plotArea>
    <c:legend>
      <c:legendPos val="r"/>
      <c:layout>
        <c:manualLayout>
          <c:xMode val="edge"/>
          <c:yMode val="edge"/>
          <c:x val="0.83495055192436052"/>
          <c:y val="9.0184115874404572E-2"/>
          <c:w val="0.15427224027406344"/>
          <c:h val="0.89271366135068153"/>
        </c:manualLayout>
      </c:layout>
      <c:txPr>
        <a:bodyPr/>
        <a:lstStyle/>
        <a:p>
          <a:pPr>
            <a:defRPr sz="800">
              <a:latin typeface="Trebuchet MS" pitchFamily="34" charset="0"/>
            </a:defRPr>
          </a:pPr>
          <a:endParaRPr lang="el-GR"/>
        </a:p>
      </c:txP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0.80357</cdr:x>
      <cdr:y>0.19815</cdr:y>
    </cdr:from>
    <cdr:to>
      <cdr:x>0.91429</cdr:x>
      <cdr:y>0.26667</cdr:y>
    </cdr:to>
    <cdr:sp macro="" textlink="">
      <cdr:nvSpPr>
        <cdr:cNvPr id="3" name="2 - TextBox"/>
        <cdr:cNvSpPr txBox="1"/>
      </cdr:nvSpPr>
      <cdr:spPr>
        <a:xfrm xmlns:a="http://schemas.openxmlformats.org/drawingml/2006/main">
          <a:off x="6429375" y="1019175"/>
          <a:ext cx="885825" cy="3524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l-GR" sz="1100"/>
        </a:p>
      </cdr:txBody>
    </cdr:sp>
  </cdr:relSizeAnchor>
  <cdr:relSizeAnchor xmlns:cdr="http://schemas.openxmlformats.org/drawingml/2006/chartDrawing">
    <cdr:from>
      <cdr:x>0.83655</cdr:x>
      <cdr:y>0.14259</cdr:y>
    </cdr:from>
    <cdr:to>
      <cdr:x>1</cdr:x>
      <cdr:y>0.20556</cdr:y>
    </cdr:to>
    <cdr:sp macro="" textlink="">
      <cdr:nvSpPr>
        <cdr:cNvPr id="4" name="3 - TextBox"/>
        <cdr:cNvSpPr txBox="1"/>
      </cdr:nvSpPr>
      <cdr:spPr>
        <a:xfrm xmlns:a="http://schemas.openxmlformats.org/drawingml/2006/main">
          <a:off x="6093619" y="733412"/>
          <a:ext cx="1190625" cy="3238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l-GR" sz="1600" b="1">
            <a:solidFill>
              <a:srgbClr val="6B2E05"/>
            </a:solidFill>
            <a:latin typeface="Trebuchet MS" pitchFamily="34" charset="0"/>
          </a:endParaRPr>
        </a:p>
      </cdr:txBody>
    </cdr:sp>
  </cdr:relSizeAnchor>
  <cdr:relSizeAnchor xmlns:cdr="http://schemas.openxmlformats.org/drawingml/2006/chartDrawing">
    <cdr:from>
      <cdr:x>0.77976</cdr:x>
      <cdr:y>0.18889</cdr:y>
    </cdr:from>
    <cdr:to>
      <cdr:x>0.94643</cdr:x>
      <cdr:y>0.28333</cdr:y>
    </cdr:to>
    <cdr:sp macro="" textlink="">
      <cdr:nvSpPr>
        <cdr:cNvPr id="5" name="4 - TextBox"/>
        <cdr:cNvSpPr txBox="1"/>
      </cdr:nvSpPr>
      <cdr:spPr>
        <a:xfrm xmlns:a="http://schemas.openxmlformats.org/drawingml/2006/main">
          <a:off x="6238875" y="971550"/>
          <a:ext cx="1333500"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l-GR" sz="1100"/>
        </a:p>
      </cdr:txBody>
    </cdr:sp>
  </cdr:relSizeAnchor>
  <cdr:relSizeAnchor xmlns:cdr="http://schemas.openxmlformats.org/drawingml/2006/chartDrawing">
    <cdr:from>
      <cdr:x>0.82881</cdr:x>
      <cdr:y>0.24259</cdr:y>
    </cdr:from>
    <cdr:to>
      <cdr:x>0.83452</cdr:x>
      <cdr:y>0.25148</cdr:y>
    </cdr:to>
    <cdr:sp macro="" textlink="">
      <cdr:nvSpPr>
        <cdr:cNvPr id="6" name="5 - TextBox"/>
        <cdr:cNvSpPr txBox="1"/>
      </cdr:nvSpPr>
      <cdr:spPr>
        <a:xfrm xmlns:a="http://schemas.openxmlformats.org/drawingml/2006/main">
          <a:off x="6631306" y="1247775"/>
          <a:ext cx="45719"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l-GR" sz="1100"/>
        </a:p>
      </cdr:txBody>
    </cdr:sp>
  </cdr:relSizeAnchor>
</c:userShape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CAFA7-B76D-45D2-A520-FF64886A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88</Pages>
  <Words>26490</Words>
  <Characters>143049</Characters>
  <Application>Microsoft Office Word</Application>
  <DocSecurity>0</DocSecurity>
  <Lines>1192</Lines>
  <Paragraphs>338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Μεσοπρόθεσμο Πλαίσιο Δημοσιονομικής Στρατηγικής</vt:lpstr>
      <vt:lpstr/>
    </vt:vector>
  </TitlesOfParts>
  <Company>Athens, April 2021</Company>
  <LinksUpToDate>false</LinksUpToDate>
  <CharactersWithSpaces>169201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Μεσοπρόθεσμο Πλαίσιο Δημοσιονομικής Στρατηγικής</dc:title>
  <dc:subject>2022-2025</dc:subject>
  <dc:creator>J</dc:creator>
  <cp:lastModifiedBy>e.gratsia</cp:lastModifiedBy>
  <cp:revision>20</cp:revision>
  <cp:lastPrinted>2021-06-18T14:36:00Z</cp:lastPrinted>
  <dcterms:created xsi:type="dcterms:W3CDTF">2021-06-18T12:56:00Z</dcterms:created>
  <dcterms:modified xsi:type="dcterms:W3CDTF">2021-06-18T15:23:00Z</dcterms:modified>
</cp:coreProperties>
</file>